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80"/>
        <w:spacing w:after="0"/>
        <w:tabs>
          <w:tab w:leader="none" w:pos="1380" w:val="left"/>
          <w:tab w:leader="none" w:pos="2760" w:val="left"/>
          <w:tab w:leader="none" w:pos="3120" w:val="left"/>
          <w:tab w:leader="none" w:pos="4440" w:val="left"/>
        </w:tabs>
        <w:rPr>
          <w:sz w:val="20"/>
          <w:szCs w:val="20"/>
          <w:color w:val="auto"/>
        </w:rPr>
      </w:pPr>
      <w:r>
        <w:rPr>
          <w:rFonts w:ascii="Arial" w:cs="Arial" w:eastAsia="Arial" w:hAnsi="Arial"/>
          <w:sz w:val="16"/>
          <w:szCs w:val="16"/>
          <w:color w:val="005A64"/>
        </w:rPr>
        <w:t>A C T I N G</w:t>
        <w:tab/>
        <w:t>T O G E T H E R</w:t>
        <w:tab/>
        <w:t>—</w:t>
        <w:tab/>
        <w:t>C R E A T I N G</w:t>
        <w:tab/>
        <w:t>S Y N E R G I E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wp:posOffset>
            </wp:positionH>
            <wp:positionV relativeFrom="paragraph">
              <wp:posOffset>-635</wp:posOffset>
            </wp:positionV>
            <wp:extent cx="4120515" cy="3023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20515" cy="3023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380"/>
        <w:spacing w:after="0"/>
        <w:rPr>
          <w:sz w:val="20"/>
          <w:szCs w:val="20"/>
          <w:color w:val="auto"/>
        </w:rPr>
      </w:pPr>
      <w:r>
        <w:rPr>
          <w:rFonts w:ascii="Arial" w:cs="Arial" w:eastAsia="Arial" w:hAnsi="Arial"/>
          <w:sz w:val="29"/>
          <w:szCs w:val="29"/>
          <w:b w:val="1"/>
          <w:bCs w:val="1"/>
          <w:color w:val="3C9673"/>
        </w:rPr>
        <w:t>BioNTech SE</w:t>
      </w:r>
    </w:p>
    <w:p>
      <w:pPr>
        <w:ind w:left="380"/>
        <w:spacing w:after="0" w:line="210" w:lineRule="auto"/>
        <w:rPr>
          <w:sz w:val="20"/>
          <w:szCs w:val="20"/>
          <w:color w:val="auto"/>
        </w:rPr>
      </w:pPr>
      <w:r>
        <w:rPr>
          <w:rFonts w:ascii="Arial" w:cs="Arial" w:eastAsia="Arial" w:hAnsi="Arial"/>
          <w:sz w:val="24"/>
          <w:szCs w:val="24"/>
          <w:color w:val="005A64"/>
        </w:rPr>
        <w:t>Annual Report on Form 20-F</w:t>
      </w:r>
    </w:p>
    <w:p>
      <w:pPr>
        <w:spacing w:after="0" w:line="1" w:lineRule="exact"/>
        <w:rPr>
          <w:sz w:val="24"/>
          <w:szCs w:val="24"/>
          <w:color w:val="auto"/>
        </w:rPr>
      </w:pPr>
    </w:p>
    <w:p>
      <w:pPr>
        <w:ind w:left="380"/>
        <w:spacing w:after="0"/>
        <w:rPr>
          <w:sz w:val="20"/>
          <w:szCs w:val="20"/>
          <w:color w:val="auto"/>
        </w:rPr>
      </w:pPr>
      <w:r>
        <w:rPr>
          <w:rFonts w:ascii="Arial" w:cs="Arial" w:eastAsia="Arial" w:hAnsi="Arial"/>
          <w:sz w:val="24"/>
          <w:szCs w:val="24"/>
          <w:color w:val="005A64"/>
        </w:rPr>
        <w:t>for the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wp:posOffset>
            </wp:positionH>
            <wp:positionV relativeFrom="paragraph">
              <wp:posOffset>3282315</wp:posOffset>
            </wp:positionV>
            <wp:extent cx="42557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55770" cy="6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ind w:left="380"/>
        <w:spacing w:after="0"/>
        <w:rPr>
          <w:sz w:val="20"/>
          <w:szCs w:val="20"/>
          <w:color w:val="auto"/>
        </w:rPr>
      </w:pPr>
      <w:r>
        <w:rPr>
          <w:rFonts w:ascii="Arial" w:cs="Arial" w:eastAsia="Arial" w:hAnsi="Arial"/>
          <w:sz w:val="19"/>
          <w:szCs w:val="1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wp:posOffset>
            </wp:positionH>
            <wp:positionV relativeFrom="paragraph">
              <wp:posOffset>-113665</wp:posOffset>
            </wp:positionV>
            <wp:extent cx="42557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55770" cy="6350"/>
                    </a:xfrm>
                    <a:prstGeom prst="rect">
                      <a:avLst/>
                    </a:prstGeom>
                    <a:noFill/>
                  </pic:spPr>
                </pic:pic>
              </a:graphicData>
            </a:graphic>
          </wp:anchor>
        </w:drawing>
      </w:r>
    </w:p>
    <w:p>
      <w:pPr>
        <w:ind w:left="380"/>
        <w:spacing w:after="0" w:line="204" w:lineRule="auto"/>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ind w:left="380"/>
        <w:spacing w:after="0"/>
        <w:rPr>
          <w:sz w:val="20"/>
          <w:szCs w:val="20"/>
          <w:color w:val="auto"/>
        </w:rPr>
      </w:pPr>
      <w:r>
        <w:rPr>
          <w:rFonts w:ascii="Arial" w:cs="Arial" w:eastAsia="Arial" w:hAnsi="Arial"/>
          <w:sz w:val="13"/>
          <w:szCs w:val="13"/>
          <w:b w:val="1"/>
          <w:bCs w:val="1"/>
          <w:color w:val="auto"/>
        </w:rPr>
        <w:t>Washington, D.C. 20549</w:t>
      </w:r>
    </w:p>
    <w:p>
      <w:pPr>
        <w:spacing w:after="0" w:line="171" w:lineRule="exact"/>
        <w:rPr>
          <w:sz w:val="24"/>
          <w:szCs w:val="24"/>
          <w:color w:val="auto"/>
        </w:rPr>
      </w:pPr>
    </w:p>
    <w:p>
      <w:pPr>
        <w:ind w:left="380"/>
        <w:spacing w:after="0"/>
        <w:rPr>
          <w:sz w:val="20"/>
          <w:szCs w:val="20"/>
          <w:color w:val="auto"/>
        </w:rPr>
      </w:pPr>
      <w:r>
        <w:rPr>
          <w:rFonts w:ascii="Arial" w:cs="Arial" w:eastAsia="Arial" w:hAnsi="Arial"/>
          <w:sz w:val="20"/>
          <w:szCs w:val="20"/>
          <w:b w:val="1"/>
          <w:bCs w:val="1"/>
          <w:color w:val="auto"/>
        </w:rPr>
        <w:t>FORM 20-F</w:t>
      </w:r>
    </w:p>
    <w:p>
      <w:pPr>
        <w:spacing w:after="0" w:line="180" w:lineRule="exact"/>
        <w:rPr>
          <w:sz w:val="24"/>
          <w:szCs w:val="24"/>
          <w:color w:val="auto"/>
        </w:rPr>
      </w:pPr>
    </w:p>
    <w:p>
      <w:pPr>
        <w:ind w:left="380"/>
        <w:spacing w:after="0"/>
        <w:rPr>
          <w:sz w:val="20"/>
          <w:szCs w:val="20"/>
          <w:color w:val="auto"/>
        </w:rPr>
      </w:pPr>
      <w:r>
        <w:rPr>
          <w:rFonts w:ascii="Arial" w:cs="Arial" w:eastAsia="Arial" w:hAnsi="Arial"/>
          <w:sz w:val="11"/>
          <w:szCs w:val="11"/>
          <w:b w:val="1"/>
          <w:bCs w:val="1"/>
          <w:color w:val="auto"/>
        </w:rPr>
        <w:t>(Mark One)</w:t>
      </w:r>
    </w:p>
    <w:p>
      <w:pPr>
        <w:ind w:left="380" w:right="2300"/>
        <w:spacing w:after="0" w:line="122" w:lineRule="exact"/>
        <w:rPr>
          <w:sz w:val="20"/>
          <w:szCs w:val="20"/>
          <w:color w:val="auto"/>
        </w:rPr>
      </w:pP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 xml:space="preserve"> REGISTRATION STATEMENT PURSUANT TO SECTION 12(b) OR (g) OF THE SECURITIES EXCHANGE ACT OF 1934</w:t>
      </w:r>
    </w:p>
    <w:p>
      <w:pPr>
        <w:ind w:left="380"/>
        <w:spacing w:after="0" w:line="191" w:lineRule="auto"/>
        <w:rPr>
          <w:sz w:val="20"/>
          <w:szCs w:val="20"/>
          <w:color w:val="auto"/>
        </w:rPr>
      </w:pPr>
      <w:r>
        <w:rPr>
          <w:rFonts w:ascii="Arial" w:cs="Arial" w:eastAsia="Arial" w:hAnsi="Arial"/>
          <w:sz w:val="11"/>
          <w:szCs w:val="11"/>
          <w:b w:val="1"/>
          <w:bCs w:val="1"/>
          <w:color w:val="auto"/>
        </w:rPr>
        <w:t>OR</w:t>
      </w:r>
    </w:p>
    <w:p>
      <w:pPr>
        <w:ind w:left="380"/>
        <w:spacing w:after="0" w:line="122" w:lineRule="exact"/>
        <w:rPr>
          <w:sz w:val="20"/>
          <w:szCs w:val="20"/>
          <w:color w:val="auto"/>
        </w:rPr>
      </w:pP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 xml:space="preserve"> ANNUAL REPORT PURSUANT TO SECTION 13 OR 15(d) OF THE SECURITIES EXCHANGE ACT OF 1934</w:t>
      </w:r>
    </w:p>
    <w:p>
      <w:pPr>
        <w:ind w:left="380"/>
        <w:spacing w:after="0" w:line="192" w:lineRule="auto"/>
        <w:rPr>
          <w:sz w:val="20"/>
          <w:szCs w:val="20"/>
          <w:color w:val="auto"/>
        </w:rPr>
      </w:pPr>
      <w:r>
        <w:rPr>
          <w:rFonts w:ascii="Arial" w:cs="Arial" w:eastAsia="Arial" w:hAnsi="Arial"/>
          <w:sz w:val="11"/>
          <w:szCs w:val="11"/>
          <w:b w:val="1"/>
          <w:bCs w:val="1"/>
          <w:color w:val="auto"/>
        </w:rPr>
        <w:t>For the fiscal year ended December 31, 2024</w:t>
      </w:r>
    </w:p>
    <w:p>
      <w:pPr>
        <w:ind w:left="380"/>
        <w:spacing w:after="0" w:line="191" w:lineRule="auto"/>
        <w:rPr>
          <w:sz w:val="20"/>
          <w:szCs w:val="20"/>
          <w:color w:val="auto"/>
        </w:rPr>
      </w:pPr>
      <w:r>
        <w:rPr>
          <w:rFonts w:ascii="Arial" w:cs="Arial" w:eastAsia="Arial" w:hAnsi="Arial"/>
          <w:sz w:val="11"/>
          <w:szCs w:val="11"/>
          <w:b w:val="1"/>
          <w:bCs w:val="1"/>
          <w:color w:val="auto"/>
        </w:rPr>
        <w:t>OR</w:t>
      </w:r>
    </w:p>
    <w:p>
      <w:pPr>
        <w:ind w:left="380"/>
        <w:spacing w:after="0" w:line="122" w:lineRule="exact"/>
        <w:rPr>
          <w:sz w:val="20"/>
          <w:szCs w:val="20"/>
          <w:color w:val="auto"/>
        </w:rPr>
      </w:pP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 xml:space="preserve"> TRANSITION REPORT PURSUANT TO SECTION 13 OR 15(d) OF THE SECURITIES EXCHANGE ACT OF 1934</w:t>
      </w:r>
    </w:p>
    <w:p>
      <w:pPr>
        <w:ind w:left="380"/>
        <w:spacing w:after="0" w:line="191" w:lineRule="auto"/>
        <w:rPr>
          <w:sz w:val="20"/>
          <w:szCs w:val="20"/>
          <w:color w:val="auto"/>
        </w:rPr>
      </w:pPr>
      <w:r>
        <w:rPr>
          <w:rFonts w:ascii="Arial" w:cs="Arial" w:eastAsia="Arial" w:hAnsi="Arial"/>
          <w:sz w:val="11"/>
          <w:szCs w:val="11"/>
          <w:b w:val="1"/>
          <w:bCs w:val="1"/>
          <w:color w:val="auto"/>
        </w:rPr>
        <w:t>OR</w:t>
      </w:r>
    </w:p>
    <w:p>
      <w:pPr>
        <w:ind w:left="380"/>
        <w:spacing w:after="0" w:line="122" w:lineRule="exact"/>
        <w:rPr>
          <w:sz w:val="20"/>
          <w:szCs w:val="20"/>
          <w:color w:val="auto"/>
        </w:rPr>
      </w:pP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 xml:space="preserve"> SHELL COMPANY REPORT PURSUANT TO SECTION 13 OR 15(d) OF THE SECURITIES EXCHANGE ACT OF 1934</w:t>
      </w:r>
    </w:p>
    <w:p>
      <w:pPr>
        <w:ind w:left="380"/>
        <w:spacing w:after="0" w:line="195" w:lineRule="auto"/>
        <w:rPr>
          <w:sz w:val="20"/>
          <w:szCs w:val="20"/>
          <w:color w:val="auto"/>
        </w:rPr>
      </w:pPr>
      <w:r>
        <w:rPr>
          <w:rFonts w:ascii="Arial" w:cs="Arial" w:eastAsia="Arial" w:hAnsi="Arial"/>
          <w:sz w:val="10"/>
          <w:szCs w:val="10"/>
          <w:b w:val="1"/>
          <w:bCs w:val="1"/>
          <w:color w:val="auto"/>
        </w:rPr>
        <w:t>Commission file number: 001-39081</w:t>
      </w:r>
    </w:p>
    <w:p>
      <w:pPr>
        <w:ind w:left="380"/>
        <w:spacing w:after="0" w:line="217" w:lineRule="auto"/>
        <w:rPr>
          <w:sz w:val="20"/>
          <w:szCs w:val="20"/>
          <w:color w:val="auto"/>
        </w:rPr>
      </w:pPr>
      <w:r>
        <w:rPr>
          <w:rFonts w:ascii="Arial" w:cs="Arial" w:eastAsia="Arial" w:hAnsi="Arial"/>
          <w:sz w:val="24"/>
          <w:szCs w:val="24"/>
          <w:b w:val="1"/>
          <w:bCs w:val="1"/>
          <w:color w:val="auto"/>
        </w:rPr>
        <w:t>BioNTech SE</w:t>
      </w:r>
    </w:p>
    <w:p>
      <w:pPr>
        <w:ind w:left="380"/>
        <w:spacing w:after="0" w:line="193" w:lineRule="auto"/>
        <w:rPr>
          <w:sz w:val="20"/>
          <w:szCs w:val="20"/>
          <w:color w:val="auto"/>
        </w:rPr>
      </w:pPr>
      <w:r>
        <w:rPr>
          <w:rFonts w:ascii="Arial" w:cs="Arial" w:eastAsia="Arial" w:hAnsi="Arial"/>
          <w:sz w:val="11"/>
          <w:szCs w:val="11"/>
          <w:b w:val="1"/>
          <w:bCs w:val="1"/>
          <w:color w:val="auto"/>
        </w:rPr>
        <w:t>(Exact name of Registrant as specified in its charter)</w:t>
      </w:r>
    </w:p>
    <w:p>
      <w:pPr>
        <w:ind w:left="380"/>
        <w:spacing w:after="0" w:line="192" w:lineRule="auto"/>
        <w:rPr>
          <w:sz w:val="20"/>
          <w:szCs w:val="20"/>
          <w:color w:val="auto"/>
        </w:rPr>
      </w:pPr>
      <w:r>
        <w:rPr>
          <w:rFonts w:ascii="Arial" w:cs="Arial" w:eastAsia="Arial" w:hAnsi="Arial"/>
          <w:sz w:val="11"/>
          <w:szCs w:val="11"/>
          <w:b w:val="1"/>
          <w:bCs w:val="1"/>
          <w:color w:val="auto"/>
        </w:rPr>
        <w:t>Federal Republic of Germany</w:t>
      </w:r>
    </w:p>
    <w:p>
      <w:pPr>
        <w:ind w:left="380"/>
        <w:spacing w:after="0" w:line="192" w:lineRule="auto"/>
        <w:rPr>
          <w:sz w:val="20"/>
          <w:szCs w:val="20"/>
          <w:color w:val="auto"/>
        </w:rPr>
      </w:pPr>
      <w:r>
        <w:rPr>
          <w:rFonts w:ascii="Arial" w:cs="Arial" w:eastAsia="Arial" w:hAnsi="Arial"/>
          <w:sz w:val="11"/>
          <w:szCs w:val="11"/>
          <w:b w:val="1"/>
          <w:bCs w:val="1"/>
          <w:color w:val="auto"/>
        </w:rPr>
        <w:t>(Jurisdiction of incorporation or organization)</w:t>
      </w:r>
    </w:p>
    <w:p>
      <w:pPr>
        <w:ind w:left="380"/>
        <w:spacing w:after="0" w:line="192" w:lineRule="auto"/>
        <w:rPr>
          <w:sz w:val="20"/>
          <w:szCs w:val="20"/>
          <w:color w:val="auto"/>
        </w:rPr>
      </w:pPr>
      <w:r>
        <w:rPr>
          <w:rFonts w:ascii="Arial" w:cs="Arial" w:eastAsia="Arial" w:hAnsi="Arial"/>
          <w:sz w:val="11"/>
          <w:szCs w:val="11"/>
          <w:b w:val="1"/>
          <w:bCs w:val="1"/>
          <w:color w:val="auto"/>
        </w:rPr>
        <w:t>An der Goldgrube 12</w:t>
      </w:r>
    </w:p>
    <w:p>
      <w:pPr>
        <w:ind w:left="380"/>
        <w:spacing w:after="0" w:line="192" w:lineRule="auto"/>
        <w:rPr>
          <w:sz w:val="20"/>
          <w:szCs w:val="20"/>
          <w:color w:val="auto"/>
        </w:rPr>
      </w:pPr>
      <w:r>
        <w:rPr>
          <w:rFonts w:ascii="Arial" w:cs="Arial" w:eastAsia="Arial" w:hAnsi="Arial"/>
          <w:sz w:val="11"/>
          <w:szCs w:val="11"/>
          <w:b w:val="1"/>
          <w:bCs w:val="1"/>
          <w:color w:val="auto"/>
        </w:rPr>
        <w:t>D-55131 Mainz</w:t>
      </w:r>
    </w:p>
    <w:p>
      <w:pPr>
        <w:ind w:left="380"/>
        <w:spacing w:after="0" w:line="191" w:lineRule="auto"/>
        <w:rPr>
          <w:sz w:val="20"/>
          <w:szCs w:val="20"/>
          <w:color w:val="auto"/>
        </w:rPr>
      </w:pPr>
      <w:r>
        <w:rPr>
          <w:rFonts w:ascii="Arial" w:cs="Arial" w:eastAsia="Arial" w:hAnsi="Arial"/>
          <w:sz w:val="11"/>
          <w:szCs w:val="11"/>
          <w:b w:val="1"/>
          <w:bCs w:val="1"/>
          <w:color w:val="auto"/>
        </w:rPr>
        <w:t>Germany</w:t>
      </w:r>
    </w:p>
    <w:p>
      <w:pPr>
        <w:ind w:left="380"/>
        <w:spacing w:after="0" w:line="192" w:lineRule="auto"/>
        <w:rPr>
          <w:sz w:val="20"/>
          <w:szCs w:val="20"/>
          <w:color w:val="auto"/>
        </w:rPr>
      </w:pPr>
      <w:r>
        <w:rPr>
          <w:rFonts w:ascii="Arial" w:cs="Arial" w:eastAsia="Arial" w:hAnsi="Arial"/>
          <w:sz w:val="11"/>
          <w:szCs w:val="11"/>
          <w:b w:val="1"/>
          <w:bCs w:val="1"/>
          <w:color w:val="auto"/>
        </w:rPr>
        <w:t>(Address of principal executive offices)</w:t>
      </w:r>
    </w:p>
    <w:p>
      <w:pPr>
        <w:ind w:left="380"/>
        <w:spacing w:after="0" w:line="192" w:lineRule="auto"/>
        <w:rPr>
          <w:sz w:val="20"/>
          <w:szCs w:val="20"/>
          <w:color w:val="auto"/>
        </w:rPr>
      </w:pPr>
      <w:r>
        <w:rPr>
          <w:rFonts w:ascii="Arial" w:cs="Arial" w:eastAsia="Arial" w:hAnsi="Arial"/>
          <w:sz w:val="11"/>
          <w:szCs w:val="11"/>
          <w:b w:val="1"/>
          <w:bCs w:val="1"/>
          <w:color w:val="auto"/>
        </w:rPr>
        <w:t>Prof. Ugur Sahin, M.D.,</w:t>
      </w:r>
    </w:p>
    <w:p>
      <w:pPr>
        <w:ind w:left="380"/>
        <w:spacing w:after="0" w:line="230" w:lineRule="auto"/>
        <w:rPr>
          <w:sz w:val="20"/>
          <w:szCs w:val="20"/>
          <w:color w:val="auto"/>
        </w:rPr>
      </w:pPr>
      <w:r>
        <w:rPr>
          <w:rFonts w:ascii="Arial" w:cs="Arial" w:eastAsia="Arial" w:hAnsi="Arial"/>
          <w:sz w:val="11"/>
          <w:szCs w:val="11"/>
          <w:b w:val="1"/>
          <w:bCs w:val="1"/>
          <w:color w:val="auto"/>
        </w:rPr>
        <w:t>c/o BioNTech SE</w:t>
      </w:r>
    </w:p>
    <w:p>
      <w:pPr>
        <w:ind w:left="380"/>
        <w:spacing w:after="0" w:line="230" w:lineRule="auto"/>
        <w:rPr>
          <w:sz w:val="20"/>
          <w:szCs w:val="20"/>
          <w:color w:val="auto"/>
        </w:rPr>
      </w:pPr>
      <w:r>
        <w:rPr>
          <w:rFonts w:ascii="Arial" w:cs="Arial" w:eastAsia="Arial" w:hAnsi="Arial"/>
          <w:sz w:val="11"/>
          <w:szCs w:val="11"/>
          <w:b w:val="1"/>
          <w:bCs w:val="1"/>
          <w:color w:val="auto"/>
        </w:rPr>
        <w:t>An der Goldgrube 12</w:t>
      </w:r>
    </w:p>
    <w:p>
      <w:pPr>
        <w:ind w:left="380"/>
        <w:spacing w:after="0" w:line="192" w:lineRule="auto"/>
        <w:rPr>
          <w:sz w:val="20"/>
          <w:szCs w:val="20"/>
          <w:color w:val="auto"/>
        </w:rPr>
      </w:pPr>
      <w:r>
        <w:rPr>
          <w:rFonts w:ascii="Arial" w:cs="Arial" w:eastAsia="Arial" w:hAnsi="Arial"/>
          <w:sz w:val="11"/>
          <w:szCs w:val="11"/>
          <w:b w:val="1"/>
          <w:bCs w:val="1"/>
          <w:color w:val="auto"/>
        </w:rPr>
        <w:t>D-55131 Mainz</w:t>
      </w:r>
    </w:p>
    <w:p>
      <w:pPr>
        <w:ind w:left="380"/>
        <w:spacing w:after="0" w:line="192" w:lineRule="auto"/>
        <w:rPr>
          <w:sz w:val="20"/>
          <w:szCs w:val="20"/>
          <w:color w:val="auto"/>
        </w:rPr>
      </w:pPr>
      <w:r>
        <w:rPr>
          <w:rFonts w:ascii="Arial" w:cs="Arial" w:eastAsia="Arial" w:hAnsi="Arial"/>
          <w:sz w:val="11"/>
          <w:szCs w:val="11"/>
          <w:b w:val="1"/>
          <w:bCs w:val="1"/>
          <w:color w:val="auto"/>
        </w:rPr>
        <w:t>Germany</w:t>
      </w:r>
    </w:p>
    <w:p>
      <w:pPr>
        <w:ind w:left="420"/>
        <w:spacing w:after="0" w:line="192" w:lineRule="auto"/>
        <w:rPr>
          <w:sz w:val="20"/>
          <w:szCs w:val="20"/>
          <w:color w:val="auto"/>
        </w:rPr>
      </w:pPr>
      <w:r>
        <w:rPr>
          <w:rFonts w:ascii="Arial" w:cs="Arial" w:eastAsia="Arial" w:hAnsi="Arial"/>
          <w:sz w:val="11"/>
          <w:szCs w:val="11"/>
          <w:b w:val="1"/>
          <w:bCs w:val="1"/>
          <w:color w:val="auto"/>
        </w:rPr>
        <w:t>+49 6131-9084-0 (Tel), +49 6131 9084-390 (Fax), info@biontech.de (E-mail)</w:t>
      </w:r>
    </w:p>
    <w:p>
      <w:pPr>
        <w:ind w:left="380"/>
        <w:spacing w:after="0"/>
        <w:rPr>
          <w:sz w:val="20"/>
          <w:szCs w:val="20"/>
          <w:color w:val="auto"/>
        </w:rPr>
      </w:pPr>
      <w:r>
        <w:rPr>
          <w:rFonts w:ascii="Arial" w:cs="Arial" w:eastAsia="Arial" w:hAnsi="Arial"/>
          <w:sz w:val="11"/>
          <w:szCs w:val="11"/>
          <w:b w:val="1"/>
          <w:bCs w:val="1"/>
          <w:color w:val="auto"/>
        </w:rPr>
        <w:t>(Name, Telephone, E-mail and/or Facsimile number and Address of Company Contact Person)</w:t>
      </w:r>
    </w:p>
    <w:p>
      <w:pPr>
        <w:spacing w:after="0" w:line="177" w:lineRule="exact"/>
        <w:rPr>
          <w:sz w:val="24"/>
          <w:szCs w:val="24"/>
          <w:color w:val="auto"/>
        </w:rPr>
      </w:pPr>
    </w:p>
    <w:p>
      <w:pPr>
        <w:ind w:left="380"/>
        <w:spacing w:after="0"/>
        <w:rPr>
          <w:sz w:val="20"/>
          <w:szCs w:val="20"/>
          <w:color w:val="auto"/>
        </w:rPr>
      </w:pPr>
      <w:r>
        <w:rPr>
          <w:rFonts w:ascii="Arial" w:cs="Arial" w:eastAsia="Arial" w:hAnsi="Arial"/>
          <w:sz w:val="11"/>
          <w:szCs w:val="11"/>
          <w:b w:val="1"/>
          <w:bCs w:val="1"/>
          <w:color w:val="auto"/>
        </w:rPr>
        <w:t>Securities registered or to be registered, pursuant to Section 12(b) of the Act</w:t>
      </w:r>
    </w:p>
    <w:p>
      <w:pPr>
        <w:sectPr>
          <w:pgSz w:w="11900" w:h="16840" w:orient="portrait"/>
          <w:cols w:equalWidth="0" w:num="1">
            <w:col w:w="9020"/>
          </w:cols>
          <w:pgMar w:left="1440" w:top="550" w:right="1440" w:bottom="426" w:gutter="0" w:footer="0" w:header="0"/>
        </w:sectPr>
      </w:pPr>
    </w:p>
    <w:bookmarkStart w:id="1" w:name="page2"/>
    <w:bookmarkEnd w:id="1"/>
    <w:tbl>
      <w:tblPr>
        <w:tblLayout w:type="fixed"/>
        <w:tblInd w:w="400" w:type="dxa"/>
        <w:tblCellMar>
          <w:top w:w="0" w:type="dxa"/>
          <w:left w:w="0" w:type="dxa"/>
          <w:bottom w:w="0" w:type="dxa"/>
          <w:right w:w="0" w:type="dxa"/>
        </w:tblCellMar>
      </w:tblPr>
      <w:tr>
        <w:trPr>
          <w:trHeight w:val="126"/>
        </w:trPr>
        <w:tc>
          <w:tcPr>
            <w:tcW w:w="2680" w:type="dxa"/>
            <w:vAlign w:val="bottom"/>
          </w:tcPr>
          <w:p>
            <w:pPr>
              <w:spacing w:after="0"/>
              <w:rPr>
                <w:sz w:val="20"/>
                <w:szCs w:val="20"/>
                <w:color w:val="auto"/>
              </w:rPr>
            </w:pPr>
            <w:r>
              <w:rPr>
                <w:rFonts w:ascii="Arial" w:cs="Arial" w:eastAsia="Arial" w:hAnsi="Arial"/>
                <w:sz w:val="11"/>
                <w:szCs w:val="11"/>
                <w:b w:val="1"/>
                <w:bCs w:val="1"/>
                <w:color w:val="auto"/>
              </w:rPr>
              <w:t>Title of each class</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Trading</w:t>
            </w:r>
          </w:p>
        </w:tc>
        <w:tc>
          <w:tcPr>
            <w:tcW w:w="2720" w:type="dxa"/>
            <w:vAlign w:val="bottom"/>
          </w:tcPr>
          <w:p>
            <w:pPr>
              <w:ind w:left="360"/>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151"/>
        </w:trPr>
        <w:tc>
          <w:tcPr>
            <w:tcW w:w="268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Symbol(s)</w:t>
            </w:r>
          </w:p>
        </w:tc>
        <w:tc>
          <w:tcPr>
            <w:tcW w:w="2720" w:type="dxa"/>
            <w:vAlign w:val="bottom"/>
          </w:tcPr>
          <w:p>
            <w:pPr>
              <w:spacing w:after="0"/>
              <w:rPr>
                <w:sz w:val="13"/>
                <w:szCs w:val="13"/>
                <w:color w:val="auto"/>
              </w:rPr>
            </w:pPr>
          </w:p>
        </w:tc>
      </w:tr>
      <w:tr>
        <w:trPr>
          <w:trHeight w:val="143"/>
        </w:trPr>
        <w:tc>
          <w:tcPr>
            <w:tcW w:w="2680" w:type="dxa"/>
            <w:vAlign w:val="bottom"/>
          </w:tcPr>
          <w:p>
            <w:pPr>
              <w:spacing w:after="0"/>
              <w:rPr>
                <w:sz w:val="20"/>
                <w:szCs w:val="20"/>
                <w:color w:val="auto"/>
              </w:rPr>
            </w:pPr>
            <w:r>
              <w:rPr>
                <w:rFonts w:ascii="Arial" w:cs="Arial" w:eastAsia="Arial" w:hAnsi="Arial"/>
                <w:sz w:val="11"/>
                <w:szCs w:val="11"/>
                <w:color w:val="auto"/>
              </w:rPr>
              <w:t>American Depositary Shares, each Representing one</w:t>
            </w:r>
          </w:p>
        </w:tc>
        <w:tc>
          <w:tcPr>
            <w:tcW w:w="960" w:type="dxa"/>
            <w:vAlign w:val="bottom"/>
          </w:tcPr>
          <w:p>
            <w:pPr>
              <w:ind w:left="60"/>
              <w:spacing w:after="0"/>
              <w:rPr>
                <w:sz w:val="20"/>
                <w:szCs w:val="20"/>
                <w:color w:val="auto"/>
              </w:rPr>
            </w:pPr>
            <w:r>
              <w:rPr>
                <w:rFonts w:ascii="Arial" w:cs="Arial" w:eastAsia="Arial" w:hAnsi="Arial"/>
                <w:sz w:val="11"/>
                <w:szCs w:val="11"/>
                <w:color w:val="auto"/>
              </w:rPr>
              <w:t>BNTX</w:t>
            </w:r>
          </w:p>
        </w:tc>
        <w:tc>
          <w:tcPr>
            <w:tcW w:w="2720" w:type="dxa"/>
            <w:vAlign w:val="bottom"/>
          </w:tcPr>
          <w:p>
            <w:pPr>
              <w:ind w:left="360"/>
              <w:spacing w:after="0"/>
              <w:rPr>
                <w:sz w:val="20"/>
                <w:szCs w:val="20"/>
                <w:color w:val="auto"/>
              </w:rPr>
            </w:pPr>
            <w:r>
              <w:rPr>
                <w:rFonts w:ascii="Arial" w:cs="Arial" w:eastAsia="Arial" w:hAnsi="Arial"/>
                <w:sz w:val="11"/>
                <w:szCs w:val="11"/>
                <w:color w:val="auto"/>
              </w:rPr>
              <w:t>The Nasdaq Stock Market LLC</w:t>
            </w:r>
          </w:p>
        </w:tc>
      </w:tr>
      <w:tr>
        <w:trPr>
          <w:trHeight w:val="147"/>
        </w:trPr>
        <w:tc>
          <w:tcPr>
            <w:tcW w:w="2680" w:type="dxa"/>
            <w:vAlign w:val="bottom"/>
          </w:tcPr>
          <w:p>
            <w:pPr>
              <w:spacing w:after="0"/>
              <w:rPr>
                <w:sz w:val="20"/>
                <w:szCs w:val="20"/>
                <w:color w:val="auto"/>
              </w:rPr>
            </w:pPr>
            <w:r>
              <w:rPr>
                <w:rFonts w:ascii="Arial" w:cs="Arial" w:eastAsia="Arial" w:hAnsi="Arial"/>
                <w:sz w:val="11"/>
                <w:szCs w:val="11"/>
                <w:color w:val="auto"/>
              </w:rPr>
              <w:t>ordinary share</w:t>
            </w:r>
          </w:p>
        </w:tc>
        <w:tc>
          <w:tcPr>
            <w:tcW w:w="96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167"/>
        </w:trPr>
        <w:tc>
          <w:tcPr>
            <w:tcW w:w="2680" w:type="dxa"/>
            <w:vAlign w:val="bottom"/>
          </w:tcPr>
          <w:p>
            <w:pPr>
              <w:spacing w:after="0"/>
              <w:rPr>
                <w:sz w:val="20"/>
                <w:szCs w:val="20"/>
                <w:color w:val="auto"/>
              </w:rPr>
            </w:pPr>
            <w:r>
              <w:rPr>
                <w:rFonts w:ascii="Arial" w:cs="Arial" w:eastAsia="Arial" w:hAnsi="Arial"/>
                <w:sz w:val="11"/>
                <w:szCs w:val="11"/>
                <w:color w:val="auto"/>
              </w:rPr>
              <w:t>Ordinary shares, no par value, with a notional amount</w:t>
            </w:r>
          </w:p>
        </w:tc>
        <w:tc>
          <w:tcPr>
            <w:tcW w:w="960" w:type="dxa"/>
            <w:vAlign w:val="bottom"/>
          </w:tcPr>
          <w:p>
            <w:pPr>
              <w:ind w:left="60"/>
              <w:spacing w:after="0"/>
              <w:rPr>
                <w:sz w:val="20"/>
                <w:szCs w:val="20"/>
                <w:color w:val="auto"/>
              </w:rPr>
            </w:pPr>
            <w:r>
              <w:rPr>
                <w:rFonts w:ascii="Arial" w:cs="Arial" w:eastAsia="Arial" w:hAnsi="Arial"/>
                <w:sz w:val="11"/>
                <w:szCs w:val="11"/>
                <w:color w:val="auto"/>
              </w:rPr>
              <w:t>—</w:t>
            </w:r>
          </w:p>
        </w:tc>
        <w:tc>
          <w:tcPr>
            <w:tcW w:w="2720" w:type="dxa"/>
            <w:vAlign w:val="bottom"/>
          </w:tcPr>
          <w:p>
            <w:pPr>
              <w:ind w:left="360"/>
              <w:spacing w:after="0"/>
              <w:rPr>
                <w:sz w:val="20"/>
                <w:szCs w:val="20"/>
                <w:color w:val="auto"/>
              </w:rPr>
            </w:pPr>
            <w:r>
              <w:rPr>
                <w:rFonts w:ascii="Arial" w:cs="Arial" w:eastAsia="Arial" w:hAnsi="Arial"/>
                <w:sz w:val="11"/>
                <w:szCs w:val="11"/>
                <w:color w:val="auto"/>
              </w:rPr>
              <w:t>The Nasdaq Stock Market LLC*</w:t>
            </w:r>
          </w:p>
        </w:tc>
      </w:tr>
      <w:tr>
        <w:trPr>
          <w:trHeight w:val="147"/>
        </w:trPr>
        <w:tc>
          <w:tcPr>
            <w:tcW w:w="2680" w:type="dxa"/>
            <w:vAlign w:val="bottom"/>
          </w:tcPr>
          <w:p>
            <w:pPr>
              <w:spacing w:after="0"/>
              <w:rPr>
                <w:sz w:val="20"/>
                <w:szCs w:val="20"/>
                <w:color w:val="auto"/>
              </w:rPr>
            </w:pPr>
            <w:r>
              <w:rPr>
                <w:rFonts w:ascii="Arial" w:cs="Arial" w:eastAsia="Arial" w:hAnsi="Arial"/>
                <w:sz w:val="11"/>
                <w:szCs w:val="11"/>
                <w:color w:val="auto"/>
              </w:rPr>
              <w:t>attributable to each ordinary share of €1*</w:t>
            </w:r>
          </w:p>
        </w:tc>
        <w:tc>
          <w:tcPr>
            <w:tcW w:w="960" w:type="dxa"/>
            <w:vAlign w:val="bottom"/>
          </w:tcPr>
          <w:p>
            <w:pPr>
              <w:spacing w:after="0"/>
              <w:rPr>
                <w:sz w:val="12"/>
                <w:szCs w:val="12"/>
                <w:color w:val="auto"/>
              </w:rPr>
            </w:pPr>
          </w:p>
        </w:tc>
        <w:tc>
          <w:tcPr>
            <w:tcW w:w="2720" w:type="dxa"/>
            <w:vAlign w:val="bottom"/>
          </w:tcPr>
          <w:p>
            <w:pPr>
              <w:spacing w:after="0"/>
              <w:rPr>
                <w:sz w:val="12"/>
                <w:szCs w:val="12"/>
                <w:color w:val="auto"/>
              </w:rPr>
            </w:pPr>
          </w:p>
        </w:tc>
      </w:tr>
    </w:tbl>
    <w:p>
      <w:pPr>
        <w:spacing w:after="0" w:line="31" w:lineRule="exact"/>
        <w:rPr>
          <w:sz w:val="20"/>
          <w:szCs w:val="20"/>
          <w:color w:val="auto"/>
        </w:rPr>
      </w:pPr>
    </w:p>
    <w:p>
      <w:pPr>
        <w:ind w:left="380"/>
        <w:spacing w:after="0"/>
        <w:rPr>
          <w:sz w:val="20"/>
          <w:szCs w:val="20"/>
          <w:color w:val="auto"/>
        </w:rPr>
      </w:pPr>
      <w:r>
        <w:rPr>
          <w:rFonts w:ascii="Arial" w:cs="Arial" w:eastAsia="Arial" w:hAnsi="Arial"/>
          <w:sz w:val="11"/>
          <w:szCs w:val="11"/>
          <w:color w:val="auto"/>
        </w:rPr>
        <w:t xml:space="preserve">Securities registered or to be registered pursuant to Section 12(g) of the Act: </w:t>
      </w:r>
      <w:r>
        <w:rPr>
          <w:rFonts w:ascii="Arial" w:cs="Arial" w:eastAsia="Arial" w:hAnsi="Arial"/>
          <w:sz w:val="11"/>
          <w:szCs w:val="11"/>
          <w:b w:val="1"/>
          <w:bCs w:val="1"/>
          <w:color w:val="auto"/>
        </w:rPr>
        <w:t>None</w:t>
      </w:r>
    </w:p>
    <w:p>
      <w:pPr>
        <w:ind w:left="380"/>
        <w:spacing w:after="0" w:line="191" w:lineRule="auto"/>
        <w:rPr>
          <w:sz w:val="20"/>
          <w:szCs w:val="20"/>
          <w:color w:val="auto"/>
        </w:rPr>
      </w:pPr>
      <w:r>
        <w:rPr>
          <w:rFonts w:ascii="Arial" w:cs="Arial" w:eastAsia="Arial" w:hAnsi="Arial"/>
          <w:sz w:val="11"/>
          <w:szCs w:val="11"/>
          <w:color w:val="auto"/>
        </w:rPr>
        <w:t xml:space="preserve">Securities for which there is a reporting obligation pursuant to Section 15(d) of the Act: </w:t>
      </w:r>
      <w:r>
        <w:rPr>
          <w:rFonts w:ascii="Arial" w:cs="Arial" w:eastAsia="Arial" w:hAnsi="Arial"/>
          <w:sz w:val="11"/>
          <w:szCs w:val="11"/>
          <w:b w:val="1"/>
          <w:bCs w:val="1"/>
          <w:color w:val="auto"/>
        </w:rPr>
        <w:t>None</w:t>
      </w:r>
    </w:p>
    <w:p>
      <w:pPr>
        <w:ind w:left="380" w:right="2080"/>
        <w:spacing w:after="0" w:line="191" w:lineRule="auto"/>
        <w:rPr>
          <w:sz w:val="20"/>
          <w:szCs w:val="20"/>
          <w:color w:val="auto"/>
        </w:rPr>
      </w:pPr>
      <w:r>
        <w:rPr>
          <w:rFonts w:ascii="Arial" w:cs="Arial" w:eastAsia="Arial" w:hAnsi="Arial"/>
          <w:sz w:val="11"/>
          <w:szCs w:val="11"/>
          <w:color w:val="auto"/>
        </w:rPr>
        <w:t>Indicate the number of outstanding shares of each of the issuer’s classes of capital stock or common stock as of the close of business covered by the annual report.</w:t>
      </w:r>
    </w:p>
    <w:p>
      <w:pPr>
        <w:spacing w:after="0" w:line="1" w:lineRule="exact"/>
        <w:rPr>
          <w:sz w:val="20"/>
          <w:szCs w:val="20"/>
          <w:color w:val="auto"/>
        </w:rPr>
      </w:pPr>
    </w:p>
    <w:p>
      <w:pPr>
        <w:ind w:left="380" w:right="1880"/>
        <w:spacing w:after="0" w:line="191" w:lineRule="auto"/>
        <w:rPr>
          <w:sz w:val="20"/>
          <w:szCs w:val="20"/>
          <w:color w:val="auto"/>
        </w:rPr>
      </w:pPr>
      <w:r>
        <w:rPr>
          <w:rFonts w:ascii="Arial" w:cs="Arial" w:eastAsia="Arial" w:hAnsi="Arial"/>
          <w:sz w:val="11"/>
          <w:szCs w:val="11"/>
          <w:color w:val="auto"/>
        </w:rPr>
        <w:t>Ordinary shares, no par value, with a notional amount attributable to each share of €1 outstanding up until March 3, 2025, the most recent practicable date, no par value: 239,970,804</w:t>
      </w:r>
    </w:p>
    <w:p>
      <w:pPr>
        <w:ind w:left="380"/>
        <w:spacing w:after="0" w:line="127" w:lineRule="exact"/>
        <w:tabs>
          <w:tab w:leader="none" w:pos="6220" w:val="left"/>
          <w:tab w:leader="none" w:pos="6700" w:val="left"/>
        </w:tabs>
        <w:rPr>
          <w:sz w:val="20"/>
          <w:szCs w:val="20"/>
          <w:color w:val="auto"/>
        </w:rPr>
      </w:pPr>
      <w:r>
        <w:rPr>
          <w:rFonts w:ascii="Arial" w:cs="Arial" w:eastAsia="Arial" w:hAnsi="Arial"/>
          <w:sz w:val="11"/>
          <w:szCs w:val="11"/>
          <w:color w:val="auto"/>
        </w:rPr>
        <w:t>Indicate by check mark if the registrant is a well-known seasoned issuer, as defined in Rule 405 of the Securities Act.</w:t>
        <w:tab/>
        <w:t xml:space="preserve">Yes </w:t>
      </w:r>
      <w:r>
        <w:rPr>
          <w:rFonts w:ascii="MS PGothic" w:cs="MS PGothic" w:eastAsia="MS PGothic" w:hAnsi="MS PGothic"/>
          <w:sz w:val="11"/>
          <w:szCs w:val="11"/>
          <w:color w:val="auto"/>
        </w:rPr>
        <w:t>☒</w:t>
      </w:r>
      <w:r>
        <w:rPr>
          <w:rFonts w:ascii="Arial" w:cs="Arial" w:eastAsia="Arial" w:hAnsi="Arial"/>
          <w:sz w:val="11"/>
          <w:szCs w:val="11"/>
          <w:color w:val="auto"/>
        </w:rPr>
        <w:tab/>
        <w:t xml:space="preserve">No </w:t>
      </w:r>
      <w:r>
        <w:rPr>
          <w:rFonts w:ascii="MS PGothic" w:cs="MS PGothic" w:eastAsia="MS PGothic" w:hAnsi="MS PGothic"/>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80" w:right="1860"/>
        <w:spacing w:after="0" w:line="106" w:lineRule="exact"/>
        <w:rPr>
          <w:sz w:val="20"/>
          <w:szCs w:val="20"/>
          <w:color w:val="auto"/>
        </w:rPr>
      </w:pPr>
      <w:r>
        <w:rPr>
          <w:rFonts w:ascii="Arial" w:cs="Arial" w:eastAsia="Arial" w:hAnsi="Arial"/>
          <w:sz w:val="11"/>
          <w:szCs w:val="11"/>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w:t>
      </w:r>
    </w:p>
    <w:p>
      <w:pPr>
        <w:spacing w:after="0" w:line="218" w:lineRule="exact"/>
        <w:rPr>
          <w:sz w:val="20"/>
          <w:szCs w:val="20"/>
          <w:color w:val="auto"/>
        </w:rPr>
      </w:pPr>
    </w:p>
    <w:p>
      <w:pPr>
        <w:ind w:left="380" w:right="1740"/>
        <w:spacing w:after="0" w:line="106" w:lineRule="exact"/>
        <w:rPr>
          <w:sz w:val="20"/>
          <w:szCs w:val="20"/>
          <w:color w:val="auto"/>
        </w:rPr>
      </w:pPr>
      <w:r>
        <w:rPr>
          <w:rFonts w:ascii="Arial" w:cs="Arial" w:eastAsia="Arial" w:hAnsi="Arial"/>
          <w:sz w:val="11"/>
          <w:szCs w:val="11"/>
          <w:color w:val="auto"/>
        </w:rPr>
        <w:t xml:space="preserve">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ind w:left="380" w:right="1860"/>
        <w:spacing w:after="0" w:line="101"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 w:lineRule="exact"/>
        <w:rPr>
          <w:sz w:val="20"/>
          <w:szCs w:val="20"/>
          <w:color w:val="auto"/>
        </w:rPr>
      </w:pPr>
    </w:p>
    <w:p>
      <w:pPr>
        <w:jc w:val="both"/>
        <w:ind w:left="380" w:right="1760"/>
        <w:spacing w:after="0" w:line="19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or an emerging growth company. See the definitions of “large accelerated filer,” “accelerated filer,” and “emerging growth company” in Rule 12b -2 of the Exchange Act.</w:t>
      </w:r>
    </w:p>
    <w:p>
      <w:pPr>
        <w:spacing w:after="0" w:line="1" w:lineRule="exact"/>
        <w:rPr>
          <w:sz w:val="20"/>
          <w:szCs w:val="20"/>
          <w:color w:val="auto"/>
        </w:rPr>
      </w:pPr>
    </w:p>
    <w:p>
      <w:pPr>
        <w:ind w:left="400"/>
        <w:spacing w:after="0" w:line="127" w:lineRule="exact"/>
        <w:tabs>
          <w:tab w:leader="none" w:pos="2100" w:val="left"/>
          <w:tab w:leader="none" w:pos="3040" w:val="left"/>
          <w:tab w:leader="none" w:pos="3860" w:val="left"/>
          <w:tab w:leader="none" w:pos="5020" w:val="left"/>
          <w:tab w:leader="none" w:pos="5600" w:val="left"/>
          <w:tab w:leader="none" w:pos="7020" w:val="left"/>
        </w:tabs>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Non-accelerated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27" w:lineRule="exact"/>
        <w:rPr>
          <w:sz w:val="20"/>
          <w:szCs w:val="20"/>
          <w:color w:val="auto"/>
        </w:rPr>
      </w:pPr>
    </w:p>
    <w:p>
      <w:pPr>
        <w:ind w:left="380" w:right="1740"/>
        <w:spacing w:after="0" w:line="102" w:lineRule="exact"/>
        <w:rPr>
          <w:sz w:val="20"/>
          <w:szCs w:val="20"/>
          <w:color w:val="auto"/>
        </w:rPr>
      </w:pPr>
      <w:r>
        <w:rPr>
          <w:rFonts w:ascii="Arial" w:cs="Arial" w:eastAsia="Arial" w:hAnsi="Arial"/>
          <w:sz w:val="11"/>
          <w:szCs w:val="1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1"/>
          <w:szCs w:val="11"/>
          <w:color w:val="auto"/>
        </w:rPr>
        <w:t>☐</w:t>
      </w:r>
    </w:p>
    <w:p>
      <w:pPr>
        <w:spacing w:after="0" w:line="1" w:lineRule="exact"/>
        <w:rPr>
          <w:sz w:val="20"/>
          <w:szCs w:val="20"/>
          <w:color w:val="auto"/>
        </w:rPr>
      </w:pPr>
    </w:p>
    <w:p>
      <w:pPr>
        <w:ind w:left="380" w:right="1720"/>
        <w:spacing w:after="0" w:line="101"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 w:lineRule="exact"/>
        <w:rPr>
          <w:sz w:val="20"/>
          <w:szCs w:val="20"/>
          <w:color w:val="auto"/>
        </w:rPr>
      </w:pPr>
    </w:p>
    <w:p>
      <w:pPr>
        <w:ind w:left="380" w:right="1960"/>
        <w:spacing w:after="0" w:line="101" w:lineRule="exact"/>
        <w:rPr>
          <w:sz w:val="20"/>
          <w:szCs w:val="20"/>
          <w:color w:val="auto"/>
        </w:rPr>
      </w:pPr>
      <w:r>
        <w:rPr>
          <w:rFonts w:ascii="Arial" w:cs="Arial" w:eastAsia="Arial" w:hAnsi="Arial"/>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1" w:lineRule="exact"/>
        <w:rPr>
          <w:sz w:val="20"/>
          <w:szCs w:val="20"/>
          <w:color w:val="auto"/>
        </w:rPr>
      </w:pPr>
    </w:p>
    <w:p>
      <w:pPr>
        <w:ind w:left="380" w:right="2100"/>
        <w:spacing w:after="0" w:line="113" w:lineRule="exact"/>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 -1(b).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which basis of accounting the registrant has used to prepare the financial statements included in this filing:</w:t>
      </w:r>
    </w:p>
    <w:p>
      <w:pPr>
        <w:sectPr>
          <w:pgSz w:w="11900" w:h="16840" w:orient="portrait"/>
          <w:cols w:equalWidth="0" w:num="1">
            <w:col w:w="9020"/>
          </w:cols>
          <w:pgMar w:left="1440" w:top="544" w:right="1440" w:bottom="1440" w:gutter="0" w:footer="0" w:header="0"/>
        </w:sectPr>
      </w:pPr>
    </w:p>
    <w:p>
      <w:pPr>
        <w:ind w:left="400"/>
        <w:spacing w:after="0" w:line="232" w:lineRule="auto"/>
        <w:rPr>
          <w:sz w:val="20"/>
          <w:szCs w:val="20"/>
          <w:color w:val="auto"/>
        </w:rPr>
      </w:pPr>
      <w:r>
        <w:rPr>
          <w:rFonts w:ascii="Arial" w:cs="Arial" w:eastAsia="Arial" w:hAnsi="Arial"/>
          <w:sz w:val="10"/>
          <w:szCs w:val="10"/>
          <w:color w:val="auto"/>
        </w:rPr>
        <w:t>U.S. GAAP</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r>
        <w:rPr>
          <w:rFonts w:ascii="MS PGothic" w:cs="MS PGothic" w:eastAsia="MS PGothic" w:hAnsi="MS PGothic"/>
          <w:sz w:val="8"/>
          <w:szCs w:val="8"/>
          <w:color w:val="auto"/>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r>
        <w:rPr>
          <w:rFonts w:ascii="Arial" w:cs="Arial" w:eastAsia="Arial" w:hAnsi="Arial"/>
          <w:sz w:val="11"/>
          <w:szCs w:val="11"/>
          <w:color w:val="auto"/>
        </w:rPr>
        <w:t xml:space="preserve">International Financial Reporting Standards as issued by the International Accounting Standards Board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Arial" w:cs="Arial" w:eastAsia="Arial" w:hAnsi="Arial"/>
          <w:sz w:val="10"/>
          <w:szCs w:val="10"/>
          <w:color w:val="auto"/>
        </w:rPr>
        <w:t>Other</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r>
        <w:rPr>
          <w:rFonts w:ascii="MS PGothic" w:cs="MS PGothic" w:eastAsia="MS PGothic" w:hAnsi="MS PGothic"/>
          <w:sz w:val="8"/>
          <w:szCs w:val="8"/>
          <w:color w:val="auto"/>
        </w:rPr>
        <w:t>☐</w:t>
      </w:r>
    </w:p>
    <w:p>
      <w:pPr>
        <w:spacing w:after="0" w:line="187" w:lineRule="exact"/>
        <w:rPr>
          <w:sz w:val="20"/>
          <w:szCs w:val="20"/>
          <w:color w:val="auto"/>
        </w:rPr>
      </w:pPr>
    </w:p>
    <w:p>
      <w:pPr>
        <w:sectPr>
          <w:pgSz w:w="11900" w:h="16840" w:orient="portrait"/>
          <w:cols w:equalWidth="0" w:num="5">
            <w:col w:w="940" w:space="80"/>
            <w:col w:w="80" w:space="700"/>
            <w:col w:w="3600" w:space="360"/>
            <w:col w:w="260" w:space="80"/>
            <w:col w:w="2920"/>
          </w:cols>
          <w:pgMar w:left="1440" w:top="544" w:right="1440" w:bottom="1440" w:gutter="0" w:footer="0" w:header="0"/>
          <w:type w:val="continuous"/>
        </w:sectPr>
      </w:pPr>
    </w:p>
    <w:p>
      <w:pPr>
        <w:ind w:left="380" w:right="1880"/>
        <w:spacing w:after="0" w:line="131" w:lineRule="exact"/>
        <w:rPr>
          <w:sz w:val="20"/>
          <w:szCs w:val="20"/>
          <w:color w:val="auto"/>
        </w:rPr>
      </w:pPr>
      <w:r>
        <w:rPr>
          <w:rFonts w:ascii="Arial" w:cs="Arial" w:eastAsia="Arial" w:hAnsi="Arial"/>
          <w:sz w:val="11"/>
          <w:szCs w:val="11"/>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1"/>
          <w:szCs w:val="11"/>
          <w:color w:val="auto"/>
        </w:rPr>
        <w:t>☐</w:t>
      </w:r>
      <w:r>
        <w:rPr>
          <w:rFonts w:ascii="Arial" w:cs="Arial" w:eastAsia="Arial" w:hAnsi="Arial"/>
          <w:sz w:val="11"/>
          <w:szCs w:val="11"/>
          <w:color w:val="auto"/>
        </w:rPr>
        <w:t xml:space="preserve"> Item 18 </w:t>
      </w:r>
      <w:r>
        <w:rPr>
          <w:rFonts w:ascii="MS PGothic" w:cs="MS PGothic" w:eastAsia="MS PGothic" w:hAnsi="MS PGothic"/>
          <w:sz w:val="11"/>
          <w:szCs w:val="11"/>
          <w:color w:val="auto"/>
        </w:rPr>
        <w:t>☐</w:t>
      </w:r>
    </w:p>
    <w:p>
      <w:pPr>
        <w:sectPr>
          <w:pgSz w:w="11900" w:h="16840" w:orient="portrait"/>
          <w:cols w:equalWidth="0" w:num="1">
            <w:col w:w="9020"/>
          </w:cols>
          <w:pgMar w:left="1440" w:top="544" w:right="1440" w:bottom="1440" w:gutter="0" w:footer="0" w:header="0"/>
          <w:type w:val="continuous"/>
        </w:sectPr>
      </w:pPr>
    </w:p>
    <w:p>
      <w:pPr>
        <w:ind w:left="380"/>
        <w:spacing w:after="0" w:line="180" w:lineRule="auto"/>
        <w:rPr>
          <w:sz w:val="20"/>
          <w:szCs w:val="20"/>
          <w:color w:val="auto"/>
        </w:rPr>
      </w:pPr>
      <w:r>
        <w:rPr>
          <w:rFonts w:ascii="Arial" w:cs="Arial" w:eastAsia="Arial" w:hAnsi="Arial"/>
          <w:sz w:val="6"/>
          <w:szCs w:val="6"/>
          <w:color w:val="auto"/>
        </w:rPr>
        <w:t>If this is an annual report, indicate by check mark whether the registrant is a shell company (as defined in Rule 12b-2 of the Exchange Act).</w:t>
      </w:r>
    </w:p>
    <w:p>
      <w:pPr>
        <w:ind w:left="500"/>
        <w:spacing w:after="0" w:line="110" w:lineRule="exact"/>
        <w:tabs>
          <w:tab w:leader="none" w:pos="960" w:val="left"/>
        </w:tabs>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1"/>
          <w:szCs w:val="11"/>
          <w:color w:val="auto"/>
        </w:rPr>
        <w:t>☐</w:t>
      </w:r>
      <w:r>
        <w:rPr>
          <w:rFonts w:ascii="Arial" w:cs="Arial" w:eastAsia="Arial" w:hAnsi="Arial"/>
          <w:sz w:val="11"/>
          <w:szCs w:val="11"/>
          <w:color w:val="auto"/>
        </w:rPr>
        <w:tab/>
        <w:t xml:space="preserve">No </w:t>
      </w:r>
      <w:r>
        <w:rPr>
          <w:rFonts w:ascii="MS PGothic" w:cs="MS PGothic" w:eastAsia="MS PGothic" w:hAnsi="MS PGothic"/>
          <w:sz w:val="11"/>
          <w:szCs w:val="11"/>
          <w:color w:val="auto"/>
        </w:rPr>
        <w:t>☒</w:t>
      </w:r>
    </w:p>
    <w:p>
      <w:pPr>
        <w:ind w:left="380" w:right="2220" w:firstLine="3"/>
        <w:spacing w:after="0" w:line="225" w:lineRule="auto"/>
        <w:tabs>
          <w:tab w:leader="none" w:pos="441" w:val="left"/>
        </w:tabs>
        <w:numPr>
          <w:ilvl w:val="0"/>
          <w:numId w:val="1"/>
        </w:numPr>
        <w:rPr>
          <w:rFonts w:ascii="Arial" w:cs="Arial" w:eastAsia="Arial" w:hAnsi="Arial"/>
          <w:sz w:val="9"/>
          <w:szCs w:val="9"/>
          <w:color w:val="auto"/>
        </w:rPr>
      </w:pPr>
      <w:r>
        <w:rPr>
          <w:rFonts w:ascii="Arial" w:cs="Arial" w:eastAsia="Arial" w:hAnsi="Arial"/>
          <w:sz w:val="9"/>
          <w:szCs w:val="9"/>
          <w:color w:val="auto"/>
        </w:rPr>
        <w:t>Listed not for trading or quotation purposes, but only in connection with the registration of American Depositary Shares representing such ordinary shares pursuant to the requirements of the Securities and Exchange Commission. The American Depositary Shares are registered under the Securities Act of 1933, as amended, pursuant to a separate registration statement on Form F-6 (File No. 333-233898).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34290</wp:posOffset>
            </wp:positionV>
            <wp:extent cx="42557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5770" cy="635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53340</wp:posOffset>
            </wp:positionV>
            <wp:extent cx="425577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55770" cy="6350"/>
                    </a:xfrm>
                    <a:prstGeom prst="rect">
                      <a:avLst/>
                    </a:prstGeom>
                    <a:noFill/>
                  </pic:spPr>
                </pic:pic>
              </a:graphicData>
            </a:graphic>
          </wp:anchor>
        </w:drawing>
      </w:r>
    </w:p>
    <w:p>
      <w:pPr>
        <w:sectPr>
          <w:pgSz w:w="11900" w:h="16840" w:orient="portrait"/>
          <w:cols w:equalWidth="0" w:num="1">
            <w:col w:w="9020"/>
          </w:cols>
          <w:pgMar w:left="1440" w:top="544" w:right="1440" w:bottom="1440" w:gutter="0" w:footer="0" w:header="0"/>
          <w:type w:val="continuous"/>
        </w:sectPr>
      </w:pPr>
    </w:p>
    <w:bookmarkStart w:id="2" w:name="page3"/>
    <w:bookmarkEnd w:id="2"/>
    <w:p>
      <w:pPr>
        <w:spacing w:after="0" w:line="3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16" w:lineRule="exact"/>
        <w:rPr>
          <w:sz w:val="20"/>
          <w:szCs w:val="20"/>
          <w:color w:val="auto"/>
        </w:rPr>
      </w:pPr>
    </w:p>
    <w:p>
      <w:pPr>
        <w:ind w:left="380"/>
        <w:spacing w:after="0"/>
        <w:rPr>
          <w:sz w:val="20"/>
          <w:szCs w:val="20"/>
          <w:color w:val="auto"/>
        </w:rPr>
      </w:pPr>
      <w:r>
        <w:rPr>
          <w:rFonts w:ascii="Arial" w:cs="Arial" w:eastAsia="Arial" w:hAnsi="Arial"/>
          <w:sz w:val="24"/>
          <w:szCs w:val="24"/>
          <w:color w:val="005A64"/>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-154940</wp:posOffset>
            </wp:positionV>
            <wp:extent cx="523113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tbl>
      <w:tblPr>
        <w:tblLayout w:type="fixed"/>
        <w:tblInd w:w="40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720" w:type="dxa"/>
            <w:vAlign w:val="bottom"/>
          </w:tcPr>
          <w:p>
            <w:pPr>
              <w:ind w:left="400"/>
              <w:spacing w:after="0"/>
              <w:rPr>
                <w:sz w:val="20"/>
                <w:szCs w:val="20"/>
                <w:color w:val="auto"/>
              </w:rPr>
            </w:pPr>
            <w:r>
              <w:rPr>
                <w:rFonts w:ascii="Arial" w:cs="Arial" w:eastAsia="Arial" w:hAnsi="Arial"/>
                <w:sz w:val="13"/>
                <w:szCs w:val="13"/>
                <w:color w:val="auto"/>
                <w:w w:val="98"/>
              </w:rPr>
              <w:t>Page</w:t>
            </w:r>
          </w:p>
        </w:tc>
      </w:tr>
      <w:tr>
        <w:trPr>
          <w:trHeight w:val="271"/>
        </w:trPr>
        <w:tc>
          <w:tcPr>
            <w:tcW w:w="5460" w:type="dxa"/>
            <w:vAlign w:val="bottom"/>
            <w:gridSpan w:val="2"/>
          </w:tcPr>
          <w:p>
            <w:pPr>
              <w:spacing w:after="0"/>
              <w:rPr>
                <w:rFonts w:ascii="Arial" w:cs="Arial" w:eastAsia="Arial" w:hAnsi="Arial"/>
                <w:sz w:val="13"/>
                <w:szCs w:val="13"/>
                <w:color w:val="auto"/>
              </w:rPr>
            </w:pPr>
            <w:hyperlink w:anchor="page5">
              <w:r>
                <w:rPr>
                  <w:rFonts w:ascii="Arial" w:cs="Arial" w:eastAsia="Arial" w:hAnsi="Arial"/>
                  <w:sz w:val="13"/>
                  <w:szCs w:val="13"/>
                  <w:color w:val="auto"/>
                </w:rPr>
                <w:t>GENERAL INFORMATION</w:t>
              </w:r>
            </w:hyperlink>
          </w:p>
        </w:tc>
        <w:tc>
          <w:tcPr>
            <w:tcW w:w="720" w:type="dxa"/>
            <w:vAlign w:val="bottom"/>
          </w:tcPr>
          <w:p>
            <w:pPr>
              <w:ind w:left="400"/>
              <w:spacing w:after="0"/>
              <w:rPr>
                <w:sz w:val="20"/>
                <w:szCs w:val="20"/>
                <w:color w:val="auto"/>
              </w:rPr>
            </w:pPr>
            <w:r>
              <w:rPr>
                <w:rFonts w:ascii="Arial" w:cs="Arial" w:eastAsia="Arial" w:hAnsi="Arial"/>
                <w:sz w:val="13"/>
                <w:szCs w:val="13"/>
                <w:color w:val="auto"/>
              </w:rPr>
              <w:t>4</w:t>
            </w:r>
          </w:p>
        </w:tc>
      </w:tr>
      <w:tr>
        <w:trPr>
          <w:trHeight w:val="192"/>
        </w:trPr>
        <w:tc>
          <w:tcPr>
            <w:tcW w:w="5460" w:type="dxa"/>
            <w:vAlign w:val="bottom"/>
            <w:gridSpan w:val="2"/>
          </w:tcPr>
          <w:p>
            <w:pPr>
              <w:spacing w:after="0"/>
              <w:rPr>
                <w:rFonts w:ascii="Arial" w:cs="Arial" w:eastAsia="Arial" w:hAnsi="Arial"/>
                <w:sz w:val="13"/>
                <w:szCs w:val="13"/>
                <w:color w:val="auto"/>
              </w:rPr>
            </w:pPr>
            <w:hyperlink w:anchor="page5">
              <w:r>
                <w:rPr>
                  <w:rFonts w:ascii="Arial" w:cs="Arial" w:eastAsia="Arial" w:hAnsi="Arial"/>
                  <w:sz w:val="13"/>
                  <w:szCs w:val="13"/>
                  <w:color w:val="auto"/>
                </w:rPr>
                <w:t>CAUTIONARY STATEMENT REGARDING FORWARD-LOOKING STATEMENTS</w:t>
              </w:r>
            </w:hyperlink>
          </w:p>
        </w:tc>
        <w:tc>
          <w:tcPr>
            <w:tcW w:w="720" w:type="dxa"/>
            <w:vAlign w:val="bottom"/>
          </w:tcPr>
          <w:p>
            <w:pPr>
              <w:ind w:left="400"/>
              <w:spacing w:after="0"/>
              <w:rPr>
                <w:sz w:val="20"/>
                <w:szCs w:val="20"/>
                <w:color w:val="auto"/>
              </w:rPr>
            </w:pPr>
            <w:r>
              <w:rPr>
                <w:rFonts w:ascii="Arial" w:cs="Arial" w:eastAsia="Arial" w:hAnsi="Arial"/>
                <w:sz w:val="13"/>
                <w:szCs w:val="13"/>
                <w:color w:val="auto"/>
              </w:rPr>
              <w:t>5</w:t>
            </w:r>
          </w:p>
        </w:tc>
      </w:tr>
      <w:tr>
        <w:trPr>
          <w:trHeight w:val="400"/>
        </w:trPr>
        <w:tc>
          <w:tcPr>
            <w:tcW w:w="660" w:type="dxa"/>
            <w:vAlign w:val="bottom"/>
          </w:tcPr>
          <w:p>
            <w:pPr>
              <w:spacing w:after="0"/>
              <w:rPr>
                <w:sz w:val="20"/>
                <w:szCs w:val="20"/>
                <w:color w:val="auto"/>
              </w:rPr>
            </w:pPr>
            <w:r>
              <w:rPr>
                <w:rFonts w:ascii="Arial" w:cs="Arial" w:eastAsia="Arial" w:hAnsi="Arial"/>
                <w:sz w:val="13"/>
                <w:szCs w:val="13"/>
                <w:b w:val="1"/>
                <w:bCs w:val="1"/>
                <w:color w:val="auto"/>
              </w:rPr>
              <w:t>PART I</w:t>
            </w:r>
          </w:p>
        </w:tc>
        <w:tc>
          <w:tcPr>
            <w:tcW w:w="48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7"/>
        </w:trPr>
        <w:tc>
          <w:tcPr>
            <w:tcW w:w="660" w:type="dxa"/>
            <w:vAlign w:val="bottom"/>
          </w:tcPr>
          <w:p>
            <w:pPr>
              <w:spacing w:after="0"/>
              <w:rPr>
                <w:sz w:val="20"/>
                <w:szCs w:val="20"/>
                <w:color w:val="auto"/>
              </w:rPr>
            </w:pPr>
            <w:r>
              <w:rPr>
                <w:rFonts w:ascii="Arial" w:cs="Arial" w:eastAsia="Arial" w:hAnsi="Arial"/>
                <w:sz w:val="13"/>
                <w:szCs w:val="13"/>
                <w:color w:val="auto"/>
              </w:rPr>
              <w:t>ITEM 1.</w:t>
            </w:r>
          </w:p>
        </w:tc>
        <w:tc>
          <w:tcPr>
            <w:tcW w:w="4800" w:type="dxa"/>
            <w:vAlign w:val="bottom"/>
          </w:tcPr>
          <w:p>
            <w:pPr>
              <w:ind w:left="100"/>
              <w:spacing w:after="0"/>
              <w:rPr>
                <w:rFonts w:ascii="Arial" w:cs="Arial" w:eastAsia="Arial" w:hAnsi="Arial"/>
                <w:sz w:val="13"/>
                <w:szCs w:val="13"/>
                <w:color w:val="auto"/>
              </w:rPr>
            </w:pPr>
            <w:hyperlink w:anchor="page7">
              <w:r>
                <w:rPr>
                  <w:rFonts w:ascii="Arial" w:cs="Arial" w:eastAsia="Arial" w:hAnsi="Arial"/>
                  <w:sz w:val="13"/>
                  <w:szCs w:val="13"/>
                  <w:color w:val="auto"/>
                </w:rPr>
                <w:t>IDENTITY OF DIRECTORS, SENIOR MANAGEMENT AND ADVISERS</w:t>
              </w:r>
            </w:hyperlink>
          </w:p>
        </w:tc>
        <w:tc>
          <w:tcPr>
            <w:tcW w:w="720" w:type="dxa"/>
            <w:vAlign w:val="bottom"/>
          </w:tcPr>
          <w:p>
            <w:pPr>
              <w:ind w:left="400"/>
              <w:spacing w:after="0"/>
              <w:rPr>
                <w:sz w:val="20"/>
                <w:szCs w:val="20"/>
                <w:color w:val="auto"/>
              </w:rPr>
            </w:pPr>
            <w:r>
              <w:rPr>
                <w:rFonts w:ascii="Arial" w:cs="Arial" w:eastAsia="Arial" w:hAnsi="Arial"/>
                <w:sz w:val="13"/>
                <w:szCs w:val="13"/>
                <w:color w:val="auto"/>
              </w:rPr>
              <w:t>7</w:t>
            </w:r>
          </w:p>
        </w:tc>
      </w:tr>
      <w:tr>
        <w:trPr>
          <w:trHeight w:val="283"/>
        </w:trPr>
        <w:tc>
          <w:tcPr>
            <w:tcW w:w="660" w:type="dxa"/>
            <w:vAlign w:val="bottom"/>
          </w:tcPr>
          <w:p>
            <w:pPr>
              <w:spacing w:after="0"/>
              <w:rPr>
                <w:sz w:val="20"/>
                <w:szCs w:val="20"/>
                <w:color w:val="auto"/>
              </w:rPr>
            </w:pPr>
            <w:r>
              <w:rPr>
                <w:rFonts w:ascii="Arial" w:cs="Arial" w:eastAsia="Arial" w:hAnsi="Arial"/>
                <w:sz w:val="13"/>
                <w:szCs w:val="13"/>
                <w:color w:val="auto"/>
              </w:rPr>
              <w:t>ITEM 2.</w:t>
            </w:r>
          </w:p>
        </w:tc>
        <w:tc>
          <w:tcPr>
            <w:tcW w:w="4800" w:type="dxa"/>
            <w:vAlign w:val="bottom"/>
          </w:tcPr>
          <w:p>
            <w:pPr>
              <w:ind w:left="100"/>
              <w:spacing w:after="0"/>
              <w:rPr>
                <w:rFonts w:ascii="Arial" w:cs="Arial" w:eastAsia="Arial" w:hAnsi="Arial"/>
                <w:sz w:val="13"/>
                <w:szCs w:val="13"/>
                <w:color w:val="auto"/>
              </w:rPr>
            </w:pPr>
            <w:hyperlink w:anchor="page7">
              <w:r>
                <w:rPr>
                  <w:rFonts w:ascii="Arial" w:cs="Arial" w:eastAsia="Arial" w:hAnsi="Arial"/>
                  <w:sz w:val="13"/>
                  <w:szCs w:val="13"/>
                  <w:color w:val="auto"/>
                </w:rPr>
                <w:t>OFFER STATISTICS AND EXPECTED TIMETABLE</w:t>
              </w:r>
            </w:hyperlink>
          </w:p>
        </w:tc>
        <w:tc>
          <w:tcPr>
            <w:tcW w:w="720" w:type="dxa"/>
            <w:vAlign w:val="bottom"/>
          </w:tcPr>
          <w:p>
            <w:pPr>
              <w:ind w:left="400"/>
              <w:spacing w:after="0"/>
              <w:rPr>
                <w:sz w:val="20"/>
                <w:szCs w:val="20"/>
                <w:color w:val="auto"/>
              </w:rPr>
            </w:pPr>
            <w:r>
              <w:rPr>
                <w:rFonts w:ascii="Arial" w:cs="Arial" w:eastAsia="Arial" w:hAnsi="Arial"/>
                <w:sz w:val="13"/>
                <w:szCs w:val="13"/>
                <w:color w:val="auto"/>
              </w:rPr>
              <w:t>7</w:t>
            </w:r>
          </w:p>
        </w:tc>
      </w:tr>
      <w:tr>
        <w:trPr>
          <w:trHeight w:val="283"/>
        </w:trPr>
        <w:tc>
          <w:tcPr>
            <w:tcW w:w="660" w:type="dxa"/>
            <w:vAlign w:val="bottom"/>
          </w:tcPr>
          <w:p>
            <w:pPr>
              <w:spacing w:after="0"/>
              <w:rPr>
                <w:sz w:val="20"/>
                <w:szCs w:val="20"/>
                <w:color w:val="auto"/>
              </w:rPr>
            </w:pPr>
            <w:r>
              <w:rPr>
                <w:rFonts w:ascii="Arial" w:cs="Arial" w:eastAsia="Arial" w:hAnsi="Arial"/>
                <w:sz w:val="13"/>
                <w:szCs w:val="13"/>
                <w:color w:val="auto"/>
              </w:rPr>
              <w:t>ITEM 3.</w:t>
            </w:r>
          </w:p>
        </w:tc>
        <w:tc>
          <w:tcPr>
            <w:tcW w:w="4800" w:type="dxa"/>
            <w:vAlign w:val="bottom"/>
          </w:tcPr>
          <w:p>
            <w:pPr>
              <w:ind w:left="100"/>
              <w:spacing w:after="0"/>
              <w:rPr>
                <w:rFonts w:ascii="Arial" w:cs="Arial" w:eastAsia="Arial" w:hAnsi="Arial"/>
                <w:sz w:val="13"/>
                <w:szCs w:val="13"/>
                <w:color w:val="auto"/>
              </w:rPr>
            </w:pPr>
            <w:hyperlink w:anchor="page7">
              <w:r>
                <w:rPr>
                  <w:rFonts w:ascii="Arial" w:cs="Arial" w:eastAsia="Arial" w:hAnsi="Arial"/>
                  <w:sz w:val="13"/>
                  <w:szCs w:val="13"/>
                  <w:color w:val="auto"/>
                </w:rPr>
                <w:t>KEY INFORMATION</w:t>
              </w:r>
            </w:hyperlink>
          </w:p>
        </w:tc>
        <w:tc>
          <w:tcPr>
            <w:tcW w:w="720" w:type="dxa"/>
            <w:vAlign w:val="bottom"/>
          </w:tcPr>
          <w:p>
            <w:pPr>
              <w:ind w:left="400"/>
              <w:spacing w:after="0"/>
              <w:rPr>
                <w:sz w:val="20"/>
                <w:szCs w:val="20"/>
                <w:color w:val="auto"/>
              </w:rPr>
            </w:pPr>
            <w:r>
              <w:rPr>
                <w:rFonts w:ascii="Arial" w:cs="Arial" w:eastAsia="Arial" w:hAnsi="Arial"/>
                <w:sz w:val="13"/>
                <w:szCs w:val="13"/>
                <w:color w:val="auto"/>
              </w:rPr>
              <w:t>7</w:t>
            </w:r>
          </w:p>
        </w:tc>
      </w:tr>
      <w:tr>
        <w:trPr>
          <w:trHeight w:val="192"/>
        </w:trPr>
        <w:tc>
          <w:tcPr>
            <w:tcW w:w="660" w:type="dxa"/>
            <w:vAlign w:val="bottom"/>
          </w:tcPr>
          <w:p>
            <w:pPr>
              <w:spacing w:after="0"/>
              <w:rPr>
                <w:sz w:val="16"/>
                <w:szCs w:val="16"/>
                <w:color w:val="auto"/>
              </w:rPr>
            </w:pPr>
          </w:p>
        </w:tc>
        <w:tc>
          <w:tcPr>
            <w:tcW w:w="4800" w:type="dxa"/>
            <w:vAlign w:val="bottom"/>
          </w:tcPr>
          <w:p>
            <w:pPr>
              <w:ind w:left="100"/>
              <w:spacing w:after="0"/>
              <w:rPr>
                <w:rFonts w:ascii="Arial" w:cs="Arial" w:eastAsia="Arial" w:hAnsi="Arial"/>
                <w:sz w:val="13"/>
                <w:szCs w:val="13"/>
                <w:color w:val="auto"/>
              </w:rPr>
            </w:pPr>
            <w:hyperlink w:anchor="page7">
              <w:r>
                <w:rPr>
                  <w:rFonts w:ascii="Arial" w:cs="Arial" w:eastAsia="Arial" w:hAnsi="Arial"/>
                  <w:sz w:val="13"/>
                  <w:szCs w:val="13"/>
                  <w:color w:val="auto"/>
                </w:rPr>
                <w:t>A. [Reserved]</w:t>
              </w:r>
            </w:hyperlink>
          </w:p>
        </w:tc>
        <w:tc>
          <w:tcPr>
            <w:tcW w:w="720" w:type="dxa"/>
            <w:vAlign w:val="bottom"/>
          </w:tcPr>
          <w:p>
            <w:pPr>
              <w:ind w:left="400"/>
              <w:spacing w:after="0"/>
              <w:rPr>
                <w:sz w:val="20"/>
                <w:szCs w:val="20"/>
                <w:color w:val="auto"/>
              </w:rPr>
            </w:pPr>
            <w:r>
              <w:rPr>
                <w:rFonts w:ascii="Arial" w:cs="Arial" w:eastAsia="Arial" w:hAnsi="Arial"/>
                <w:sz w:val="13"/>
                <w:szCs w:val="13"/>
                <w:color w:val="auto"/>
              </w:rPr>
              <w:t>7</w:t>
            </w:r>
          </w:p>
        </w:tc>
      </w:tr>
      <w:tr>
        <w:trPr>
          <w:trHeight w:val="192"/>
        </w:trPr>
        <w:tc>
          <w:tcPr>
            <w:tcW w:w="660" w:type="dxa"/>
            <w:vAlign w:val="bottom"/>
          </w:tcPr>
          <w:p>
            <w:pPr>
              <w:spacing w:after="0"/>
              <w:rPr>
                <w:sz w:val="16"/>
                <w:szCs w:val="16"/>
                <w:color w:val="auto"/>
              </w:rPr>
            </w:pPr>
          </w:p>
        </w:tc>
        <w:tc>
          <w:tcPr>
            <w:tcW w:w="4800" w:type="dxa"/>
            <w:vAlign w:val="bottom"/>
          </w:tcPr>
          <w:p>
            <w:pPr>
              <w:ind w:left="100"/>
              <w:spacing w:after="0"/>
              <w:rPr>
                <w:rFonts w:ascii="Arial" w:cs="Arial" w:eastAsia="Arial" w:hAnsi="Arial"/>
                <w:sz w:val="13"/>
                <w:szCs w:val="13"/>
                <w:color w:val="auto"/>
              </w:rPr>
            </w:pPr>
            <w:hyperlink w:anchor="page7">
              <w:r>
                <w:rPr>
                  <w:rFonts w:ascii="Arial" w:cs="Arial" w:eastAsia="Arial" w:hAnsi="Arial"/>
                  <w:sz w:val="13"/>
                  <w:szCs w:val="13"/>
                  <w:color w:val="auto"/>
                </w:rPr>
                <w:t>B. Capitalization and Indebtedness</w:t>
              </w:r>
            </w:hyperlink>
          </w:p>
        </w:tc>
        <w:tc>
          <w:tcPr>
            <w:tcW w:w="720" w:type="dxa"/>
            <w:vAlign w:val="bottom"/>
          </w:tcPr>
          <w:p>
            <w:pPr>
              <w:ind w:left="400"/>
              <w:spacing w:after="0"/>
              <w:rPr>
                <w:sz w:val="20"/>
                <w:szCs w:val="20"/>
                <w:color w:val="auto"/>
              </w:rPr>
            </w:pPr>
            <w:r>
              <w:rPr>
                <w:rFonts w:ascii="Arial" w:cs="Arial" w:eastAsia="Arial" w:hAnsi="Arial"/>
                <w:sz w:val="13"/>
                <w:szCs w:val="13"/>
                <w:color w:val="auto"/>
              </w:rPr>
              <w:t>7</w:t>
            </w:r>
          </w:p>
        </w:tc>
      </w:tr>
      <w:tr>
        <w:trPr>
          <w:trHeight w:val="192"/>
        </w:trPr>
        <w:tc>
          <w:tcPr>
            <w:tcW w:w="660" w:type="dxa"/>
            <w:vAlign w:val="bottom"/>
          </w:tcPr>
          <w:p>
            <w:pPr>
              <w:spacing w:after="0"/>
              <w:rPr>
                <w:sz w:val="16"/>
                <w:szCs w:val="16"/>
                <w:color w:val="auto"/>
              </w:rPr>
            </w:pPr>
          </w:p>
        </w:tc>
        <w:tc>
          <w:tcPr>
            <w:tcW w:w="4800" w:type="dxa"/>
            <w:vAlign w:val="bottom"/>
          </w:tcPr>
          <w:p>
            <w:pPr>
              <w:ind w:left="100"/>
              <w:spacing w:after="0"/>
              <w:rPr>
                <w:rFonts w:ascii="Arial" w:cs="Arial" w:eastAsia="Arial" w:hAnsi="Arial"/>
                <w:sz w:val="13"/>
                <w:szCs w:val="13"/>
                <w:color w:val="auto"/>
              </w:rPr>
            </w:pPr>
            <w:hyperlink w:anchor="page7">
              <w:r>
                <w:rPr>
                  <w:rFonts w:ascii="Arial" w:cs="Arial" w:eastAsia="Arial" w:hAnsi="Arial"/>
                  <w:sz w:val="13"/>
                  <w:szCs w:val="13"/>
                  <w:color w:val="auto"/>
                </w:rPr>
                <w:t>C. Reasons for the Offer and Use of Proceeds</w:t>
              </w:r>
            </w:hyperlink>
          </w:p>
        </w:tc>
        <w:tc>
          <w:tcPr>
            <w:tcW w:w="720" w:type="dxa"/>
            <w:vAlign w:val="bottom"/>
          </w:tcPr>
          <w:p>
            <w:pPr>
              <w:ind w:left="400"/>
              <w:spacing w:after="0"/>
              <w:rPr>
                <w:sz w:val="20"/>
                <w:szCs w:val="20"/>
                <w:color w:val="auto"/>
              </w:rPr>
            </w:pPr>
            <w:r>
              <w:rPr>
                <w:rFonts w:ascii="Arial" w:cs="Arial" w:eastAsia="Arial" w:hAnsi="Arial"/>
                <w:sz w:val="13"/>
                <w:szCs w:val="13"/>
                <w:color w:val="auto"/>
              </w:rPr>
              <w:t>7</w:t>
            </w:r>
          </w:p>
        </w:tc>
      </w:tr>
      <w:tr>
        <w:trPr>
          <w:trHeight w:val="192"/>
        </w:trPr>
        <w:tc>
          <w:tcPr>
            <w:tcW w:w="660" w:type="dxa"/>
            <w:vAlign w:val="bottom"/>
          </w:tcPr>
          <w:p>
            <w:pPr>
              <w:spacing w:after="0"/>
              <w:rPr>
                <w:sz w:val="16"/>
                <w:szCs w:val="16"/>
                <w:color w:val="auto"/>
              </w:rPr>
            </w:pPr>
          </w:p>
        </w:tc>
        <w:tc>
          <w:tcPr>
            <w:tcW w:w="4800" w:type="dxa"/>
            <w:vAlign w:val="bottom"/>
          </w:tcPr>
          <w:p>
            <w:pPr>
              <w:ind w:left="100"/>
              <w:spacing w:after="0"/>
              <w:rPr>
                <w:rFonts w:ascii="Arial" w:cs="Arial" w:eastAsia="Arial" w:hAnsi="Arial"/>
                <w:sz w:val="13"/>
                <w:szCs w:val="13"/>
                <w:color w:val="auto"/>
              </w:rPr>
            </w:pPr>
            <w:hyperlink w:anchor="page7">
              <w:r>
                <w:rPr>
                  <w:rFonts w:ascii="Arial" w:cs="Arial" w:eastAsia="Arial" w:hAnsi="Arial"/>
                  <w:sz w:val="13"/>
                  <w:szCs w:val="13"/>
                  <w:color w:val="auto"/>
                </w:rPr>
                <w:t>D. Risk Factors</w:t>
              </w:r>
            </w:hyperlink>
          </w:p>
        </w:tc>
        <w:tc>
          <w:tcPr>
            <w:tcW w:w="720" w:type="dxa"/>
            <w:vAlign w:val="bottom"/>
          </w:tcPr>
          <w:p>
            <w:pPr>
              <w:ind w:left="400"/>
              <w:spacing w:after="0"/>
              <w:rPr>
                <w:sz w:val="20"/>
                <w:szCs w:val="20"/>
                <w:color w:val="auto"/>
              </w:rPr>
            </w:pPr>
            <w:r>
              <w:rPr>
                <w:rFonts w:ascii="Arial" w:cs="Arial" w:eastAsia="Arial" w:hAnsi="Arial"/>
                <w:sz w:val="13"/>
                <w:szCs w:val="13"/>
                <w:color w:val="auto"/>
              </w:rPr>
              <w:t>7</w:t>
            </w:r>
          </w:p>
        </w:tc>
      </w:tr>
      <w:tr>
        <w:trPr>
          <w:trHeight w:val="283"/>
        </w:trPr>
        <w:tc>
          <w:tcPr>
            <w:tcW w:w="660" w:type="dxa"/>
            <w:vAlign w:val="bottom"/>
          </w:tcPr>
          <w:p>
            <w:pPr>
              <w:spacing w:after="0"/>
              <w:rPr>
                <w:sz w:val="20"/>
                <w:szCs w:val="20"/>
                <w:color w:val="auto"/>
              </w:rPr>
            </w:pPr>
            <w:r>
              <w:rPr>
                <w:rFonts w:ascii="Arial" w:cs="Arial" w:eastAsia="Arial" w:hAnsi="Arial"/>
                <w:sz w:val="13"/>
                <w:szCs w:val="13"/>
                <w:color w:val="auto"/>
              </w:rPr>
              <w:t>ITEM 4.</w:t>
            </w:r>
          </w:p>
        </w:tc>
        <w:tc>
          <w:tcPr>
            <w:tcW w:w="4800" w:type="dxa"/>
            <w:vAlign w:val="bottom"/>
          </w:tcPr>
          <w:p>
            <w:pPr>
              <w:ind w:left="100"/>
              <w:spacing w:after="0"/>
              <w:rPr>
                <w:rFonts w:ascii="Arial" w:cs="Arial" w:eastAsia="Arial" w:hAnsi="Arial"/>
                <w:sz w:val="13"/>
                <w:szCs w:val="13"/>
                <w:color w:val="auto"/>
              </w:rPr>
            </w:pPr>
            <w:hyperlink w:anchor="page67">
              <w:r>
                <w:rPr>
                  <w:rFonts w:ascii="Arial" w:cs="Arial" w:eastAsia="Arial" w:hAnsi="Arial"/>
                  <w:sz w:val="13"/>
                  <w:szCs w:val="13"/>
                  <w:color w:val="auto"/>
                </w:rPr>
                <w:t>INFORMATION ON THE COMPANY</w:t>
              </w:r>
            </w:hyperlink>
          </w:p>
        </w:tc>
        <w:tc>
          <w:tcPr>
            <w:tcW w:w="720" w:type="dxa"/>
            <w:vAlign w:val="bottom"/>
          </w:tcPr>
          <w:p>
            <w:pPr>
              <w:ind w:left="400"/>
              <w:spacing w:after="0"/>
              <w:rPr>
                <w:rFonts w:ascii="Arial" w:cs="Arial" w:eastAsia="Arial" w:hAnsi="Arial"/>
                <w:sz w:val="13"/>
                <w:szCs w:val="13"/>
                <w:color w:val="auto"/>
              </w:rPr>
            </w:pPr>
            <w:hyperlink w:anchor="page67">
              <w:r>
                <w:rPr>
                  <w:rFonts w:ascii="Arial" w:cs="Arial" w:eastAsia="Arial" w:hAnsi="Arial"/>
                  <w:sz w:val="13"/>
                  <w:szCs w:val="13"/>
                  <w:color w:val="auto"/>
                </w:rPr>
                <w:t>94</w:t>
              </w:r>
            </w:hyperlink>
          </w:p>
        </w:tc>
      </w:tr>
      <w:tr>
        <w:trPr>
          <w:trHeight w:val="192"/>
        </w:trPr>
        <w:tc>
          <w:tcPr>
            <w:tcW w:w="660" w:type="dxa"/>
            <w:vAlign w:val="bottom"/>
          </w:tcPr>
          <w:p>
            <w:pPr>
              <w:spacing w:after="0"/>
              <w:rPr>
                <w:sz w:val="16"/>
                <w:szCs w:val="16"/>
                <w:color w:val="auto"/>
              </w:rPr>
            </w:pPr>
          </w:p>
        </w:tc>
        <w:tc>
          <w:tcPr>
            <w:tcW w:w="4800" w:type="dxa"/>
            <w:vAlign w:val="bottom"/>
          </w:tcPr>
          <w:p>
            <w:pPr>
              <w:ind w:left="100"/>
              <w:spacing w:after="0"/>
              <w:rPr>
                <w:rFonts w:ascii="Arial" w:cs="Arial" w:eastAsia="Arial" w:hAnsi="Arial"/>
                <w:sz w:val="13"/>
                <w:szCs w:val="13"/>
                <w:color w:val="auto"/>
              </w:rPr>
            </w:pPr>
            <w:hyperlink w:anchor="page67">
              <w:r>
                <w:rPr>
                  <w:rFonts w:ascii="Arial" w:cs="Arial" w:eastAsia="Arial" w:hAnsi="Arial"/>
                  <w:sz w:val="13"/>
                  <w:szCs w:val="13"/>
                  <w:color w:val="auto"/>
                </w:rPr>
                <w:t>A. History and Development of the Company</w:t>
              </w:r>
            </w:hyperlink>
          </w:p>
        </w:tc>
        <w:tc>
          <w:tcPr>
            <w:tcW w:w="720" w:type="dxa"/>
            <w:vAlign w:val="bottom"/>
          </w:tcPr>
          <w:p>
            <w:pPr>
              <w:ind w:left="400"/>
              <w:spacing w:after="0"/>
              <w:rPr>
                <w:rFonts w:ascii="Arial" w:cs="Arial" w:eastAsia="Arial" w:hAnsi="Arial"/>
                <w:sz w:val="13"/>
                <w:szCs w:val="13"/>
                <w:color w:val="auto"/>
              </w:rPr>
            </w:pPr>
            <w:hyperlink w:anchor="page67">
              <w:r>
                <w:rPr>
                  <w:rFonts w:ascii="Arial" w:cs="Arial" w:eastAsia="Arial" w:hAnsi="Arial"/>
                  <w:sz w:val="13"/>
                  <w:szCs w:val="13"/>
                  <w:color w:val="auto"/>
                </w:rPr>
                <w:t>94</w:t>
              </w:r>
            </w:hyperlink>
          </w:p>
        </w:tc>
      </w:tr>
      <w:tr>
        <w:trPr>
          <w:trHeight w:val="192"/>
        </w:trPr>
        <w:tc>
          <w:tcPr>
            <w:tcW w:w="660" w:type="dxa"/>
            <w:vAlign w:val="bottom"/>
          </w:tcPr>
          <w:p>
            <w:pPr>
              <w:spacing w:after="0"/>
              <w:rPr>
                <w:sz w:val="16"/>
                <w:szCs w:val="16"/>
                <w:color w:val="auto"/>
              </w:rPr>
            </w:pPr>
          </w:p>
        </w:tc>
        <w:tc>
          <w:tcPr>
            <w:tcW w:w="4800" w:type="dxa"/>
            <w:vAlign w:val="bottom"/>
          </w:tcPr>
          <w:p>
            <w:pPr>
              <w:ind w:left="100"/>
              <w:spacing w:after="0"/>
              <w:rPr>
                <w:rFonts w:ascii="Arial" w:cs="Arial" w:eastAsia="Arial" w:hAnsi="Arial"/>
                <w:sz w:val="13"/>
                <w:szCs w:val="13"/>
                <w:color w:val="auto"/>
              </w:rPr>
            </w:pPr>
            <w:hyperlink w:anchor="page68">
              <w:r>
                <w:rPr>
                  <w:rFonts w:ascii="Arial" w:cs="Arial" w:eastAsia="Arial" w:hAnsi="Arial"/>
                  <w:sz w:val="13"/>
                  <w:szCs w:val="13"/>
                  <w:color w:val="auto"/>
                </w:rPr>
                <w:t>B. Business Overview</w:t>
              </w:r>
            </w:hyperlink>
          </w:p>
        </w:tc>
        <w:tc>
          <w:tcPr>
            <w:tcW w:w="720" w:type="dxa"/>
            <w:vAlign w:val="bottom"/>
          </w:tcPr>
          <w:p>
            <w:pPr>
              <w:ind w:left="400"/>
              <w:spacing w:after="0"/>
              <w:rPr>
                <w:rFonts w:ascii="Arial" w:cs="Arial" w:eastAsia="Arial" w:hAnsi="Arial"/>
                <w:sz w:val="13"/>
                <w:szCs w:val="13"/>
                <w:color w:val="auto"/>
              </w:rPr>
            </w:pPr>
            <w:hyperlink w:anchor="page68">
              <w:r>
                <w:rPr>
                  <w:rFonts w:ascii="Arial" w:cs="Arial" w:eastAsia="Arial" w:hAnsi="Arial"/>
                  <w:sz w:val="13"/>
                  <w:szCs w:val="13"/>
                  <w:color w:val="auto"/>
                </w:rPr>
                <w:t>96</w:t>
              </w:r>
            </w:hyperlink>
          </w:p>
        </w:tc>
      </w:tr>
      <w:tr>
        <w:trPr>
          <w:trHeight w:val="192"/>
        </w:trPr>
        <w:tc>
          <w:tcPr>
            <w:tcW w:w="660" w:type="dxa"/>
            <w:vAlign w:val="bottom"/>
          </w:tcPr>
          <w:p>
            <w:pPr>
              <w:spacing w:after="0"/>
              <w:rPr>
                <w:sz w:val="16"/>
                <w:szCs w:val="16"/>
                <w:color w:val="auto"/>
              </w:rPr>
            </w:pPr>
          </w:p>
        </w:tc>
        <w:tc>
          <w:tcPr>
            <w:tcW w:w="4800" w:type="dxa"/>
            <w:vAlign w:val="bottom"/>
          </w:tcPr>
          <w:p>
            <w:pPr>
              <w:ind w:left="100"/>
              <w:spacing w:after="0"/>
              <w:rPr>
                <w:rFonts w:ascii="Arial" w:cs="Arial" w:eastAsia="Arial" w:hAnsi="Arial"/>
                <w:sz w:val="13"/>
                <w:szCs w:val="13"/>
                <w:color w:val="auto"/>
              </w:rPr>
            </w:pPr>
            <w:hyperlink w:anchor="page129">
              <w:r>
                <w:rPr>
                  <w:rFonts w:ascii="Arial" w:cs="Arial" w:eastAsia="Arial" w:hAnsi="Arial"/>
                  <w:sz w:val="13"/>
                  <w:szCs w:val="13"/>
                  <w:color w:val="auto"/>
                </w:rPr>
                <w:t>C. Organizational Structure</w:t>
              </w:r>
            </w:hyperlink>
          </w:p>
        </w:tc>
        <w:tc>
          <w:tcPr>
            <w:tcW w:w="720" w:type="dxa"/>
            <w:vAlign w:val="bottom"/>
          </w:tcPr>
          <w:p>
            <w:pPr>
              <w:ind w:left="400"/>
              <w:spacing w:after="0"/>
              <w:rPr>
                <w:rFonts w:ascii="Arial" w:cs="Arial" w:eastAsia="Arial" w:hAnsi="Arial"/>
                <w:sz w:val="13"/>
                <w:szCs w:val="13"/>
                <w:color w:val="auto"/>
              </w:rPr>
            </w:pPr>
            <w:hyperlink w:anchor="page129">
              <w:r>
                <w:rPr>
                  <w:rFonts w:ascii="Arial" w:cs="Arial" w:eastAsia="Arial" w:hAnsi="Arial"/>
                  <w:sz w:val="13"/>
                  <w:szCs w:val="13"/>
                  <w:color w:val="auto"/>
                </w:rPr>
                <w:t>185</w:t>
              </w:r>
            </w:hyperlink>
          </w:p>
        </w:tc>
      </w:tr>
      <w:tr>
        <w:trPr>
          <w:trHeight w:val="192"/>
        </w:trPr>
        <w:tc>
          <w:tcPr>
            <w:tcW w:w="660" w:type="dxa"/>
            <w:vAlign w:val="bottom"/>
          </w:tcPr>
          <w:p>
            <w:pPr>
              <w:spacing w:after="0"/>
              <w:rPr>
                <w:sz w:val="16"/>
                <w:szCs w:val="16"/>
                <w:color w:val="auto"/>
              </w:rPr>
            </w:pPr>
          </w:p>
        </w:tc>
        <w:tc>
          <w:tcPr>
            <w:tcW w:w="4800" w:type="dxa"/>
            <w:vAlign w:val="bottom"/>
          </w:tcPr>
          <w:p>
            <w:pPr>
              <w:ind w:left="100"/>
              <w:spacing w:after="0"/>
              <w:rPr>
                <w:rFonts w:ascii="Arial" w:cs="Arial" w:eastAsia="Arial" w:hAnsi="Arial"/>
                <w:sz w:val="13"/>
                <w:szCs w:val="13"/>
                <w:color w:val="auto"/>
              </w:rPr>
            </w:pPr>
            <w:hyperlink w:anchor="page129">
              <w:r>
                <w:rPr>
                  <w:rFonts w:ascii="Arial" w:cs="Arial" w:eastAsia="Arial" w:hAnsi="Arial"/>
                  <w:sz w:val="13"/>
                  <w:szCs w:val="13"/>
                  <w:color w:val="auto"/>
                </w:rPr>
                <w:t>D. Property, Plant and Equipment</w:t>
              </w:r>
            </w:hyperlink>
          </w:p>
        </w:tc>
        <w:tc>
          <w:tcPr>
            <w:tcW w:w="720" w:type="dxa"/>
            <w:vAlign w:val="bottom"/>
          </w:tcPr>
          <w:p>
            <w:pPr>
              <w:ind w:left="400"/>
              <w:spacing w:after="0"/>
              <w:rPr>
                <w:rFonts w:ascii="Arial" w:cs="Arial" w:eastAsia="Arial" w:hAnsi="Arial"/>
                <w:sz w:val="13"/>
                <w:szCs w:val="13"/>
                <w:color w:val="auto"/>
              </w:rPr>
            </w:pPr>
            <w:hyperlink w:anchor="page129">
              <w:r>
                <w:rPr>
                  <w:rFonts w:ascii="Arial" w:cs="Arial" w:eastAsia="Arial" w:hAnsi="Arial"/>
                  <w:sz w:val="13"/>
                  <w:szCs w:val="13"/>
                  <w:color w:val="auto"/>
                </w:rPr>
                <w:t>185</w:t>
              </w:r>
            </w:hyperlink>
          </w:p>
        </w:tc>
      </w:tr>
      <w:tr>
        <w:trPr>
          <w:trHeight w:val="283"/>
        </w:trPr>
        <w:tc>
          <w:tcPr>
            <w:tcW w:w="660" w:type="dxa"/>
            <w:vAlign w:val="bottom"/>
          </w:tcPr>
          <w:p>
            <w:pPr>
              <w:spacing w:after="0"/>
              <w:rPr>
                <w:sz w:val="20"/>
                <w:szCs w:val="20"/>
                <w:color w:val="auto"/>
              </w:rPr>
            </w:pPr>
            <w:r>
              <w:rPr>
                <w:rFonts w:ascii="Arial" w:cs="Arial" w:eastAsia="Arial" w:hAnsi="Arial"/>
                <w:sz w:val="13"/>
                <w:szCs w:val="13"/>
                <w:color w:val="auto"/>
              </w:rPr>
              <w:t>ITEM 4A.</w:t>
            </w:r>
          </w:p>
        </w:tc>
        <w:tc>
          <w:tcPr>
            <w:tcW w:w="4800" w:type="dxa"/>
            <w:vAlign w:val="bottom"/>
          </w:tcPr>
          <w:p>
            <w:pPr>
              <w:ind w:left="100"/>
              <w:spacing w:after="0"/>
              <w:rPr>
                <w:rFonts w:ascii="Arial" w:cs="Arial" w:eastAsia="Arial" w:hAnsi="Arial"/>
                <w:sz w:val="13"/>
                <w:szCs w:val="13"/>
                <w:color w:val="auto"/>
              </w:rPr>
            </w:pPr>
            <w:hyperlink w:anchor="page131">
              <w:r>
                <w:rPr>
                  <w:rFonts w:ascii="Arial" w:cs="Arial" w:eastAsia="Arial" w:hAnsi="Arial"/>
                  <w:sz w:val="13"/>
                  <w:szCs w:val="13"/>
                  <w:color w:val="auto"/>
                </w:rPr>
                <w:t>UNRESOLVED STAFF COMMENTS</w:t>
              </w:r>
            </w:hyperlink>
          </w:p>
        </w:tc>
        <w:tc>
          <w:tcPr>
            <w:tcW w:w="720" w:type="dxa"/>
            <w:vAlign w:val="bottom"/>
          </w:tcPr>
          <w:p>
            <w:pPr>
              <w:ind w:left="400"/>
              <w:spacing w:after="0"/>
              <w:rPr>
                <w:rFonts w:ascii="Arial" w:cs="Arial" w:eastAsia="Arial" w:hAnsi="Arial"/>
                <w:sz w:val="13"/>
                <w:szCs w:val="13"/>
                <w:color w:val="auto"/>
              </w:rPr>
            </w:pPr>
            <w:hyperlink w:anchor="page131">
              <w:r>
                <w:rPr>
                  <w:rFonts w:ascii="Arial" w:cs="Arial" w:eastAsia="Arial" w:hAnsi="Arial"/>
                  <w:sz w:val="13"/>
                  <w:szCs w:val="13"/>
                  <w:color w:val="auto"/>
                </w:rPr>
                <w:t>188</w:t>
              </w:r>
            </w:hyperlink>
          </w:p>
        </w:tc>
      </w:tr>
      <w:tr>
        <w:trPr>
          <w:trHeight w:val="283"/>
        </w:trPr>
        <w:tc>
          <w:tcPr>
            <w:tcW w:w="660" w:type="dxa"/>
            <w:vAlign w:val="bottom"/>
          </w:tcPr>
          <w:p>
            <w:pPr>
              <w:spacing w:after="0"/>
              <w:rPr>
                <w:sz w:val="20"/>
                <w:szCs w:val="20"/>
                <w:color w:val="auto"/>
              </w:rPr>
            </w:pPr>
            <w:r>
              <w:rPr>
                <w:rFonts w:ascii="Arial" w:cs="Arial" w:eastAsia="Arial" w:hAnsi="Arial"/>
                <w:sz w:val="13"/>
                <w:szCs w:val="13"/>
                <w:color w:val="auto"/>
              </w:rPr>
              <w:t>ITEM 5.</w:t>
            </w:r>
          </w:p>
        </w:tc>
        <w:tc>
          <w:tcPr>
            <w:tcW w:w="4800" w:type="dxa"/>
            <w:vAlign w:val="bottom"/>
          </w:tcPr>
          <w:p>
            <w:pPr>
              <w:ind w:left="100"/>
              <w:spacing w:after="0"/>
              <w:rPr>
                <w:rFonts w:ascii="Arial" w:cs="Arial" w:eastAsia="Arial" w:hAnsi="Arial"/>
                <w:sz w:val="13"/>
                <w:szCs w:val="13"/>
                <w:color w:val="auto"/>
              </w:rPr>
            </w:pPr>
            <w:hyperlink w:anchor="page131">
              <w:r>
                <w:rPr>
                  <w:rFonts w:ascii="Arial" w:cs="Arial" w:eastAsia="Arial" w:hAnsi="Arial"/>
                  <w:sz w:val="13"/>
                  <w:szCs w:val="13"/>
                  <w:color w:val="auto"/>
                </w:rPr>
                <w:t>OPERATING AND FINANCIAL REVIEW AND PROSPECTS</w:t>
              </w:r>
            </w:hyperlink>
          </w:p>
        </w:tc>
        <w:tc>
          <w:tcPr>
            <w:tcW w:w="720" w:type="dxa"/>
            <w:vAlign w:val="bottom"/>
          </w:tcPr>
          <w:p>
            <w:pPr>
              <w:ind w:left="400"/>
              <w:spacing w:after="0"/>
              <w:rPr>
                <w:rFonts w:ascii="Arial" w:cs="Arial" w:eastAsia="Arial" w:hAnsi="Arial"/>
                <w:sz w:val="13"/>
                <w:szCs w:val="13"/>
                <w:color w:val="auto"/>
              </w:rPr>
            </w:pPr>
            <w:hyperlink w:anchor="page131">
              <w:r>
                <w:rPr>
                  <w:rFonts w:ascii="Arial" w:cs="Arial" w:eastAsia="Arial" w:hAnsi="Arial"/>
                  <w:sz w:val="13"/>
                  <w:szCs w:val="13"/>
                  <w:color w:val="auto"/>
                </w:rPr>
                <w:t>188</w:t>
              </w:r>
            </w:hyperlink>
          </w:p>
        </w:tc>
      </w:tr>
      <w:tr>
        <w:trPr>
          <w:trHeight w:val="192"/>
        </w:trPr>
        <w:tc>
          <w:tcPr>
            <w:tcW w:w="660" w:type="dxa"/>
            <w:vAlign w:val="bottom"/>
          </w:tcPr>
          <w:p>
            <w:pPr>
              <w:spacing w:after="0"/>
              <w:rPr>
                <w:sz w:val="16"/>
                <w:szCs w:val="16"/>
                <w:color w:val="auto"/>
              </w:rPr>
            </w:pPr>
          </w:p>
        </w:tc>
        <w:tc>
          <w:tcPr>
            <w:tcW w:w="4800" w:type="dxa"/>
            <w:vAlign w:val="bottom"/>
          </w:tcPr>
          <w:p>
            <w:pPr>
              <w:ind w:left="100"/>
              <w:spacing w:after="0"/>
              <w:rPr>
                <w:rFonts w:ascii="Arial" w:cs="Arial" w:eastAsia="Arial" w:hAnsi="Arial"/>
                <w:sz w:val="13"/>
                <w:szCs w:val="13"/>
                <w:color w:val="auto"/>
              </w:rPr>
            </w:pPr>
            <w:hyperlink w:anchor="page132">
              <w:r>
                <w:rPr>
                  <w:rFonts w:ascii="Arial" w:cs="Arial" w:eastAsia="Arial" w:hAnsi="Arial"/>
                  <w:sz w:val="13"/>
                  <w:szCs w:val="13"/>
                  <w:color w:val="auto"/>
                </w:rPr>
                <w:t>A. Operating Results</w:t>
              </w:r>
            </w:hyperlink>
          </w:p>
        </w:tc>
        <w:tc>
          <w:tcPr>
            <w:tcW w:w="720" w:type="dxa"/>
            <w:vAlign w:val="bottom"/>
          </w:tcPr>
          <w:p>
            <w:pPr>
              <w:ind w:left="400"/>
              <w:spacing w:after="0"/>
              <w:rPr>
                <w:rFonts w:ascii="Arial" w:cs="Arial" w:eastAsia="Arial" w:hAnsi="Arial"/>
                <w:sz w:val="13"/>
                <w:szCs w:val="13"/>
                <w:color w:val="auto"/>
              </w:rPr>
            </w:pPr>
            <w:hyperlink w:anchor="page132">
              <w:r>
                <w:rPr>
                  <w:rFonts w:ascii="Arial" w:cs="Arial" w:eastAsia="Arial" w:hAnsi="Arial"/>
                  <w:sz w:val="13"/>
                  <w:szCs w:val="13"/>
                  <w:color w:val="auto"/>
                </w:rPr>
                <w:t>189</w:t>
              </w:r>
            </w:hyperlink>
          </w:p>
        </w:tc>
      </w:tr>
      <w:tr>
        <w:trPr>
          <w:trHeight w:val="192"/>
        </w:trPr>
        <w:tc>
          <w:tcPr>
            <w:tcW w:w="660" w:type="dxa"/>
            <w:vAlign w:val="bottom"/>
          </w:tcPr>
          <w:p>
            <w:pPr>
              <w:spacing w:after="0"/>
              <w:rPr>
                <w:sz w:val="16"/>
                <w:szCs w:val="16"/>
                <w:color w:val="auto"/>
              </w:rPr>
            </w:pPr>
          </w:p>
        </w:tc>
        <w:tc>
          <w:tcPr>
            <w:tcW w:w="4800" w:type="dxa"/>
            <w:vAlign w:val="bottom"/>
          </w:tcPr>
          <w:p>
            <w:pPr>
              <w:ind w:left="100"/>
              <w:spacing w:after="0"/>
              <w:rPr>
                <w:rFonts w:ascii="Arial" w:cs="Arial" w:eastAsia="Arial" w:hAnsi="Arial"/>
                <w:sz w:val="13"/>
                <w:szCs w:val="13"/>
                <w:color w:val="auto"/>
              </w:rPr>
            </w:pPr>
            <w:hyperlink w:anchor="page134">
              <w:r>
                <w:rPr>
                  <w:rFonts w:ascii="Arial" w:cs="Arial" w:eastAsia="Arial" w:hAnsi="Arial"/>
                  <w:sz w:val="13"/>
                  <w:szCs w:val="13"/>
                  <w:color w:val="auto"/>
                </w:rPr>
                <w:t>B. Liquidity and Capital Resources</w:t>
              </w:r>
            </w:hyperlink>
          </w:p>
        </w:tc>
        <w:tc>
          <w:tcPr>
            <w:tcW w:w="720" w:type="dxa"/>
            <w:vAlign w:val="bottom"/>
          </w:tcPr>
          <w:p>
            <w:pPr>
              <w:ind w:left="400"/>
              <w:spacing w:after="0"/>
              <w:rPr>
                <w:rFonts w:ascii="Arial" w:cs="Arial" w:eastAsia="Arial" w:hAnsi="Arial"/>
                <w:sz w:val="13"/>
                <w:szCs w:val="13"/>
                <w:color w:val="auto"/>
              </w:rPr>
            </w:pPr>
            <w:hyperlink w:anchor="page134">
              <w:r>
                <w:rPr>
                  <w:rFonts w:ascii="Arial" w:cs="Arial" w:eastAsia="Arial" w:hAnsi="Arial"/>
                  <w:sz w:val="13"/>
                  <w:szCs w:val="13"/>
                  <w:color w:val="auto"/>
                </w:rPr>
                <w:t>193</w:t>
              </w:r>
            </w:hyperlink>
          </w:p>
        </w:tc>
      </w:tr>
      <w:tr>
        <w:trPr>
          <w:trHeight w:val="192"/>
        </w:trPr>
        <w:tc>
          <w:tcPr>
            <w:tcW w:w="660" w:type="dxa"/>
            <w:vAlign w:val="bottom"/>
          </w:tcPr>
          <w:p>
            <w:pPr>
              <w:spacing w:after="0"/>
              <w:rPr>
                <w:sz w:val="16"/>
                <w:szCs w:val="16"/>
                <w:color w:val="auto"/>
              </w:rPr>
            </w:pPr>
          </w:p>
        </w:tc>
        <w:tc>
          <w:tcPr>
            <w:tcW w:w="4800" w:type="dxa"/>
            <w:vAlign w:val="bottom"/>
          </w:tcPr>
          <w:p>
            <w:pPr>
              <w:ind w:left="100"/>
              <w:spacing w:after="0"/>
              <w:rPr>
                <w:rFonts w:ascii="Arial" w:cs="Arial" w:eastAsia="Arial" w:hAnsi="Arial"/>
                <w:sz w:val="13"/>
                <w:szCs w:val="13"/>
                <w:color w:val="auto"/>
              </w:rPr>
            </w:pPr>
            <w:hyperlink w:anchor="page137">
              <w:r>
                <w:rPr>
                  <w:rFonts w:ascii="Arial" w:cs="Arial" w:eastAsia="Arial" w:hAnsi="Arial"/>
                  <w:sz w:val="13"/>
                  <w:szCs w:val="13"/>
                  <w:color w:val="auto"/>
                </w:rPr>
                <w:t>C. Research and Development, Patents and Licenses, etc.</w:t>
              </w:r>
            </w:hyperlink>
          </w:p>
        </w:tc>
        <w:tc>
          <w:tcPr>
            <w:tcW w:w="720" w:type="dxa"/>
            <w:vAlign w:val="bottom"/>
          </w:tcPr>
          <w:p>
            <w:pPr>
              <w:ind w:left="400"/>
              <w:spacing w:after="0"/>
              <w:rPr>
                <w:rFonts w:ascii="Arial" w:cs="Arial" w:eastAsia="Arial" w:hAnsi="Arial"/>
                <w:sz w:val="13"/>
                <w:szCs w:val="13"/>
                <w:color w:val="auto"/>
              </w:rPr>
            </w:pPr>
            <w:hyperlink w:anchor="page137">
              <w:r>
                <w:rPr>
                  <w:rFonts w:ascii="Arial" w:cs="Arial" w:eastAsia="Arial" w:hAnsi="Arial"/>
                  <w:sz w:val="13"/>
                  <w:szCs w:val="13"/>
                  <w:color w:val="auto"/>
                </w:rPr>
                <w:t>196</w:t>
              </w:r>
            </w:hyperlink>
          </w:p>
        </w:tc>
      </w:tr>
      <w:tr>
        <w:trPr>
          <w:trHeight w:val="192"/>
        </w:trPr>
        <w:tc>
          <w:tcPr>
            <w:tcW w:w="660" w:type="dxa"/>
            <w:vAlign w:val="bottom"/>
          </w:tcPr>
          <w:p>
            <w:pPr>
              <w:spacing w:after="0"/>
              <w:rPr>
                <w:sz w:val="16"/>
                <w:szCs w:val="16"/>
                <w:color w:val="auto"/>
              </w:rPr>
            </w:pPr>
          </w:p>
        </w:tc>
        <w:tc>
          <w:tcPr>
            <w:tcW w:w="4800" w:type="dxa"/>
            <w:vAlign w:val="bottom"/>
          </w:tcPr>
          <w:p>
            <w:pPr>
              <w:ind w:left="100"/>
              <w:spacing w:after="0"/>
              <w:rPr>
                <w:rFonts w:ascii="Arial" w:cs="Arial" w:eastAsia="Arial" w:hAnsi="Arial"/>
                <w:sz w:val="13"/>
                <w:szCs w:val="13"/>
                <w:color w:val="auto"/>
              </w:rPr>
            </w:pPr>
            <w:hyperlink w:anchor="page137">
              <w:r>
                <w:rPr>
                  <w:rFonts w:ascii="Arial" w:cs="Arial" w:eastAsia="Arial" w:hAnsi="Arial"/>
                  <w:sz w:val="13"/>
                  <w:szCs w:val="13"/>
                  <w:color w:val="auto"/>
                </w:rPr>
                <w:t>D. Trend Information</w:t>
              </w:r>
            </w:hyperlink>
          </w:p>
        </w:tc>
        <w:tc>
          <w:tcPr>
            <w:tcW w:w="720" w:type="dxa"/>
            <w:vAlign w:val="bottom"/>
          </w:tcPr>
          <w:p>
            <w:pPr>
              <w:ind w:left="400"/>
              <w:spacing w:after="0"/>
              <w:rPr>
                <w:rFonts w:ascii="Arial" w:cs="Arial" w:eastAsia="Arial" w:hAnsi="Arial"/>
                <w:sz w:val="13"/>
                <w:szCs w:val="13"/>
                <w:color w:val="auto"/>
              </w:rPr>
            </w:pPr>
            <w:hyperlink w:anchor="page137">
              <w:r>
                <w:rPr>
                  <w:rFonts w:ascii="Arial" w:cs="Arial" w:eastAsia="Arial" w:hAnsi="Arial"/>
                  <w:sz w:val="13"/>
                  <w:szCs w:val="13"/>
                  <w:color w:val="auto"/>
                </w:rPr>
                <w:t>196</w:t>
              </w:r>
            </w:hyperlink>
          </w:p>
        </w:tc>
      </w:tr>
      <w:tr>
        <w:trPr>
          <w:trHeight w:val="192"/>
        </w:trPr>
        <w:tc>
          <w:tcPr>
            <w:tcW w:w="660" w:type="dxa"/>
            <w:vAlign w:val="bottom"/>
          </w:tcPr>
          <w:p>
            <w:pPr>
              <w:spacing w:after="0"/>
              <w:rPr>
                <w:sz w:val="16"/>
                <w:szCs w:val="16"/>
                <w:color w:val="auto"/>
              </w:rPr>
            </w:pPr>
          </w:p>
        </w:tc>
        <w:tc>
          <w:tcPr>
            <w:tcW w:w="4800" w:type="dxa"/>
            <w:vAlign w:val="bottom"/>
          </w:tcPr>
          <w:p>
            <w:pPr>
              <w:ind w:left="100"/>
              <w:spacing w:after="0"/>
              <w:rPr>
                <w:rFonts w:ascii="Arial" w:cs="Arial" w:eastAsia="Arial" w:hAnsi="Arial"/>
                <w:sz w:val="13"/>
                <w:szCs w:val="13"/>
                <w:color w:val="auto"/>
              </w:rPr>
            </w:pPr>
            <w:hyperlink w:anchor="page137">
              <w:r>
                <w:rPr>
                  <w:rFonts w:ascii="Arial" w:cs="Arial" w:eastAsia="Arial" w:hAnsi="Arial"/>
                  <w:sz w:val="13"/>
                  <w:szCs w:val="13"/>
                  <w:color w:val="auto"/>
                </w:rPr>
                <w:t>E. Critical Accounting Estimates</w:t>
              </w:r>
            </w:hyperlink>
          </w:p>
        </w:tc>
        <w:tc>
          <w:tcPr>
            <w:tcW w:w="720" w:type="dxa"/>
            <w:vAlign w:val="bottom"/>
          </w:tcPr>
          <w:p>
            <w:pPr>
              <w:ind w:left="400"/>
              <w:spacing w:after="0"/>
              <w:rPr>
                <w:rFonts w:ascii="Arial" w:cs="Arial" w:eastAsia="Arial" w:hAnsi="Arial"/>
                <w:sz w:val="13"/>
                <w:szCs w:val="13"/>
                <w:color w:val="auto"/>
              </w:rPr>
            </w:pPr>
            <w:hyperlink w:anchor="page137">
              <w:r>
                <w:rPr>
                  <w:rFonts w:ascii="Arial" w:cs="Arial" w:eastAsia="Arial" w:hAnsi="Arial"/>
                  <w:sz w:val="13"/>
                  <w:szCs w:val="13"/>
                  <w:color w:val="auto"/>
                </w:rPr>
                <w:t>197</w:t>
              </w:r>
            </w:hyperlink>
          </w:p>
        </w:tc>
      </w:tr>
      <w:tr>
        <w:trPr>
          <w:trHeight w:val="151"/>
        </w:trPr>
        <w:tc>
          <w:tcPr>
            <w:tcW w:w="660" w:type="dxa"/>
            <w:vAlign w:val="bottom"/>
          </w:tcPr>
          <w:p>
            <w:pPr>
              <w:spacing w:after="0"/>
              <w:rPr>
                <w:sz w:val="13"/>
                <w:szCs w:val="13"/>
                <w:color w:val="auto"/>
              </w:rPr>
            </w:pPr>
          </w:p>
        </w:tc>
        <w:tc>
          <w:tcPr>
            <w:tcW w:w="4800" w:type="dxa"/>
            <w:vAlign w:val="bottom"/>
          </w:tcPr>
          <w:p>
            <w:pPr>
              <w:ind w:left="100"/>
              <w:spacing w:after="0"/>
              <w:rPr>
                <w:rFonts w:ascii="Arial" w:cs="Arial" w:eastAsia="Arial" w:hAnsi="Arial"/>
                <w:sz w:val="13"/>
                <w:szCs w:val="13"/>
                <w:color w:val="auto"/>
              </w:rPr>
            </w:pPr>
            <w:hyperlink w:anchor="page137">
              <w:r>
                <w:rPr>
                  <w:rFonts w:ascii="Arial" w:cs="Arial" w:eastAsia="Arial" w:hAnsi="Arial"/>
                  <w:sz w:val="13"/>
                  <w:szCs w:val="13"/>
                  <w:color w:val="auto"/>
                </w:rPr>
                <w:t>F. Comparison of the year ended December 31, 2023 and the year ended</w:t>
              </w:r>
            </w:hyperlink>
          </w:p>
        </w:tc>
        <w:tc>
          <w:tcPr>
            <w:tcW w:w="720" w:type="dxa"/>
            <w:vAlign w:val="bottom"/>
          </w:tcPr>
          <w:p>
            <w:pPr>
              <w:ind w:left="400"/>
              <w:spacing w:after="0"/>
              <w:rPr>
                <w:rFonts w:ascii="Arial" w:cs="Arial" w:eastAsia="Arial" w:hAnsi="Arial"/>
                <w:sz w:val="13"/>
                <w:szCs w:val="13"/>
                <w:color w:val="auto"/>
              </w:rPr>
            </w:pPr>
            <w:hyperlink w:anchor="page137">
              <w:r>
                <w:rPr>
                  <w:rFonts w:ascii="Arial" w:cs="Arial" w:eastAsia="Arial" w:hAnsi="Arial"/>
                  <w:sz w:val="13"/>
                  <w:szCs w:val="13"/>
                  <w:color w:val="auto"/>
                </w:rPr>
                <w:t>197</w:t>
              </w:r>
            </w:hyperlink>
          </w:p>
        </w:tc>
      </w:tr>
      <w:tr>
        <w:trPr>
          <w:trHeight w:val="173"/>
        </w:trPr>
        <w:tc>
          <w:tcPr>
            <w:tcW w:w="660" w:type="dxa"/>
            <w:vAlign w:val="bottom"/>
          </w:tcPr>
          <w:p>
            <w:pPr>
              <w:spacing w:after="0"/>
              <w:rPr>
                <w:sz w:val="15"/>
                <w:szCs w:val="15"/>
                <w:color w:val="auto"/>
              </w:rPr>
            </w:pPr>
          </w:p>
        </w:tc>
        <w:tc>
          <w:tcPr>
            <w:tcW w:w="4800" w:type="dxa"/>
            <w:vAlign w:val="bottom"/>
          </w:tcPr>
          <w:p>
            <w:pPr>
              <w:ind w:left="100"/>
              <w:spacing w:after="0"/>
              <w:rPr>
                <w:rFonts w:ascii="Arial" w:cs="Arial" w:eastAsia="Arial" w:hAnsi="Arial"/>
                <w:sz w:val="13"/>
                <w:szCs w:val="13"/>
                <w:color w:val="auto"/>
              </w:rPr>
            </w:pPr>
            <w:hyperlink w:anchor="page137">
              <w:r>
                <w:rPr>
                  <w:rFonts w:ascii="Arial" w:cs="Arial" w:eastAsia="Arial" w:hAnsi="Arial"/>
                  <w:sz w:val="13"/>
                  <w:szCs w:val="13"/>
                  <w:color w:val="auto"/>
                </w:rPr>
                <w:t>December 31, 2022</w:t>
              </w:r>
            </w:hyperlink>
          </w:p>
        </w:tc>
        <w:tc>
          <w:tcPr>
            <w:tcW w:w="720" w:type="dxa"/>
            <w:vAlign w:val="bottom"/>
          </w:tcPr>
          <w:p>
            <w:pPr>
              <w:spacing w:after="0"/>
              <w:rPr>
                <w:sz w:val="15"/>
                <w:szCs w:val="15"/>
                <w:color w:val="auto"/>
              </w:rPr>
            </w:pPr>
          </w:p>
        </w:tc>
      </w:tr>
      <w:tr>
        <w:trPr>
          <w:trHeight w:val="435"/>
        </w:trPr>
        <w:tc>
          <w:tcPr>
            <w:tcW w:w="660" w:type="dxa"/>
            <w:vAlign w:val="bottom"/>
          </w:tcPr>
          <w:p>
            <w:pPr>
              <w:spacing w:after="0"/>
              <w:rPr>
                <w:sz w:val="20"/>
                <w:szCs w:val="20"/>
                <w:color w:val="auto"/>
              </w:rPr>
            </w:pPr>
            <w:r>
              <w:rPr>
                <w:rFonts w:ascii="Arial" w:cs="Arial" w:eastAsia="Arial" w:hAnsi="Arial"/>
                <w:sz w:val="13"/>
                <w:szCs w:val="13"/>
                <w:color w:val="auto"/>
              </w:rPr>
              <w:t>ITEM 6.</w:t>
            </w:r>
          </w:p>
        </w:tc>
        <w:tc>
          <w:tcPr>
            <w:tcW w:w="4800" w:type="dxa"/>
            <w:vAlign w:val="bottom"/>
          </w:tcPr>
          <w:p>
            <w:pPr>
              <w:ind w:left="100"/>
              <w:spacing w:after="0"/>
              <w:rPr>
                <w:rFonts w:ascii="Arial" w:cs="Arial" w:eastAsia="Arial" w:hAnsi="Arial"/>
                <w:sz w:val="13"/>
                <w:szCs w:val="13"/>
                <w:color w:val="auto"/>
              </w:rPr>
            </w:pPr>
            <w:hyperlink w:anchor="page137">
              <w:r>
                <w:rPr>
                  <w:rFonts w:ascii="Arial" w:cs="Arial" w:eastAsia="Arial" w:hAnsi="Arial"/>
                  <w:sz w:val="13"/>
                  <w:szCs w:val="13"/>
                  <w:color w:val="auto"/>
                </w:rPr>
                <w:t>DIRECTORS, SENIOR MANAGEMENT AND EMPLOYEES</w:t>
              </w:r>
            </w:hyperlink>
          </w:p>
        </w:tc>
        <w:tc>
          <w:tcPr>
            <w:tcW w:w="720" w:type="dxa"/>
            <w:vAlign w:val="bottom"/>
          </w:tcPr>
          <w:p>
            <w:pPr>
              <w:ind w:left="400"/>
              <w:spacing w:after="0"/>
              <w:rPr>
                <w:rFonts w:ascii="Arial" w:cs="Arial" w:eastAsia="Arial" w:hAnsi="Arial"/>
                <w:sz w:val="13"/>
                <w:szCs w:val="13"/>
                <w:color w:val="auto"/>
              </w:rPr>
            </w:pPr>
            <w:hyperlink w:anchor="page137">
              <w:r>
                <w:rPr>
                  <w:rFonts w:ascii="Arial" w:cs="Arial" w:eastAsia="Arial" w:hAnsi="Arial"/>
                  <w:sz w:val="13"/>
                  <w:szCs w:val="13"/>
                  <w:color w:val="auto"/>
                </w:rPr>
                <w:t>197</w:t>
              </w:r>
            </w:hyperlink>
          </w:p>
        </w:tc>
      </w:tr>
      <w:tr>
        <w:trPr>
          <w:trHeight w:val="192"/>
        </w:trPr>
        <w:tc>
          <w:tcPr>
            <w:tcW w:w="660" w:type="dxa"/>
            <w:vAlign w:val="bottom"/>
          </w:tcPr>
          <w:p>
            <w:pPr>
              <w:spacing w:after="0"/>
              <w:rPr>
                <w:sz w:val="16"/>
                <w:szCs w:val="16"/>
                <w:color w:val="auto"/>
              </w:rPr>
            </w:pPr>
          </w:p>
        </w:tc>
        <w:tc>
          <w:tcPr>
            <w:tcW w:w="4800" w:type="dxa"/>
            <w:vAlign w:val="bottom"/>
          </w:tcPr>
          <w:p>
            <w:pPr>
              <w:ind w:left="100"/>
              <w:spacing w:after="0"/>
              <w:rPr>
                <w:rFonts w:ascii="Arial" w:cs="Arial" w:eastAsia="Arial" w:hAnsi="Arial"/>
                <w:sz w:val="13"/>
                <w:szCs w:val="13"/>
                <w:color w:val="auto"/>
              </w:rPr>
            </w:pPr>
            <w:hyperlink w:anchor="page137">
              <w:r>
                <w:rPr>
                  <w:rFonts w:ascii="Arial" w:cs="Arial" w:eastAsia="Arial" w:hAnsi="Arial"/>
                  <w:sz w:val="13"/>
                  <w:szCs w:val="13"/>
                  <w:color w:val="auto"/>
                </w:rPr>
                <w:t>A. Directors and Senior Management</w:t>
              </w:r>
            </w:hyperlink>
          </w:p>
        </w:tc>
        <w:tc>
          <w:tcPr>
            <w:tcW w:w="720" w:type="dxa"/>
            <w:vAlign w:val="bottom"/>
          </w:tcPr>
          <w:p>
            <w:pPr>
              <w:ind w:left="400"/>
              <w:spacing w:after="0"/>
              <w:rPr>
                <w:rFonts w:ascii="Arial" w:cs="Arial" w:eastAsia="Arial" w:hAnsi="Arial"/>
                <w:sz w:val="13"/>
                <w:szCs w:val="13"/>
                <w:color w:val="auto"/>
              </w:rPr>
            </w:pPr>
            <w:hyperlink w:anchor="page137">
              <w:r>
                <w:rPr>
                  <w:rFonts w:ascii="Arial" w:cs="Arial" w:eastAsia="Arial" w:hAnsi="Arial"/>
                  <w:sz w:val="13"/>
                  <w:szCs w:val="13"/>
                  <w:color w:val="auto"/>
                </w:rPr>
                <w:t>197</w:t>
              </w:r>
            </w:hyperlink>
          </w:p>
        </w:tc>
      </w:tr>
      <w:tr>
        <w:trPr>
          <w:trHeight w:val="192"/>
        </w:trPr>
        <w:tc>
          <w:tcPr>
            <w:tcW w:w="660" w:type="dxa"/>
            <w:vAlign w:val="bottom"/>
          </w:tcPr>
          <w:p>
            <w:pPr>
              <w:spacing w:after="0"/>
              <w:rPr>
                <w:sz w:val="16"/>
                <w:szCs w:val="16"/>
                <w:color w:val="auto"/>
              </w:rPr>
            </w:pPr>
          </w:p>
        </w:tc>
        <w:tc>
          <w:tcPr>
            <w:tcW w:w="4800" w:type="dxa"/>
            <w:vAlign w:val="bottom"/>
          </w:tcPr>
          <w:p>
            <w:pPr>
              <w:ind w:left="100"/>
              <w:spacing w:after="0"/>
              <w:rPr>
                <w:rFonts w:ascii="Arial" w:cs="Arial" w:eastAsia="Arial" w:hAnsi="Arial"/>
                <w:sz w:val="13"/>
                <w:szCs w:val="13"/>
                <w:color w:val="auto"/>
              </w:rPr>
            </w:pPr>
            <w:hyperlink w:anchor="page140">
              <w:r>
                <w:rPr>
                  <w:rFonts w:ascii="Arial" w:cs="Arial" w:eastAsia="Arial" w:hAnsi="Arial"/>
                  <w:sz w:val="13"/>
                  <w:szCs w:val="13"/>
                  <w:color w:val="auto"/>
                </w:rPr>
                <w:t>B. Compensation</w:t>
              </w:r>
            </w:hyperlink>
          </w:p>
        </w:tc>
        <w:tc>
          <w:tcPr>
            <w:tcW w:w="720" w:type="dxa"/>
            <w:vAlign w:val="bottom"/>
          </w:tcPr>
          <w:p>
            <w:pPr>
              <w:ind w:left="400"/>
              <w:spacing w:after="0"/>
              <w:rPr>
                <w:rFonts w:ascii="Arial" w:cs="Arial" w:eastAsia="Arial" w:hAnsi="Arial"/>
                <w:sz w:val="13"/>
                <w:szCs w:val="13"/>
                <w:color w:val="auto"/>
              </w:rPr>
            </w:pPr>
            <w:hyperlink w:anchor="page140">
              <w:r>
                <w:rPr>
                  <w:rFonts w:ascii="Arial" w:cs="Arial" w:eastAsia="Arial" w:hAnsi="Arial"/>
                  <w:sz w:val="13"/>
                  <w:szCs w:val="13"/>
                  <w:color w:val="auto"/>
                </w:rPr>
                <w:t>201</w:t>
              </w:r>
            </w:hyperlink>
          </w:p>
        </w:tc>
      </w:tr>
      <w:tr>
        <w:trPr>
          <w:trHeight w:val="192"/>
        </w:trPr>
        <w:tc>
          <w:tcPr>
            <w:tcW w:w="660" w:type="dxa"/>
            <w:vAlign w:val="bottom"/>
          </w:tcPr>
          <w:p>
            <w:pPr>
              <w:spacing w:after="0"/>
              <w:rPr>
                <w:sz w:val="16"/>
                <w:szCs w:val="16"/>
                <w:color w:val="auto"/>
              </w:rPr>
            </w:pPr>
          </w:p>
        </w:tc>
        <w:tc>
          <w:tcPr>
            <w:tcW w:w="4800" w:type="dxa"/>
            <w:vAlign w:val="bottom"/>
          </w:tcPr>
          <w:p>
            <w:pPr>
              <w:ind w:left="100"/>
              <w:spacing w:after="0"/>
              <w:rPr>
                <w:rFonts w:ascii="Arial" w:cs="Arial" w:eastAsia="Arial" w:hAnsi="Arial"/>
                <w:sz w:val="13"/>
                <w:szCs w:val="13"/>
                <w:color w:val="auto"/>
              </w:rPr>
            </w:pPr>
            <w:hyperlink w:anchor="page147">
              <w:r>
                <w:rPr>
                  <w:rFonts w:ascii="Arial" w:cs="Arial" w:eastAsia="Arial" w:hAnsi="Arial"/>
                  <w:sz w:val="13"/>
                  <w:szCs w:val="13"/>
                  <w:color w:val="auto"/>
                </w:rPr>
                <w:t>C. Board Practices</w:t>
              </w:r>
            </w:hyperlink>
          </w:p>
        </w:tc>
        <w:tc>
          <w:tcPr>
            <w:tcW w:w="720" w:type="dxa"/>
            <w:vAlign w:val="bottom"/>
          </w:tcPr>
          <w:p>
            <w:pPr>
              <w:ind w:left="400"/>
              <w:spacing w:after="0"/>
              <w:rPr>
                <w:rFonts w:ascii="Arial" w:cs="Arial" w:eastAsia="Arial" w:hAnsi="Arial"/>
                <w:sz w:val="13"/>
                <w:szCs w:val="13"/>
                <w:color w:val="auto"/>
              </w:rPr>
            </w:pPr>
            <w:hyperlink w:anchor="page147">
              <w:r>
                <w:rPr>
                  <w:rFonts w:ascii="Arial" w:cs="Arial" w:eastAsia="Arial" w:hAnsi="Arial"/>
                  <w:sz w:val="13"/>
                  <w:szCs w:val="13"/>
                  <w:color w:val="auto"/>
                </w:rPr>
                <w:t>211</w:t>
              </w:r>
            </w:hyperlink>
          </w:p>
        </w:tc>
      </w:tr>
      <w:tr>
        <w:trPr>
          <w:trHeight w:val="192"/>
        </w:trPr>
        <w:tc>
          <w:tcPr>
            <w:tcW w:w="660" w:type="dxa"/>
            <w:vAlign w:val="bottom"/>
          </w:tcPr>
          <w:p>
            <w:pPr>
              <w:spacing w:after="0"/>
              <w:rPr>
                <w:sz w:val="16"/>
                <w:szCs w:val="16"/>
                <w:color w:val="auto"/>
              </w:rPr>
            </w:pPr>
          </w:p>
        </w:tc>
        <w:tc>
          <w:tcPr>
            <w:tcW w:w="4800" w:type="dxa"/>
            <w:vAlign w:val="bottom"/>
          </w:tcPr>
          <w:p>
            <w:pPr>
              <w:ind w:left="100"/>
              <w:spacing w:after="0"/>
              <w:rPr>
                <w:rFonts w:ascii="Arial" w:cs="Arial" w:eastAsia="Arial" w:hAnsi="Arial"/>
                <w:sz w:val="13"/>
                <w:szCs w:val="13"/>
                <w:color w:val="auto"/>
              </w:rPr>
            </w:pPr>
            <w:hyperlink w:anchor="page151">
              <w:r>
                <w:rPr>
                  <w:rFonts w:ascii="Arial" w:cs="Arial" w:eastAsia="Arial" w:hAnsi="Arial"/>
                  <w:sz w:val="13"/>
                  <w:szCs w:val="13"/>
                  <w:color w:val="auto"/>
                </w:rPr>
                <w:t>D. Employees</w:t>
              </w:r>
            </w:hyperlink>
          </w:p>
        </w:tc>
        <w:tc>
          <w:tcPr>
            <w:tcW w:w="720" w:type="dxa"/>
            <w:vAlign w:val="bottom"/>
          </w:tcPr>
          <w:p>
            <w:pPr>
              <w:ind w:left="400"/>
              <w:spacing w:after="0"/>
              <w:rPr>
                <w:rFonts w:ascii="Arial" w:cs="Arial" w:eastAsia="Arial" w:hAnsi="Arial"/>
                <w:sz w:val="13"/>
                <w:szCs w:val="13"/>
                <w:color w:val="auto"/>
              </w:rPr>
            </w:pPr>
            <w:hyperlink w:anchor="page151">
              <w:r>
                <w:rPr>
                  <w:rFonts w:ascii="Arial" w:cs="Arial" w:eastAsia="Arial" w:hAnsi="Arial"/>
                  <w:sz w:val="13"/>
                  <w:szCs w:val="13"/>
                  <w:color w:val="auto"/>
                </w:rPr>
                <w:t>217</w:t>
              </w:r>
            </w:hyperlink>
          </w:p>
        </w:tc>
      </w:tr>
      <w:tr>
        <w:trPr>
          <w:trHeight w:val="192"/>
        </w:trPr>
        <w:tc>
          <w:tcPr>
            <w:tcW w:w="660" w:type="dxa"/>
            <w:vAlign w:val="bottom"/>
          </w:tcPr>
          <w:p>
            <w:pPr>
              <w:spacing w:after="0"/>
              <w:rPr>
                <w:sz w:val="16"/>
                <w:szCs w:val="16"/>
                <w:color w:val="auto"/>
              </w:rPr>
            </w:pPr>
          </w:p>
        </w:tc>
        <w:tc>
          <w:tcPr>
            <w:tcW w:w="4800" w:type="dxa"/>
            <w:vAlign w:val="bottom"/>
          </w:tcPr>
          <w:p>
            <w:pPr>
              <w:ind w:left="100"/>
              <w:spacing w:after="0"/>
              <w:rPr>
                <w:rFonts w:ascii="Arial" w:cs="Arial" w:eastAsia="Arial" w:hAnsi="Arial"/>
                <w:sz w:val="13"/>
                <w:szCs w:val="13"/>
                <w:color w:val="auto"/>
              </w:rPr>
            </w:pPr>
            <w:hyperlink w:anchor="page152">
              <w:r>
                <w:rPr>
                  <w:rFonts w:ascii="Arial" w:cs="Arial" w:eastAsia="Arial" w:hAnsi="Arial"/>
                  <w:sz w:val="13"/>
                  <w:szCs w:val="13"/>
                  <w:color w:val="auto"/>
                </w:rPr>
                <w:t>E. Share Ownership</w:t>
              </w:r>
            </w:hyperlink>
          </w:p>
        </w:tc>
        <w:tc>
          <w:tcPr>
            <w:tcW w:w="720" w:type="dxa"/>
            <w:vAlign w:val="bottom"/>
          </w:tcPr>
          <w:p>
            <w:pPr>
              <w:ind w:left="400"/>
              <w:spacing w:after="0"/>
              <w:rPr>
                <w:rFonts w:ascii="Arial" w:cs="Arial" w:eastAsia="Arial" w:hAnsi="Arial"/>
                <w:sz w:val="13"/>
                <w:szCs w:val="13"/>
                <w:color w:val="auto"/>
              </w:rPr>
            </w:pPr>
            <w:hyperlink w:anchor="page152">
              <w:r>
                <w:rPr>
                  <w:rFonts w:ascii="Arial" w:cs="Arial" w:eastAsia="Arial" w:hAnsi="Arial"/>
                  <w:sz w:val="13"/>
                  <w:szCs w:val="13"/>
                  <w:color w:val="auto"/>
                </w:rPr>
                <w:t>218</w:t>
              </w:r>
            </w:hyperlink>
          </w:p>
        </w:tc>
      </w:tr>
      <w:tr>
        <w:trPr>
          <w:trHeight w:val="151"/>
        </w:trPr>
        <w:tc>
          <w:tcPr>
            <w:tcW w:w="660" w:type="dxa"/>
            <w:vAlign w:val="bottom"/>
          </w:tcPr>
          <w:p>
            <w:pPr>
              <w:spacing w:after="0"/>
              <w:rPr>
                <w:sz w:val="13"/>
                <w:szCs w:val="13"/>
                <w:color w:val="auto"/>
              </w:rPr>
            </w:pPr>
          </w:p>
        </w:tc>
        <w:tc>
          <w:tcPr>
            <w:tcW w:w="4800" w:type="dxa"/>
            <w:vAlign w:val="bottom"/>
          </w:tcPr>
          <w:p>
            <w:pPr>
              <w:ind w:left="100"/>
              <w:spacing w:after="0"/>
              <w:rPr>
                <w:sz w:val="20"/>
                <w:szCs w:val="20"/>
                <w:color w:val="auto"/>
              </w:rPr>
            </w:pPr>
            <w:r>
              <w:rPr>
                <w:rFonts w:ascii="Arial" w:cs="Arial" w:eastAsia="Arial" w:hAnsi="Arial"/>
                <w:sz w:val="13"/>
                <w:szCs w:val="13"/>
                <w:color w:val="auto"/>
              </w:rPr>
              <w:t>F. Disclosure of a Registrant’s Action to Recover Erroneously Awarded</w:t>
            </w:r>
          </w:p>
        </w:tc>
        <w:tc>
          <w:tcPr>
            <w:tcW w:w="720" w:type="dxa"/>
            <w:vAlign w:val="bottom"/>
          </w:tcPr>
          <w:p>
            <w:pPr>
              <w:ind w:left="400"/>
              <w:spacing w:after="0"/>
              <w:rPr>
                <w:rFonts w:ascii="Arial" w:cs="Arial" w:eastAsia="Arial" w:hAnsi="Arial"/>
                <w:sz w:val="13"/>
                <w:szCs w:val="13"/>
                <w:color w:val="auto"/>
              </w:rPr>
            </w:pPr>
            <w:hyperlink w:anchor="page152">
              <w:r>
                <w:rPr>
                  <w:rFonts w:ascii="Arial" w:cs="Arial" w:eastAsia="Arial" w:hAnsi="Arial"/>
                  <w:sz w:val="13"/>
                  <w:szCs w:val="13"/>
                  <w:color w:val="auto"/>
                </w:rPr>
                <w:t>218</w:t>
              </w:r>
            </w:hyperlink>
          </w:p>
        </w:tc>
      </w:tr>
      <w:tr>
        <w:trPr>
          <w:trHeight w:val="173"/>
        </w:trPr>
        <w:tc>
          <w:tcPr>
            <w:tcW w:w="66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Arial" w:cs="Arial" w:eastAsia="Arial" w:hAnsi="Arial"/>
                <w:sz w:val="13"/>
                <w:szCs w:val="13"/>
                <w:color w:val="auto"/>
              </w:rPr>
              <w:t>Compensation</w:t>
            </w:r>
          </w:p>
        </w:tc>
        <w:tc>
          <w:tcPr>
            <w:tcW w:w="720" w:type="dxa"/>
            <w:vAlign w:val="bottom"/>
          </w:tcPr>
          <w:p>
            <w:pPr>
              <w:spacing w:after="0"/>
              <w:rPr>
                <w:sz w:val="15"/>
                <w:szCs w:val="15"/>
                <w:color w:val="auto"/>
              </w:rPr>
            </w:pPr>
          </w:p>
        </w:tc>
      </w:tr>
      <w:tr>
        <w:trPr>
          <w:trHeight w:val="313"/>
        </w:trPr>
        <w:tc>
          <w:tcPr>
            <w:tcW w:w="660" w:type="dxa"/>
            <w:vAlign w:val="bottom"/>
          </w:tcPr>
          <w:p>
            <w:pPr>
              <w:spacing w:after="0"/>
              <w:rPr>
                <w:sz w:val="20"/>
                <w:szCs w:val="20"/>
                <w:color w:val="auto"/>
              </w:rPr>
            </w:pPr>
            <w:r>
              <w:rPr>
                <w:rFonts w:ascii="Arial" w:cs="Arial" w:eastAsia="Arial" w:hAnsi="Arial"/>
                <w:sz w:val="13"/>
                <w:szCs w:val="13"/>
                <w:color w:val="auto"/>
              </w:rPr>
              <w:t>ITEM 7.</w:t>
            </w:r>
          </w:p>
        </w:tc>
        <w:tc>
          <w:tcPr>
            <w:tcW w:w="4800" w:type="dxa"/>
            <w:vAlign w:val="bottom"/>
          </w:tcPr>
          <w:p>
            <w:pPr>
              <w:ind w:left="100"/>
              <w:spacing w:after="0"/>
              <w:rPr>
                <w:rFonts w:ascii="Arial" w:cs="Arial" w:eastAsia="Arial" w:hAnsi="Arial"/>
                <w:sz w:val="13"/>
                <w:szCs w:val="13"/>
                <w:color w:val="auto"/>
              </w:rPr>
            </w:pPr>
            <w:hyperlink w:anchor="page152">
              <w:r>
                <w:rPr>
                  <w:rFonts w:ascii="Arial" w:cs="Arial" w:eastAsia="Arial" w:hAnsi="Arial"/>
                  <w:sz w:val="13"/>
                  <w:szCs w:val="13"/>
                  <w:color w:val="auto"/>
                </w:rPr>
                <w:t>MAJOR SHAREHOLDERS AND RELATED PARTY TRANSACTIONS</w:t>
              </w:r>
            </w:hyperlink>
          </w:p>
        </w:tc>
        <w:tc>
          <w:tcPr>
            <w:tcW w:w="720" w:type="dxa"/>
            <w:vAlign w:val="bottom"/>
          </w:tcPr>
          <w:p>
            <w:pPr>
              <w:ind w:left="400"/>
              <w:spacing w:after="0"/>
              <w:rPr>
                <w:rFonts w:ascii="Arial" w:cs="Arial" w:eastAsia="Arial" w:hAnsi="Arial"/>
                <w:sz w:val="13"/>
                <w:szCs w:val="13"/>
                <w:color w:val="auto"/>
              </w:rPr>
            </w:pPr>
            <w:hyperlink w:anchor="page152">
              <w:r>
                <w:rPr>
                  <w:rFonts w:ascii="Arial" w:cs="Arial" w:eastAsia="Arial" w:hAnsi="Arial"/>
                  <w:sz w:val="13"/>
                  <w:szCs w:val="13"/>
                  <w:color w:val="auto"/>
                </w:rPr>
                <w:t>218</w:t>
              </w:r>
            </w:hyperlink>
          </w:p>
        </w:tc>
      </w:tr>
      <w:tr>
        <w:trPr>
          <w:trHeight w:val="192"/>
        </w:trPr>
        <w:tc>
          <w:tcPr>
            <w:tcW w:w="660" w:type="dxa"/>
            <w:vAlign w:val="bottom"/>
          </w:tcPr>
          <w:p>
            <w:pPr>
              <w:spacing w:after="0"/>
              <w:rPr>
                <w:sz w:val="16"/>
                <w:szCs w:val="16"/>
                <w:color w:val="auto"/>
              </w:rPr>
            </w:pPr>
          </w:p>
        </w:tc>
        <w:tc>
          <w:tcPr>
            <w:tcW w:w="4800" w:type="dxa"/>
            <w:vAlign w:val="bottom"/>
          </w:tcPr>
          <w:p>
            <w:pPr>
              <w:ind w:left="100"/>
              <w:spacing w:after="0"/>
              <w:rPr>
                <w:rFonts w:ascii="Arial" w:cs="Arial" w:eastAsia="Arial" w:hAnsi="Arial"/>
                <w:sz w:val="13"/>
                <w:szCs w:val="13"/>
                <w:color w:val="auto"/>
              </w:rPr>
            </w:pPr>
            <w:hyperlink w:anchor="page152">
              <w:r>
                <w:rPr>
                  <w:rFonts w:ascii="Arial" w:cs="Arial" w:eastAsia="Arial" w:hAnsi="Arial"/>
                  <w:sz w:val="13"/>
                  <w:szCs w:val="13"/>
                  <w:color w:val="auto"/>
                </w:rPr>
                <w:t>A. Major Shareholders</w:t>
              </w:r>
            </w:hyperlink>
          </w:p>
        </w:tc>
        <w:tc>
          <w:tcPr>
            <w:tcW w:w="720" w:type="dxa"/>
            <w:vAlign w:val="bottom"/>
          </w:tcPr>
          <w:p>
            <w:pPr>
              <w:ind w:left="400"/>
              <w:spacing w:after="0"/>
              <w:rPr>
                <w:rFonts w:ascii="Arial" w:cs="Arial" w:eastAsia="Arial" w:hAnsi="Arial"/>
                <w:sz w:val="13"/>
                <w:szCs w:val="13"/>
                <w:color w:val="auto"/>
              </w:rPr>
            </w:pPr>
            <w:hyperlink w:anchor="page152">
              <w:r>
                <w:rPr>
                  <w:rFonts w:ascii="Arial" w:cs="Arial" w:eastAsia="Arial" w:hAnsi="Arial"/>
                  <w:sz w:val="13"/>
                  <w:szCs w:val="13"/>
                  <w:color w:val="auto"/>
                </w:rPr>
                <w:t>218</w:t>
              </w:r>
            </w:hyperlink>
          </w:p>
        </w:tc>
      </w:tr>
      <w:tr>
        <w:trPr>
          <w:trHeight w:val="192"/>
        </w:trPr>
        <w:tc>
          <w:tcPr>
            <w:tcW w:w="660" w:type="dxa"/>
            <w:vAlign w:val="bottom"/>
          </w:tcPr>
          <w:p>
            <w:pPr>
              <w:spacing w:after="0"/>
              <w:rPr>
                <w:sz w:val="16"/>
                <w:szCs w:val="16"/>
                <w:color w:val="auto"/>
              </w:rPr>
            </w:pPr>
          </w:p>
        </w:tc>
        <w:tc>
          <w:tcPr>
            <w:tcW w:w="4800" w:type="dxa"/>
            <w:vAlign w:val="bottom"/>
          </w:tcPr>
          <w:p>
            <w:pPr>
              <w:ind w:left="100"/>
              <w:spacing w:after="0"/>
              <w:rPr>
                <w:rFonts w:ascii="Arial" w:cs="Arial" w:eastAsia="Arial" w:hAnsi="Arial"/>
                <w:sz w:val="13"/>
                <w:szCs w:val="13"/>
                <w:color w:val="auto"/>
              </w:rPr>
            </w:pPr>
            <w:hyperlink w:anchor="page153">
              <w:r>
                <w:rPr>
                  <w:rFonts w:ascii="Arial" w:cs="Arial" w:eastAsia="Arial" w:hAnsi="Arial"/>
                  <w:sz w:val="13"/>
                  <w:szCs w:val="13"/>
                  <w:color w:val="auto"/>
                </w:rPr>
                <w:t>B. Related Party Transactions</w:t>
              </w:r>
            </w:hyperlink>
          </w:p>
        </w:tc>
        <w:tc>
          <w:tcPr>
            <w:tcW w:w="720" w:type="dxa"/>
            <w:vAlign w:val="bottom"/>
          </w:tcPr>
          <w:p>
            <w:pPr>
              <w:ind w:left="400"/>
              <w:spacing w:after="0"/>
              <w:rPr>
                <w:rFonts w:ascii="Arial" w:cs="Arial" w:eastAsia="Arial" w:hAnsi="Arial"/>
                <w:sz w:val="13"/>
                <w:szCs w:val="13"/>
                <w:color w:val="auto"/>
              </w:rPr>
            </w:pPr>
            <w:hyperlink w:anchor="page153">
              <w:r>
                <w:rPr>
                  <w:rFonts w:ascii="Arial" w:cs="Arial" w:eastAsia="Arial" w:hAnsi="Arial"/>
                  <w:sz w:val="13"/>
                  <w:szCs w:val="13"/>
                  <w:color w:val="auto"/>
                </w:rPr>
                <w:t>220</w:t>
              </w:r>
            </w:hyperlink>
          </w:p>
        </w:tc>
      </w:tr>
      <w:tr>
        <w:trPr>
          <w:trHeight w:val="192"/>
        </w:trPr>
        <w:tc>
          <w:tcPr>
            <w:tcW w:w="660" w:type="dxa"/>
            <w:vAlign w:val="bottom"/>
          </w:tcPr>
          <w:p>
            <w:pPr>
              <w:spacing w:after="0"/>
              <w:rPr>
                <w:sz w:val="16"/>
                <w:szCs w:val="16"/>
                <w:color w:val="auto"/>
              </w:rPr>
            </w:pPr>
          </w:p>
        </w:tc>
        <w:tc>
          <w:tcPr>
            <w:tcW w:w="4800" w:type="dxa"/>
            <w:vAlign w:val="bottom"/>
          </w:tcPr>
          <w:p>
            <w:pPr>
              <w:ind w:left="100"/>
              <w:spacing w:after="0"/>
              <w:rPr>
                <w:rFonts w:ascii="Arial" w:cs="Arial" w:eastAsia="Arial" w:hAnsi="Arial"/>
                <w:sz w:val="13"/>
                <w:szCs w:val="13"/>
                <w:color w:val="auto"/>
              </w:rPr>
            </w:pPr>
            <w:hyperlink w:anchor="page153">
              <w:r>
                <w:rPr>
                  <w:rFonts w:ascii="Arial" w:cs="Arial" w:eastAsia="Arial" w:hAnsi="Arial"/>
                  <w:sz w:val="13"/>
                  <w:szCs w:val="13"/>
                  <w:color w:val="auto"/>
                </w:rPr>
                <w:t>C. Interests of Experts and Counsel</w:t>
              </w:r>
            </w:hyperlink>
          </w:p>
        </w:tc>
        <w:tc>
          <w:tcPr>
            <w:tcW w:w="720" w:type="dxa"/>
            <w:vAlign w:val="bottom"/>
          </w:tcPr>
          <w:p>
            <w:pPr>
              <w:ind w:left="400"/>
              <w:spacing w:after="0"/>
              <w:rPr>
                <w:rFonts w:ascii="Arial" w:cs="Arial" w:eastAsia="Arial" w:hAnsi="Arial"/>
                <w:sz w:val="13"/>
                <w:szCs w:val="13"/>
                <w:color w:val="auto"/>
              </w:rPr>
            </w:pPr>
            <w:hyperlink w:anchor="page153">
              <w:r>
                <w:rPr>
                  <w:rFonts w:ascii="Arial" w:cs="Arial" w:eastAsia="Arial" w:hAnsi="Arial"/>
                  <w:sz w:val="13"/>
                  <w:szCs w:val="13"/>
                  <w:color w:val="auto"/>
                </w:rPr>
                <w:t>220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29845</wp:posOffset>
            </wp:positionV>
            <wp:extent cx="523113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 w:name="page4"/>
    <w:bookmarkEnd w:id="3"/>
    <w:tbl>
      <w:tblPr>
        <w:tblLayout w:type="fixed"/>
        <w:tblInd w:w="380" w:type="dxa"/>
        <w:tblCellMar>
          <w:top w:w="0" w:type="dxa"/>
          <w:left w:w="0" w:type="dxa"/>
          <w:bottom w:w="0" w:type="dxa"/>
          <w:right w:w="0" w:type="dxa"/>
        </w:tblCellMar>
      </w:tblPr>
      <w:tr>
        <w:trPr>
          <w:trHeight w:val="173"/>
        </w:trPr>
        <w:tc>
          <w:tcPr>
            <w:tcW w:w="720" w:type="dxa"/>
            <w:vAlign w:val="bottom"/>
          </w:tcPr>
          <w:p>
            <w:pPr>
              <w:ind w:left="20"/>
              <w:spacing w:after="0"/>
              <w:rPr>
                <w:sz w:val="20"/>
                <w:szCs w:val="20"/>
                <w:color w:val="auto"/>
              </w:rPr>
            </w:pPr>
            <w:r>
              <w:rPr>
                <w:rFonts w:ascii="Arial" w:cs="Arial" w:eastAsia="Arial" w:hAnsi="Arial"/>
                <w:sz w:val="13"/>
                <w:szCs w:val="13"/>
                <w:color w:val="auto"/>
              </w:rPr>
              <w:t>ITEM 8.</w:t>
            </w:r>
          </w:p>
        </w:tc>
        <w:tc>
          <w:tcPr>
            <w:tcW w:w="4960" w:type="dxa"/>
            <w:vAlign w:val="bottom"/>
            <w:gridSpan w:val="2"/>
          </w:tcPr>
          <w:p>
            <w:pPr>
              <w:ind w:left="60"/>
              <w:spacing w:after="0"/>
              <w:rPr>
                <w:rFonts w:ascii="Arial" w:cs="Arial" w:eastAsia="Arial" w:hAnsi="Arial"/>
                <w:sz w:val="13"/>
                <w:szCs w:val="13"/>
                <w:color w:val="auto"/>
              </w:rPr>
            </w:pPr>
            <w:hyperlink w:anchor="page153">
              <w:r>
                <w:rPr>
                  <w:rFonts w:ascii="Arial" w:cs="Arial" w:eastAsia="Arial" w:hAnsi="Arial"/>
                  <w:sz w:val="13"/>
                  <w:szCs w:val="13"/>
                  <w:color w:val="auto"/>
                </w:rPr>
                <w:t>FINANCIAL INFORMATION</w:t>
              </w:r>
            </w:hyperlink>
          </w:p>
        </w:tc>
        <w:tc>
          <w:tcPr>
            <w:tcW w:w="2560" w:type="dxa"/>
            <w:vAlign w:val="bottom"/>
          </w:tcPr>
          <w:p>
            <w:pPr>
              <w:jc w:val="right"/>
              <w:ind w:right="2074"/>
              <w:spacing w:after="0"/>
              <w:rPr>
                <w:rFonts w:ascii="Arial" w:cs="Arial" w:eastAsia="Arial" w:hAnsi="Arial"/>
                <w:sz w:val="13"/>
                <w:szCs w:val="13"/>
                <w:color w:val="auto"/>
              </w:rPr>
            </w:pPr>
            <w:hyperlink w:anchor="page153">
              <w:r>
                <w:rPr>
                  <w:rFonts w:ascii="Arial" w:cs="Arial" w:eastAsia="Arial" w:hAnsi="Arial"/>
                  <w:sz w:val="13"/>
                  <w:szCs w:val="13"/>
                  <w:color w:val="auto"/>
                </w:rPr>
                <w:t>220</w:t>
              </w:r>
            </w:hyperlink>
          </w:p>
        </w:tc>
      </w:tr>
      <w:tr>
        <w:trPr>
          <w:trHeight w:val="192"/>
        </w:trPr>
        <w:tc>
          <w:tcPr>
            <w:tcW w:w="720" w:type="dxa"/>
            <w:vAlign w:val="bottom"/>
          </w:tcPr>
          <w:p>
            <w:pPr>
              <w:spacing w:after="0"/>
              <w:rPr>
                <w:sz w:val="16"/>
                <w:szCs w:val="16"/>
                <w:color w:val="auto"/>
              </w:rPr>
            </w:pPr>
          </w:p>
        </w:tc>
        <w:tc>
          <w:tcPr>
            <w:tcW w:w="4960" w:type="dxa"/>
            <w:vAlign w:val="bottom"/>
            <w:gridSpan w:val="2"/>
          </w:tcPr>
          <w:p>
            <w:pPr>
              <w:ind w:left="60"/>
              <w:spacing w:after="0"/>
              <w:rPr>
                <w:rFonts w:ascii="Arial" w:cs="Arial" w:eastAsia="Arial" w:hAnsi="Arial"/>
                <w:sz w:val="13"/>
                <w:szCs w:val="13"/>
                <w:color w:val="auto"/>
              </w:rPr>
            </w:pPr>
            <w:hyperlink w:anchor="page153">
              <w:r>
                <w:rPr>
                  <w:rFonts w:ascii="Arial" w:cs="Arial" w:eastAsia="Arial" w:hAnsi="Arial"/>
                  <w:sz w:val="13"/>
                  <w:szCs w:val="13"/>
                  <w:color w:val="auto"/>
                </w:rPr>
                <w:t>A. Consolidated Statements and Other Financial Information</w:t>
              </w:r>
            </w:hyperlink>
          </w:p>
        </w:tc>
        <w:tc>
          <w:tcPr>
            <w:tcW w:w="2560" w:type="dxa"/>
            <w:vAlign w:val="bottom"/>
          </w:tcPr>
          <w:p>
            <w:pPr>
              <w:jc w:val="right"/>
              <w:ind w:right="2074"/>
              <w:spacing w:after="0"/>
              <w:rPr>
                <w:rFonts w:ascii="Arial" w:cs="Arial" w:eastAsia="Arial" w:hAnsi="Arial"/>
                <w:sz w:val="13"/>
                <w:szCs w:val="13"/>
                <w:color w:val="auto"/>
              </w:rPr>
            </w:pPr>
            <w:hyperlink w:anchor="page153">
              <w:r>
                <w:rPr>
                  <w:rFonts w:ascii="Arial" w:cs="Arial" w:eastAsia="Arial" w:hAnsi="Arial"/>
                  <w:sz w:val="13"/>
                  <w:szCs w:val="13"/>
                  <w:color w:val="auto"/>
                </w:rPr>
                <w:t>220</w:t>
              </w:r>
            </w:hyperlink>
          </w:p>
        </w:tc>
      </w:tr>
      <w:tr>
        <w:trPr>
          <w:trHeight w:val="192"/>
        </w:trPr>
        <w:tc>
          <w:tcPr>
            <w:tcW w:w="720" w:type="dxa"/>
            <w:vAlign w:val="bottom"/>
          </w:tcPr>
          <w:p>
            <w:pPr>
              <w:spacing w:after="0"/>
              <w:rPr>
                <w:sz w:val="16"/>
                <w:szCs w:val="16"/>
                <w:color w:val="auto"/>
              </w:rPr>
            </w:pPr>
          </w:p>
        </w:tc>
        <w:tc>
          <w:tcPr>
            <w:tcW w:w="4960" w:type="dxa"/>
            <w:vAlign w:val="bottom"/>
            <w:gridSpan w:val="2"/>
          </w:tcPr>
          <w:p>
            <w:pPr>
              <w:ind w:left="60"/>
              <w:spacing w:after="0"/>
              <w:rPr>
                <w:rFonts w:ascii="Arial" w:cs="Arial" w:eastAsia="Arial" w:hAnsi="Arial"/>
                <w:sz w:val="13"/>
                <w:szCs w:val="13"/>
                <w:color w:val="auto"/>
              </w:rPr>
            </w:pPr>
            <w:hyperlink w:anchor="page153">
              <w:r>
                <w:rPr>
                  <w:rFonts w:ascii="Arial" w:cs="Arial" w:eastAsia="Arial" w:hAnsi="Arial"/>
                  <w:sz w:val="13"/>
                  <w:szCs w:val="13"/>
                  <w:color w:val="auto"/>
                </w:rPr>
                <w:t>B. Significant Changes</w:t>
              </w:r>
            </w:hyperlink>
          </w:p>
        </w:tc>
        <w:tc>
          <w:tcPr>
            <w:tcW w:w="2560" w:type="dxa"/>
            <w:vAlign w:val="bottom"/>
          </w:tcPr>
          <w:p>
            <w:pPr>
              <w:jc w:val="right"/>
              <w:ind w:right="2074"/>
              <w:spacing w:after="0"/>
              <w:rPr>
                <w:rFonts w:ascii="Arial" w:cs="Arial" w:eastAsia="Arial" w:hAnsi="Arial"/>
                <w:sz w:val="13"/>
                <w:szCs w:val="13"/>
                <w:color w:val="auto"/>
              </w:rPr>
            </w:pPr>
            <w:hyperlink w:anchor="page153">
              <w:r>
                <w:rPr>
                  <w:rFonts w:ascii="Arial" w:cs="Arial" w:eastAsia="Arial" w:hAnsi="Arial"/>
                  <w:sz w:val="13"/>
                  <w:szCs w:val="13"/>
                  <w:color w:val="auto"/>
                </w:rPr>
                <w:t>220</w:t>
              </w:r>
            </w:hyperlink>
          </w:p>
        </w:tc>
      </w:tr>
      <w:tr>
        <w:trPr>
          <w:trHeight w:val="283"/>
        </w:trPr>
        <w:tc>
          <w:tcPr>
            <w:tcW w:w="720" w:type="dxa"/>
            <w:vAlign w:val="bottom"/>
          </w:tcPr>
          <w:p>
            <w:pPr>
              <w:ind w:left="20"/>
              <w:spacing w:after="0"/>
              <w:rPr>
                <w:sz w:val="20"/>
                <w:szCs w:val="20"/>
                <w:color w:val="auto"/>
              </w:rPr>
            </w:pPr>
            <w:r>
              <w:rPr>
                <w:rFonts w:ascii="Arial" w:cs="Arial" w:eastAsia="Arial" w:hAnsi="Arial"/>
                <w:sz w:val="13"/>
                <w:szCs w:val="13"/>
                <w:color w:val="auto"/>
              </w:rPr>
              <w:t>ITEM 9.</w:t>
            </w:r>
          </w:p>
        </w:tc>
        <w:tc>
          <w:tcPr>
            <w:tcW w:w="4960" w:type="dxa"/>
            <w:vAlign w:val="bottom"/>
            <w:gridSpan w:val="2"/>
          </w:tcPr>
          <w:p>
            <w:pPr>
              <w:ind w:left="60"/>
              <w:spacing w:after="0"/>
              <w:rPr>
                <w:rFonts w:ascii="Arial" w:cs="Arial" w:eastAsia="Arial" w:hAnsi="Arial"/>
                <w:sz w:val="13"/>
                <w:szCs w:val="13"/>
                <w:color w:val="auto"/>
              </w:rPr>
            </w:pPr>
            <w:hyperlink w:anchor="page153">
              <w:r>
                <w:rPr>
                  <w:rFonts w:ascii="Arial" w:cs="Arial" w:eastAsia="Arial" w:hAnsi="Arial"/>
                  <w:sz w:val="13"/>
                  <w:szCs w:val="13"/>
                  <w:color w:val="auto"/>
                </w:rPr>
                <w:t>THE OFFER AND LISTING</w:t>
              </w:r>
            </w:hyperlink>
          </w:p>
        </w:tc>
        <w:tc>
          <w:tcPr>
            <w:tcW w:w="2560" w:type="dxa"/>
            <w:vAlign w:val="bottom"/>
          </w:tcPr>
          <w:p>
            <w:pPr>
              <w:jc w:val="right"/>
              <w:ind w:right="2074"/>
              <w:spacing w:after="0"/>
              <w:rPr>
                <w:rFonts w:ascii="Arial" w:cs="Arial" w:eastAsia="Arial" w:hAnsi="Arial"/>
                <w:sz w:val="13"/>
                <w:szCs w:val="13"/>
                <w:color w:val="auto"/>
              </w:rPr>
            </w:pPr>
            <w:hyperlink w:anchor="page153">
              <w:r>
                <w:rPr>
                  <w:rFonts w:ascii="Arial" w:cs="Arial" w:eastAsia="Arial" w:hAnsi="Arial"/>
                  <w:sz w:val="13"/>
                  <w:szCs w:val="13"/>
                  <w:color w:val="auto"/>
                </w:rPr>
                <w:t>220</w:t>
              </w:r>
            </w:hyperlink>
          </w:p>
        </w:tc>
      </w:tr>
      <w:tr>
        <w:trPr>
          <w:trHeight w:val="192"/>
        </w:trPr>
        <w:tc>
          <w:tcPr>
            <w:tcW w:w="720" w:type="dxa"/>
            <w:vAlign w:val="bottom"/>
          </w:tcPr>
          <w:p>
            <w:pPr>
              <w:spacing w:after="0"/>
              <w:rPr>
                <w:sz w:val="16"/>
                <w:szCs w:val="16"/>
                <w:color w:val="auto"/>
              </w:rPr>
            </w:pPr>
          </w:p>
        </w:tc>
        <w:tc>
          <w:tcPr>
            <w:tcW w:w="4960" w:type="dxa"/>
            <w:vAlign w:val="bottom"/>
            <w:gridSpan w:val="2"/>
          </w:tcPr>
          <w:p>
            <w:pPr>
              <w:ind w:left="60"/>
              <w:spacing w:after="0"/>
              <w:rPr>
                <w:rFonts w:ascii="Arial" w:cs="Arial" w:eastAsia="Arial" w:hAnsi="Arial"/>
                <w:sz w:val="13"/>
                <w:szCs w:val="13"/>
                <w:color w:val="auto"/>
              </w:rPr>
            </w:pPr>
            <w:hyperlink w:anchor="page153">
              <w:r>
                <w:rPr>
                  <w:rFonts w:ascii="Arial" w:cs="Arial" w:eastAsia="Arial" w:hAnsi="Arial"/>
                  <w:sz w:val="13"/>
                  <w:szCs w:val="13"/>
                  <w:color w:val="auto"/>
                </w:rPr>
                <w:t>A. Offer and Listing Details</w:t>
              </w:r>
            </w:hyperlink>
          </w:p>
        </w:tc>
        <w:tc>
          <w:tcPr>
            <w:tcW w:w="2560" w:type="dxa"/>
            <w:vAlign w:val="bottom"/>
          </w:tcPr>
          <w:p>
            <w:pPr>
              <w:jc w:val="right"/>
              <w:ind w:right="2074"/>
              <w:spacing w:after="0"/>
              <w:rPr>
                <w:rFonts w:ascii="Arial" w:cs="Arial" w:eastAsia="Arial" w:hAnsi="Arial"/>
                <w:sz w:val="13"/>
                <w:szCs w:val="13"/>
                <w:color w:val="auto"/>
              </w:rPr>
            </w:pPr>
            <w:hyperlink w:anchor="page153">
              <w:r>
                <w:rPr>
                  <w:rFonts w:ascii="Arial" w:cs="Arial" w:eastAsia="Arial" w:hAnsi="Arial"/>
                  <w:sz w:val="13"/>
                  <w:szCs w:val="13"/>
                  <w:color w:val="auto"/>
                </w:rPr>
                <w:t>220</w:t>
              </w:r>
            </w:hyperlink>
          </w:p>
        </w:tc>
      </w:tr>
      <w:tr>
        <w:trPr>
          <w:trHeight w:val="192"/>
        </w:trPr>
        <w:tc>
          <w:tcPr>
            <w:tcW w:w="720" w:type="dxa"/>
            <w:vAlign w:val="bottom"/>
          </w:tcPr>
          <w:p>
            <w:pPr>
              <w:spacing w:after="0"/>
              <w:rPr>
                <w:sz w:val="16"/>
                <w:szCs w:val="16"/>
                <w:color w:val="auto"/>
              </w:rPr>
            </w:pPr>
          </w:p>
        </w:tc>
        <w:tc>
          <w:tcPr>
            <w:tcW w:w="4960" w:type="dxa"/>
            <w:vAlign w:val="bottom"/>
            <w:gridSpan w:val="2"/>
          </w:tcPr>
          <w:p>
            <w:pPr>
              <w:ind w:left="60"/>
              <w:spacing w:after="0"/>
              <w:rPr>
                <w:rFonts w:ascii="Arial" w:cs="Arial" w:eastAsia="Arial" w:hAnsi="Arial"/>
                <w:sz w:val="13"/>
                <w:szCs w:val="13"/>
                <w:color w:val="auto"/>
              </w:rPr>
            </w:pPr>
            <w:hyperlink w:anchor="page153">
              <w:r>
                <w:rPr>
                  <w:rFonts w:ascii="Arial" w:cs="Arial" w:eastAsia="Arial" w:hAnsi="Arial"/>
                  <w:sz w:val="13"/>
                  <w:szCs w:val="13"/>
                  <w:color w:val="auto"/>
                </w:rPr>
                <w:t xml:space="preserve">B. Plan </w:t>
              </w:r>
            </w:hyperlink>
            <w:r>
              <w:rPr>
                <w:rFonts w:ascii="Arial" w:cs="Arial" w:eastAsia="Arial" w:hAnsi="Arial"/>
                <w:sz w:val="13"/>
                <w:szCs w:val="13"/>
                <w:color w:val="auto"/>
              </w:rPr>
              <w:t xml:space="preserve">of </w:t>
            </w:r>
            <w:hyperlink w:anchor="page153">
              <w:r>
                <w:rPr>
                  <w:rFonts w:ascii="Arial" w:cs="Arial" w:eastAsia="Arial" w:hAnsi="Arial"/>
                  <w:sz w:val="13"/>
                  <w:szCs w:val="13"/>
                  <w:color w:val="auto"/>
                </w:rPr>
                <w:t>Distribution</w:t>
              </w:r>
            </w:hyperlink>
          </w:p>
        </w:tc>
        <w:tc>
          <w:tcPr>
            <w:tcW w:w="2560" w:type="dxa"/>
            <w:vAlign w:val="bottom"/>
          </w:tcPr>
          <w:p>
            <w:pPr>
              <w:jc w:val="right"/>
              <w:ind w:right="2074"/>
              <w:spacing w:after="0"/>
              <w:rPr>
                <w:rFonts w:ascii="Arial" w:cs="Arial" w:eastAsia="Arial" w:hAnsi="Arial"/>
                <w:sz w:val="13"/>
                <w:szCs w:val="13"/>
                <w:color w:val="auto"/>
              </w:rPr>
            </w:pPr>
            <w:hyperlink w:anchor="page153">
              <w:r>
                <w:rPr>
                  <w:rFonts w:ascii="Arial" w:cs="Arial" w:eastAsia="Arial" w:hAnsi="Arial"/>
                  <w:sz w:val="13"/>
                  <w:szCs w:val="13"/>
                  <w:color w:val="auto"/>
                </w:rPr>
                <w:t>220</w:t>
              </w:r>
            </w:hyperlink>
          </w:p>
        </w:tc>
      </w:tr>
      <w:tr>
        <w:trPr>
          <w:trHeight w:val="192"/>
        </w:trPr>
        <w:tc>
          <w:tcPr>
            <w:tcW w:w="720" w:type="dxa"/>
            <w:vAlign w:val="bottom"/>
          </w:tcPr>
          <w:p>
            <w:pPr>
              <w:spacing w:after="0"/>
              <w:rPr>
                <w:sz w:val="16"/>
                <w:szCs w:val="16"/>
                <w:color w:val="auto"/>
              </w:rPr>
            </w:pPr>
          </w:p>
        </w:tc>
        <w:tc>
          <w:tcPr>
            <w:tcW w:w="4960" w:type="dxa"/>
            <w:vAlign w:val="bottom"/>
            <w:gridSpan w:val="2"/>
          </w:tcPr>
          <w:p>
            <w:pPr>
              <w:ind w:left="60"/>
              <w:spacing w:after="0"/>
              <w:rPr>
                <w:rFonts w:ascii="Arial" w:cs="Arial" w:eastAsia="Arial" w:hAnsi="Arial"/>
                <w:sz w:val="13"/>
                <w:szCs w:val="13"/>
                <w:color w:val="auto"/>
              </w:rPr>
            </w:pPr>
            <w:hyperlink w:anchor="page153">
              <w:r>
                <w:rPr>
                  <w:rFonts w:ascii="Arial" w:cs="Arial" w:eastAsia="Arial" w:hAnsi="Arial"/>
                  <w:sz w:val="13"/>
                  <w:szCs w:val="13"/>
                  <w:color w:val="auto"/>
                </w:rPr>
                <w:t>C. Markets</w:t>
              </w:r>
            </w:hyperlink>
          </w:p>
        </w:tc>
        <w:tc>
          <w:tcPr>
            <w:tcW w:w="2560" w:type="dxa"/>
            <w:vAlign w:val="bottom"/>
          </w:tcPr>
          <w:p>
            <w:pPr>
              <w:jc w:val="right"/>
              <w:ind w:right="2074"/>
              <w:spacing w:after="0"/>
              <w:rPr>
                <w:rFonts w:ascii="Arial" w:cs="Arial" w:eastAsia="Arial" w:hAnsi="Arial"/>
                <w:sz w:val="13"/>
                <w:szCs w:val="13"/>
                <w:color w:val="auto"/>
              </w:rPr>
            </w:pPr>
            <w:hyperlink w:anchor="page153">
              <w:r>
                <w:rPr>
                  <w:rFonts w:ascii="Arial" w:cs="Arial" w:eastAsia="Arial" w:hAnsi="Arial"/>
                  <w:sz w:val="13"/>
                  <w:szCs w:val="13"/>
                  <w:color w:val="auto"/>
                </w:rPr>
                <w:t>220</w:t>
              </w:r>
            </w:hyperlink>
          </w:p>
        </w:tc>
      </w:tr>
      <w:tr>
        <w:trPr>
          <w:trHeight w:val="192"/>
        </w:trPr>
        <w:tc>
          <w:tcPr>
            <w:tcW w:w="720" w:type="dxa"/>
            <w:vAlign w:val="bottom"/>
          </w:tcPr>
          <w:p>
            <w:pPr>
              <w:spacing w:after="0"/>
              <w:rPr>
                <w:sz w:val="16"/>
                <w:szCs w:val="16"/>
                <w:color w:val="auto"/>
              </w:rPr>
            </w:pPr>
          </w:p>
        </w:tc>
        <w:tc>
          <w:tcPr>
            <w:tcW w:w="4960" w:type="dxa"/>
            <w:vAlign w:val="bottom"/>
            <w:gridSpan w:val="2"/>
          </w:tcPr>
          <w:p>
            <w:pPr>
              <w:ind w:left="60"/>
              <w:spacing w:after="0"/>
              <w:rPr>
                <w:rFonts w:ascii="Arial" w:cs="Arial" w:eastAsia="Arial" w:hAnsi="Arial"/>
                <w:sz w:val="13"/>
                <w:szCs w:val="13"/>
                <w:color w:val="auto"/>
              </w:rPr>
            </w:pPr>
            <w:hyperlink w:anchor="page153">
              <w:r>
                <w:rPr>
                  <w:rFonts w:ascii="Arial" w:cs="Arial" w:eastAsia="Arial" w:hAnsi="Arial"/>
                  <w:sz w:val="13"/>
                  <w:szCs w:val="13"/>
                  <w:color w:val="auto"/>
                </w:rPr>
                <w:t>D. Selling Shareholders</w:t>
              </w:r>
            </w:hyperlink>
          </w:p>
        </w:tc>
        <w:tc>
          <w:tcPr>
            <w:tcW w:w="2560" w:type="dxa"/>
            <w:vAlign w:val="bottom"/>
          </w:tcPr>
          <w:p>
            <w:pPr>
              <w:jc w:val="right"/>
              <w:ind w:right="2074"/>
              <w:spacing w:after="0"/>
              <w:rPr>
                <w:rFonts w:ascii="Arial" w:cs="Arial" w:eastAsia="Arial" w:hAnsi="Arial"/>
                <w:sz w:val="13"/>
                <w:szCs w:val="13"/>
                <w:color w:val="auto"/>
              </w:rPr>
            </w:pPr>
            <w:hyperlink w:anchor="page153">
              <w:r>
                <w:rPr>
                  <w:rFonts w:ascii="Arial" w:cs="Arial" w:eastAsia="Arial" w:hAnsi="Arial"/>
                  <w:sz w:val="13"/>
                  <w:szCs w:val="13"/>
                  <w:color w:val="auto"/>
                </w:rPr>
                <w:t>220</w:t>
              </w:r>
            </w:hyperlink>
          </w:p>
        </w:tc>
      </w:tr>
      <w:tr>
        <w:trPr>
          <w:trHeight w:val="192"/>
        </w:trPr>
        <w:tc>
          <w:tcPr>
            <w:tcW w:w="720" w:type="dxa"/>
            <w:vAlign w:val="bottom"/>
          </w:tcPr>
          <w:p>
            <w:pPr>
              <w:spacing w:after="0"/>
              <w:rPr>
                <w:sz w:val="16"/>
                <w:szCs w:val="16"/>
                <w:color w:val="auto"/>
              </w:rPr>
            </w:pPr>
          </w:p>
        </w:tc>
        <w:tc>
          <w:tcPr>
            <w:tcW w:w="4960" w:type="dxa"/>
            <w:vAlign w:val="bottom"/>
            <w:gridSpan w:val="2"/>
          </w:tcPr>
          <w:p>
            <w:pPr>
              <w:ind w:left="60"/>
              <w:spacing w:after="0"/>
              <w:rPr>
                <w:rFonts w:ascii="Arial" w:cs="Arial" w:eastAsia="Arial" w:hAnsi="Arial"/>
                <w:sz w:val="13"/>
                <w:szCs w:val="13"/>
                <w:color w:val="auto"/>
              </w:rPr>
            </w:pPr>
            <w:hyperlink w:anchor="page154">
              <w:r>
                <w:rPr>
                  <w:rFonts w:ascii="Arial" w:cs="Arial" w:eastAsia="Arial" w:hAnsi="Arial"/>
                  <w:sz w:val="13"/>
                  <w:szCs w:val="13"/>
                  <w:color w:val="auto"/>
                </w:rPr>
                <w:t>E. Dilution</w:t>
              </w:r>
            </w:hyperlink>
          </w:p>
        </w:tc>
        <w:tc>
          <w:tcPr>
            <w:tcW w:w="2560" w:type="dxa"/>
            <w:vAlign w:val="bottom"/>
          </w:tcPr>
          <w:p>
            <w:pPr>
              <w:jc w:val="right"/>
              <w:ind w:right="2074"/>
              <w:spacing w:after="0"/>
              <w:rPr>
                <w:rFonts w:ascii="Arial" w:cs="Arial" w:eastAsia="Arial" w:hAnsi="Arial"/>
                <w:sz w:val="13"/>
                <w:szCs w:val="13"/>
                <w:color w:val="auto"/>
              </w:rPr>
            </w:pPr>
            <w:hyperlink w:anchor="page154">
              <w:r>
                <w:rPr>
                  <w:rFonts w:ascii="Arial" w:cs="Arial" w:eastAsia="Arial" w:hAnsi="Arial"/>
                  <w:sz w:val="13"/>
                  <w:szCs w:val="13"/>
                  <w:color w:val="auto"/>
                </w:rPr>
                <w:t>221</w:t>
              </w:r>
            </w:hyperlink>
          </w:p>
        </w:tc>
      </w:tr>
      <w:tr>
        <w:trPr>
          <w:trHeight w:val="192"/>
        </w:trPr>
        <w:tc>
          <w:tcPr>
            <w:tcW w:w="720" w:type="dxa"/>
            <w:vAlign w:val="bottom"/>
          </w:tcPr>
          <w:p>
            <w:pPr>
              <w:spacing w:after="0"/>
              <w:rPr>
                <w:sz w:val="16"/>
                <w:szCs w:val="16"/>
                <w:color w:val="auto"/>
              </w:rPr>
            </w:pPr>
          </w:p>
        </w:tc>
        <w:tc>
          <w:tcPr>
            <w:tcW w:w="4960" w:type="dxa"/>
            <w:vAlign w:val="bottom"/>
            <w:gridSpan w:val="2"/>
          </w:tcPr>
          <w:p>
            <w:pPr>
              <w:ind w:left="60"/>
              <w:spacing w:after="0"/>
              <w:rPr>
                <w:rFonts w:ascii="Arial" w:cs="Arial" w:eastAsia="Arial" w:hAnsi="Arial"/>
                <w:sz w:val="13"/>
                <w:szCs w:val="13"/>
                <w:color w:val="auto"/>
              </w:rPr>
            </w:pPr>
            <w:hyperlink w:anchor="page154">
              <w:r>
                <w:rPr>
                  <w:rFonts w:ascii="Arial" w:cs="Arial" w:eastAsia="Arial" w:hAnsi="Arial"/>
                  <w:sz w:val="13"/>
                  <w:szCs w:val="13"/>
                  <w:color w:val="auto"/>
                </w:rPr>
                <w:t>F. Expenses of the Issue</w:t>
              </w:r>
            </w:hyperlink>
          </w:p>
        </w:tc>
        <w:tc>
          <w:tcPr>
            <w:tcW w:w="2560" w:type="dxa"/>
            <w:vAlign w:val="bottom"/>
          </w:tcPr>
          <w:p>
            <w:pPr>
              <w:jc w:val="right"/>
              <w:ind w:right="2074"/>
              <w:spacing w:after="0"/>
              <w:rPr>
                <w:rFonts w:ascii="Arial" w:cs="Arial" w:eastAsia="Arial" w:hAnsi="Arial"/>
                <w:sz w:val="13"/>
                <w:szCs w:val="13"/>
                <w:color w:val="auto"/>
              </w:rPr>
            </w:pPr>
            <w:hyperlink w:anchor="page154">
              <w:r>
                <w:rPr>
                  <w:rFonts w:ascii="Arial" w:cs="Arial" w:eastAsia="Arial" w:hAnsi="Arial"/>
                  <w:sz w:val="13"/>
                  <w:szCs w:val="13"/>
                  <w:color w:val="auto"/>
                </w:rPr>
                <w:t>221</w:t>
              </w:r>
            </w:hyperlink>
          </w:p>
        </w:tc>
      </w:tr>
      <w:tr>
        <w:trPr>
          <w:trHeight w:val="283"/>
        </w:trPr>
        <w:tc>
          <w:tcPr>
            <w:tcW w:w="720" w:type="dxa"/>
            <w:vAlign w:val="bottom"/>
          </w:tcPr>
          <w:p>
            <w:pPr>
              <w:ind w:left="20"/>
              <w:spacing w:after="0"/>
              <w:rPr>
                <w:sz w:val="20"/>
                <w:szCs w:val="20"/>
                <w:color w:val="auto"/>
              </w:rPr>
            </w:pPr>
            <w:r>
              <w:rPr>
                <w:rFonts w:ascii="Arial" w:cs="Arial" w:eastAsia="Arial" w:hAnsi="Arial"/>
                <w:sz w:val="13"/>
                <w:szCs w:val="13"/>
                <w:color w:val="auto"/>
              </w:rPr>
              <w:t>ITEM 10.</w:t>
            </w:r>
          </w:p>
        </w:tc>
        <w:tc>
          <w:tcPr>
            <w:tcW w:w="4960" w:type="dxa"/>
            <w:vAlign w:val="bottom"/>
            <w:gridSpan w:val="2"/>
          </w:tcPr>
          <w:p>
            <w:pPr>
              <w:ind w:left="60"/>
              <w:spacing w:after="0"/>
              <w:rPr>
                <w:rFonts w:ascii="Arial" w:cs="Arial" w:eastAsia="Arial" w:hAnsi="Arial"/>
                <w:sz w:val="13"/>
                <w:szCs w:val="13"/>
                <w:color w:val="auto"/>
              </w:rPr>
            </w:pPr>
            <w:hyperlink w:anchor="page154">
              <w:r>
                <w:rPr>
                  <w:rFonts w:ascii="Arial" w:cs="Arial" w:eastAsia="Arial" w:hAnsi="Arial"/>
                  <w:sz w:val="13"/>
                  <w:szCs w:val="13"/>
                  <w:color w:val="auto"/>
                </w:rPr>
                <w:t>ADDITIONAL INFORMATION</w:t>
              </w:r>
            </w:hyperlink>
          </w:p>
        </w:tc>
        <w:tc>
          <w:tcPr>
            <w:tcW w:w="2560" w:type="dxa"/>
            <w:vAlign w:val="bottom"/>
          </w:tcPr>
          <w:p>
            <w:pPr>
              <w:jc w:val="right"/>
              <w:ind w:right="2074"/>
              <w:spacing w:after="0"/>
              <w:rPr>
                <w:rFonts w:ascii="Arial" w:cs="Arial" w:eastAsia="Arial" w:hAnsi="Arial"/>
                <w:sz w:val="13"/>
                <w:szCs w:val="13"/>
                <w:color w:val="auto"/>
              </w:rPr>
            </w:pPr>
            <w:hyperlink w:anchor="page154">
              <w:r>
                <w:rPr>
                  <w:rFonts w:ascii="Arial" w:cs="Arial" w:eastAsia="Arial" w:hAnsi="Arial"/>
                  <w:sz w:val="13"/>
                  <w:szCs w:val="13"/>
                  <w:color w:val="auto"/>
                </w:rPr>
                <w:t>221</w:t>
              </w:r>
            </w:hyperlink>
          </w:p>
        </w:tc>
      </w:tr>
      <w:tr>
        <w:trPr>
          <w:trHeight w:val="192"/>
        </w:trPr>
        <w:tc>
          <w:tcPr>
            <w:tcW w:w="720" w:type="dxa"/>
            <w:vAlign w:val="bottom"/>
          </w:tcPr>
          <w:p>
            <w:pPr>
              <w:spacing w:after="0"/>
              <w:rPr>
                <w:sz w:val="16"/>
                <w:szCs w:val="16"/>
                <w:color w:val="auto"/>
              </w:rPr>
            </w:pPr>
          </w:p>
        </w:tc>
        <w:tc>
          <w:tcPr>
            <w:tcW w:w="4960" w:type="dxa"/>
            <w:vAlign w:val="bottom"/>
            <w:gridSpan w:val="2"/>
          </w:tcPr>
          <w:p>
            <w:pPr>
              <w:ind w:left="60"/>
              <w:spacing w:after="0"/>
              <w:rPr>
                <w:rFonts w:ascii="Arial" w:cs="Arial" w:eastAsia="Arial" w:hAnsi="Arial"/>
                <w:sz w:val="13"/>
                <w:szCs w:val="13"/>
                <w:color w:val="auto"/>
              </w:rPr>
            </w:pPr>
            <w:hyperlink w:anchor="page154">
              <w:r>
                <w:rPr>
                  <w:rFonts w:ascii="Arial" w:cs="Arial" w:eastAsia="Arial" w:hAnsi="Arial"/>
                  <w:sz w:val="13"/>
                  <w:szCs w:val="13"/>
                  <w:color w:val="auto"/>
                </w:rPr>
                <w:t>A. Share Capital</w:t>
              </w:r>
            </w:hyperlink>
          </w:p>
        </w:tc>
        <w:tc>
          <w:tcPr>
            <w:tcW w:w="2560" w:type="dxa"/>
            <w:vAlign w:val="bottom"/>
          </w:tcPr>
          <w:p>
            <w:pPr>
              <w:jc w:val="right"/>
              <w:ind w:right="2074"/>
              <w:spacing w:after="0"/>
              <w:rPr>
                <w:rFonts w:ascii="Arial" w:cs="Arial" w:eastAsia="Arial" w:hAnsi="Arial"/>
                <w:sz w:val="13"/>
                <w:szCs w:val="13"/>
                <w:color w:val="auto"/>
              </w:rPr>
            </w:pPr>
            <w:hyperlink w:anchor="page154">
              <w:r>
                <w:rPr>
                  <w:rFonts w:ascii="Arial" w:cs="Arial" w:eastAsia="Arial" w:hAnsi="Arial"/>
                  <w:sz w:val="13"/>
                  <w:szCs w:val="13"/>
                  <w:color w:val="auto"/>
                </w:rPr>
                <w:t>221</w:t>
              </w:r>
            </w:hyperlink>
          </w:p>
        </w:tc>
      </w:tr>
      <w:tr>
        <w:trPr>
          <w:trHeight w:val="192"/>
        </w:trPr>
        <w:tc>
          <w:tcPr>
            <w:tcW w:w="720" w:type="dxa"/>
            <w:vAlign w:val="bottom"/>
          </w:tcPr>
          <w:p>
            <w:pPr>
              <w:spacing w:after="0"/>
              <w:rPr>
                <w:sz w:val="16"/>
                <w:szCs w:val="16"/>
                <w:color w:val="auto"/>
              </w:rPr>
            </w:pPr>
          </w:p>
        </w:tc>
        <w:tc>
          <w:tcPr>
            <w:tcW w:w="4960" w:type="dxa"/>
            <w:vAlign w:val="bottom"/>
            <w:gridSpan w:val="2"/>
          </w:tcPr>
          <w:p>
            <w:pPr>
              <w:ind w:left="60"/>
              <w:spacing w:after="0"/>
              <w:rPr>
                <w:rFonts w:ascii="Arial" w:cs="Arial" w:eastAsia="Arial" w:hAnsi="Arial"/>
                <w:sz w:val="13"/>
                <w:szCs w:val="13"/>
                <w:color w:val="auto"/>
              </w:rPr>
            </w:pPr>
            <w:hyperlink w:anchor="page154">
              <w:r>
                <w:rPr>
                  <w:rFonts w:ascii="Arial" w:cs="Arial" w:eastAsia="Arial" w:hAnsi="Arial"/>
                  <w:sz w:val="13"/>
                  <w:szCs w:val="13"/>
                  <w:color w:val="auto"/>
                </w:rPr>
                <w:t>B. Memorandum and Articles of Association</w:t>
              </w:r>
            </w:hyperlink>
          </w:p>
        </w:tc>
        <w:tc>
          <w:tcPr>
            <w:tcW w:w="2560" w:type="dxa"/>
            <w:vAlign w:val="bottom"/>
          </w:tcPr>
          <w:p>
            <w:pPr>
              <w:jc w:val="right"/>
              <w:ind w:right="2074"/>
              <w:spacing w:after="0"/>
              <w:rPr>
                <w:rFonts w:ascii="Arial" w:cs="Arial" w:eastAsia="Arial" w:hAnsi="Arial"/>
                <w:sz w:val="13"/>
                <w:szCs w:val="13"/>
                <w:color w:val="auto"/>
              </w:rPr>
            </w:pPr>
            <w:hyperlink w:anchor="page154">
              <w:r>
                <w:rPr>
                  <w:rFonts w:ascii="Arial" w:cs="Arial" w:eastAsia="Arial" w:hAnsi="Arial"/>
                  <w:sz w:val="13"/>
                  <w:szCs w:val="13"/>
                  <w:color w:val="auto"/>
                </w:rPr>
                <w:t>221</w:t>
              </w:r>
            </w:hyperlink>
          </w:p>
        </w:tc>
      </w:tr>
      <w:tr>
        <w:trPr>
          <w:trHeight w:val="192"/>
        </w:trPr>
        <w:tc>
          <w:tcPr>
            <w:tcW w:w="720" w:type="dxa"/>
            <w:vAlign w:val="bottom"/>
          </w:tcPr>
          <w:p>
            <w:pPr>
              <w:spacing w:after="0"/>
              <w:rPr>
                <w:sz w:val="16"/>
                <w:szCs w:val="16"/>
                <w:color w:val="auto"/>
              </w:rPr>
            </w:pPr>
          </w:p>
        </w:tc>
        <w:tc>
          <w:tcPr>
            <w:tcW w:w="4960" w:type="dxa"/>
            <w:vAlign w:val="bottom"/>
            <w:gridSpan w:val="2"/>
          </w:tcPr>
          <w:p>
            <w:pPr>
              <w:ind w:left="60"/>
              <w:spacing w:after="0"/>
              <w:rPr>
                <w:rFonts w:ascii="Arial" w:cs="Arial" w:eastAsia="Arial" w:hAnsi="Arial"/>
                <w:sz w:val="13"/>
                <w:szCs w:val="13"/>
                <w:color w:val="auto"/>
              </w:rPr>
            </w:pPr>
            <w:hyperlink w:anchor="page157">
              <w:r>
                <w:rPr>
                  <w:rFonts w:ascii="Arial" w:cs="Arial" w:eastAsia="Arial" w:hAnsi="Arial"/>
                  <w:sz w:val="13"/>
                  <w:szCs w:val="13"/>
                  <w:color w:val="auto"/>
                </w:rPr>
                <w:t>C. Material Contracts</w:t>
              </w:r>
            </w:hyperlink>
          </w:p>
        </w:tc>
        <w:tc>
          <w:tcPr>
            <w:tcW w:w="2560" w:type="dxa"/>
            <w:vAlign w:val="bottom"/>
          </w:tcPr>
          <w:p>
            <w:pPr>
              <w:jc w:val="right"/>
              <w:ind w:right="2074"/>
              <w:spacing w:after="0"/>
              <w:rPr>
                <w:rFonts w:ascii="Arial" w:cs="Arial" w:eastAsia="Arial" w:hAnsi="Arial"/>
                <w:sz w:val="13"/>
                <w:szCs w:val="13"/>
                <w:color w:val="auto"/>
              </w:rPr>
            </w:pPr>
            <w:hyperlink w:anchor="page157">
              <w:r>
                <w:rPr>
                  <w:rFonts w:ascii="Arial" w:cs="Arial" w:eastAsia="Arial" w:hAnsi="Arial"/>
                  <w:sz w:val="13"/>
                  <w:szCs w:val="13"/>
                  <w:color w:val="auto"/>
                </w:rPr>
                <w:t>226</w:t>
              </w:r>
            </w:hyperlink>
          </w:p>
        </w:tc>
      </w:tr>
      <w:tr>
        <w:trPr>
          <w:trHeight w:val="192"/>
        </w:trPr>
        <w:tc>
          <w:tcPr>
            <w:tcW w:w="720" w:type="dxa"/>
            <w:vAlign w:val="bottom"/>
          </w:tcPr>
          <w:p>
            <w:pPr>
              <w:spacing w:after="0"/>
              <w:rPr>
                <w:sz w:val="16"/>
                <w:szCs w:val="16"/>
                <w:color w:val="auto"/>
              </w:rPr>
            </w:pPr>
          </w:p>
        </w:tc>
        <w:tc>
          <w:tcPr>
            <w:tcW w:w="4960" w:type="dxa"/>
            <w:vAlign w:val="bottom"/>
            <w:gridSpan w:val="2"/>
          </w:tcPr>
          <w:p>
            <w:pPr>
              <w:ind w:left="60"/>
              <w:spacing w:after="0"/>
              <w:rPr>
                <w:rFonts w:ascii="Arial" w:cs="Arial" w:eastAsia="Arial" w:hAnsi="Arial"/>
                <w:sz w:val="13"/>
                <w:szCs w:val="13"/>
                <w:color w:val="auto"/>
              </w:rPr>
            </w:pPr>
            <w:hyperlink w:anchor="page158">
              <w:r>
                <w:rPr>
                  <w:rFonts w:ascii="Arial" w:cs="Arial" w:eastAsia="Arial" w:hAnsi="Arial"/>
                  <w:sz w:val="13"/>
                  <w:szCs w:val="13"/>
                  <w:color w:val="auto"/>
                </w:rPr>
                <w:t>D. Exchange Controls</w:t>
              </w:r>
            </w:hyperlink>
          </w:p>
        </w:tc>
        <w:tc>
          <w:tcPr>
            <w:tcW w:w="2560" w:type="dxa"/>
            <w:vAlign w:val="bottom"/>
          </w:tcPr>
          <w:p>
            <w:pPr>
              <w:jc w:val="right"/>
              <w:ind w:right="2074"/>
              <w:spacing w:after="0"/>
              <w:rPr>
                <w:rFonts w:ascii="Arial" w:cs="Arial" w:eastAsia="Arial" w:hAnsi="Arial"/>
                <w:sz w:val="13"/>
                <w:szCs w:val="13"/>
                <w:color w:val="auto"/>
              </w:rPr>
            </w:pPr>
            <w:hyperlink w:anchor="page158">
              <w:r>
                <w:rPr>
                  <w:rFonts w:ascii="Arial" w:cs="Arial" w:eastAsia="Arial" w:hAnsi="Arial"/>
                  <w:sz w:val="13"/>
                  <w:szCs w:val="13"/>
                  <w:color w:val="auto"/>
                </w:rPr>
                <w:t>226</w:t>
              </w:r>
            </w:hyperlink>
          </w:p>
        </w:tc>
      </w:tr>
      <w:tr>
        <w:trPr>
          <w:trHeight w:val="192"/>
        </w:trPr>
        <w:tc>
          <w:tcPr>
            <w:tcW w:w="720" w:type="dxa"/>
            <w:vAlign w:val="bottom"/>
          </w:tcPr>
          <w:p>
            <w:pPr>
              <w:spacing w:after="0"/>
              <w:rPr>
                <w:sz w:val="16"/>
                <w:szCs w:val="16"/>
                <w:color w:val="auto"/>
              </w:rPr>
            </w:pPr>
          </w:p>
        </w:tc>
        <w:tc>
          <w:tcPr>
            <w:tcW w:w="4960" w:type="dxa"/>
            <w:vAlign w:val="bottom"/>
            <w:gridSpan w:val="2"/>
          </w:tcPr>
          <w:p>
            <w:pPr>
              <w:ind w:left="60"/>
              <w:spacing w:after="0"/>
              <w:rPr>
                <w:rFonts w:ascii="Arial" w:cs="Arial" w:eastAsia="Arial" w:hAnsi="Arial"/>
                <w:sz w:val="13"/>
                <w:szCs w:val="13"/>
                <w:color w:val="auto"/>
              </w:rPr>
            </w:pPr>
            <w:hyperlink w:anchor="page158">
              <w:r>
                <w:rPr>
                  <w:rFonts w:ascii="Arial" w:cs="Arial" w:eastAsia="Arial" w:hAnsi="Arial"/>
                  <w:sz w:val="13"/>
                  <w:szCs w:val="13"/>
                  <w:color w:val="auto"/>
                </w:rPr>
                <w:t>E. Taxation</w:t>
              </w:r>
            </w:hyperlink>
          </w:p>
        </w:tc>
        <w:tc>
          <w:tcPr>
            <w:tcW w:w="2560" w:type="dxa"/>
            <w:vAlign w:val="bottom"/>
          </w:tcPr>
          <w:p>
            <w:pPr>
              <w:jc w:val="right"/>
              <w:ind w:right="2074"/>
              <w:spacing w:after="0"/>
              <w:rPr>
                <w:rFonts w:ascii="Arial" w:cs="Arial" w:eastAsia="Arial" w:hAnsi="Arial"/>
                <w:sz w:val="13"/>
                <w:szCs w:val="13"/>
                <w:color w:val="auto"/>
              </w:rPr>
            </w:pPr>
            <w:hyperlink w:anchor="page158">
              <w:r>
                <w:rPr>
                  <w:rFonts w:ascii="Arial" w:cs="Arial" w:eastAsia="Arial" w:hAnsi="Arial"/>
                  <w:sz w:val="13"/>
                  <w:szCs w:val="13"/>
                  <w:color w:val="auto"/>
                </w:rPr>
                <w:t>227</w:t>
              </w:r>
            </w:hyperlink>
          </w:p>
        </w:tc>
      </w:tr>
      <w:tr>
        <w:trPr>
          <w:trHeight w:val="192"/>
        </w:trPr>
        <w:tc>
          <w:tcPr>
            <w:tcW w:w="720" w:type="dxa"/>
            <w:vAlign w:val="bottom"/>
          </w:tcPr>
          <w:p>
            <w:pPr>
              <w:spacing w:after="0"/>
              <w:rPr>
                <w:sz w:val="16"/>
                <w:szCs w:val="16"/>
                <w:color w:val="auto"/>
              </w:rPr>
            </w:pPr>
          </w:p>
        </w:tc>
        <w:tc>
          <w:tcPr>
            <w:tcW w:w="4960" w:type="dxa"/>
            <w:vAlign w:val="bottom"/>
            <w:gridSpan w:val="2"/>
          </w:tcPr>
          <w:p>
            <w:pPr>
              <w:ind w:left="60"/>
              <w:spacing w:after="0"/>
              <w:rPr>
                <w:rFonts w:ascii="Arial" w:cs="Arial" w:eastAsia="Arial" w:hAnsi="Arial"/>
                <w:sz w:val="13"/>
                <w:szCs w:val="13"/>
                <w:color w:val="auto"/>
              </w:rPr>
            </w:pPr>
            <w:hyperlink w:anchor="page165">
              <w:r>
                <w:rPr>
                  <w:rFonts w:ascii="Arial" w:cs="Arial" w:eastAsia="Arial" w:hAnsi="Arial"/>
                  <w:sz w:val="13"/>
                  <w:szCs w:val="13"/>
                  <w:color w:val="auto"/>
                </w:rPr>
                <w:t>F. Dividends and Paying Agents</w:t>
              </w:r>
            </w:hyperlink>
          </w:p>
        </w:tc>
        <w:tc>
          <w:tcPr>
            <w:tcW w:w="2560" w:type="dxa"/>
            <w:vAlign w:val="bottom"/>
          </w:tcPr>
          <w:p>
            <w:pPr>
              <w:jc w:val="right"/>
              <w:ind w:right="2074"/>
              <w:spacing w:after="0"/>
              <w:rPr>
                <w:rFonts w:ascii="Arial" w:cs="Arial" w:eastAsia="Arial" w:hAnsi="Arial"/>
                <w:sz w:val="13"/>
                <w:szCs w:val="13"/>
                <w:color w:val="auto"/>
              </w:rPr>
            </w:pPr>
            <w:hyperlink w:anchor="page165">
              <w:r>
                <w:rPr>
                  <w:rFonts w:ascii="Arial" w:cs="Arial" w:eastAsia="Arial" w:hAnsi="Arial"/>
                  <w:sz w:val="13"/>
                  <w:szCs w:val="13"/>
                  <w:color w:val="auto"/>
                </w:rPr>
                <w:t>237</w:t>
              </w:r>
            </w:hyperlink>
          </w:p>
        </w:tc>
      </w:tr>
      <w:tr>
        <w:trPr>
          <w:trHeight w:val="192"/>
        </w:trPr>
        <w:tc>
          <w:tcPr>
            <w:tcW w:w="720" w:type="dxa"/>
            <w:vAlign w:val="bottom"/>
          </w:tcPr>
          <w:p>
            <w:pPr>
              <w:spacing w:after="0"/>
              <w:rPr>
                <w:sz w:val="16"/>
                <w:szCs w:val="16"/>
                <w:color w:val="auto"/>
              </w:rPr>
            </w:pPr>
          </w:p>
        </w:tc>
        <w:tc>
          <w:tcPr>
            <w:tcW w:w="4960" w:type="dxa"/>
            <w:vAlign w:val="bottom"/>
            <w:gridSpan w:val="2"/>
          </w:tcPr>
          <w:p>
            <w:pPr>
              <w:ind w:left="60"/>
              <w:spacing w:after="0"/>
              <w:rPr>
                <w:rFonts w:ascii="Arial" w:cs="Arial" w:eastAsia="Arial" w:hAnsi="Arial"/>
                <w:sz w:val="13"/>
                <w:szCs w:val="13"/>
                <w:color w:val="auto"/>
              </w:rPr>
            </w:pPr>
            <w:hyperlink w:anchor="page165">
              <w:r>
                <w:rPr>
                  <w:rFonts w:ascii="Arial" w:cs="Arial" w:eastAsia="Arial" w:hAnsi="Arial"/>
                  <w:sz w:val="13"/>
                  <w:szCs w:val="13"/>
                  <w:color w:val="auto"/>
                </w:rPr>
                <w:t>G. Statement by Experts</w:t>
              </w:r>
            </w:hyperlink>
          </w:p>
        </w:tc>
        <w:tc>
          <w:tcPr>
            <w:tcW w:w="2560" w:type="dxa"/>
            <w:vAlign w:val="bottom"/>
          </w:tcPr>
          <w:p>
            <w:pPr>
              <w:jc w:val="right"/>
              <w:ind w:right="2074"/>
              <w:spacing w:after="0"/>
              <w:rPr>
                <w:rFonts w:ascii="Arial" w:cs="Arial" w:eastAsia="Arial" w:hAnsi="Arial"/>
                <w:sz w:val="13"/>
                <w:szCs w:val="13"/>
                <w:color w:val="auto"/>
              </w:rPr>
            </w:pPr>
            <w:hyperlink w:anchor="page165">
              <w:r>
                <w:rPr>
                  <w:rFonts w:ascii="Arial" w:cs="Arial" w:eastAsia="Arial" w:hAnsi="Arial"/>
                  <w:sz w:val="13"/>
                  <w:szCs w:val="13"/>
                  <w:color w:val="auto"/>
                </w:rPr>
                <w:t>237</w:t>
              </w:r>
            </w:hyperlink>
          </w:p>
        </w:tc>
      </w:tr>
      <w:tr>
        <w:trPr>
          <w:trHeight w:val="192"/>
        </w:trPr>
        <w:tc>
          <w:tcPr>
            <w:tcW w:w="720" w:type="dxa"/>
            <w:vAlign w:val="bottom"/>
          </w:tcPr>
          <w:p>
            <w:pPr>
              <w:spacing w:after="0"/>
              <w:rPr>
                <w:sz w:val="16"/>
                <w:szCs w:val="16"/>
                <w:color w:val="auto"/>
              </w:rPr>
            </w:pPr>
          </w:p>
        </w:tc>
        <w:tc>
          <w:tcPr>
            <w:tcW w:w="4960" w:type="dxa"/>
            <w:vAlign w:val="bottom"/>
            <w:gridSpan w:val="2"/>
          </w:tcPr>
          <w:p>
            <w:pPr>
              <w:ind w:left="60"/>
              <w:spacing w:after="0"/>
              <w:rPr>
                <w:rFonts w:ascii="Arial" w:cs="Arial" w:eastAsia="Arial" w:hAnsi="Arial"/>
                <w:sz w:val="13"/>
                <w:szCs w:val="13"/>
                <w:color w:val="auto"/>
              </w:rPr>
            </w:pPr>
            <w:hyperlink w:anchor="page165">
              <w:r>
                <w:rPr>
                  <w:rFonts w:ascii="Arial" w:cs="Arial" w:eastAsia="Arial" w:hAnsi="Arial"/>
                  <w:sz w:val="13"/>
                  <w:szCs w:val="13"/>
                  <w:color w:val="auto"/>
                </w:rPr>
                <w:t>H. Documents on Display</w:t>
              </w:r>
            </w:hyperlink>
          </w:p>
        </w:tc>
        <w:tc>
          <w:tcPr>
            <w:tcW w:w="2560" w:type="dxa"/>
            <w:vAlign w:val="bottom"/>
          </w:tcPr>
          <w:p>
            <w:pPr>
              <w:jc w:val="right"/>
              <w:ind w:right="2074"/>
              <w:spacing w:after="0"/>
              <w:rPr>
                <w:rFonts w:ascii="Arial" w:cs="Arial" w:eastAsia="Arial" w:hAnsi="Arial"/>
                <w:sz w:val="13"/>
                <w:szCs w:val="13"/>
                <w:color w:val="auto"/>
              </w:rPr>
            </w:pPr>
            <w:hyperlink w:anchor="page165">
              <w:r>
                <w:rPr>
                  <w:rFonts w:ascii="Arial" w:cs="Arial" w:eastAsia="Arial" w:hAnsi="Arial"/>
                  <w:sz w:val="13"/>
                  <w:szCs w:val="13"/>
                  <w:color w:val="auto"/>
                </w:rPr>
                <w:t>238</w:t>
              </w:r>
            </w:hyperlink>
          </w:p>
        </w:tc>
      </w:tr>
      <w:tr>
        <w:trPr>
          <w:trHeight w:val="192"/>
        </w:trPr>
        <w:tc>
          <w:tcPr>
            <w:tcW w:w="720" w:type="dxa"/>
            <w:vAlign w:val="bottom"/>
          </w:tcPr>
          <w:p>
            <w:pPr>
              <w:spacing w:after="0"/>
              <w:rPr>
                <w:sz w:val="16"/>
                <w:szCs w:val="16"/>
                <w:color w:val="auto"/>
              </w:rPr>
            </w:pPr>
          </w:p>
        </w:tc>
        <w:tc>
          <w:tcPr>
            <w:tcW w:w="4960" w:type="dxa"/>
            <w:vAlign w:val="bottom"/>
            <w:gridSpan w:val="2"/>
          </w:tcPr>
          <w:p>
            <w:pPr>
              <w:ind w:left="60"/>
              <w:spacing w:after="0"/>
              <w:rPr>
                <w:rFonts w:ascii="Arial" w:cs="Arial" w:eastAsia="Arial" w:hAnsi="Arial"/>
                <w:sz w:val="13"/>
                <w:szCs w:val="13"/>
                <w:color w:val="auto"/>
              </w:rPr>
            </w:pPr>
            <w:hyperlink w:anchor="page165">
              <w:r>
                <w:rPr>
                  <w:rFonts w:ascii="Arial" w:cs="Arial" w:eastAsia="Arial" w:hAnsi="Arial"/>
                  <w:sz w:val="13"/>
                  <w:szCs w:val="13"/>
                  <w:color w:val="auto"/>
                </w:rPr>
                <w:t>I. Subsidiary Information</w:t>
              </w:r>
            </w:hyperlink>
          </w:p>
        </w:tc>
        <w:tc>
          <w:tcPr>
            <w:tcW w:w="2560" w:type="dxa"/>
            <w:vAlign w:val="bottom"/>
          </w:tcPr>
          <w:p>
            <w:pPr>
              <w:jc w:val="right"/>
              <w:ind w:right="2074"/>
              <w:spacing w:after="0"/>
              <w:rPr>
                <w:rFonts w:ascii="Arial" w:cs="Arial" w:eastAsia="Arial" w:hAnsi="Arial"/>
                <w:sz w:val="13"/>
                <w:szCs w:val="13"/>
                <w:color w:val="auto"/>
              </w:rPr>
            </w:pPr>
            <w:hyperlink w:anchor="page165">
              <w:r>
                <w:rPr>
                  <w:rFonts w:ascii="Arial" w:cs="Arial" w:eastAsia="Arial" w:hAnsi="Arial"/>
                  <w:sz w:val="13"/>
                  <w:szCs w:val="13"/>
                  <w:color w:val="auto"/>
                </w:rPr>
                <w:t>238</w:t>
              </w:r>
            </w:hyperlink>
          </w:p>
        </w:tc>
      </w:tr>
      <w:tr>
        <w:trPr>
          <w:trHeight w:val="192"/>
        </w:trPr>
        <w:tc>
          <w:tcPr>
            <w:tcW w:w="720" w:type="dxa"/>
            <w:vAlign w:val="bottom"/>
          </w:tcPr>
          <w:p>
            <w:pPr>
              <w:spacing w:after="0"/>
              <w:rPr>
                <w:sz w:val="16"/>
                <w:szCs w:val="16"/>
                <w:color w:val="auto"/>
              </w:rPr>
            </w:pPr>
          </w:p>
        </w:tc>
        <w:tc>
          <w:tcPr>
            <w:tcW w:w="4960" w:type="dxa"/>
            <w:vAlign w:val="bottom"/>
            <w:gridSpan w:val="2"/>
          </w:tcPr>
          <w:p>
            <w:pPr>
              <w:ind w:left="60"/>
              <w:spacing w:after="0"/>
              <w:rPr>
                <w:rFonts w:ascii="Arial" w:cs="Arial" w:eastAsia="Arial" w:hAnsi="Arial"/>
                <w:sz w:val="13"/>
                <w:szCs w:val="13"/>
                <w:color w:val="auto"/>
              </w:rPr>
            </w:pPr>
            <w:hyperlink w:anchor="page166">
              <w:r>
                <w:rPr>
                  <w:rFonts w:ascii="Arial" w:cs="Arial" w:eastAsia="Arial" w:hAnsi="Arial"/>
                  <w:sz w:val="13"/>
                  <w:szCs w:val="13"/>
                  <w:color w:val="auto"/>
                </w:rPr>
                <w:t>J. Annual Report to Security Holders</w:t>
              </w:r>
            </w:hyperlink>
          </w:p>
        </w:tc>
        <w:tc>
          <w:tcPr>
            <w:tcW w:w="2560" w:type="dxa"/>
            <w:vAlign w:val="bottom"/>
          </w:tcPr>
          <w:p>
            <w:pPr>
              <w:jc w:val="right"/>
              <w:ind w:right="2074"/>
              <w:spacing w:after="0"/>
              <w:rPr>
                <w:rFonts w:ascii="Arial" w:cs="Arial" w:eastAsia="Arial" w:hAnsi="Arial"/>
                <w:sz w:val="13"/>
                <w:szCs w:val="13"/>
                <w:color w:val="auto"/>
              </w:rPr>
            </w:pPr>
            <w:hyperlink w:anchor="page166">
              <w:r>
                <w:rPr>
                  <w:rFonts w:ascii="Arial" w:cs="Arial" w:eastAsia="Arial" w:hAnsi="Arial"/>
                  <w:sz w:val="13"/>
                  <w:szCs w:val="13"/>
                  <w:color w:val="auto"/>
                </w:rPr>
                <w:t>238</w:t>
              </w:r>
            </w:hyperlink>
          </w:p>
        </w:tc>
      </w:tr>
      <w:tr>
        <w:trPr>
          <w:trHeight w:val="283"/>
        </w:trPr>
        <w:tc>
          <w:tcPr>
            <w:tcW w:w="720" w:type="dxa"/>
            <w:vAlign w:val="bottom"/>
          </w:tcPr>
          <w:p>
            <w:pPr>
              <w:ind w:left="20"/>
              <w:spacing w:after="0"/>
              <w:rPr>
                <w:sz w:val="20"/>
                <w:szCs w:val="20"/>
                <w:color w:val="auto"/>
              </w:rPr>
            </w:pPr>
            <w:r>
              <w:rPr>
                <w:rFonts w:ascii="Arial" w:cs="Arial" w:eastAsia="Arial" w:hAnsi="Arial"/>
                <w:sz w:val="13"/>
                <w:szCs w:val="13"/>
                <w:color w:val="auto"/>
              </w:rPr>
              <w:t>ITEM 11.</w:t>
            </w:r>
          </w:p>
        </w:tc>
        <w:tc>
          <w:tcPr>
            <w:tcW w:w="4960" w:type="dxa"/>
            <w:vAlign w:val="bottom"/>
            <w:gridSpan w:val="2"/>
          </w:tcPr>
          <w:p>
            <w:pPr>
              <w:ind w:left="60"/>
              <w:spacing w:after="0"/>
              <w:rPr>
                <w:rFonts w:ascii="Arial" w:cs="Arial" w:eastAsia="Arial" w:hAnsi="Arial"/>
                <w:sz w:val="13"/>
                <w:szCs w:val="13"/>
                <w:color w:val="auto"/>
              </w:rPr>
            </w:pPr>
            <w:hyperlink w:anchor="page166">
              <w:r>
                <w:rPr>
                  <w:rFonts w:ascii="Arial" w:cs="Arial" w:eastAsia="Arial" w:hAnsi="Arial"/>
                  <w:sz w:val="13"/>
                  <w:szCs w:val="13"/>
                  <w:color w:val="auto"/>
                </w:rPr>
                <w:t>QUANTITATIVE AND QUALITATIVE DISCLOSURES ABOUT MARKET RISK</w:t>
              </w:r>
            </w:hyperlink>
          </w:p>
        </w:tc>
        <w:tc>
          <w:tcPr>
            <w:tcW w:w="2560" w:type="dxa"/>
            <w:vAlign w:val="bottom"/>
          </w:tcPr>
          <w:p>
            <w:pPr>
              <w:jc w:val="right"/>
              <w:ind w:right="2074"/>
              <w:spacing w:after="0"/>
              <w:rPr>
                <w:rFonts w:ascii="Arial" w:cs="Arial" w:eastAsia="Arial" w:hAnsi="Arial"/>
                <w:sz w:val="13"/>
                <w:szCs w:val="13"/>
                <w:color w:val="auto"/>
              </w:rPr>
            </w:pPr>
            <w:hyperlink w:anchor="page166">
              <w:r>
                <w:rPr>
                  <w:rFonts w:ascii="Arial" w:cs="Arial" w:eastAsia="Arial" w:hAnsi="Arial"/>
                  <w:sz w:val="13"/>
                  <w:szCs w:val="13"/>
                  <w:color w:val="auto"/>
                </w:rPr>
                <w:t>238</w:t>
              </w:r>
            </w:hyperlink>
          </w:p>
        </w:tc>
      </w:tr>
      <w:tr>
        <w:trPr>
          <w:trHeight w:val="283"/>
        </w:trPr>
        <w:tc>
          <w:tcPr>
            <w:tcW w:w="720" w:type="dxa"/>
            <w:vAlign w:val="bottom"/>
          </w:tcPr>
          <w:p>
            <w:pPr>
              <w:ind w:left="20"/>
              <w:spacing w:after="0"/>
              <w:rPr>
                <w:sz w:val="20"/>
                <w:szCs w:val="20"/>
                <w:color w:val="auto"/>
              </w:rPr>
            </w:pPr>
            <w:r>
              <w:rPr>
                <w:rFonts w:ascii="Arial" w:cs="Arial" w:eastAsia="Arial" w:hAnsi="Arial"/>
                <w:sz w:val="13"/>
                <w:szCs w:val="13"/>
                <w:color w:val="auto"/>
              </w:rPr>
              <w:t>ITEM 12.</w:t>
            </w:r>
          </w:p>
        </w:tc>
        <w:tc>
          <w:tcPr>
            <w:tcW w:w="4960" w:type="dxa"/>
            <w:vAlign w:val="bottom"/>
            <w:gridSpan w:val="2"/>
          </w:tcPr>
          <w:p>
            <w:pPr>
              <w:ind w:left="60"/>
              <w:spacing w:after="0"/>
              <w:rPr>
                <w:rFonts w:ascii="Arial" w:cs="Arial" w:eastAsia="Arial" w:hAnsi="Arial"/>
                <w:sz w:val="13"/>
                <w:szCs w:val="13"/>
                <w:color w:val="auto"/>
              </w:rPr>
            </w:pPr>
            <w:hyperlink w:anchor="page166">
              <w:r>
                <w:rPr>
                  <w:rFonts w:ascii="Arial" w:cs="Arial" w:eastAsia="Arial" w:hAnsi="Arial"/>
                  <w:sz w:val="13"/>
                  <w:szCs w:val="13"/>
                  <w:color w:val="auto"/>
                </w:rPr>
                <w:t>DESCRIPTION OF SECURITIES OTHER THAN EQUITY SECURITIES</w:t>
              </w:r>
            </w:hyperlink>
          </w:p>
        </w:tc>
        <w:tc>
          <w:tcPr>
            <w:tcW w:w="2560" w:type="dxa"/>
            <w:vAlign w:val="bottom"/>
          </w:tcPr>
          <w:p>
            <w:pPr>
              <w:jc w:val="right"/>
              <w:ind w:right="2074"/>
              <w:spacing w:after="0"/>
              <w:rPr>
                <w:rFonts w:ascii="Arial" w:cs="Arial" w:eastAsia="Arial" w:hAnsi="Arial"/>
                <w:sz w:val="13"/>
                <w:szCs w:val="13"/>
                <w:color w:val="auto"/>
              </w:rPr>
            </w:pPr>
            <w:hyperlink w:anchor="page166">
              <w:r>
                <w:rPr>
                  <w:rFonts w:ascii="Arial" w:cs="Arial" w:eastAsia="Arial" w:hAnsi="Arial"/>
                  <w:sz w:val="13"/>
                  <w:szCs w:val="13"/>
                  <w:color w:val="auto"/>
                </w:rPr>
                <w:t>239</w:t>
              </w:r>
            </w:hyperlink>
          </w:p>
        </w:tc>
      </w:tr>
      <w:tr>
        <w:trPr>
          <w:trHeight w:val="192"/>
        </w:trPr>
        <w:tc>
          <w:tcPr>
            <w:tcW w:w="720" w:type="dxa"/>
            <w:vAlign w:val="bottom"/>
          </w:tcPr>
          <w:p>
            <w:pPr>
              <w:spacing w:after="0"/>
              <w:rPr>
                <w:sz w:val="16"/>
                <w:szCs w:val="16"/>
                <w:color w:val="auto"/>
              </w:rPr>
            </w:pPr>
          </w:p>
        </w:tc>
        <w:tc>
          <w:tcPr>
            <w:tcW w:w="4960" w:type="dxa"/>
            <w:vAlign w:val="bottom"/>
            <w:gridSpan w:val="2"/>
          </w:tcPr>
          <w:p>
            <w:pPr>
              <w:ind w:left="60"/>
              <w:spacing w:after="0"/>
              <w:rPr>
                <w:rFonts w:ascii="Arial" w:cs="Arial" w:eastAsia="Arial" w:hAnsi="Arial"/>
                <w:sz w:val="13"/>
                <w:szCs w:val="13"/>
                <w:color w:val="auto"/>
              </w:rPr>
            </w:pPr>
            <w:hyperlink w:anchor="page166">
              <w:r>
                <w:rPr>
                  <w:rFonts w:ascii="Arial" w:cs="Arial" w:eastAsia="Arial" w:hAnsi="Arial"/>
                  <w:sz w:val="13"/>
                  <w:szCs w:val="13"/>
                  <w:color w:val="auto"/>
                </w:rPr>
                <w:t>A. Debt Securities</w:t>
              </w:r>
            </w:hyperlink>
          </w:p>
        </w:tc>
        <w:tc>
          <w:tcPr>
            <w:tcW w:w="2560" w:type="dxa"/>
            <w:vAlign w:val="bottom"/>
          </w:tcPr>
          <w:p>
            <w:pPr>
              <w:jc w:val="right"/>
              <w:ind w:right="2074"/>
              <w:spacing w:after="0"/>
              <w:rPr>
                <w:rFonts w:ascii="Arial" w:cs="Arial" w:eastAsia="Arial" w:hAnsi="Arial"/>
                <w:sz w:val="13"/>
                <w:szCs w:val="13"/>
                <w:color w:val="auto"/>
              </w:rPr>
            </w:pPr>
            <w:hyperlink w:anchor="page166">
              <w:r>
                <w:rPr>
                  <w:rFonts w:ascii="Arial" w:cs="Arial" w:eastAsia="Arial" w:hAnsi="Arial"/>
                  <w:sz w:val="13"/>
                  <w:szCs w:val="13"/>
                  <w:color w:val="auto"/>
                </w:rPr>
                <w:t>239</w:t>
              </w:r>
            </w:hyperlink>
          </w:p>
        </w:tc>
      </w:tr>
      <w:tr>
        <w:trPr>
          <w:trHeight w:val="192"/>
        </w:trPr>
        <w:tc>
          <w:tcPr>
            <w:tcW w:w="720" w:type="dxa"/>
            <w:vAlign w:val="bottom"/>
          </w:tcPr>
          <w:p>
            <w:pPr>
              <w:spacing w:after="0"/>
              <w:rPr>
                <w:sz w:val="16"/>
                <w:szCs w:val="16"/>
                <w:color w:val="auto"/>
              </w:rPr>
            </w:pPr>
          </w:p>
        </w:tc>
        <w:tc>
          <w:tcPr>
            <w:tcW w:w="4960" w:type="dxa"/>
            <w:vAlign w:val="bottom"/>
            <w:gridSpan w:val="2"/>
          </w:tcPr>
          <w:p>
            <w:pPr>
              <w:ind w:left="60"/>
              <w:spacing w:after="0"/>
              <w:rPr>
                <w:rFonts w:ascii="Arial" w:cs="Arial" w:eastAsia="Arial" w:hAnsi="Arial"/>
                <w:sz w:val="13"/>
                <w:szCs w:val="13"/>
                <w:color w:val="auto"/>
              </w:rPr>
            </w:pPr>
            <w:hyperlink w:anchor="page166">
              <w:r>
                <w:rPr>
                  <w:rFonts w:ascii="Arial" w:cs="Arial" w:eastAsia="Arial" w:hAnsi="Arial"/>
                  <w:sz w:val="13"/>
                  <w:szCs w:val="13"/>
                  <w:color w:val="auto"/>
                </w:rPr>
                <w:t>B. Warrants and Rights</w:t>
              </w:r>
            </w:hyperlink>
          </w:p>
        </w:tc>
        <w:tc>
          <w:tcPr>
            <w:tcW w:w="2560" w:type="dxa"/>
            <w:vAlign w:val="bottom"/>
          </w:tcPr>
          <w:p>
            <w:pPr>
              <w:jc w:val="right"/>
              <w:ind w:right="2074"/>
              <w:spacing w:after="0"/>
              <w:rPr>
                <w:rFonts w:ascii="Arial" w:cs="Arial" w:eastAsia="Arial" w:hAnsi="Arial"/>
                <w:sz w:val="13"/>
                <w:szCs w:val="13"/>
                <w:color w:val="auto"/>
              </w:rPr>
            </w:pPr>
            <w:hyperlink w:anchor="page166">
              <w:r>
                <w:rPr>
                  <w:rFonts w:ascii="Arial" w:cs="Arial" w:eastAsia="Arial" w:hAnsi="Arial"/>
                  <w:sz w:val="13"/>
                  <w:szCs w:val="13"/>
                  <w:color w:val="auto"/>
                </w:rPr>
                <w:t>239</w:t>
              </w:r>
            </w:hyperlink>
          </w:p>
        </w:tc>
      </w:tr>
      <w:tr>
        <w:trPr>
          <w:trHeight w:val="192"/>
        </w:trPr>
        <w:tc>
          <w:tcPr>
            <w:tcW w:w="720" w:type="dxa"/>
            <w:vAlign w:val="bottom"/>
          </w:tcPr>
          <w:p>
            <w:pPr>
              <w:spacing w:after="0"/>
              <w:rPr>
                <w:sz w:val="16"/>
                <w:szCs w:val="16"/>
                <w:color w:val="auto"/>
              </w:rPr>
            </w:pPr>
          </w:p>
        </w:tc>
        <w:tc>
          <w:tcPr>
            <w:tcW w:w="4960" w:type="dxa"/>
            <w:vAlign w:val="bottom"/>
            <w:gridSpan w:val="2"/>
          </w:tcPr>
          <w:p>
            <w:pPr>
              <w:ind w:left="60"/>
              <w:spacing w:after="0"/>
              <w:rPr>
                <w:rFonts w:ascii="Arial" w:cs="Arial" w:eastAsia="Arial" w:hAnsi="Arial"/>
                <w:sz w:val="13"/>
                <w:szCs w:val="13"/>
                <w:color w:val="auto"/>
              </w:rPr>
            </w:pPr>
            <w:hyperlink w:anchor="page166">
              <w:r>
                <w:rPr>
                  <w:rFonts w:ascii="Arial" w:cs="Arial" w:eastAsia="Arial" w:hAnsi="Arial"/>
                  <w:sz w:val="13"/>
                  <w:szCs w:val="13"/>
                  <w:color w:val="auto"/>
                </w:rPr>
                <w:t>C. Other Securities</w:t>
              </w:r>
            </w:hyperlink>
          </w:p>
        </w:tc>
        <w:tc>
          <w:tcPr>
            <w:tcW w:w="2560" w:type="dxa"/>
            <w:vAlign w:val="bottom"/>
          </w:tcPr>
          <w:p>
            <w:pPr>
              <w:jc w:val="right"/>
              <w:ind w:right="2074"/>
              <w:spacing w:after="0"/>
              <w:rPr>
                <w:rFonts w:ascii="Arial" w:cs="Arial" w:eastAsia="Arial" w:hAnsi="Arial"/>
                <w:sz w:val="13"/>
                <w:szCs w:val="13"/>
                <w:color w:val="auto"/>
              </w:rPr>
            </w:pPr>
            <w:hyperlink w:anchor="page166">
              <w:r>
                <w:rPr>
                  <w:rFonts w:ascii="Arial" w:cs="Arial" w:eastAsia="Arial" w:hAnsi="Arial"/>
                  <w:sz w:val="13"/>
                  <w:szCs w:val="13"/>
                  <w:color w:val="auto"/>
                </w:rPr>
                <w:t>239</w:t>
              </w:r>
            </w:hyperlink>
          </w:p>
        </w:tc>
      </w:tr>
      <w:tr>
        <w:trPr>
          <w:trHeight w:val="192"/>
        </w:trPr>
        <w:tc>
          <w:tcPr>
            <w:tcW w:w="720" w:type="dxa"/>
            <w:vAlign w:val="bottom"/>
          </w:tcPr>
          <w:p>
            <w:pPr>
              <w:spacing w:after="0"/>
              <w:rPr>
                <w:sz w:val="16"/>
                <w:szCs w:val="16"/>
                <w:color w:val="auto"/>
              </w:rPr>
            </w:pPr>
          </w:p>
        </w:tc>
        <w:tc>
          <w:tcPr>
            <w:tcW w:w="4960" w:type="dxa"/>
            <w:vAlign w:val="bottom"/>
            <w:gridSpan w:val="2"/>
          </w:tcPr>
          <w:p>
            <w:pPr>
              <w:ind w:left="60"/>
              <w:spacing w:after="0"/>
              <w:rPr>
                <w:rFonts w:ascii="Arial" w:cs="Arial" w:eastAsia="Arial" w:hAnsi="Arial"/>
                <w:sz w:val="13"/>
                <w:szCs w:val="13"/>
                <w:color w:val="auto"/>
              </w:rPr>
            </w:pPr>
            <w:hyperlink w:anchor="page166">
              <w:r>
                <w:rPr>
                  <w:rFonts w:ascii="Arial" w:cs="Arial" w:eastAsia="Arial" w:hAnsi="Arial"/>
                  <w:sz w:val="13"/>
                  <w:szCs w:val="13"/>
                  <w:color w:val="auto"/>
                </w:rPr>
                <w:t>D. American Depositary Shares</w:t>
              </w:r>
            </w:hyperlink>
          </w:p>
        </w:tc>
        <w:tc>
          <w:tcPr>
            <w:tcW w:w="2560" w:type="dxa"/>
            <w:vAlign w:val="bottom"/>
          </w:tcPr>
          <w:p>
            <w:pPr>
              <w:jc w:val="right"/>
              <w:ind w:right="2074"/>
              <w:spacing w:after="0"/>
              <w:rPr>
                <w:rFonts w:ascii="Arial" w:cs="Arial" w:eastAsia="Arial" w:hAnsi="Arial"/>
                <w:sz w:val="13"/>
                <w:szCs w:val="13"/>
                <w:color w:val="auto"/>
              </w:rPr>
            </w:pPr>
            <w:hyperlink w:anchor="page166">
              <w:r>
                <w:rPr>
                  <w:rFonts w:ascii="Arial" w:cs="Arial" w:eastAsia="Arial" w:hAnsi="Arial"/>
                  <w:sz w:val="13"/>
                  <w:szCs w:val="13"/>
                  <w:color w:val="auto"/>
                </w:rPr>
                <w:t>239</w:t>
              </w:r>
            </w:hyperlink>
          </w:p>
        </w:tc>
      </w:tr>
      <w:tr>
        <w:trPr>
          <w:trHeight w:val="400"/>
        </w:trPr>
        <w:tc>
          <w:tcPr>
            <w:tcW w:w="720" w:type="dxa"/>
            <w:vAlign w:val="bottom"/>
          </w:tcPr>
          <w:p>
            <w:pPr>
              <w:ind w:left="20"/>
              <w:spacing w:after="0"/>
              <w:rPr>
                <w:sz w:val="20"/>
                <w:szCs w:val="20"/>
                <w:color w:val="auto"/>
              </w:rPr>
            </w:pPr>
            <w:r>
              <w:rPr>
                <w:rFonts w:ascii="Arial" w:cs="Arial" w:eastAsia="Arial" w:hAnsi="Arial"/>
                <w:sz w:val="13"/>
                <w:szCs w:val="13"/>
                <w:b w:val="1"/>
                <w:bCs w:val="1"/>
                <w:color w:val="auto"/>
              </w:rPr>
              <w:t>PART II</w:t>
            </w:r>
          </w:p>
        </w:tc>
        <w:tc>
          <w:tcPr>
            <w:tcW w:w="3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17"/>
        </w:trPr>
        <w:tc>
          <w:tcPr>
            <w:tcW w:w="720" w:type="dxa"/>
            <w:vAlign w:val="bottom"/>
          </w:tcPr>
          <w:p>
            <w:pPr>
              <w:ind w:left="20"/>
              <w:spacing w:after="0"/>
              <w:rPr>
                <w:sz w:val="20"/>
                <w:szCs w:val="20"/>
                <w:color w:val="auto"/>
              </w:rPr>
            </w:pPr>
            <w:r>
              <w:rPr>
                <w:rFonts w:ascii="Arial" w:cs="Arial" w:eastAsia="Arial" w:hAnsi="Arial"/>
                <w:sz w:val="13"/>
                <w:szCs w:val="13"/>
                <w:color w:val="auto"/>
              </w:rPr>
              <w:t>ITEM 13.</w:t>
            </w:r>
          </w:p>
        </w:tc>
        <w:tc>
          <w:tcPr>
            <w:tcW w:w="4960" w:type="dxa"/>
            <w:vAlign w:val="bottom"/>
            <w:gridSpan w:val="2"/>
          </w:tcPr>
          <w:p>
            <w:pPr>
              <w:ind w:left="60"/>
              <w:spacing w:after="0"/>
              <w:rPr>
                <w:rFonts w:ascii="Arial" w:cs="Arial" w:eastAsia="Arial" w:hAnsi="Arial"/>
                <w:sz w:val="13"/>
                <w:szCs w:val="13"/>
                <w:color w:val="auto"/>
              </w:rPr>
            </w:pPr>
            <w:hyperlink w:anchor="page167">
              <w:r>
                <w:rPr>
                  <w:rFonts w:ascii="Arial" w:cs="Arial" w:eastAsia="Arial" w:hAnsi="Arial"/>
                  <w:sz w:val="13"/>
                  <w:szCs w:val="13"/>
                  <w:color w:val="auto"/>
                </w:rPr>
                <w:t>DEFAULTS, DIVIDEND ARREARAGES AND DELINQUENCIES</w:t>
              </w:r>
            </w:hyperlink>
          </w:p>
        </w:tc>
        <w:tc>
          <w:tcPr>
            <w:tcW w:w="2560" w:type="dxa"/>
            <w:vAlign w:val="bottom"/>
          </w:tcPr>
          <w:p>
            <w:pPr>
              <w:jc w:val="right"/>
              <w:ind w:right="2074"/>
              <w:spacing w:after="0"/>
              <w:rPr>
                <w:rFonts w:ascii="Arial" w:cs="Arial" w:eastAsia="Arial" w:hAnsi="Arial"/>
                <w:sz w:val="13"/>
                <w:szCs w:val="13"/>
                <w:color w:val="auto"/>
              </w:rPr>
            </w:pPr>
            <w:hyperlink w:anchor="page167">
              <w:r>
                <w:rPr>
                  <w:rFonts w:ascii="Arial" w:cs="Arial" w:eastAsia="Arial" w:hAnsi="Arial"/>
                  <w:sz w:val="13"/>
                  <w:szCs w:val="13"/>
                  <w:color w:val="auto"/>
                </w:rPr>
                <w:t>241</w:t>
              </w:r>
            </w:hyperlink>
          </w:p>
        </w:tc>
      </w:tr>
      <w:tr>
        <w:trPr>
          <w:trHeight w:val="242"/>
        </w:trPr>
        <w:tc>
          <w:tcPr>
            <w:tcW w:w="720" w:type="dxa"/>
            <w:vAlign w:val="bottom"/>
          </w:tcPr>
          <w:p>
            <w:pPr>
              <w:ind w:left="20"/>
              <w:spacing w:after="0"/>
              <w:rPr>
                <w:sz w:val="20"/>
                <w:szCs w:val="20"/>
                <w:color w:val="auto"/>
              </w:rPr>
            </w:pPr>
            <w:r>
              <w:rPr>
                <w:rFonts w:ascii="Arial" w:cs="Arial" w:eastAsia="Arial" w:hAnsi="Arial"/>
                <w:sz w:val="13"/>
                <w:szCs w:val="13"/>
                <w:color w:val="auto"/>
              </w:rPr>
              <w:t>ITEM 14.</w:t>
            </w:r>
          </w:p>
        </w:tc>
        <w:tc>
          <w:tcPr>
            <w:tcW w:w="4960" w:type="dxa"/>
            <w:vAlign w:val="bottom"/>
            <w:gridSpan w:val="2"/>
          </w:tcPr>
          <w:p>
            <w:pPr>
              <w:ind w:left="60"/>
              <w:spacing w:after="0"/>
              <w:rPr>
                <w:rFonts w:ascii="Arial" w:cs="Arial" w:eastAsia="Arial" w:hAnsi="Arial"/>
                <w:sz w:val="13"/>
                <w:szCs w:val="13"/>
                <w:color w:val="auto"/>
              </w:rPr>
            </w:pPr>
            <w:hyperlink w:anchor="page168">
              <w:r>
                <w:rPr>
                  <w:rFonts w:ascii="Arial" w:cs="Arial" w:eastAsia="Arial" w:hAnsi="Arial"/>
                  <w:sz w:val="13"/>
                  <w:szCs w:val="13"/>
                  <w:color w:val="auto"/>
                </w:rPr>
                <w:t>MATERIAL MODIFICATIONS TO THE RIGHTS OF SECURITY HOLDERS AND</w:t>
              </w:r>
            </w:hyperlink>
          </w:p>
        </w:tc>
        <w:tc>
          <w:tcPr>
            <w:tcW w:w="2560" w:type="dxa"/>
            <w:vAlign w:val="bottom"/>
          </w:tcPr>
          <w:p>
            <w:pPr>
              <w:jc w:val="right"/>
              <w:ind w:right="2074"/>
              <w:spacing w:after="0"/>
              <w:rPr>
                <w:rFonts w:ascii="Arial" w:cs="Arial" w:eastAsia="Arial" w:hAnsi="Arial"/>
                <w:sz w:val="13"/>
                <w:szCs w:val="13"/>
                <w:color w:val="auto"/>
              </w:rPr>
            </w:pPr>
            <w:hyperlink w:anchor="page168">
              <w:r>
                <w:rPr>
                  <w:rFonts w:ascii="Arial" w:cs="Arial" w:eastAsia="Arial" w:hAnsi="Arial"/>
                  <w:sz w:val="13"/>
                  <w:szCs w:val="13"/>
                  <w:color w:val="auto"/>
                </w:rPr>
                <w:t>241</w:t>
              </w:r>
            </w:hyperlink>
          </w:p>
        </w:tc>
      </w:tr>
      <w:tr>
        <w:trPr>
          <w:trHeight w:val="173"/>
        </w:trPr>
        <w:tc>
          <w:tcPr>
            <w:tcW w:w="720" w:type="dxa"/>
            <w:vAlign w:val="bottom"/>
          </w:tcPr>
          <w:p>
            <w:pPr>
              <w:spacing w:after="0"/>
              <w:rPr>
                <w:sz w:val="15"/>
                <w:szCs w:val="15"/>
                <w:color w:val="auto"/>
              </w:rPr>
            </w:pPr>
          </w:p>
        </w:tc>
        <w:tc>
          <w:tcPr>
            <w:tcW w:w="4960" w:type="dxa"/>
            <w:vAlign w:val="bottom"/>
            <w:gridSpan w:val="2"/>
          </w:tcPr>
          <w:p>
            <w:pPr>
              <w:ind w:left="60"/>
              <w:spacing w:after="0"/>
              <w:rPr>
                <w:rFonts w:ascii="Arial" w:cs="Arial" w:eastAsia="Arial" w:hAnsi="Arial"/>
                <w:sz w:val="13"/>
                <w:szCs w:val="13"/>
                <w:color w:val="auto"/>
              </w:rPr>
            </w:pPr>
            <w:hyperlink w:anchor="page168">
              <w:r>
                <w:rPr>
                  <w:rFonts w:ascii="Arial" w:cs="Arial" w:eastAsia="Arial" w:hAnsi="Arial"/>
                  <w:sz w:val="13"/>
                  <w:szCs w:val="13"/>
                  <w:color w:val="auto"/>
                </w:rPr>
                <w:t>USE OF PROCEEDS</w:t>
              </w:r>
            </w:hyperlink>
          </w:p>
        </w:tc>
        <w:tc>
          <w:tcPr>
            <w:tcW w:w="2560" w:type="dxa"/>
            <w:vAlign w:val="bottom"/>
          </w:tcPr>
          <w:p>
            <w:pPr>
              <w:spacing w:after="0"/>
              <w:rPr>
                <w:sz w:val="15"/>
                <w:szCs w:val="15"/>
                <w:color w:val="auto"/>
              </w:rPr>
            </w:pPr>
          </w:p>
        </w:tc>
      </w:tr>
      <w:tr>
        <w:trPr>
          <w:trHeight w:val="241"/>
        </w:trPr>
        <w:tc>
          <w:tcPr>
            <w:tcW w:w="720" w:type="dxa"/>
            <w:vAlign w:val="bottom"/>
          </w:tcPr>
          <w:p>
            <w:pPr>
              <w:spacing w:after="0"/>
              <w:rPr>
                <w:sz w:val="20"/>
                <w:szCs w:val="20"/>
                <w:color w:val="auto"/>
              </w:rPr>
            </w:pPr>
            <w:r>
              <w:rPr>
                <w:rFonts w:ascii="Arial" w:cs="Arial" w:eastAsia="Arial" w:hAnsi="Arial"/>
                <w:sz w:val="13"/>
                <w:szCs w:val="13"/>
                <w:color w:val="auto"/>
              </w:rPr>
              <w:t>3</w:t>
            </w:r>
          </w:p>
        </w:tc>
        <w:tc>
          <w:tcPr>
            <w:tcW w:w="3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131"/>
        </w:trPr>
        <w:tc>
          <w:tcPr>
            <w:tcW w:w="5680" w:type="dxa"/>
            <w:vAlign w:val="bottom"/>
            <w:gridSpan w:val="3"/>
          </w:tcPr>
          <w:p>
            <w:pPr>
              <w:spacing w:after="0" w:line="131" w:lineRule="exact"/>
              <w:rPr>
                <w:sz w:val="20"/>
                <w:szCs w:val="20"/>
                <w:color w:val="auto"/>
              </w:rPr>
            </w:pPr>
            <w:r>
              <w:rPr>
                <w:rFonts w:ascii="Arial" w:cs="Arial" w:eastAsia="Arial" w:hAnsi="Arial"/>
                <w:sz w:val="12"/>
                <w:szCs w:val="12"/>
                <w:b w:val="1"/>
                <w:bCs w:val="1"/>
                <w:color w:val="3C9673"/>
              </w:rPr>
              <w:t>Annual Report on Form 20-F for the year ended December 31, 2024</w:t>
            </w:r>
          </w:p>
        </w:tc>
        <w:tc>
          <w:tcPr>
            <w:tcW w:w="256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4960" w:type="dxa"/>
            <w:vAlign w:val="bottom"/>
            <w:gridSpan w:val="2"/>
          </w:tcPr>
          <w:p>
            <w:pPr>
              <w:ind w:left="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tc>
        <w:tc>
          <w:tcPr>
            <w:tcW w:w="2560" w:type="dxa"/>
            <w:vAlign w:val="bottom"/>
          </w:tcPr>
          <w:p>
            <w:pPr>
              <w:spacing w:after="0"/>
              <w:rPr>
                <w:sz w:val="11"/>
                <w:szCs w:val="11"/>
                <w:color w:val="auto"/>
              </w:rPr>
            </w:pPr>
          </w:p>
        </w:tc>
      </w:tr>
      <w:tr>
        <w:trPr>
          <w:trHeight w:val="35"/>
        </w:trPr>
        <w:tc>
          <w:tcPr>
            <w:tcW w:w="720" w:type="dxa"/>
            <w:vAlign w:val="bottom"/>
            <w:tcBorders>
              <w:bottom w:val="single" w:sz="8" w:color="BECD32"/>
            </w:tcBorders>
          </w:tcPr>
          <w:p>
            <w:pPr>
              <w:spacing w:after="0"/>
              <w:rPr>
                <w:sz w:val="3"/>
                <w:szCs w:val="3"/>
                <w:color w:val="auto"/>
              </w:rPr>
            </w:pPr>
          </w:p>
        </w:tc>
        <w:tc>
          <w:tcPr>
            <w:tcW w:w="3180" w:type="dxa"/>
            <w:vAlign w:val="bottom"/>
            <w:tcBorders>
              <w:bottom w:val="single" w:sz="8" w:color="BECE33"/>
            </w:tcBorders>
          </w:tcPr>
          <w:p>
            <w:pPr>
              <w:spacing w:after="0"/>
              <w:rPr>
                <w:sz w:val="3"/>
                <w:szCs w:val="3"/>
                <w:color w:val="auto"/>
              </w:rPr>
            </w:pPr>
          </w:p>
        </w:tc>
        <w:tc>
          <w:tcPr>
            <w:tcW w:w="1780" w:type="dxa"/>
            <w:vAlign w:val="bottom"/>
            <w:tcBorders>
              <w:bottom w:val="single" w:sz="8" w:color="BECD32"/>
            </w:tcBorders>
          </w:tcPr>
          <w:p>
            <w:pPr>
              <w:spacing w:after="0"/>
              <w:rPr>
                <w:sz w:val="3"/>
                <w:szCs w:val="3"/>
                <w:color w:val="auto"/>
              </w:rPr>
            </w:pPr>
          </w:p>
        </w:tc>
        <w:tc>
          <w:tcPr>
            <w:tcW w:w="2560" w:type="dxa"/>
            <w:vAlign w:val="bottom"/>
            <w:tcBorders>
              <w:bottom w:val="single" w:sz="8" w:color="BECD32"/>
            </w:tcBorders>
          </w:tcPr>
          <w:p>
            <w:pPr>
              <w:spacing w:after="0"/>
              <w:rPr>
                <w:sz w:val="3"/>
                <w:szCs w:val="3"/>
                <w:color w:val="auto"/>
              </w:rPr>
            </w:pPr>
          </w:p>
        </w:tc>
      </w:tr>
      <w:tr>
        <w:trPr>
          <w:trHeight w:val="244"/>
        </w:trPr>
        <w:tc>
          <w:tcPr>
            <w:tcW w:w="720" w:type="dxa"/>
            <w:vAlign w:val="bottom"/>
          </w:tcPr>
          <w:p>
            <w:pPr>
              <w:ind w:left="20"/>
              <w:spacing w:after="0"/>
              <w:rPr>
                <w:sz w:val="20"/>
                <w:szCs w:val="20"/>
                <w:color w:val="auto"/>
              </w:rPr>
            </w:pPr>
            <w:r>
              <w:rPr>
                <w:rFonts w:ascii="Arial" w:cs="Arial" w:eastAsia="Arial" w:hAnsi="Arial"/>
                <w:sz w:val="13"/>
                <w:szCs w:val="13"/>
                <w:color w:val="auto"/>
              </w:rPr>
              <w:t>ITEM 16G.</w:t>
            </w:r>
          </w:p>
        </w:tc>
        <w:tc>
          <w:tcPr>
            <w:tcW w:w="4960" w:type="dxa"/>
            <w:vAlign w:val="bottom"/>
            <w:gridSpan w:val="2"/>
          </w:tcPr>
          <w:p>
            <w:pPr>
              <w:ind w:left="60"/>
              <w:spacing w:after="0"/>
              <w:rPr>
                <w:rFonts w:ascii="Arial" w:cs="Arial" w:eastAsia="Arial" w:hAnsi="Arial"/>
                <w:sz w:val="13"/>
                <w:szCs w:val="13"/>
                <w:color w:val="auto"/>
              </w:rPr>
            </w:pPr>
            <w:hyperlink w:anchor="page169">
              <w:r>
                <w:rPr>
                  <w:rFonts w:ascii="Arial" w:cs="Arial" w:eastAsia="Arial" w:hAnsi="Arial"/>
                  <w:sz w:val="13"/>
                  <w:szCs w:val="13"/>
                  <w:color w:val="auto"/>
                </w:rPr>
                <w:t>Corporate Governance</w:t>
              </w:r>
            </w:hyperlink>
          </w:p>
        </w:tc>
        <w:tc>
          <w:tcPr>
            <w:tcW w:w="2560" w:type="dxa"/>
            <w:vAlign w:val="bottom"/>
          </w:tcPr>
          <w:p>
            <w:pPr>
              <w:jc w:val="right"/>
              <w:ind w:right="2074"/>
              <w:spacing w:after="0"/>
              <w:rPr>
                <w:rFonts w:ascii="Arial" w:cs="Arial" w:eastAsia="Arial" w:hAnsi="Arial"/>
                <w:sz w:val="13"/>
                <w:szCs w:val="13"/>
                <w:color w:val="auto"/>
              </w:rPr>
            </w:pPr>
            <w:hyperlink w:anchor="page169">
              <w:r>
                <w:rPr>
                  <w:rFonts w:ascii="Arial" w:cs="Arial" w:eastAsia="Arial" w:hAnsi="Arial"/>
                  <w:sz w:val="13"/>
                  <w:szCs w:val="13"/>
                  <w:color w:val="auto"/>
                </w:rPr>
                <w:t>243</w:t>
              </w:r>
            </w:hyperlink>
          </w:p>
        </w:tc>
      </w:tr>
      <w:tr>
        <w:trPr>
          <w:trHeight w:val="283"/>
        </w:trPr>
        <w:tc>
          <w:tcPr>
            <w:tcW w:w="720" w:type="dxa"/>
            <w:vAlign w:val="bottom"/>
          </w:tcPr>
          <w:p>
            <w:pPr>
              <w:ind w:left="20"/>
              <w:spacing w:after="0"/>
              <w:rPr>
                <w:sz w:val="20"/>
                <w:szCs w:val="20"/>
                <w:color w:val="auto"/>
              </w:rPr>
            </w:pPr>
            <w:r>
              <w:rPr>
                <w:rFonts w:ascii="Arial" w:cs="Arial" w:eastAsia="Arial" w:hAnsi="Arial"/>
                <w:sz w:val="13"/>
                <w:szCs w:val="13"/>
                <w:color w:val="auto"/>
              </w:rPr>
              <w:t>ITEM 16H.</w:t>
            </w:r>
          </w:p>
        </w:tc>
        <w:tc>
          <w:tcPr>
            <w:tcW w:w="4960" w:type="dxa"/>
            <w:vAlign w:val="bottom"/>
            <w:gridSpan w:val="2"/>
          </w:tcPr>
          <w:p>
            <w:pPr>
              <w:ind w:left="60"/>
              <w:spacing w:after="0"/>
              <w:rPr>
                <w:rFonts w:ascii="Arial" w:cs="Arial" w:eastAsia="Arial" w:hAnsi="Arial"/>
                <w:sz w:val="13"/>
                <w:szCs w:val="13"/>
                <w:color w:val="auto"/>
              </w:rPr>
            </w:pPr>
            <w:hyperlink w:anchor="page176">
              <w:r>
                <w:rPr>
                  <w:rFonts w:ascii="Arial" w:cs="Arial" w:eastAsia="Arial" w:hAnsi="Arial"/>
                  <w:sz w:val="13"/>
                  <w:szCs w:val="13"/>
                  <w:color w:val="auto"/>
                </w:rPr>
                <w:t>Mine Safety Disclosure</w:t>
              </w:r>
            </w:hyperlink>
          </w:p>
        </w:tc>
        <w:tc>
          <w:tcPr>
            <w:tcW w:w="2560" w:type="dxa"/>
            <w:vAlign w:val="bottom"/>
          </w:tcPr>
          <w:p>
            <w:pPr>
              <w:jc w:val="right"/>
              <w:ind w:right="2074"/>
              <w:spacing w:after="0"/>
              <w:rPr>
                <w:rFonts w:ascii="Arial" w:cs="Arial" w:eastAsia="Arial" w:hAnsi="Arial"/>
                <w:sz w:val="13"/>
                <w:szCs w:val="13"/>
                <w:color w:val="auto"/>
              </w:rPr>
            </w:pPr>
            <w:hyperlink w:anchor="page176">
              <w:r>
                <w:rPr>
                  <w:rFonts w:ascii="Arial" w:cs="Arial" w:eastAsia="Arial" w:hAnsi="Arial"/>
                  <w:sz w:val="13"/>
                  <w:szCs w:val="13"/>
                  <w:color w:val="auto"/>
                </w:rPr>
                <w:t>253</w:t>
              </w:r>
            </w:hyperlink>
          </w:p>
        </w:tc>
      </w:tr>
      <w:tr>
        <w:trPr>
          <w:trHeight w:val="283"/>
        </w:trPr>
        <w:tc>
          <w:tcPr>
            <w:tcW w:w="720" w:type="dxa"/>
            <w:vAlign w:val="bottom"/>
          </w:tcPr>
          <w:p>
            <w:pPr>
              <w:ind w:left="20"/>
              <w:spacing w:after="0"/>
              <w:rPr>
                <w:sz w:val="20"/>
                <w:szCs w:val="20"/>
                <w:color w:val="auto"/>
              </w:rPr>
            </w:pPr>
            <w:r>
              <w:rPr>
                <w:rFonts w:ascii="Arial" w:cs="Arial" w:eastAsia="Arial" w:hAnsi="Arial"/>
                <w:sz w:val="13"/>
                <w:szCs w:val="13"/>
                <w:color w:val="auto"/>
              </w:rPr>
              <w:t>ITEM 16I.</w:t>
            </w:r>
          </w:p>
        </w:tc>
        <w:tc>
          <w:tcPr>
            <w:tcW w:w="4960" w:type="dxa"/>
            <w:vAlign w:val="bottom"/>
            <w:gridSpan w:val="2"/>
          </w:tcPr>
          <w:p>
            <w:pPr>
              <w:ind w:left="60"/>
              <w:spacing w:after="0"/>
              <w:rPr>
                <w:rFonts w:ascii="Arial" w:cs="Arial" w:eastAsia="Arial" w:hAnsi="Arial"/>
                <w:sz w:val="13"/>
                <w:szCs w:val="13"/>
                <w:color w:val="auto"/>
              </w:rPr>
            </w:pPr>
            <w:hyperlink w:anchor="page168">
              <w:r>
                <w:rPr>
                  <w:rFonts w:ascii="Arial" w:cs="Arial" w:eastAsia="Arial" w:hAnsi="Arial"/>
                  <w:sz w:val="13"/>
                  <w:szCs w:val="13"/>
                  <w:color w:val="auto"/>
                </w:rPr>
                <w:t xml:space="preserve">Disclosure Regarding Foreign </w:t>
              </w:r>
            </w:hyperlink>
            <w:r>
              <w:rPr>
                <w:rFonts w:ascii="Arial" w:cs="Arial" w:eastAsia="Arial" w:hAnsi="Arial"/>
                <w:sz w:val="13"/>
                <w:szCs w:val="13"/>
                <w:color w:val="auto"/>
              </w:rPr>
              <w:t>Jurisdictions that Prevent Inspections</w:t>
            </w:r>
          </w:p>
        </w:tc>
        <w:tc>
          <w:tcPr>
            <w:tcW w:w="2560" w:type="dxa"/>
            <w:vAlign w:val="bottom"/>
          </w:tcPr>
          <w:p>
            <w:pPr>
              <w:jc w:val="right"/>
              <w:ind w:right="2074"/>
              <w:spacing w:after="0"/>
              <w:rPr>
                <w:rFonts w:ascii="Arial" w:cs="Arial" w:eastAsia="Arial" w:hAnsi="Arial"/>
                <w:sz w:val="13"/>
                <w:szCs w:val="13"/>
                <w:color w:val="auto"/>
              </w:rPr>
            </w:pPr>
            <w:hyperlink w:anchor="page176">
              <w:r>
                <w:rPr>
                  <w:rFonts w:ascii="Arial" w:cs="Arial" w:eastAsia="Arial" w:hAnsi="Arial"/>
                  <w:sz w:val="13"/>
                  <w:szCs w:val="13"/>
                  <w:color w:val="auto"/>
                </w:rPr>
                <w:t>253</w:t>
              </w:r>
            </w:hyperlink>
          </w:p>
        </w:tc>
      </w:tr>
      <w:tr>
        <w:trPr>
          <w:trHeight w:val="283"/>
        </w:trPr>
        <w:tc>
          <w:tcPr>
            <w:tcW w:w="720" w:type="dxa"/>
            <w:vAlign w:val="bottom"/>
          </w:tcPr>
          <w:p>
            <w:pPr>
              <w:ind w:left="20"/>
              <w:spacing w:after="0"/>
              <w:rPr>
                <w:sz w:val="20"/>
                <w:szCs w:val="20"/>
                <w:color w:val="auto"/>
              </w:rPr>
            </w:pPr>
            <w:r>
              <w:rPr>
                <w:rFonts w:ascii="Arial" w:cs="Arial" w:eastAsia="Arial" w:hAnsi="Arial"/>
                <w:sz w:val="13"/>
                <w:szCs w:val="13"/>
                <w:color w:val="auto"/>
              </w:rPr>
              <w:t>ITEM 16J.</w:t>
            </w:r>
          </w:p>
        </w:tc>
        <w:tc>
          <w:tcPr>
            <w:tcW w:w="4960" w:type="dxa"/>
            <w:vAlign w:val="bottom"/>
            <w:gridSpan w:val="2"/>
          </w:tcPr>
          <w:p>
            <w:pPr>
              <w:ind w:left="60"/>
              <w:spacing w:after="0"/>
              <w:rPr>
                <w:rFonts w:ascii="Arial" w:cs="Arial" w:eastAsia="Arial" w:hAnsi="Arial"/>
                <w:sz w:val="13"/>
                <w:szCs w:val="13"/>
                <w:color w:val="auto"/>
              </w:rPr>
            </w:pPr>
            <w:hyperlink w:anchor="page169">
              <w:r>
                <w:rPr>
                  <w:rFonts w:ascii="Arial" w:cs="Arial" w:eastAsia="Arial" w:hAnsi="Arial"/>
                  <w:sz w:val="13"/>
                  <w:szCs w:val="13"/>
                  <w:color w:val="auto"/>
                </w:rPr>
                <w:t>Insider Trading Policies</w:t>
              </w:r>
            </w:hyperlink>
          </w:p>
        </w:tc>
        <w:tc>
          <w:tcPr>
            <w:tcW w:w="2560" w:type="dxa"/>
            <w:vAlign w:val="bottom"/>
          </w:tcPr>
          <w:p>
            <w:pPr>
              <w:jc w:val="right"/>
              <w:ind w:right="2074"/>
              <w:spacing w:after="0"/>
              <w:rPr>
                <w:rFonts w:ascii="Arial" w:cs="Arial" w:eastAsia="Arial" w:hAnsi="Arial"/>
                <w:sz w:val="13"/>
                <w:szCs w:val="13"/>
                <w:color w:val="auto"/>
              </w:rPr>
            </w:pPr>
            <w:hyperlink w:anchor="page176">
              <w:r>
                <w:rPr>
                  <w:rFonts w:ascii="Arial" w:cs="Arial" w:eastAsia="Arial" w:hAnsi="Arial"/>
                  <w:sz w:val="13"/>
                  <w:szCs w:val="13"/>
                  <w:color w:val="auto"/>
                </w:rPr>
                <w:t>253</w:t>
              </w:r>
            </w:hyperlink>
          </w:p>
        </w:tc>
      </w:tr>
      <w:tr>
        <w:trPr>
          <w:trHeight w:val="283"/>
        </w:trPr>
        <w:tc>
          <w:tcPr>
            <w:tcW w:w="720" w:type="dxa"/>
            <w:vAlign w:val="bottom"/>
          </w:tcPr>
          <w:p>
            <w:pPr>
              <w:ind w:left="20"/>
              <w:spacing w:after="0"/>
              <w:rPr>
                <w:sz w:val="20"/>
                <w:szCs w:val="20"/>
                <w:color w:val="auto"/>
              </w:rPr>
            </w:pPr>
            <w:r>
              <w:rPr>
                <w:rFonts w:ascii="Arial" w:cs="Arial" w:eastAsia="Arial" w:hAnsi="Arial"/>
                <w:sz w:val="13"/>
                <w:szCs w:val="13"/>
                <w:color w:val="auto"/>
              </w:rPr>
              <w:t>ITEM 16K.</w:t>
            </w:r>
          </w:p>
        </w:tc>
        <w:tc>
          <w:tcPr>
            <w:tcW w:w="4960" w:type="dxa"/>
            <w:vAlign w:val="bottom"/>
            <w:gridSpan w:val="2"/>
          </w:tcPr>
          <w:p>
            <w:pPr>
              <w:ind w:left="60"/>
              <w:spacing w:after="0"/>
              <w:rPr>
                <w:sz w:val="20"/>
                <w:szCs w:val="20"/>
                <w:color w:val="auto"/>
              </w:rPr>
            </w:pPr>
            <w:r>
              <w:rPr>
                <w:rFonts w:ascii="Arial" w:cs="Arial" w:eastAsia="Arial" w:hAnsi="Arial"/>
                <w:sz w:val="13"/>
                <w:szCs w:val="13"/>
                <w:color w:val="auto"/>
              </w:rPr>
              <w:t>Cybersecurity</w:t>
            </w:r>
          </w:p>
        </w:tc>
        <w:tc>
          <w:tcPr>
            <w:tcW w:w="2560" w:type="dxa"/>
            <w:vAlign w:val="bottom"/>
          </w:tcPr>
          <w:p>
            <w:pPr>
              <w:jc w:val="right"/>
              <w:ind w:right="2074"/>
              <w:spacing w:after="0"/>
              <w:rPr>
                <w:rFonts w:ascii="Arial" w:cs="Arial" w:eastAsia="Arial" w:hAnsi="Arial"/>
                <w:sz w:val="13"/>
                <w:szCs w:val="13"/>
                <w:color w:val="auto"/>
              </w:rPr>
            </w:pPr>
            <w:hyperlink w:anchor="page176">
              <w:r>
                <w:rPr>
                  <w:rFonts w:ascii="Arial" w:cs="Arial" w:eastAsia="Arial" w:hAnsi="Arial"/>
                  <w:sz w:val="13"/>
                  <w:szCs w:val="13"/>
                  <w:color w:val="auto"/>
                </w:rPr>
                <w:t>253</w:t>
              </w:r>
            </w:hyperlink>
          </w:p>
        </w:tc>
      </w:tr>
      <w:tr>
        <w:trPr>
          <w:trHeight w:val="400"/>
        </w:trPr>
        <w:tc>
          <w:tcPr>
            <w:tcW w:w="720" w:type="dxa"/>
            <w:vAlign w:val="bottom"/>
          </w:tcPr>
          <w:p>
            <w:pPr>
              <w:ind w:left="20"/>
              <w:spacing w:after="0"/>
              <w:rPr>
                <w:sz w:val="20"/>
                <w:szCs w:val="20"/>
                <w:color w:val="auto"/>
              </w:rPr>
            </w:pPr>
            <w:r>
              <w:rPr>
                <w:rFonts w:ascii="Arial" w:cs="Arial" w:eastAsia="Arial" w:hAnsi="Arial"/>
                <w:sz w:val="13"/>
                <w:szCs w:val="13"/>
                <w:b w:val="1"/>
                <w:bCs w:val="1"/>
                <w:color w:val="auto"/>
              </w:rPr>
              <w:t>PART III</w:t>
            </w:r>
          </w:p>
        </w:tc>
        <w:tc>
          <w:tcPr>
            <w:tcW w:w="3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17"/>
        </w:trPr>
        <w:tc>
          <w:tcPr>
            <w:tcW w:w="720" w:type="dxa"/>
            <w:vAlign w:val="bottom"/>
          </w:tcPr>
          <w:p>
            <w:pPr>
              <w:ind w:left="20"/>
              <w:spacing w:after="0"/>
              <w:rPr>
                <w:sz w:val="20"/>
                <w:szCs w:val="20"/>
                <w:color w:val="auto"/>
              </w:rPr>
            </w:pPr>
            <w:r>
              <w:rPr>
                <w:rFonts w:ascii="Arial" w:cs="Arial" w:eastAsia="Arial" w:hAnsi="Arial"/>
                <w:sz w:val="13"/>
                <w:szCs w:val="13"/>
                <w:color w:val="auto"/>
              </w:rPr>
              <w:t>ITEM 17.</w:t>
            </w:r>
          </w:p>
        </w:tc>
        <w:tc>
          <w:tcPr>
            <w:tcW w:w="4960" w:type="dxa"/>
            <w:vAlign w:val="bottom"/>
            <w:gridSpan w:val="2"/>
          </w:tcPr>
          <w:p>
            <w:pPr>
              <w:ind w:left="60"/>
              <w:spacing w:after="0"/>
              <w:rPr>
                <w:rFonts w:ascii="Arial" w:cs="Arial" w:eastAsia="Arial" w:hAnsi="Arial"/>
                <w:sz w:val="13"/>
                <w:szCs w:val="13"/>
                <w:color w:val="auto"/>
              </w:rPr>
            </w:pPr>
            <w:hyperlink w:anchor="page177">
              <w:r>
                <w:rPr>
                  <w:rFonts w:ascii="Arial" w:cs="Arial" w:eastAsia="Arial" w:hAnsi="Arial"/>
                  <w:sz w:val="13"/>
                  <w:szCs w:val="13"/>
                  <w:color w:val="auto"/>
                </w:rPr>
                <w:t>FINANCIAL STATEMENTS</w:t>
              </w:r>
            </w:hyperlink>
          </w:p>
        </w:tc>
        <w:tc>
          <w:tcPr>
            <w:tcW w:w="2560" w:type="dxa"/>
            <w:vAlign w:val="bottom"/>
          </w:tcPr>
          <w:p>
            <w:pPr>
              <w:jc w:val="right"/>
              <w:ind w:right="2074"/>
              <w:spacing w:after="0"/>
              <w:rPr>
                <w:rFonts w:ascii="Arial" w:cs="Arial" w:eastAsia="Arial" w:hAnsi="Arial"/>
                <w:sz w:val="13"/>
                <w:szCs w:val="13"/>
                <w:color w:val="auto"/>
              </w:rPr>
            </w:pPr>
            <w:hyperlink w:anchor="page177">
              <w:r>
                <w:rPr>
                  <w:rFonts w:ascii="Arial" w:cs="Arial" w:eastAsia="Arial" w:hAnsi="Arial"/>
                  <w:sz w:val="13"/>
                  <w:szCs w:val="13"/>
                  <w:color w:val="auto"/>
                </w:rPr>
                <w:t>255</w:t>
              </w:r>
            </w:hyperlink>
          </w:p>
        </w:tc>
      </w:tr>
      <w:tr>
        <w:trPr>
          <w:trHeight w:val="283"/>
        </w:trPr>
        <w:tc>
          <w:tcPr>
            <w:tcW w:w="720" w:type="dxa"/>
            <w:vAlign w:val="bottom"/>
          </w:tcPr>
          <w:p>
            <w:pPr>
              <w:ind w:left="20"/>
              <w:spacing w:after="0"/>
              <w:rPr>
                <w:sz w:val="20"/>
                <w:szCs w:val="20"/>
                <w:color w:val="auto"/>
              </w:rPr>
            </w:pPr>
            <w:r>
              <w:rPr>
                <w:rFonts w:ascii="Arial" w:cs="Arial" w:eastAsia="Arial" w:hAnsi="Arial"/>
                <w:sz w:val="13"/>
                <w:szCs w:val="13"/>
                <w:color w:val="auto"/>
              </w:rPr>
              <w:t>ITEM 18.</w:t>
            </w:r>
          </w:p>
        </w:tc>
        <w:tc>
          <w:tcPr>
            <w:tcW w:w="4960" w:type="dxa"/>
            <w:vAlign w:val="bottom"/>
            <w:gridSpan w:val="2"/>
          </w:tcPr>
          <w:p>
            <w:pPr>
              <w:ind w:left="60"/>
              <w:spacing w:after="0"/>
              <w:rPr>
                <w:rFonts w:ascii="Arial" w:cs="Arial" w:eastAsia="Arial" w:hAnsi="Arial"/>
                <w:sz w:val="13"/>
                <w:szCs w:val="13"/>
                <w:color w:val="auto"/>
              </w:rPr>
            </w:pPr>
            <w:hyperlink w:anchor="page177">
              <w:r>
                <w:rPr>
                  <w:rFonts w:ascii="Arial" w:cs="Arial" w:eastAsia="Arial" w:hAnsi="Arial"/>
                  <w:sz w:val="13"/>
                  <w:szCs w:val="13"/>
                  <w:color w:val="auto"/>
                </w:rPr>
                <w:t>FINANCIAL STATEMENTS</w:t>
              </w:r>
            </w:hyperlink>
          </w:p>
        </w:tc>
        <w:tc>
          <w:tcPr>
            <w:tcW w:w="2560" w:type="dxa"/>
            <w:vAlign w:val="bottom"/>
          </w:tcPr>
          <w:p>
            <w:pPr>
              <w:jc w:val="right"/>
              <w:ind w:right="2074"/>
              <w:spacing w:after="0"/>
              <w:rPr>
                <w:rFonts w:ascii="Arial" w:cs="Arial" w:eastAsia="Arial" w:hAnsi="Arial"/>
                <w:sz w:val="13"/>
                <w:szCs w:val="13"/>
                <w:color w:val="auto"/>
              </w:rPr>
            </w:pPr>
            <w:hyperlink w:anchor="page177">
              <w:r>
                <w:rPr>
                  <w:rFonts w:ascii="Arial" w:cs="Arial" w:eastAsia="Arial" w:hAnsi="Arial"/>
                  <w:sz w:val="13"/>
                  <w:szCs w:val="13"/>
                  <w:color w:val="auto"/>
                </w:rPr>
                <w:t>255</w:t>
              </w:r>
            </w:hyperlink>
          </w:p>
        </w:tc>
      </w:tr>
      <w:tr>
        <w:trPr>
          <w:trHeight w:val="283"/>
        </w:trPr>
        <w:tc>
          <w:tcPr>
            <w:tcW w:w="720" w:type="dxa"/>
            <w:vAlign w:val="bottom"/>
          </w:tcPr>
          <w:p>
            <w:pPr>
              <w:ind w:left="20"/>
              <w:spacing w:after="0"/>
              <w:rPr>
                <w:sz w:val="20"/>
                <w:szCs w:val="20"/>
                <w:color w:val="auto"/>
              </w:rPr>
            </w:pPr>
            <w:r>
              <w:rPr>
                <w:rFonts w:ascii="Arial" w:cs="Arial" w:eastAsia="Arial" w:hAnsi="Arial"/>
                <w:sz w:val="13"/>
                <w:szCs w:val="13"/>
                <w:color w:val="auto"/>
              </w:rPr>
              <w:t>ITEM 19.</w:t>
            </w:r>
          </w:p>
        </w:tc>
        <w:tc>
          <w:tcPr>
            <w:tcW w:w="4960" w:type="dxa"/>
            <w:vAlign w:val="bottom"/>
            <w:gridSpan w:val="2"/>
          </w:tcPr>
          <w:p>
            <w:pPr>
              <w:ind w:left="60"/>
              <w:spacing w:after="0"/>
              <w:rPr>
                <w:rFonts w:ascii="Arial" w:cs="Arial" w:eastAsia="Arial" w:hAnsi="Arial"/>
                <w:sz w:val="13"/>
                <w:szCs w:val="13"/>
                <w:color w:val="auto"/>
              </w:rPr>
            </w:pPr>
            <w:hyperlink w:anchor="page177">
              <w:r>
                <w:rPr>
                  <w:rFonts w:ascii="Arial" w:cs="Arial" w:eastAsia="Arial" w:hAnsi="Arial"/>
                  <w:sz w:val="13"/>
                  <w:szCs w:val="13"/>
                  <w:color w:val="auto"/>
                </w:rPr>
                <w:t>EXHIBITS</w:t>
              </w:r>
            </w:hyperlink>
          </w:p>
        </w:tc>
        <w:tc>
          <w:tcPr>
            <w:tcW w:w="2560" w:type="dxa"/>
            <w:vAlign w:val="bottom"/>
          </w:tcPr>
          <w:p>
            <w:pPr>
              <w:jc w:val="right"/>
              <w:ind w:right="2074"/>
              <w:spacing w:after="0"/>
              <w:rPr>
                <w:rFonts w:ascii="Arial" w:cs="Arial" w:eastAsia="Arial" w:hAnsi="Arial"/>
                <w:sz w:val="13"/>
                <w:szCs w:val="13"/>
                <w:color w:val="auto"/>
              </w:rPr>
            </w:pPr>
            <w:hyperlink w:anchor="page177">
              <w:r>
                <w:rPr>
                  <w:rFonts w:ascii="Arial" w:cs="Arial" w:eastAsia="Arial" w:hAnsi="Arial"/>
                  <w:sz w:val="13"/>
                  <w:szCs w:val="13"/>
                  <w:color w:val="auto"/>
                </w:rPr>
                <w:t>255</w:t>
              </w:r>
            </w:hyperlink>
          </w:p>
        </w:tc>
      </w:tr>
    </w:tbl>
    <w:p>
      <w:pPr>
        <w:sectPr>
          <w:pgSz w:w="11900" w:h="16840" w:orient="portrait"/>
          <w:cols w:equalWidth="0" w:num="1">
            <w:col w:w="9020"/>
          </w:cols>
          <w:pgMar w:left="1440" w:top="560"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2"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005A64"/>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-129540</wp:posOffset>
            </wp:positionV>
            <wp:extent cx="523113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color w:val="auto"/>
        </w:rPr>
        <w:t>In this Annual Report on Form 20-F, or the Annual Report, “BioNTech,” the “Group,” the “Company,” “we,” “us,” and “our” refer to BioNTech SE and its consolidated subsidiaries, except where the context otherwise requires. In response to the fact that our consolidated financial statements are published in Euro, the selected consolidated financial data is presented in Euro as well. Amounts in U.S. dollar are translated into Euro using the exchange rates as per period end or average exchange rates for the periods indicated as published by the German Central Bank (Deutsche Bundesbank).</w:t>
      </w:r>
    </w:p>
    <w:p>
      <w:pPr>
        <w:ind w:left="380"/>
        <w:spacing w:after="0" w:line="216" w:lineRule="auto"/>
        <w:rPr>
          <w:sz w:val="20"/>
          <w:szCs w:val="20"/>
          <w:color w:val="auto"/>
        </w:rPr>
      </w:pPr>
      <w:r>
        <w:rPr>
          <w:rFonts w:ascii="Arial" w:cs="Arial" w:eastAsia="Arial" w:hAnsi="Arial"/>
          <w:sz w:val="13"/>
          <w:szCs w:val="13"/>
          <w:color w:val="auto"/>
        </w:rPr>
        <w:t>All references in this Annual Report to “$” mean U.S. dollars and all references to “€” mean Euros.</w:t>
      </w:r>
    </w:p>
    <w:p>
      <w:pPr>
        <w:ind w:left="380" w:right="2080"/>
        <w:spacing w:after="0" w:line="210" w:lineRule="auto"/>
        <w:rPr>
          <w:sz w:val="20"/>
          <w:szCs w:val="20"/>
          <w:color w:val="auto"/>
        </w:rPr>
      </w:pPr>
      <w:r>
        <w:rPr>
          <w:rFonts w:ascii="Arial" w:cs="Arial" w:eastAsia="Arial" w:hAnsi="Arial"/>
          <w:sz w:val="13"/>
          <w:szCs w:val="13"/>
          <w:color w:val="auto"/>
        </w:rPr>
        <w:t>This Annual Report contains references to our trademarks and to trademarks belong to other entities. Solely for convenience, trademarks and trade names referred to,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4" w:lineRule="exact"/>
        <w:rPr>
          <w:sz w:val="20"/>
          <w:szCs w:val="20"/>
          <w:color w:val="auto"/>
        </w:rPr>
      </w:pPr>
    </w:p>
    <w:p>
      <w:pPr>
        <w:ind w:left="380" w:right="2260"/>
        <w:spacing w:after="0" w:line="222" w:lineRule="auto"/>
        <w:rPr>
          <w:sz w:val="20"/>
          <w:szCs w:val="20"/>
          <w:color w:val="auto"/>
        </w:rPr>
      </w:pPr>
      <w:r>
        <w:rPr>
          <w:rFonts w:ascii="Arial" w:cs="Arial" w:eastAsia="Arial" w:hAnsi="Arial"/>
          <w:sz w:val="13"/>
          <w:szCs w:val="13"/>
          <w:color w:val="auto"/>
        </w:rPr>
        <w:t xml:space="preserve">Our trademark portfolio includes, but is not limited to, </w:t>
      </w:r>
      <w:r>
        <w:rPr>
          <w:rFonts w:ascii="Arial" w:cs="Arial" w:eastAsia="Arial" w:hAnsi="Arial"/>
          <w:sz w:val="13"/>
          <w:szCs w:val="13"/>
          <w:i w:val="1"/>
          <w:iCs w:val="1"/>
          <w:color w:val="auto"/>
        </w:rPr>
        <w:t>Comirnaty</w:t>
      </w:r>
      <w:r>
        <w:rPr>
          <w:rFonts w:ascii="Arial" w:cs="Arial" w:eastAsia="Arial" w:hAnsi="Arial"/>
          <w:sz w:val="13"/>
          <w:szCs w:val="13"/>
          <w:color w:val="auto"/>
        </w:rPr>
        <w:t xml:space="preserve">, </w:t>
      </w:r>
      <w:r>
        <w:rPr>
          <w:rFonts w:ascii="Arial" w:cs="Arial" w:eastAsia="Arial" w:hAnsi="Arial"/>
          <w:sz w:val="13"/>
          <w:szCs w:val="13"/>
          <w:i w:val="1"/>
          <w:iCs w:val="1"/>
          <w:color w:val="auto"/>
        </w:rPr>
        <w:t>BioNTainer</w:t>
      </w:r>
      <w:r>
        <w:rPr>
          <w:rFonts w:ascii="Arial" w:cs="Arial" w:eastAsia="Arial" w:hAnsi="Arial"/>
          <w:sz w:val="13"/>
          <w:szCs w:val="13"/>
          <w:color w:val="auto"/>
        </w:rPr>
        <w:t xml:space="preserve">, </w:t>
      </w:r>
      <w:r>
        <w:rPr>
          <w:rFonts w:ascii="Arial" w:cs="Arial" w:eastAsia="Arial" w:hAnsi="Arial"/>
          <w:sz w:val="13"/>
          <w:szCs w:val="13"/>
          <w:i w:val="1"/>
          <w:iCs w:val="1"/>
          <w:color w:val="auto"/>
        </w:rPr>
        <w:t>FixVac</w:t>
      </w:r>
      <w:r>
        <w:rPr>
          <w:rFonts w:ascii="Arial" w:cs="Arial" w:eastAsia="Arial" w:hAnsi="Arial"/>
          <w:sz w:val="13"/>
          <w:szCs w:val="13"/>
          <w:color w:val="auto"/>
        </w:rPr>
        <w:t xml:space="preserve">, </w:t>
      </w:r>
      <w:r>
        <w:rPr>
          <w:rFonts w:ascii="Arial" w:cs="Arial" w:eastAsia="Arial" w:hAnsi="Arial"/>
          <w:sz w:val="13"/>
          <w:szCs w:val="13"/>
          <w:i w:val="1"/>
          <w:iCs w:val="1"/>
          <w:color w:val="auto"/>
        </w:rPr>
        <w:t>RiboCytokine</w:t>
      </w:r>
      <w:r>
        <w:rPr>
          <w:rFonts w:ascii="Arial" w:cs="Arial" w:eastAsia="Arial" w:hAnsi="Arial"/>
          <w:sz w:val="13"/>
          <w:szCs w:val="13"/>
          <w:color w:val="auto"/>
        </w:rPr>
        <w:t xml:space="preserve">, </w:t>
      </w:r>
      <w:r>
        <w:rPr>
          <w:rFonts w:ascii="Arial" w:cs="Arial" w:eastAsia="Arial" w:hAnsi="Arial"/>
          <w:sz w:val="13"/>
          <w:szCs w:val="13"/>
          <w:i w:val="1"/>
          <w:iCs w:val="1"/>
          <w:color w:val="auto"/>
        </w:rPr>
        <w:t>RiboMab</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Recon </w:t>
      </w:r>
      <w:r>
        <w:rPr>
          <w:rFonts w:ascii="Arial" w:cs="Arial" w:eastAsia="Arial" w:hAnsi="Arial"/>
          <w:sz w:val="13"/>
          <w:szCs w:val="13"/>
          <w:color w:val="auto"/>
        </w:rPr>
        <w:t>and</w:t>
      </w:r>
      <w:r>
        <w:rPr>
          <w:rFonts w:ascii="Arial" w:cs="Arial" w:eastAsia="Arial" w:hAnsi="Arial"/>
          <w:sz w:val="13"/>
          <w:szCs w:val="13"/>
          <w:i w:val="1"/>
          <w:iCs w:val="1"/>
          <w:color w:val="auto"/>
        </w:rPr>
        <w:t xml:space="preserve"> Neo-Stim</w:t>
      </w:r>
      <w:r>
        <w:rPr>
          <w:rFonts w:ascii="Arial" w:cs="Arial" w:eastAsia="Arial" w:hAnsi="Arial"/>
          <w:sz w:val="13"/>
          <w:szCs w:val="13"/>
          <w:color w:val="auto"/>
        </w:rPr>
        <w:t>, including logo versions of some of these trademarks. Brand names appearing in italics</w:t>
      </w:r>
      <w:r>
        <w:rPr>
          <w:rFonts w:ascii="Arial" w:cs="Arial" w:eastAsia="Arial" w:hAnsi="Arial"/>
          <w:sz w:val="13"/>
          <w:szCs w:val="13"/>
          <w:i w:val="1"/>
          <w:iCs w:val="1"/>
          <w:color w:val="auto"/>
        </w:rPr>
        <w:t xml:space="preserve"> </w:t>
      </w:r>
      <w:r>
        <w:rPr>
          <w:rFonts w:ascii="Arial" w:cs="Arial" w:eastAsia="Arial" w:hAnsi="Arial"/>
          <w:sz w:val="13"/>
          <w:szCs w:val="13"/>
          <w:color w:val="auto"/>
        </w:rPr>
        <w:t>throughout this report are trademarks owned by BioNTech. All other trademarks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6" w:lineRule="exact"/>
        <w:rPr>
          <w:sz w:val="20"/>
          <w:szCs w:val="20"/>
          <w:color w:val="auto"/>
        </w:rPr>
      </w:pPr>
    </w:p>
    <w:p>
      <w:pPr>
        <w:ind w:left="380" w:right="2580"/>
        <w:spacing w:after="0" w:line="223" w:lineRule="auto"/>
        <w:rPr>
          <w:sz w:val="20"/>
          <w:szCs w:val="20"/>
          <w:color w:val="auto"/>
        </w:rPr>
      </w:pPr>
      <w:r>
        <w:rPr>
          <w:rFonts w:ascii="Arial" w:cs="Arial" w:eastAsia="Arial" w:hAnsi="Arial"/>
          <w:sz w:val="20"/>
          <w:szCs w:val="20"/>
          <w:b w:val="1"/>
          <w:bCs w:val="1"/>
          <w:color w:val="005A64"/>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-257175</wp:posOffset>
            </wp:positionV>
            <wp:extent cx="523113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60"/>
        <w:spacing w:after="0" w:line="210" w:lineRule="auto"/>
        <w:rPr>
          <w:sz w:val="20"/>
          <w:szCs w:val="20"/>
          <w:color w:val="auto"/>
        </w:rPr>
      </w:pPr>
      <w:r>
        <w:rPr>
          <w:rFonts w:ascii="Arial" w:cs="Arial" w:eastAsia="Arial" w:hAnsi="Arial"/>
          <w:sz w:val="13"/>
          <w:szCs w:val="13"/>
          <w:color w:val="auto"/>
        </w:rPr>
        <w:t>This Annual Report contains forward-looking statements concerning our business, operations and financial performance and condition as well as our plans, objectives and expectations for our business operations and financial performance and condition. Any statements that are not of historical facts may be deemed to be forward-looking statements. Many of the forward-looking statements contained in this Annual Report can be identified by the use of forward-looking words such as “believes”, “estimates”, “anticipates”, “expects”, “plans”, “intends”, “may”, “could”, “might”, “will”, “should”, “aims” or other similar expressions that convey uncertainty of future events or outcomes.</w:t>
      </w:r>
    </w:p>
    <w:p>
      <w:pPr>
        <w:spacing w:after="0" w:line="4"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These forward-looking statements are subject to known and unknown risks, uncertainties, assumptions and other factors that could cause our actual results of operations, financial condition, liquidity, performance, prospects, opportunities, achievements or industry results, as well as those of the markets we serve or intend to serve, to differ materially from those expressed in, or suggested by, these forward-looking statements. These forward-looking statements are based on assumptions regarding our present and future business strategies and the environment in which we expect to operate in the future. Important factors that could cause those differences include, but are not limited to:</w:t>
      </w:r>
    </w:p>
    <w:p>
      <w:pPr>
        <w:spacing w:after="0" w:line="4" w:lineRule="exact"/>
        <w:rPr>
          <w:sz w:val="20"/>
          <w:szCs w:val="20"/>
          <w:color w:val="auto"/>
        </w:rPr>
      </w:pPr>
    </w:p>
    <w:p>
      <w:pPr>
        <w:ind w:left="380" w:right="2700"/>
        <w:spacing w:after="0" w:line="234" w:lineRule="auto"/>
        <w:rPr>
          <w:sz w:val="20"/>
          <w:szCs w:val="20"/>
          <w:color w:val="auto"/>
        </w:rPr>
      </w:pPr>
      <w:r>
        <w:rPr>
          <w:rFonts w:ascii="Arial" w:cs="Arial" w:eastAsia="Arial" w:hAnsi="Arial"/>
          <w:sz w:val="13"/>
          <w:szCs w:val="13"/>
          <w:color w:val="auto"/>
        </w:rPr>
        <w:t>•the extent to which COVID-19 vaccines continue to be necessary in the future and any effects of reduced demand for our COVID-19 vaccine, including the write-down of inventory and costs relating to</w:t>
      </w:r>
    </w:p>
    <w:p>
      <w:pPr>
        <w:sectPr>
          <w:pgSz w:w="11900" w:h="16840" w:orient="portrait"/>
          <w:cols w:equalWidth="0" w:num="1">
            <w:col w:w="9020"/>
          </w:cols>
          <w:pgMar w:left="1440" w:top="1440" w:right="1440" w:bottom="118" w:gutter="0" w:footer="0" w:header="0"/>
        </w:sectPr>
      </w:pPr>
    </w:p>
    <w:bookmarkStart w:id="5" w:name="page6"/>
    <w:bookmarkEnd w:id="5"/>
    <w:p>
      <w:pPr>
        <w:ind w:left="380"/>
        <w:spacing w:after="0"/>
        <w:rPr>
          <w:sz w:val="20"/>
          <w:szCs w:val="20"/>
          <w:color w:val="auto"/>
        </w:rPr>
      </w:pPr>
      <w:r>
        <w:rPr>
          <w:rFonts w:ascii="Arial" w:cs="Arial" w:eastAsia="Arial" w:hAnsi="Arial"/>
          <w:sz w:val="13"/>
          <w:szCs w:val="13"/>
          <w:color w:val="auto"/>
        </w:rPr>
        <w:t>contract manufacturing production capacities that become redundant or unutilized;</w:t>
      </w:r>
    </w:p>
    <w:p>
      <w:pPr>
        <w:ind w:left="380" w:right="2560"/>
        <w:spacing w:after="0" w:line="210" w:lineRule="auto"/>
        <w:rPr>
          <w:sz w:val="20"/>
          <w:szCs w:val="20"/>
          <w:color w:val="auto"/>
        </w:rPr>
      </w:pPr>
      <w:r>
        <w:rPr>
          <w:rFonts w:ascii="Arial" w:cs="Arial" w:eastAsia="Arial" w:hAnsi="Arial"/>
          <w:sz w:val="13"/>
          <w:szCs w:val="13"/>
          <w:color w:val="auto"/>
        </w:rPr>
        <w:t xml:space="preserve">•our expected revenues and net profit related to sales of our COVID-19 vaccine (also referred to as </w:t>
      </w:r>
      <w:r>
        <w:rPr>
          <w:rFonts w:ascii="Arial" w:cs="Arial" w:eastAsia="Arial" w:hAnsi="Arial"/>
          <w:sz w:val="13"/>
          <w:szCs w:val="13"/>
          <w:i w:val="1"/>
          <w:iCs w:val="1"/>
          <w:color w:val="auto"/>
        </w:rPr>
        <w:t xml:space="preserve">Comirnaty </w:t>
      </w:r>
      <w:r>
        <w:rPr>
          <w:rFonts w:ascii="Arial" w:cs="Arial" w:eastAsia="Arial" w:hAnsi="Arial"/>
          <w:sz w:val="13"/>
          <w:szCs w:val="13"/>
          <w:color w:val="auto"/>
        </w:rPr>
        <w:t>in the United States and in the European Union to the extent authorized for use), respectively,</w:t>
      </w:r>
      <w:r>
        <w:rPr>
          <w:rFonts w:ascii="Arial" w:cs="Arial" w:eastAsia="Arial" w:hAnsi="Arial"/>
          <w:sz w:val="13"/>
          <w:szCs w:val="13"/>
          <w:i w:val="1"/>
          <w:iCs w:val="1"/>
          <w:color w:val="auto"/>
        </w:rPr>
        <w:t xml:space="preserve"> </w:t>
      </w:r>
      <w:r>
        <w:rPr>
          <w:rFonts w:ascii="Arial" w:cs="Arial" w:eastAsia="Arial" w:hAnsi="Arial"/>
          <w:sz w:val="13"/>
          <w:szCs w:val="13"/>
          <w:color w:val="auto"/>
        </w:rPr>
        <w:t>in territories controlled by our collaboration partners, particularly for those figures that are derived from preliminary estimates provided by our partners;</w:t>
      </w:r>
    </w:p>
    <w:p>
      <w:pPr>
        <w:spacing w:after="0" w:line="2" w:lineRule="exact"/>
        <w:rPr>
          <w:sz w:val="20"/>
          <w:szCs w:val="20"/>
          <w:color w:val="auto"/>
        </w:rPr>
      </w:pPr>
    </w:p>
    <w:p>
      <w:pPr>
        <w:ind w:left="380" w:right="2580"/>
        <w:spacing w:after="0" w:line="210" w:lineRule="auto"/>
        <w:rPr>
          <w:sz w:val="20"/>
          <w:szCs w:val="20"/>
          <w:color w:val="auto"/>
        </w:rPr>
      </w:pPr>
      <w:r>
        <w:rPr>
          <w:rFonts w:ascii="Arial" w:cs="Arial" w:eastAsia="Arial" w:hAnsi="Arial"/>
          <w:sz w:val="13"/>
          <w:szCs w:val="13"/>
          <w:color w:val="auto"/>
        </w:rPr>
        <w:t>•our pricing and coverage negotiations for our COVID-19 vaccine with governmental authorities, private health insurers and other third-party payors after our initial sales to national governments; •competition from other COVID-19 vaccines or related to our other product candidates, including those with different mechanisms of action and different manufacturing and distribution constraints, on the basis of, among other things, efficacy, cost, convenience of storage and distribution, breadth of approved use, safety, side-effect profile and durability of immune response;</w:t>
      </w:r>
    </w:p>
    <w:p>
      <w:pPr>
        <w:spacing w:after="0" w:line="4" w:lineRule="exact"/>
        <w:rPr>
          <w:sz w:val="20"/>
          <w:szCs w:val="20"/>
          <w:color w:val="auto"/>
        </w:rPr>
      </w:pPr>
    </w:p>
    <w:p>
      <w:pPr>
        <w:jc w:val="both"/>
        <w:ind w:left="380" w:right="2560"/>
        <w:spacing w:after="0" w:line="210" w:lineRule="auto"/>
        <w:rPr>
          <w:sz w:val="20"/>
          <w:szCs w:val="20"/>
          <w:color w:val="auto"/>
        </w:rPr>
      </w:pPr>
      <w:r>
        <w:rPr>
          <w:rFonts w:ascii="Arial" w:cs="Arial" w:eastAsia="Arial" w:hAnsi="Arial"/>
          <w:sz w:val="13"/>
          <w:szCs w:val="13"/>
          <w:color w:val="auto"/>
        </w:rPr>
        <w:t>•the timing and ability of us and our collaborators to obtain regulatory approval for our COVID-19 vaccine and our product candidates, and to commercialize our approved and investigational product candidates, if approved;</w:t>
      </w:r>
    </w:p>
    <w:p>
      <w:pPr>
        <w:spacing w:after="0" w:line="2" w:lineRule="exact"/>
        <w:rPr>
          <w:sz w:val="20"/>
          <w:szCs w:val="20"/>
          <w:color w:val="auto"/>
        </w:rPr>
      </w:pPr>
    </w:p>
    <w:p>
      <w:pPr>
        <w:jc w:val="both"/>
        <w:ind w:left="380" w:right="2880"/>
        <w:spacing w:after="0" w:line="210" w:lineRule="auto"/>
        <w:rPr>
          <w:sz w:val="20"/>
          <w:szCs w:val="20"/>
          <w:color w:val="auto"/>
        </w:rPr>
      </w:pPr>
      <w:r>
        <w:rPr>
          <w:rFonts w:ascii="Arial" w:cs="Arial" w:eastAsia="Arial" w:hAnsi="Arial"/>
          <w:sz w:val="13"/>
          <w:szCs w:val="13"/>
          <w:color w:val="auto"/>
        </w:rPr>
        <w:t>•the pricing and reimbursement of our COVID -19 vaccine and our product candidates, if approved; •the rate and degree of market acceptance of our COVID-19 vaccine and our product candidates, if approved;</w:t>
      </w:r>
    </w:p>
    <w:p>
      <w:pPr>
        <w:spacing w:after="0" w:line="2" w:lineRule="exact"/>
        <w:rPr>
          <w:sz w:val="20"/>
          <w:szCs w:val="20"/>
          <w:color w:val="auto"/>
        </w:rPr>
      </w:pPr>
    </w:p>
    <w:p>
      <w:pPr>
        <w:ind w:left="380" w:right="2800"/>
        <w:spacing w:after="0" w:line="210" w:lineRule="auto"/>
        <w:rPr>
          <w:sz w:val="20"/>
          <w:szCs w:val="20"/>
          <w:color w:val="auto"/>
        </w:rPr>
      </w:pPr>
      <w:r>
        <w:rPr>
          <w:rFonts w:ascii="Arial" w:cs="Arial" w:eastAsia="Arial" w:hAnsi="Arial"/>
          <w:sz w:val="13"/>
          <w:szCs w:val="13"/>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 •our ability to identify research opportunities and discover and develop product candidates;</w:t>
      </w:r>
    </w:p>
    <w:p>
      <w:pPr>
        <w:spacing w:after="0" w:line="3" w:lineRule="exact"/>
        <w:rPr>
          <w:sz w:val="20"/>
          <w:szCs w:val="20"/>
          <w:color w:val="auto"/>
        </w:rPr>
      </w:pPr>
    </w:p>
    <w:p>
      <w:pPr>
        <w:ind w:left="380" w:right="2660"/>
        <w:spacing w:after="0" w:line="234" w:lineRule="auto"/>
        <w:rPr>
          <w:sz w:val="20"/>
          <w:szCs w:val="20"/>
          <w:color w:val="auto"/>
        </w:rPr>
      </w:pPr>
      <w:r>
        <w:rPr>
          <w:rFonts w:ascii="Arial" w:cs="Arial" w:eastAsia="Arial" w:hAnsi="Arial"/>
          <w:sz w:val="13"/>
          <w:szCs w:val="13"/>
          <w:color w:val="auto"/>
        </w:rPr>
        <w:t>•our ability to utilize our resources on-hand and to focus on the development of product candidates that will maximize shareholder value and our corporate pillars;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740"/>
        <w:spacing w:after="0" w:line="220" w:lineRule="auto"/>
        <w:rPr>
          <w:sz w:val="20"/>
          <w:szCs w:val="20"/>
          <w:color w:val="auto"/>
        </w:rPr>
      </w:pPr>
      <w:r>
        <w:rPr>
          <w:rFonts w:ascii="Arial" w:cs="Arial" w:eastAsia="Arial" w:hAnsi="Arial"/>
          <w:sz w:val="13"/>
          <w:szCs w:val="13"/>
          <w:color w:val="auto"/>
        </w:rPr>
        <w:t>•our measures anticipated to be taken in connection with our strategic vision, including estimated FTE increases and decreases;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3040"/>
        <w:spacing w:after="0" w:line="210" w:lineRule="auto"/>
        <w:rPr>
          <w:sz w:val="20"/>
          <w:szCs w:val="20"/>
          <w:color w:val="auto"/>
        </w:rPr>
      </w:pPr>
      <w:r>
        <w:rPr>
          <w:rFonts w:ascii="Arial" w:cs="Arial" w:eastAsia="Arial" w:hAnsi="Arial"/>
          <w:sz w:val="13"/>
          <w:szCs w:val="13"/>
          <w:color w:val="auto"/>
        </w:rPr>
        <w:t>•the ability and willingness of our third-party collaborators to continue research and development activities relating to our product candidates;</w:t>
      </w:r>
    </w:p>
    <w:p>
      <w:pPr>
        <w:spacing w:after="0" w:line="1" w:lineRule="exact"/>
        <w:rPr>
          <w:sz w:val="20"/>
          <w:szCs w:val="20"/>
          <w:color w:val="auto"/>
        </w:rPr>
      </w:pPr>
    </w:p>
    <w:p>
      <w:pPr>
        <w:ind w:left="380" w:right="2560"/>
        <w:spacing w:after="0" w:line="210" w:lineRule="auto"/>
        <w:rPr>
          <w:sz w:val="20"/>
          <w:szCs w:val="20"/>
          <w:color w:val="auto"/>
        </w:rPr>
      </w:pPr>
      <w:r>
        <w:rPr>
          <w:rFonts w:ascii="Arial" w:cs="Arial" w:eastAsia="Arial" w:hAnsi="Arial"/>
          <w:sz w:val="13"/>
          <w:szCs w:val="13"/>
          <w:color w:val="auto"/>
        </w:rPr>
        <w:t>•our expectations regarding the size of the patient populations for our product candidates, if approved for commercial use;</w:t>
      </w:r>
    </w:p>
    <w:p>
      <w:pPr>
        <w:spacing w:after="0" w:line="1" w:lineRule="exact"/>
        <w:rPr>
          <w:sz w:val="20"/>
          <w:szCs w:val="20"/>
          <w:color w:val="auto"/>
        </w:rPr>
      </w:pPr>
    </w:p>
    <w:p>
      <w:pPr>
        <w:ind w:left="380" w:right="3000"/>
        <w:spacing w:after="0" w:line="210" w:lineRule="auto"/>
        <w:rPr>
          <w:sz w:val="20"/>
          <w:szCs w:val="20"/>
          <w:color w:val="auto"/>
        </w:rPr>
      </w:pPr>
      <w:r>
        <w:rPr>
          <w:rFonts w:ascii="Arial" w:cs="Arial" w:eastAsia="Arial" w:hAnsi="Arial"/>
          <w:sz w:val="13"/>
          <w:szCs w:val="13"/>
          <w:color w:val="auto"/>
        </w:rPr>
        <w:t>•the impact of COVID-19 on our development programs, supply chain, collaborators and financial performance;</w:t>
      </w:r>
    </w:p>
    <w:p>
      <w:pPr>
        <w:spacing w:after="0" w:line="1" w:lineRule="exact"/>
        <w:rPr>
          <w:sz w:val="20"/>
          <w:szCs w:val="20"/>
          <w:color w:val="auto"/>
        </w:rPr>
      </w:pPr>
    </w:p>
    <w:p>
      <w:pPr>
        <w:ind w:left="380" w:right="2660"/>
        <w:spacing w:after="0" w:line="210" w:lineRule="auto"/>
        <w:rPr>
          <w:sz w:val="20"/>
          <w:szCs w:val="20"/>
          <w:color w:val="auto"/>
        </w:rPr>
      </w:pPr>
      <w:r>
        <w:rPr>
          <w:rFonts w:ascii="Arial" w:cs="Arial" w:eastAsia="Arial" w:hAnsi="Arial"/>
          <w:sz w:val="13"/>
          <w:szCs w:val="13"/>
          <w:color w:val="auto"/>
        </w:rPr>
        <w:t>•unforeseen safety issues and claims for personal injury or death arising from the use of our COVID-19 vaccine and other products and product candidates developed or manufactured by us;</w:t>
      </w:r>
    </w:p>
    <w:p>
      <w:pPr>
        <w:spacing w:after="0" w:line="1" w:lineRule="exact"/>
        <w:rPr>
          <w:sz w:val="20"/>
          <w:szCs w:val="20"/>
          <w:color w:val="auto"/>
        </w:rPr>
      </w:pPr>
    </w:p>
    <w:p>
      <w:pPr>
        <w:ind w:left="380" w:right="2700"/>
        <w:spacing w:after="0" w:line="210" w:lineRule="auto"/>
        <w:rPr>
          <w:sz w:val="20"/>
          <w:szCs w:val="20"/>
          <w:color w:val="auto"/>
        </w:rPr>
      </w:pPr>
      <w:r>
        <w:rPr>
          <w:rFonts w:ascii="Arial" w:cs="Arial" w:eastAsia="Arial" w:hAnsi="Arial"/>
          <w:sz w:val="13"/>
          <w:szCs w:val="13"/>
          <w:color w:val="auto"/>
        </w:rPr>
        <w:t>•our estimates of our expenses, future revenue and capital requirements and our needs for or ability to obtain additional financing;</w:t>
      </w:r>
    </w:p>
    <w:p>
      <w:pPr>
        <w:ind w:left="380"/>
        <w:spacing w:after="0" w:line="212" w:lineRule="auto"/>
        <w:rPr>
          <w:sz w:val="20"/>
          <w:szCs w:val="20"/>
          <w:color w:val="auto"/>
        </w:rPr>
      </w:pPr>
      <w:r>
        <w:rPr>
          <w:rFonts w:ascii="Arial" w:cs="Arial" w:eastAsia="Arial" w:hAnsi="Arial"/>
          <w:sz w:val="13"/>
          <w:szCs w:val="13"/>
          <w:color w:val="auto"/>
        </w:rPr>
        <w:t>•our ability to identify, recruit and retain key personnel;</w:t>
      </w:r>
    </w:p>
    <w:p>
      <w:pPr>
        <w:spacing w:after="0" w:line="1" w:lineRule="exact"/>
        <w:rPr>
          <w:sz w:val="20"/>
          <w:szCs w:val="20"/>
          <w:color w:val="auto"/>
        </w:rPr>
      </w:pPr>
    </w:p>
    <w:p>
      <w:pPr>
        <w:jc w:val="both"/>
        <w:ind w:left="380" w:right="2940"/>
        <w:spacing w:after="0" w:line="210" w:lineRule="auto"/>
        <w:rPr>
          <w:sz w:val="20"/>
          <w:szCs w:val="20"/>
          <w:color w:val="auto"/>
        </w:rPr>
      </w:pPr>
      <w:r>
        <w:rPr>
          <w:rFonts w:ascii="Arial" w:cs="Arial" w:eastAsia="Arial" w:hAnsi="Arial"/>
          <w:sz w:val="13"/>
          <w:szCs w:val="13"/>
          <w:color w:val="auto"/>
        </w:rPr>
        <w:t>•our and our collaborators’ ability to protect and enforce our intellectual property protection for our proprietary and collaborative product candidates, our ability to protect and defend against potential claims of others' intellectual property, and the scope of such protection;</w:t>
      </w:r>
    </w:p>
    <w:p>
      <w:pPr>
        <w:ind w:left="380"/>
        <w:spacing w:after="0" w:line="213" w:lineRule="auto"/>
        <w:rPr>
          <w:sz w:val="20"/>
          <w:szCs w:val="20"/>
          <w:color w:val="auto"/>
        </w:rPr>
      </w:pPr>
      <w:r>
        <w:rPr>
          <w:rFonts w:ascii="Arial" w:cs="Arial" w:eastAsia="Arial" w:hAnsi="Arial"/>
          <w:sz w:val="13"/>
          <w:szCs w:val="13"/>
          <w:color w:val="auto"/>
        </w:rPr>
        <w:t>•the development of and projections relating to our competitors or our industry;</w:t>
      </w:r>
    </w:p>
    <w:p>
      <w:pPr>
        <w:spacing w:after="0" w:line="1" w:lineRule="exact"/>
        <w:rPr>
          <w:sz w:val="20"/>
          <w:szCs w:val="20"/>
          <w:color w:val="auto"/>
        </w:rPr>
      </w:pPr>
    </w:p>
    <w:p>
      <w:pPr>
        <w:ind w:left="380" w:right="2560"/>
        <w:spacing w:after="0" w:line="210" w:lineRule="auto"/>
        <w:rPr>
          <w:sz w:val="20"/>
          <w:szCs w:val="20"/>
          <w:color w:val="auto"/>
        </w:rPr>
      </w:pPr>
      <w:r>
        <w:rPr>
          <w:rFonts w:ascii="Arial" w:cs="Arial" w:eastAsia="Arial" w:hAnsi="Arial"/>
          <w:sz w:val="13"/>
          <w:szCs w:val="13"/>
          <w:color w:val="auto"/>
        </w:rPr>
        <w:t>•the amount of and our ability to use net operating losses and research and development credits to offset future taxable income;</w:t>
      </w:r>
    </w:p>
    <w:p>
      <w:pPr>
        <w:spacing w:after="0" w:line="1" w:lineRule="exact"/>
        <w:rPr>
          <w:sz w:val="20"/>
          <w:szCs w:val="20"/>
          <w:color w:val="auto"/>
        </w:rPr>
      </w:pPr>
    </w:p>
    <w:p>
      <w:pPr>
        <w:ind w:left="380" w:right="2560"/>
        <w:spacing w:after="0"/>
        <w:rPr>
          <w:sz w:val="20"/>
          <w:szCs w:val="20"/>
          <w:color w:val="auto"/>
        </w:rPr>
      </w:pPr>
      <w:r>
        <w:rPr>
          <w:rFonts w:ascii="Arial" w:cs="Arial" w:eastAsia="Arial" w:hAnsi="Arial"/>
          <w:sz w:val="13"/>
          <w:szCs w:val="13"/>
          <w:color w:val="auto"/>
        </w:rPr>
        <w:t>•our ability, and that of our collaboration partners, as applicable, to manage development and expansion; •regulatory developments in the United States and foreign countries; •political uncertainty;</w:t>
      </w:r>
    </w:p>
    <w:p>
      <w:pPr>
        <w:spacing w:after="0" w:line="95" w:lineRule="exact"/>
        <w:rPr>
          <w:sz w:val="20"/>
          <w:szCs w:val="20"/>
          <w:color w:val="auto"/>
        </w:rPr>
      </w:pPr>
    </w:p>
    <w:p>
      <w:pPr>
        <w:ind w:left="380" w:right="2760"/>
        <w:spacing w:after="0" w:line="210" w:lineRule="auto"/>
        <w:rPr>
          <w:sz w:val="20"/>
          <w:szCs w:val="20"/>
          <w:color w:val="auto"/>
        </w:rPr>
      </w:pPr>
      <w:r>
        <w:rPr>
          <w:rFonts w:ascii="Arial" w:cs="Arial" w:eastAsia="Arial" w:hAnsi="Arial"/>
          <w:sz w:val="13"/>
          <w:szCs w:val="13"/>
          <w:color w:val="auto"/>
        </w:rPr>
        <w:t>•our ability to effectively scale our production capabilities and manufacture our products, including our COVID-19 vaccine, and our product candidates;</w:t>
      </w:r>
    </w:p>
    <w:p>
      <w:pPr>
        <w:spacing w:after="0" w:line="1"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•our expectations with respect to the timing and amount of any dividends and any potential repurchases of our outstanding American Depositary Shares, or ADSs;</w:t>
      </w:r>
    </w:p>
    <w:p>
      <w:pPr>
        <w:spacing w:after="0" w:line="1" w:lineRule="exact"/>
        <w:rPr>
          <w:sz w:val="20"/>
          <w:szCs w:val="20"/>
          <w:color w:val="auto"/>
        </w:rPr>
      </w:pPr>
    </w:p>
    <w:p>
      <w:pPr>
        <w:ind w:left="380" w:right="3180"/>
        <w:spacing w:after="0" w:line="210" w:lineRule="auto"/>
        <w:rPr>
          <w:sz w:val="20"/>
          <w:szCs w:val="20"/>
          <w:color w:val="auto"/>
        </w:rPr>
      </w:pPr>
      <w:r>
        <w:rPr>
          <w:rFonts w:ascii="Arial" w:cs="Arial" w:eastAsia="Arial" w:hAnsi="Arial"/>
          <w:sz w:val="13"/>
          <w:szCs w:val="13"/>
          <w:color w:val="auto"/>
        </w:rPr>
        <w:t>•our expectations regarding the timing of customer payments for delivered COVID-19 vaccine; •our ability to implement, maintain and improve effective internal controls; and •other factors not known to us at this time.</w:t>
      </w:r>
    </w:p>
    <w:p>
      <w:pPr>
        <w:spacing w:after="0" w:line="2" w:lineRule="exact"/>
        <w:rPr>
          <w:sz w:val="20"/>
          <w:szCs w:val="20"/>
          <w:color w:val="auto"/>
        </w:rPr>
      </w:pPr>
    </w:p>
    <w:p>
      <w:pPr>
        <w:ind w:left="380" w:right="2120"/>
        <w:spacing w:after="0" w:line="220" w:lineRule="auto"/>
        <w:rPr>
          <w:sz w:val="20"/>
          <w:szCs w:val="20"/>
          <w:color w:val="auto"/>
        </w:rPr>
      </w:pPr>
      <w:r>
        <w:rPr>
          <w:rFonts w:ascii="Arial" w:cs="Arial" w:eastAsia="Arial" w:hAnsi="Arial"/>
          <w:sz w:val="13"/>
          <w:szCs w:val="13"/>
          <w:color w:val="auto"/>
        </w:rPr>
        <w:t>The preceding list is not intended to be an exhaustive list of all of our forward -looking statements. The forward-looking statements contained in this Annual Report speak only as of the date of this report, and unless otherwise required by law,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ectPr>
          <w:pgSz w:w="11900" w:h="16840" w:orient="portrait"/>
          <w:cols w:equalWidth="0" w:num="1">
            <w:col w:w="9020"/>
          </w:cols>
          <w:pgMar w:left="1440" w:top="554" w:right="1440"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5"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005A64"/>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-130810</wp:posOffset>
            </wp:positionV>
            <wp:extent cx="523113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07" w:lineRule="auto"/>
        <w:rPr>
          <w:sz w:val="20"/>
          <w:szCs w:val="20"/>
          <w:color w:val="auto"/>
        </w:rPr>
      </w:pPr>
      <w:r>
        <w:rPr>
          <w:rFonts w:ascii="Arial" w:cs="Arial" w:eastAsia="Arial" w:hAnsi="Arial"/>
          <w:sz w:val="16"/>
          <w:szCs w:val="16"/>
          <w:b w:val="1"/>
          <w:bCs w:val="1"/>
          <w:color w:val="005A64"/>
        </w:rPr>
        <w:t>Item 1. Identity of Directors, Senior Management and Advisers</w:t>
      </w:r>
    </w:p>
    <w:p>
      <w:pPr>
        <w:ind w:left="380"/>
        <w:spacing w:after="0" w:line="215" w:lineRule="auto"/>
        <w:rPr>
          <w:sz w:val="20"/>
          <w:szCs w:val="20"/>
          <w:color w:val="auto"/>
        </w:rPr>
      </w:pPr>
      <w:r>
        <w:rPr>
          <w:rFonts w:ascii="Arial" w:cs="Arial" w:eastAsia="Arial" w:hAnsi="Arial"/>
          <w:sz w:val="13"/>
          <w:szCs w:val="13"/>
          <w:color w:val="auto"/>
        </w:rPr>
        <w:t>Not applicable.</w:t>
      </w:r>
    </w:p>
    <w:p>
      <w:pPr>
        <w:ind w:left="380"/>
        <w:spacing w:after="0" w:line="207" w:lineRule="auto"/>
        <w:rPr>
          <w:sz w:val="20"/>
          <w:szCs w:val="20"/>
          <w:color w:val="auto"/>
        </w:rPr>
      </w:pPr>
      <w:r>
        <w:rPr>
          <w:rFonts w:ascii="Arial" w:cs="Arial" w:eastAsia="Arial" w:hAnsi="Arial"/>
          <w:sz w:val="16"/>
          <w:szCs w:val="16"/>
          <w:b w:val="1"/>
          <w:bCs w:val="1"/>
          <w:color w:val="005A64"/>
        </w:rPr>
        <w:t>Item 2. Offer Statistics and Expected Timetable</w:t>
      </w:r>
    </w:p>
    <w:p>
      <w:pPr>
        <w:ind w:left="380"/>
        <w:spacing w:after="0" w:line="216" w:lineRule="auto"/>
        <w:rPr>
          <w:sz w:val="20"/>
          <w:szCs w:val="20"/>
          <w:color w:val="auto"/>
        </w:rPr>
      </w:pPr>
      <w:r>
        <w:rPr>
          <w:rFonts w:ascii="Arial" w:cs="Arial" w:eastAsia="Arial" w:hAnsi="Arial"/>
          <w:sz w:val="13"/>
          <w:szCs w:val="13"/>
          <w:color w:val="auto"/>
        </w:rPr>
        <w:t>Not applicable.</w:t>
      </w:r>
    </w:p>
    <w:p>
      <w:pPr>
        <w:ind w:left="380"/>
        <w:spacing w:after="0" w:line="207" w:lineRule="auto"/>
        <w:rPr>
          <w:sz w:val="20"/>
          <w:szCs w:val="20"/>
          <w:color w:val="auto"/>
        </w:rPr>
      </w:pPr>
      <w:r>
        <w:rPr>
          <w:rFonts w:ascii="Arial" w:cs="Arial" w:eastAsia="Arial" w:hAnsi="Arial"/>
          <w:sz w:val="16"/>
          <w:szCs w:val="16"/>
          <w:b w:val="1"/>
          <w:bCs w:val="1"/>
          <w:color w:val="005A64"/>
        </w:rPr>
        <w:t>Item 3. Key Information</w:t>
      </w:r>
    </w:p>
    <w:p>
      <w:pPr>
        <w:ind w:left="560" w:hanging="177"/>
        <w:spacing w:after="0" w:line="211" w:lineRule="auto"/>
        <w:tabs>
          <w:tab w:leader="none" w:pos="560" w:val="left"/>
        </w:tabs>
        <w:numPr>
          <w:ilvl w:val="0"/>
          <w:numId w:val="2"/>
        </w:numPr>
        <w:rPr>
          <w:rFonts w:ascii="Arial" w:cs="Arial" w:eastAsia="Arial" w:hAnsi="Arial"/>
          <w:sz w:val="13"/>
          <w:szCs w:val="13"/>
          <w:b w:val="1"/>
          <w:bCs w:val="1"/>
          <w:color w:val="005A64"/>
        </w:rPr>
      </w:pPr>
      <w:r>
        <w:rPr>
          <w:rFonts w:ascii="Arial" w:cs="Arial" w:eastAsia="Arial" w:hAnsi="Arial"/>
          <w:sz w:val="13"/>
          <w:szCs w:val="13"/>
          <w:b w:val="1"/>
          <w:bCs w:val="1"/>
          <w:color w:val="005A64"/>
        </w:rPr>
        <w:t>[Reserved]</w:t>
      </w:r>
    </w:p>
    <w:p>
      <w:pPr>
        <w:ind w:left="380" w:right="6460" w:firstLine="3"/>
        <w:spacing w:after="0" w:line="210" w:lineRule="auto"/>
        <w:tabs>
          <w:tab w:leader="none" w:pos="548" w:val="left"/>
        </w:tabs>
        <w:numPr>
          <w:ilvl w:val="0"/>
          <w:numId w:val="2"/>
        </w:numPr>
        <w:rPr>
          <w:rFonts w:ascii="Arial" w:cs="Arial" w:eastAsia="Arial" w:hAnsi="Arial"/>
          <w:sz w:val="13"/>
          <w:szCs w:val="13"/>
          <w:b w:val="1"/>
          <w:bCs w:val="1"/>
          <w:color w:val="005A64"/>
        </w:rPr>
      </w:pPr>
      <w:r>
        <w:rPr>
          <w:rFonts w:ascii="Arial" w:cs="Arial" w:eastAsia="Arial" w:hAnsi="Arial"/>
          <w:sz w:val="13"/>
          <w:szCs w:val="13"/>
          <w:b w:val="1"/>
          <w:bCs w:val="1"/>
          <w:color w:val="005A64"/>
        </w:rPr>
        <w:t xml:space="preserve">Capitalization and Indebtedness </w:t>
      </w:r>
      <w:r>
        <w:rPr>
          <w:rFonts w:ascii="Arial" w:cs="Arial" w:eastAsia="Arial" w:hAnsi="Arial"/>
          <w:sz w:val="13"/>
          <w:szCs w:val="13"/>
          <w:color w:val="000000"/>
        </w:rPr>
        <w:t>Not applicable.</w:t>
      </w:r>
    </w:p>
    <w:p>
      <w:pPr>
        <w:spacing w:after="0" w:line="1" w:lineRule="exact"/>
        <w:rPr>
          <w:rFonts w:ascii="Arial" w:cs="Arial" w:eastAsia="Arial" w:hAnsi="Arial"/>
          <w:sz w:val="13"/>
          <w:szCs w:val="13"/>
          <w:b w:val="1"/>
          <w:bCs w:val="1"/>
          <w:color w:val="005A64"/>
        </w:rPr>
      </w:pPr>
    </w:p>
    <w:p>
      <w:pPr>
        <w:ind w:left="380" w:right="5800" w:firstLine="3"/>
        <w:spacing w:after="0" w:line="210" w:lineRule="auto"/>
        <w:tabs>
          <w:tab w:leader="none" w:pos="548" w:val="left"/>
        </w:tabs>
        <w:numPr>
          <w:ilvl w:val="0"/>
          <w:numId w:val="2"/>
        </w:numPr>
        <w:rPr>
          <w:rFonts w:ascii="Arial" w:cs="Arial" w:eastAsia="Arial" w:hAnsi="Arial"/>
          <w:sz w:val="13"/>
          <w:szCs w:val="13"/>
          <w:b w:val="1"/>
          <w:bCs w:val="1"/>
          <w:color w:val="005A64"/>
        </w:rPr>
      </w:pPr>
      <w:r>
        <w:rPr>
          <w:rFonts w:ascii="Arial" w:cs="Arial" w:eastAsia="Arial" w:hAnsi="Arial"/>
          <w:sz w:val="13"/>
          <w:szCs w:val="13"/>
          <w:b w:val="1"/>
          <w:bCs w:val="1"/>
          <w:color w:val="005A64"/>
        </w:rPr>
        <w:t xml:space="preserve">Reasons for the Offer and Use of Proceeds </w:t>
      </w:r>
      <w:r>
        <w:rPr>
          <w:rFonts w:ascii="Arial" w:cs="Arial" w:eastAsia="Arial" w:hAnsi="Arial"/>
          <w:sz w:val="13"/>
          <w:szCs w:val="13"/>
          <w:color w:val="000000"/>
        </w:rPr>
        <w:t>Not applicable.</w:t>
      </w:r>
    </w:p>
    <w:p>
      <w:pPr>
        <w:spacing w:after="0" w:line="1" w:lineRule="exact"/>
        <w:rPr>
          <w:rFonts w:ascii="Arial" w:cs="Arial" w:eastAsia="Arial" w:hAnsi="Arial"/>
          <w:sz w:val="13"/>
          <w:szCs w:val="13"/>
          <w:b w:val="1"/>
          <w:bCs w:val="1"/>
          <w:color w:val="005A64"/>
        </w:rPr>
      </w:pPr>
    </w:p>
    <w:p>
      <w:pPr>
        <w:ind w:left="560" w:hanging="177"/>
        <w:spacing w:after="0" w:line="210" w:lineRule="auto"/>
        <w:tabs>
          <w:tab w:leader="none" w:pos="560" w:val="left"/>
        </w:tabs>
        <w:numPr>
          <w:ilvl w:val="0"/>
          <w:numId w:val="2"/>
        </w:numPr>
        <w:rPr>
          <w:rFonts w:ascii="Arial" w:cs="Arial" w:eastAsia="Arial" w:hAnsi="Arial"/>
          <w:sz w:val="13"/>
          <w:szCs w:val="13"/>
          <w:b w:val="1"/>
          <w:bCs w:val="1"/>
          <w:color w:val="005A64"/>
        </w:rPr>
      </w:pPr>
      <w:r>
        <w:rPr>
          <w:rFonts w:ascii="Arial" w:cs="Arial" w:eastAsia="Arial" w:hAnsi="Arial"/>
          <w:sz w:val="13"/>
          <w:szCs w:val="13"/>
          <w:b w:val="1"/>
          <w:bCs w:val="1"/>
          <w:color w:val="005A64"/>
        </w:rPr>
        <w:t>Risk Factors</w:t>
      </w:r>
    </w:p>
    <w:p>
      <w:pPr>
        <w:spacing w:after="0" w:line="1" w:lineRule="exact"/>
        <w:rPr>
          <w:sz w:val="20"/>
          <w:szCs w:val="20"/>
          <w:color w:val="auto"/>
        </w:rPr>
      </w:pPr>
    </w:p>
    <w:p>
      <w:pPr>
        <w:jc w:val="both"/>
        <w:ind w:left="380" w:right="2120"/>
        <w:spacing w:after="0" w:line="210" w:lineRule="auto"/>
        <w:rPr>
          <w:sz w:val="20"/>
          <w:szCs w:val="20"/>
          <w:color w:val="auto"/>
        </w:rPr>
      </w:pPr>
      <w:r>
        <w:rPr>
          <w:rFonts w:ascii="Arial" w:cs="Arial" w:eastAsia="Arial" w:hAnsi="Arial"/>
          <w:sz w:val="13"/>
          <w:szCs w:val="13"/>
          <w:color w:val="auto"/>
        </w:rPr>
        <w:t>Our business is subject to various risks, including those described below. You should consider carefully the risks and uncertainties described below and in our future filings. If any such risks are realized, our business, financial condition, results of operations and prospects could be materially and adversely affected. Additionally, risks and uncertainties not currently known to us or that we currently deem to be immaterial also may materially adversely affect our business, financial condition, results of operations and/or prospects.</w:t>
      </w:r>
    </w:p>
    <w:p>
      <w:pPr>
        <w:ind w:left="380"/>
        <w:spacing w:after="0" w:line="215" w:lineRule="auto"/>
        <w:rPr>
          <w:sz w:val="20"/>
          <w:szCs w:val="20"/>
          <w:color w:val="auto"/>
        </w:rPr>
      </w:pPr>
      <w:r>
        <w:rPr>
          <w:rFonts w:ascii="Arial" w:cs="Arial" w:eastAsia="Arial" w:hAnsi="Arial"/>
          <w:sz w:val="13"/>
          <w:szCs w:val="13"/>
          <w:b w:val="1"/>
          <w:bCs w:val="1"/>
          <w:color w:val="005A64"/>
        </w:rPr>
        <w:t>Risk Factor Summary</w:t>
      </w:r>
    </w:p>
    <w:p>
      <w:pPr>
        <w:ind w:left="380" w:right="2560"/>
        <w:spacing w:after="0" w:line="210" w:lineRule="auto"/>
        <w:rPr>
          <w:sz w:val="20"/>
          <w:szCs w:val="20"/>
          <w:color w:val="auto"/>
        </w:rPr>
      </w:pPr>
      <w:r>
        <w:rPr>
          <w:rFonts w:ascii="Arial" w:cs="Arial" w:eastAsia="Arial" w:hAnsi="Arial"/>
          <w:sz w:val="13"/>
          <w:szCs w:val="13"/>
          <w:color w:val="auto"/>
        </w:rPr>
        <w:t>•Demand for our COVID-19 vaccine, though difficult to predict, is expected to continue to decrease in the near future. Changing market dynamics, including as a result of the political climate and public sentiment, will impact our revenue, which currently depends heavily on sales of our COVID-19 vaccine, and result in challenges relating to production of our COVID-19 vaccine.</w:t>
      </w:r>
    </w:p>
    <w:p>
      <w:pPr>
        <w:spacing w:after="0" w:line="2" w:lineRule="exact"/>
        <w:rPr>
          <w:sz w:val="20"/>
          <w:szCs w:val="20"/>
          <w:color w:val="auto"/>
        </w:rPr>
      </w:pPr>
    </w:p>
    <w:p>
      <w:pPr>
        <w:ind w:left="380" w:right="2540"/>
        <w:spacing w:after="0" w:line="210" w:lineRule="auto"/>
        <w:rPr>
          <w:sz w:val="20"/>
          <w:szCs w:val="20"/>
          <w:color w:val="auto"/>
        </w:rPr>
      </w:pPr>
      <w:r>
        <w:rPr>
          <w:rFonts w:ascii="Arial" w:cs="Arial" w:eastAsia="Arial" w:hAnsi="Arial"/>
          <w:sz w:val="13"/>
          <w:szCs w:val="13"/>
          <w:color w:val="auto"/>
        </w:rPr>
        <w:t>•Our reported commercial revenue is partially based on preliminary estimates of COVID-19 vaccine sales and costs from Pfizer Inc., or Pfizer, that are likely to change in future periods, which may impact our reported financial results.</w:t>
      </w:r>
    </w:p>
    <w:p>
      <w:pPr>
        <w:spacing w:after="0" w:line="2" w:lineRule="exact"/>
        <w:rPr>
          <w:sz w:val="20"/>
          <w:szCs w:val="20"/>
          <w:color w:val="auto"/>
        </w:rPr>
      </w:pPr>
    </w:p>
    <w:p>
      <w:pPr>
        <w:ind w:left="380" w:right="2580"/>
        <w:spacing w:after="0" w:line="210" w:lineRule="auto"/>
        <w:rPr>
          <w:sz w:val="20"/>
          <w:szCs w:val="20"/>
          <w:color w:val="auto"/>
        </w:rPr>
      </w:pPr>
      <w:r>
        <w:rPr>
          <w:rFonts w:ascii="Arial" w:cs="Arial" w:eastAsia="Arial" w:hAnsi="Arial"/>
          <w:sz w:val="13"/>
          <w:szCs w:val="13"/>
          <w:color w:val="auto"/>
        </w:rPr>
        <w:t>•We may be unsuccessful in adapting our COVID-19 vaccine or developing future versions of our COVID -19 vaccine to protect against variants of the SARS-CoV-2 virus and, even if we are successful, a market for vaccines against these variants may not develop.</w:t>
      </w:r>
    </w:p>
    <w:p>
      <w:pPr>
        <w:spacing w:after="0" w:line="2" w:lineRule="exact"/>
        <w:rPr>
          <w:sz w:val="20"/>
          <w:szCs w:val="20"/>
          <w:color w:val="auto"/>
        </w:rPr>
      </w:pPr>
    </w:p>
    <w:p>
      <w:pPr>
        <w:ind w:left="380" w:right="2740"/>
        <w:spacing w:after="0" w:line="210" w:lineRule="auto"/>
        <w:rPr>
          <w:sz w:val="20"/>
          <w:szCs w:val="20"/>
          <w:color w:val="auto"/>
        </w:rPr>
      </w:pPr>
      <w:r>
        <w:rPr>
          <w:rFonts w:ascii="Arial" w:cs="Arial" w:eastAsia="Arial" w:hAnsi="Arial"/>
          <w:sz w:val="13"/>
          <w:szCs w:val="13"/>
          <w:color w:val="auto"/>
        </w:rPr>
        <w:t>•Significant adverse events may occur during our clinical trials or even after receiving regulatory approval, which could delay or terminate clinical trials and delay or prevent regulatory approval or market acceptance of any of our product candidates. Since commercialization, we have received, and expect to continue to receive, product liability claims related to our COVID-19 vaccine.</w:t>
      </w:r>
    </w:p>
    <w:p>
      <w:pPr>
        <w:spacing w:after="0" w:line="2" w:lineRule="exact"/>
        <w:rPr>
          <w:sz w:val="20"/>
          <w:szCs w:val="20"/>
          <w:color w:val="auto"/>
        </w:rPr>
      </w:pPr>
    </w:p>
    <w:p>
      <w:pPr>
        <w:ind w:left="380" w:right="2560"/>
        <w:spacing w:after="0" w:line="210" w:lineRule="auto"/>
        <w:rPr>
          <w:sz w:val="20"/>
          <w:szCs w:val="20"/>
          <w:color w:val="auto"/>
        </w:rPr>
      </w:pPr>
      <w:r>
        <w:rPr>
          <w:rFonts w:ascii="Arial" w:cs="Arial" w:eastAsia="Arial" w:hAnsi="Arial"/>
          <w:sz w:val="13"/>
          <w:szCs w:val="13"/>
          <w:color w:val="auto"/>
        </w:rPr>
        <w:t>•If we are unable to continue to increase our marketing and sales capabilities on our own or through third parties, we may not be able to market and sell our product candidates effectively in the United States and other jurisdictions, if approved, or generate product sales revenue.</w:t>
      </w:r>
    </w:p>
    <w:p>
      <w:pPr>
        <w:spacing w:after="0" w:line="2" w:lineRule="exact"/>
        <w:rPr>
          <w:sz w:val="20"/>
          <w:szCs w:val="20"/>
          <w:color w:val="auto"/>
        </w:rPr>
      </w:pPr>
    </w:p>
    <w:p>
      <w:pPr>
        <w:ind w:left="380" w:right="2680"/>
        <w:spacing w:after="0" w:line="226" w:lineRule="auto"/>
        <w:rPr>
          <w:sz w:val="20"/>
          <w:szCs w:val="20"/>
          <w:color w:val="auto"/>
        </w:rPr>
      </w:pPr>
      <w:r>
        <w:rPr>
          <w:rFonts w:ascii="Arial" w:cs="Arial" w:eastAsia="Arial" w:hAnsi="Arial"/>
          <w:sz w:val="13"/>
          <w:szCs w:val="13"/>
          <w:color w:val="auto"/>
        </w:rPr>
        <w:t>•Other companies or organizations may challenge our intellectual property rights or may assert intellectual property rights that prevent us from developing and commercializing our COVID-19 vaccine or our product candidates and other technologies, or that negatively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620"/>
        <w:spacing w:after="0" w:line="217" w:lineRule="auto"/>
        <w:rPr>
          <w:sz w:val="20"/>
          <w:szCs w:val="20"/>
          <w:color w:val="auto"/>
        </w:rPr>
      </w:pPr>
      <w:r>
        <w:rPr>
          <w:rFonts w:ascii="Arial" w:cs="Arial" w:eastAsia="Arial" w:hAnsi="Arial"/>
          <w:sz w:val="13"/>
          <w:szCs w:val="13"/>
          <w:color w:val="auto"/>
        </w:rPr>
        <w:t>•Even if we obtain regulatory approval for our product candidates, the products may not gain the market acceptance among physicians, patients, hospitals, treatment centers and others in the medical community necessary for commercial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jc w:val="both"/>
        <w:ind w:left="380" w:right="2780"/>
        <w:spacing w:after="0" w:line="210" w:lineRule="auto"/>
        <w:rPr>
          <w:sz w:val="20"/>
          <w:szCs w:val="20"/>
          <w:color w:val="auto"/>
        </w:rPr>
      </w:pPr>
      <w:r>
        <w:rPr>
          <w:rFonts w:ascii="Arial" w:cs="Arial" w:eastAsia="Arial" w:hAnsi="Arial"/>
          <w:sz w:val="13"/>
          <w:szCs w:val="13"/>
          <w:color w:val="auto"/>
        </w:rPr>
        <w:t>•Our operating results may fluctuate significantly, which makes our future operating results difficult to predict. If our operating results fall below expectations, the price of the ADSs representing our shares could decline.</w:t>
      </w:r>
    </w:p>
    <w:p>
      <w:pPr>
        <w:spacing w:after="0" w:line="2" w:lineRule="exact"/>
        <w:rPr>
          <w:sz w:val="20"/>
          <w:szCs w:val="20"/>
          <w:color w:val="auto"/>
        </w:rPr>
      </w:pPr>
    </w:p>
    <w:p>
      <w:pPr>
        <w:jc w:val="both"/>
        <w:ind w:left="380" w:right="2740"/>
        <w:spacing w:after="0" w:line="210" w:lineRule="auto"/>
        <w:rPr>
          <w:sz w:val="20"/>
          <w:szCs w:val="20"/>
          <w:color w:val="auto"/>
        </w:rPr>
      </w:pPr>
      <w:r>
        <w:rPr>
          <w:rFonts w:ascii="Arial" w:cs="Arial" w:eastAsia="Arial" w:hAnsi="Arial"/>
          <w:sz w:val="13"/>
          <w:szCs w:val="13"/>
          <w:color w:val="auto"/>
        </w:rPr>
        <w:t>•If we identify material weaknesses in our internal control over financial reporting and fail to remediate such material weaknesses, we may not be able to report our financial results accurately or to prevent fraud.</w:t>
      </w:r>
    </w:p>
    <w:p>
      <w:pPr>
        <w:spacing w:after="0" w:line="2" w:lineRule="exact"/>
        <w:rPr>
          <w:sz w:val="20"/>
          <w:szCs w:val="20"/>
          <w:color w:val="auto"/>
        </w:rPr>
      </w:pPr>
    </w:p>
    <w:p>
      <w:pPr>
        <w:ind w:left="380" w:right="2600"/>
        <w:spacing w:after="0" w:line="226" w:lineRule="auto"/>
        <w:rPr>
          <w:sz w:val="20"/>
          <w:szCs w:val="20"/>
          <w:color w:val="auto"/>
        </w:rPr>
      </w:pPr>
      <w:r>
        <w:rPr>
          <w:rFonts w:ascii="Arial" w:cs="Arial" w:eastAsia="Arial" w:hAnsi="Arial"/>
          <w:sz w:val="13"/>
          <w:szCs w:val="13"/>
          <w:color w:val="auto"/>
        </w:rPr>
        <w:t>•As a “foreign private issuer,” we are exempt from a number of rules under U.S. securities laws, as well as Nasdaq rules, and we are permitted to file less information with the Securities and Exchange Commission, or the SEC, than U.S. companies. This may limit the information available to holders of the</w:t>
      </w:r>
    </w:p>
    <w:p>
      <w:pPr>
        <w:sectPr>
          <w:pgSz w:w="11900" w:h="16840" w:orient="portrait"/>
          <w:cols w:equalWidth="0" w:num="1">
            <w:col w:w="9020"/>
          </w:cols>
          <w:pgMar w:left="1440" w:top="1440" w:right="1440" w:bottom="119" w:gutter="0" w:footer="0" w:header="0"/>
        </w:sectPr>
      </w:pPr>
    </w:p>
    <w:bookmarkStart w:id="7" w:name="page8"/>
    <w:bookmarkEnd w:id="7"/>
    <w:p>
      <w:pPr>
        <w:ind w:left="380"/>
        <w:spacing w:after="0"/>
        <w:rPr>
          <w:sz w:val="20"/>
          <w:szCs w:val="20"/>
          <w:color w:val="auto"/>
        </w:rPr>
      </w:pPr>
      <w:r>
        <w:rPr>
          <w:rFonts w:ascii="Arial" w:cs="Arial" w:eastAsia="Arial" w:hAnsi="Arial"/>
          <w:sz w:val="13"/>
          <w:szCs w:val="13"/>
          <w:color w:val="auto"/>
        </w:rPr>
        <w:t>ADSs and may make our ordinary shares and the ADSs less attractive to investors.</w:t>
      </w:r>
    </w:p>
    <w:p>
      <w:pPr>
        <w:ind w:left="380" w:right="2560"/>
        <w:spacing w:after="0" w:line="210" w:lineRule="auto"/>
        <w:rPr>
          <w:sz w:val="20"/>
          <w:szCs w:val="20"/>
          <w:color w:val="auto"/>
        </w:rPr>
      </w:pPr>
      <w:r>
        <w:rPr>
          <w:rFonts w:ascii="Arial" w:cs="Arial" w:eastAsia="Arial" w:hAnsi="Arial"/>
          <w:sz w:val="13"/>
          <w:szCs w:val="13"/>
          <w:color w:val="auto"/>
        </w:rPr>
        <w:t>•Clinical development involves a lengthy and expensive process with an uncertain outcome, and delays can occur for a variety of reasons outside of our control. Clinical trials of our product candidates may be delayed, and certain programs may never advance in the clinic or may be more costly to conduct than we anticipate, any of which can affect our ability to fund our company and would have a material adverse impact on our business.</w:t>
      </w:r>
    </w:p>
    <w:p>
      <w:pPr>
        <w:spacing w:after="0" w:line="3" w:lineRule="exact"/>
        <w:rPr>
          <w:sz w:val="20"/>
          <w:szCs w:val="20"/>
          <w:color w:val="auto"/>
        </w:rPr>
      </w:pPr>
    </w:p>
    <w:p>
      <w:pPr>
        <w:ind w:left="380" w:right="2980"/>
        <w:spacing w:after="0" w:line="210" w:lineRule="auto"/>
        <w:rPr>
          <w:sz w:val="20"/>
          <w:szCs w:val="20"/>
          <w:color w:val="auto"/>
        </w:rPr>
      </w:pPr>
      <w:r>
        <w:rPr>
          <w:rFonts w:ascii="Arial" w:cs="Arial" w:eastAsia="Arial" w:hAnsi="Arial"/>
          <w:sz w:val="13"/>
          <w:szCs w:val="13"/>
          <w:color w:val="auto"/>
        </w:rPr>
        <w:t>•mRNA drug development has substantial clinical development and regulatory risks due to limited regulatory experience with mRNA immunotherapies.</w:t>
      </w:r>
    </w:p>
    <w:p>
      <w:pPr>
        <w:spacing w:after="0" w:line="1"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•Our approved product and product candidates are based on novel technologies and they may be complex and difficult to manufacture. We may encounter difficulties in manufacturing, product release, shelf life, testing, storage, supply chain management or shipping. If we or any of the third -party manufacturers we work with encounter such difficulties, our ability to supply materials for clinical trials or any approved product could be delayed or stopped.</w:t>
      </w:r>
    </w:p>
    <w:p>
      <w:pPr>
        <w:spacing w:after="0" w:line="3"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•If our efforts to obtain, maintain, protect, defend and/or enforce the intellectual property related to our COVID-19 vaccine or our product candidates and technologies are not adequate, we may not be able to compete effectively in our market.</w:t>
      </w:r>
    </w:p>
    <w:p>
      <w:pPr>
        <w:spacing w:after="0" w:line="2" w:lineRule="exact"/>
        <w:rPr>
          <w:sz w:val="20"/>
          <w:szCs w:val="20"/>
          <w:color w:val="auto"/>
        </w:rPr>
      </w:pPr>
    </w:p>
    <w:p>
      <w:pPr>
        <w:ind w:left="380" w:right="2820"/>
        <w:spacing w:after="0" w:line="210" w:lineRule="auto"/>
        <w:rPr>
          <w:sz w:val="20"/>
          <w:szCs w:val="20"/>
          <w:color w:val="auto"/>
        </w:rPr>
      </w:pPr>
      <w:r>
        <w:rPr>
          <w:rFonts w:ascii="Arial" w:cs="Arial" w:eastAsia="Arial" w:hAnsi="Arial"/>
          <w:sz w:val="13"/>
          <w:szCs w:val="13"/>
          <w:color w:val="auto"/>
        </w:rPr>
        <w:t>•We have experienced and may continue to experience significant volatility in the market price of the ADSs representing our ordinary shares.</w:t>
      </w:r>
    </w:p>
    <w:p>
      <w:pPr>
        <w:spacing w:after="0" w:line="1" w:lineRule="exact"/>
        <w:rPr>
          <w:sz w:val="20"/>
          <w:szCs w:val="20"/>
          <w:color w:val="auto"/>
        </w:rPr>
      </w:pPr>
    </w:p>
    <w:p>
      <w:pPr>
        <w:ind w:left="380" w:right="2720"/>
        <w:spacing w:after="0" w:line="210" w:lineRule="auto"/>
        <w:rPr>
          <w:sz w:val="20"/>
          <w:szCs w:val="20"/>
          <w:color w:val="auto"/>
        </w:rPr>
      </w:pPr>
      <w:r>
        <w:rPr>
          <w:rFonts w:ascii="Arial" w:cs="Arial" w:eastAsia="Arial" w:hAnsi="Arial"/>
          <w:sz w:val="13"/>
          <w:szCs w:val="13"/>
          <w:color w:val="auto"/>
        </w:rPr>
        <w:t>•Our principal shareholders and management own a significant percentage of our ordinary shares and will be able to exert significant control over matters subject to shareholder approval.</w:t>
      </w:r>
    </w:p>
    <w:p>
      <w:pPr>
        <w:ind w:left="380"/>
        <w:spacing w:after="0" w:line="212" w:lineRule="auto"/>
        <w:rPr>
          <w:sz w:val="20"/>
          <w:szCs w:val="20"/>
          <w:color w:val="auto"/>
        </w:rPr>
      </w:pPr>
      <w:r>
        <w:rPr>
          <w:rFonts w:ascii="Arial" w:cs="Arial" w:eastAsia="Arial" w:hAnsi="Arial"/>
          <w:sz w:val="13"/>
          <w:szCs w:val="13"/>
          <w:b w:val="1"/>
          <w:bCs w:val="1"/>
          <w:color w:val="005A64"/>
        </w:rPr>
        <w:t>Risks Related to our COVID-19 Vaccine and the Commercialization of our Pipeline</w:t>
      </w:r>
    </w:p>
    <w:p>
      <w:pPr>
        <w:spacing w:after="0" w:line="1" w:lineRule="exact"/>
        <w:rPr>
          <w:sz w:val="20"/>
          <w:szCs w:val="20"/>
          <w:color w:val="auto"/>
        </w:rPr>
      </w:pPr>
    </w:p>
    <w:p>
      <w:pPr>
        <w:ind w:left="380" w:right="2120"/>
        <w:spacing w:after="0" w:line="215" w:lineRule="auto"/>
        <w:rPr>
          <w:sz w:val="20"/>
          <w:szCs w:val="20"/>
          <w:color w:val="auto"/>
        </w:rPr>
      </w:pPr>
      <w:r>
        <w:rPr>
          <w:rFonts w:ascii="Arial" w:cs="Arial" w:eastAsia="Arial" w:hAnsi="Arial"/>
          <w:sz w:val="13"/>
          <w:szCs w:val="13"/>
          <w:b w:val="1"/>
          <w:bCs w:val="1"/>
          <w:color w:val="005A64"/>
        </w:rPr>
        <w:t xml:space="preserve">Demand for our COVID-19 vaccine, though difficult to predict, is expected to continue to decrease in the near future. Changing market dynamics will impact our revenue, which currently depends heavily on sales of our COVID-19 vaccine, and result in challenges relating to production of our COVID- 19 vaccine. </w:t>
      </w:r>
      <w:r>
        <w:rPr>
          <w:rFonts w:ascii="Arial" w:cs="Arial" w:eastAsia="Arial" w:hAnsi="Arial"/>
          <w:sz w:val="13"/>
          <w:szCs w:val="13"/>
          <w:color w:val="000000"/>
        </w:rPr>
        <w:t>Prior to the commercialization of our COVID-19 vaccine, we had not sold or marketed any products in our pipeline. As a result, a majority of our total revenues to date are attributable to sales of our COVID-19 vaccine. However, we have experienced and we expect to continue to experience increasing reductions in demand for COVID-19 vaccination generally, including for our vaccine, now that the virus has entered an endemic stage and as a growing proportion of the population becomes vaccinated. We expect that future revenues from sales of our COVID- 19 vaccine will decrease as demand for vaccination wanes. Such revenues will depend on numerous factors,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720"/>
        <w:spacing w:after="0" w:line="220" w:lineRule="auto"/>
        <w:rPr>
          <w:sz w:val="20"/>
          <w:szCs w:val="20"/>
          <w:color w:val="auto"/>
        </w:rPr>
      </w:pPr>
      <w:r>
        <w:rPr>
          <w:rFonts w:ascii="Arial" w:cs="Arial" w:eastAsia="Arial" w:hAnsi="Arial"/>
          <w:sz w:val="13"/>
          <w:szCs w:val="13"/>
          <w:color w:val="auto"/>
        </w:rPr>
        <w:t>•the extent to which a COVID-19 vaccine, including any booster shot, continues to be necessary while COVID-19 remains an endemic virus;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700"/>
        <w:spacing w:after="0" w:line="210" w:lineRule="auto"/>
        <w:rPr>
          <w:sz w:val="20"/>
          <w:szCs w:val="20"/>
          <w:color w:val="auto"/>
        </w:rPr>
      </w:pPr>
      <w:r>
        <w:rPr>
          <w:rFonts w:ascii="Arial" w:cs="Arial" w:eastAsia="Arial" w:hAnsi="Arial"/>
          <w:sz w:val="13"/>
          <w:szCs w:val="13"/>
          <w:color w:val="auto"/>
        </w:rPr>
        <w:t>•competition from other COVID-19 vaccines, including those with different mechanisms of action and different manufacturing and distribution constraints, on the basis of, among other things, efficacy, cost, convenience of storage and distribution, breadth of approved use, side-effect profile and durability of immune response;</w:t>
      </w:r>
    </w:p>
    <w:p>
      <w:pPr>
        <w:spacing w:after="0" w:line="2" w:lineRule="exact"/>
        <w:rPr>
          <w:sz w:val="20"/>
          <w:szCs w:val="20"/>
          <w:color w:val="auto"/>
        </w:rPr>
      </w:pPr>
    </w:p>
    <w:p>
      <w:pPr>
        <w:ind w:left="380" w:right="2600"/>
        <w:spacing w:after="0" w:line="210" w:lineRule="auto"/>
        <w:rPr>
          <w:sz w:val="20"/>
          <w:szCs w:val="20"/>
          <w:color w:val="auto"/>
        </w:rPr>
      </w:pPr>
      <w:r>
        <w:rPr>
          <w:rFonts w:ascii="Arial" w:cs="Arial" w:eastAsia="Arial" w:hAnsi="Arial"/>
          <w:sz w:val="13"/>
          <w:szCs w:val="13"/>
          <w:color w:val="auto"/>
        </w:rPr>
        <w:t>•our ability to successfully and timely develop effective vaccines targeting new variants and mutations of COVID-19;</w:t>
      </w:r>
    </w:p>
    <w:p>
      <w:pPr>
        <w:spacing w:after="0" w:line="1"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•the extent to which changes in local, national and state government policy preferences in the United States and other jurisdictions resulting from new elected leadership and evolving public sentiment affect demand for COVID- 19 vaccines or mRNA therapeutics and our ability to successfully commercialize our product candidates, if approved;</w:t>
      </w:r>
    </w:p>
    <w:p>
      <w:pPr>
        <w:spacing w:after="0" w:line="2" w:lineRule="exact"/>
        <w:rPr>
          <w:sz w:val="20"/>
          <w:szCs w:val="20"/>
          <w:color w:val="auto"/>
        </w:rPr>
      </w:pPr>
    </w:p>
    <w:p>
      <w:pPr>
        <w:ind w:left="380" w:right="2580"/>
        <w:spacing w:after="0" w:line="210" w:lineRule="auto"/>
        <w:rPr>
          <w:sz w:val="20"/>
          <w:szCs w:val="20"/>
          <w:color w:val="auto"/>
        </w:rPr>
      </w:pPr>
      <w:r>
        <w:rPr>
          <w:rFonts w:ascii="Arial" w:cs="Arial" w:eastAsia="Arial" w:hAnsi="Arial"/>
          <w:sz w:val="13"/>
          <w:szCs w:val="13"/>
          <w:color w:val="auto"/>
        </w:rPr>
        <w:t>•our ability to receive full regulatory approvals where we currently have emergency use authorizations or equivalents;</w:t>
      </w:r>
    </w:p>
    <w:p>
      <w:pPr>
        <w:ind w:left="380"/>
        <w:spacing w:after="0" w:line="212" w:lineRule="auto"/>
        <w:rPr>
          <w:sz w:val="20"/>
          <w:szCs w:val="20"/>
          <w:color w:val="auto"/>
        </w:rPr>
      </w:pPr>
      <w:r>
        <w:rPr>
          <w:rFonts w:ascii="Arial" w:cs="Arial" w:eastAsia="Arial" w:hAnsi="Arial"/>
          <w:sz w:val="13"/>
          <w:szCs w:val="13"/>
          <w:color w:val="auto"/>
        </w:rPr>
        <w:t>•our ability to expand our geographic customer base;</w:t>
      </w:r>
    </w:p>
    <w:p>
      <w:pPr>
        <w:spacing w:after="0" w:line="1" w:lineRule="exact"/>
        <w:rPr>
          <w:sz w:val="20"/>
          <w:szCs w:val="20"/>
          <w:color w:val="auto"/>
        </w:rPr>
      </w:pPr>
    </w:p>
    <w:p>
      <w:pPr>
        <w:jc w:val="both"/>
        <w:ind w:left="380" w:right="2700"/>
        <w:spacing w:after="0" w:line="210" w:lineRule="auto"/>
        <w:rPr>
          <w:sz w:val="20"/>
          <w:szCs w:val="20"/>
          <w:color w:val="auto"/>
        </w:rPr>
      </w:pPr>
      <w:r>
        <w:rPr>
          <w:rFonts w:ascii="Arial" w:cs="Arial" w:eastAsia="Arial" w:hAnsi="Arial"/>
          <w:sz w:val="13"/>
          <w:szCs w:val="13"/>
          <w:color w:val="auto"/>
        </w:rPr>
        <w:t>•our pricing and reimbursement negotiations with governmental authorities, private health insurers and other third-party payors after our initial sales to national governments, including the transition towards ordinary-course insurance coverage in the public and private sectors;</w:t>
      </w:r>
    </w:p>
    <w:p>
      <w:pPr>
        <w:spacing w:after="0" w:line="2" w:lineRule="exact"/>
        <w:rPr>
          <w:sz w:val="20"/>
          <w:szCs w:val="20"/>
          <w:color w:val="auto"/>
        </w:rPr>
      </w:pPr>
    </w:p>
    <w:p>
      <w:pPr>
        <w:ind w:left="380" w:right="2760"/>
        <w:spacing w:after="0" w:line="210" w:lineRule="auto"/>
        <w:rPr>
          <w:sz w:val="20"/>
          <w:szCs w:val="20"/>
          <w:color w:val="auto"/>
        </w:rPr>
      </w:pPr>
      <w:r>
        <w:rPr>
          <w:rFonts w:ascii="Arial" w:cs="Arial" w:eastAsia="Arial" w:hAnsi="Arial"/>
          <w:sz w:val="13"/>
          <w:szCs w:val="13"/>
          <w:color w:val="auto"/>
        </w:rPr>
        <w:t>•the ability of countries and jurisdictions to store and distribute doses of our COVID-19 vaccine to end users at cold temperatures;</w:t>
      </w:r>
    </w:p>
    <w:p>
      <w:pPr>
        <w:spacing w:after="0" w:line="1" w:lineRule="exact"/>
        <w:rPr>
          <w:sz w:val="20"/>
          <w:szCs w:val="20"/>
          <w:color w:val="auto"/>
        </w:rPr>
      </w:pPr>
    </w:p>
    <w:p>
      <w:pPr>
        <w:ind w:left="380" w:right="2680"/>
        <w:spacing w:after="0" w:line="210" w:lineRule="auto"/>
        <w:rPr>
          <w:sz w:val="20"/>
          <w:szCs w:val="20"/>
          <w:color w:val="auto"/>
        </w:rPr>
      </w:pPr>
      <w:r>
        <w:rPr>
          <w:rFonts w:ascii="Arial" w:cs="Arial" w:eastAsia="Arial" w:hAnsi="Arial"/>
          <w:sz w:val="13"/>
          <w:szCs w:val="13"/>
          <w:color w:val="auto"/>
        </w:rPr>
        <w:t>•the safety profile of our COVID -19 vaccine, including if previously unknown undesirable effects or increased incidence or severity of known undesirable effects are identified with our COVID-19 vaccine; •intellectual property litigation involving our COVID -19 vaccine and COVID-19 vaccines in general; and •our manufacturing and distribution capabilities for our COVID-19 vaccine.</w:t>
      </w:r>
    </w:p>
    <w:p>
      <w:pPr>
        <w:spacing w:after="0" w:line="2"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We cannot accurately predict the revenues our COVID-19 vaccine will generate in future periods or for how long our COVID- 19 vaccine will continue to generate material revenues, and we cannot ensure it will maintain its competitive position. Uncertainty in the demand for our COVID-19 vaccine and difficulties in targeting appropriate supply of our COVID-19 vaccines have in the past resulted, and may in the future result, in significant inventory write-downs and cancellations of contract manufacturing orders. Our business and financial condition could be materially affected by lowered COVID-19 vaccine revenues resulting from any of the above factors, or by production and supply chain difficulties. In addition, if our revenues or market share of, or other financial metrics relating to, our COVID-19 vaccine do not meet the expectations of investors or securities analysts, the market price of the ADSs representing our ordinary shares may decline.</w:t>
      </w:r>
    </w:p>
    <w:p>
      <w:pPr>
        <w:spacing w:after="0" w:line="5"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b w:val="1"/>
          <w:bCs w:val="1"/>
          <w:color w:val="005A64"/>
        </w:rPr>
        <w:t>Our reported commercial revenue is based in part on preliminary estimates of COVID-19 vaccine sales and costs from Pfizer that are likely to change in future periods, which may impact our reported financial results.</w:t>
      </w:r>
    </w:p>
    <w:p>
      <w:pPr>
        <w:spacing w:after="0" w:line="2" w:lineRule="exact"/>
        <w:rPr>
          <w:sz w:val="20"/>
          <w:szCs w:val="20"/>
          <w:color w:val="auto"/>
        </w:rPr>
      </w:pPr>
    </w:p>
    <w:p>
      <w:pPr>
        <w:ind w:left="380" w:right="2100"/>
        <w:spacing w:after="0" w:line="217" w:lineRule="auto"/>
        <w:rPr>
          <w:sz w:val="20"/>
          <w:szCs w:val="20"/>
          <w:color w:val="auto"/>
        </w:rPr>
      </w:pPr>
      <w:r>
        <w:rPr>
          <w:rFonts w:ascii="Arial" w:cs="Arial" w:eastAsia="Arial" w:hAnsi="Arial"/>
          <w:sz w:val="13"/>
          <w:szCs w:val="13"/>
          <w:color w:val="auto"/>
        </w:rPr>
        <w:t>Our reported commercial revenue is based in part on preliminary estimates from Pfizer and other assumptions and judgments that we have made, which may be subject to significant uncertainties. Our commercial revenue includes preliminary estimates in part due to a difference in Pfizer’s financial quarter for subsidiaries outside the United States, which consequently creates an additional time lag between the recognition of revenues and the receipt of payment. Although our revenue recognition policy is based on facts and circumstances known to us and various other assumptions that we believe to be reasonable under the circumstances, our actual results may deviate from such reported revenue.</w:t>
      </w:r>
    </w:p>
    <w:p>
      <w:pPr>
        <w:sectPr>
          <w:pgSz w:w="11900" w:h="16840" w:orient="portrait"/>
          <w:cols w:equalWidth="0" w:num="1">
            <w:col w:w="9020"/>
          </w:cols>
          <w:pgMar w:left="1440" w:top="554" w:right="1440" w:bottom="97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line="213" w:lineRule="auto"/>
        <w:rPr>
          <w:sz w:val="20"/>
          <w:szCs w:val="20"/>
          <w:color w:val="auto"/>
        </w:rPr>
      </w:pPr>
      <w:r>
        <w:rPr>
          <w:rFonts w:ascii="Arial" w:cs="Arial" w:eastAsia="Arial" w:hAnsi="Arial"/>
          <w:sz w:val="13"/>
          <w:szCs w:val="13"/>
          <w:color w:val="auto"/>
        </w:rPr>
        <w:t>We depend on Pfizer to determine and provide estimates of the costs and profits to be shared with us in the countries where it is commercializing our COVID-19 vaccine under our collaboration agreement with Pfizer for our COVID-19 vaccine, which we refer to as the Pfizer Agreement. Because the information supplied by Pfizer is preliminary and subject to change, the commercial revenue we report based on such information is also subject to finalization. This is particularly true for vaccine sales outside of the United States, where Pfizer has a different reporting cycle than ours. As a result, we may not have the complete sales and costs results outside of the United States for months not covered by the reporting period, but we are nonetheless required to report estimated figures.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-667385</wp:posOffset>
            </wp:positionV>
            <wp:extent cx="523113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color w:val="auto"/>
        </w:rPr>
        <w:t>Pfizer has historically provided us with profit figures for our COVID- 19 vaccine sales in the United States using standard U.S. transfer prices and manufacturing and shipping cost variances (as far as those have been identified) that could be subject to adjustment (e.g., due to changes in manufacturing costs or the price of our COVID-19 vaccine). Pfizer has also provided estimated profits for COVID-19 vaccine sales outside of the United States that were preliminary in nature for the last month of a quarter, as Pfizer’s subsidiaries outside of the United States have a different reporting cycle than ours. These estimated figures have changed, and in the future such estimated figures are likely to change, as we receive final data from Pfizer for the applicable period in accordance with the reporting cycle of Pfizer’s ex-U.S. subsidiaries and as actual costs become known. Further, to the extent that Pfizer does not provide such preliminary information in the future, our provisional sales figures for territories outside of the United States will be subject to an even greater level of estimate and judgment. Any changes to the preliminary data we report herein may have an impact on our reported revenues and expenses, profitability or financial position.</w:t>
      </w:r>
    </w:p>
    <w:p>
      <w:pPr>
        <w:spacing w:after="0" w:line="7"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b w:val="1"/>
          <w:bCs w:val="1"/>
          <w:color w:val="005A64"/>
        </w:rPr>
        <w:t>We may be unsuccessful in adapting our COVID -19 vaccine or developing future versions of our COVID- 19 vaccine to protect against variants of the SARS-CoV-2 virus, and even if we are successful, a market for vaccines against these variants may not develop and our ability to continue to generate income from sales of our COVID-19 vaccine is uncertain.</w:t>
      </w:r>
    </w:p>
    <w:p>
      <w:pPr>
        <w:spacing w:after="0" w:line="2"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The COVID-19 disease itself is unpredictable and each variant comes with varying levels of transmissibility and severity. Consequently, the burden of the disease may wane or dissipate such that our and other COVID-19 vaccines may be considered less essential from individual and public health perspectives.</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Our COVID-19 vaccine was initially developed based upon the genetic sequence of the original SARS-CoV-2 virus that was first detected. The SARS-CoV-2 virus continues to evolve, and new strains of the virus or those that are already in circulation may prove more transmissible or cause more severe forms of COVID-19 disease than the predominant strains observed to date. Our vaccine may not be as effective in protecting against existing and future variant strains of the SARS -CoV-2 virus as it is against the original virus or currently known strains of the SARS-CoV-2 virus. We and Pfizer intend to continue to observe our COVID-19 vaccine, including variant-adapted vaccine candidates, in global clinical trials. It is possible that subsequent data from these clinical trials may not be as favorable as data we submitted to regulatory authorities to support our applications for emergency use authorization or marketing or conditional marketing approval or that concerns about the safety of our variant-adapted COVID-19 vaccines will arise from widespread use outside of clinical trials. While we continue to monitor emerging SARS-CoV -2 strains, undertake investigations into the immunogenicity of our COVID-19 vaccine against new variants as they emerge and develop modified versions of our COVID-19 vaccine against new variants, these efforts may be unsuccessful, and failure to timely and successfully adapt our vaccine to variants of the SARS-CoV-2 virus could lead to significant reputational harm and adversely affect our financial results. Furthermore, variant-adapted COVID-19 vaccines may not receive approval or emergency use authorization in all jurisdictions, which could adversely affect our business prospects. It is also possible that we may expend significant resources adapting our COVID-19 vaccine to protect against certain variants of the SARS-CoV-2 virus, but that a market for adapted vaccines does not develop for one or more variants or that demand does not align with our projections or cost expenditures. Moreover, even if we are successful in developing an adapted vaccine and there is a market for the new vaccine, new variants continue to emerge and any adapted vaccine may not be as effective in protecting against such future variant strains.</w:t>
      </w:r>
    </w:p>
    <w:p>
      <w:pPr>
        <w:spacing w:after="0" w:line="13" w:lineRule="exact"/>
        <w:rPr>
          <w:sz w:val="20"/>
          <w:szCs w:val="20"/>
          <w:color w:val="auto"/>
        </w:rPr>
      </w:pPr>
    </w:p>
    <w:p>
      <w:pPr>
        <w:ind w:left="380" w:right="2200"/>
        <w:spacing w:after="0" w:line="239" w:lineRule="auto"/>
        <w:rPr>
          <w:sz w:val="20"/>
          <w:szCs w:val="20"/>
          <w:color w:val="auto"/>
        </w:rPr>
      </w:pPr>
      <w:r>
        <w:rPr>
          <w:rFonts w:ascii="Arial" w:cs="Arial" w:eastAsia="Arial" w:hAnsi="Arial"/>
          <w:sz w:val="13"/>
          <w:szCs w:val="13"/>
          <w:b w:val="1"/>
          <w:bCs w:val="1"/>
          <w:color w:val="005A64"/>
        </w:rPr>
        <w:t>If we discover safety issues with our products, including our COVID-19 vaccine, that were not known at the time of approval, commercialization efforts for our products could be negatively affected,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60"/>
        <w:spacing w:after="0" w:line="220" w:lineRule="auto"/>
        <w:rPr>
          <w:sz w:val="20"/>
          <w:szCs w:val="20"/>
          <w:color w:val="auto"/>
        </w:rPr>
      </w:pPr>
      <w:r>
        <w:rPr>
          <w:rFonts w:ascii="Arial" w:cs="Arial" w:eastAsia="Arial" w:hAnsi="Arial"/>
          <w:sz w:val="13"/>
          <w:szCs w:val="13"/>
          <w:b w:val="1"/>
          <w:bCs w:val="1"/>
          <w:color w:val="005A64"/>
        </w:rPr>
        <w:t>products could lose their approval or sales could be suspended, we could be subject to product liability claims and our business and reputation could be materially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60"/>
        <w:spacing w:after="0" w:line="226" w:lineRule="auto"/>
        <w:rPr>
          <w:sz w:val="20"/>
          <w:szCs w:val="20"/>
          <w:color w:val="auto"/>
        </w:rPr>
      </w:pPr>
      <w:r>
        <w:rPr>
          <w:rFonts w:ascii="Arial" w:cs="Arial" w:eastAsia="Arial" w:hAnsi="Arial"/>
          <w:sz w:val="13"/>
          <w:szCs w:val="13"/>
          <w:color w:val="auto"/>
        </w:rPr>
        <w:t>Our COVID-19 vaccine and any other product candidates for which we receive approval or emergency use authorization are subject to continuing regulatory oversight, including the review of additional safety information. Billions of doses of our COVID-19 vaccine have been delivered worldwide, and our COVID-19 vaccine is being</w:t>
      </w:r>
    </w:p>
    <w:p>
      <w:pPr>
        <w:sectPr>
          <w:pgSz w:w="11900" w:h="16840" w:orient="portrait"/>
          <w:cols w:equalWidth="0" w:num="1">
            <w:col w:w="9020"/>
          </w:cols>
          <w:pgMar w:left="1440" w:top="1440" w:right="1440" w:bottom="109" w:gutter="0" w:footer="0" w:header="0"/>
        </w:sectPr>
      </w:pPr>
    </w:p>
    <w:bookmarkStart w:id="9" w:name="page10"/>
    <w:bookmarkEnd w:id="9"/>
    <w:p>
      <w:pPr>
        <w:ind w:left="380" w:right="2100"/>
        <w:spacing w:after="0" w:line="226" w:lineRule="auto"/>
        <w:rPr>
          <w:sz w:val="20"/>
          <w:szCs w:val="20"/>
          <w:color w:val="auto"/>
        </w:rPr>
      </w:pPr>
      <w:r>
        <w:rPr>
          <w:rFonts w:ascii="Arial" w:cs="Arial" w:eastAsia="Arial" w:hAnsi="Arial"/>
          <w:sz w:val="13"/>
          <w:szCs w:val="13"/>
          <w:color w:val="auto"/>
        </w:rPr>
        <w:t>more widely used by patients as an authorized product than it was used in clinical trials. As a result, undesirable effects and other problems may be observed that were not seen or anticipated, or were not as prevalent or severe, during clinical trials. We cannot provide assurance that newly discovered or developed safety issues will not arise, and we have received, and expect to continue to receive, product liability claims relating to our COVID-19 vaccine. With the use of any vaccine by a wide patient population, serious adverse events may occur from time to time that did not arise in clinical trials or that initially appeared to be unrelated to the vaccine itself and only with the collection of subsequent information were found to be causally related to the product. Safety events that arise outside of a clinical trial setting are difficult to monitor, and given the widespread use of our COVID-19 vaccine, we have experienced difficulty tracking potential treatment-related adverse events on a global basis. Any safety issues could cause us to suspend or cease marketing of our approved products, possibly subject us to substantial liabilities, and adversely affect our ability to generate revenue and our financial condition. The subsequent discovery of previously unknown problems with a product could negatively affect commercial sales of the product, result in restrictions on the product or lead to the withdrawal of the product from the market. The reporting of adverse safety events involving our products or public speculation about such events could cause the price of the ADSs representing our ordinary shares to decline or experience periods of volatility.</w:t>
      </w:r>
    </w:p>
    <w:p>
      <w:pPr>
        <w:spacing w:after="0" w:line="3" w:lineRule="exact"/>
        <w:rPr>
          <w:sz w:val="20"/>
          <w:szCs w:val="20"/>
          <w:color w:val="auto"/>
        </w:rPr>
      </w:pPr>
    </w:p>
    <w:p>
      <w:pPr>
        <w:ind w:left="380" w:right="2220"/>
        <w:spacing w:after="0" w:line="210" w:lineRule="auto"/>
        <w:rPr>
          <w:sz w:val="20"/>
          <w:szCs w:val="20"/>
          <w:color w:val="auto"/>
        </w:rPr>
      </w:pPr>
      <w:r>
        <w:rPr>
          <w:rFonts w:ascii="Arial" w:cs="Arial" w:eastAsia="Arial" w:hAnsi="Arial"/>
          <w:sz w:val="13"/>
          <w:szCs w:val="13"/>
          <w:color w:val="auto"/>
        </w:rPr>
        <w:t>Unexpected safety issues, including any that we have not yet observed in our clinical trials for our COVID-19 vaccine or in real world data, could lead to significant reputational damage for us and our product development platforms going forward and other issues, including delays in our other programs, the need for re-design of our clinical trials and the need for significant additional financial resources.</w:t>
      </w:r>
    </w:p>
    <w:p>
      <w:pPr>
        <w:spacing w:after="0" w:line="2"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b w:val="1"/>
          <w:bCs w:val="1"/>
          <w:color w:val="005A64"/>
        </w:rPr>
        <w:t>Failure to comply with continuing regulatory requirements by us or our collaboration partners could adversely impact regulatory approvals for our products, result in product recalls or suspensions, and/or subject us to fines and/or other types of liabilities.</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If we or our collaborators fail to comply with applicable continuing regulatory requirements, including good industry practices, such as good manufacturing practices, or GMP, we or our collaborators may be subject to fines, suspension or withdrawal of regulatory approvals for specific drugs, product recalls and seizures, operating restrictions and/or criminal prosecutions. We and the manufacturers we engage to make our products and the manufacturing facilities in which our products are made are subject to periodic review and inspection by the U.S. Food and Drug Administration, or the FDA, and other regulatory authorities. If problems are identified during a review or inspection, we or our collaborators may be the subject of adverse regulatory action, including the issuance of untitled or warning letters, which could result in our inability to use the facility to make our product or a determination that inventories are not safe for commercial sale. Any of these factors could adversely affect our business prospects and our financial position could be materially harmed.</w:t>
      </w:r>
    </w:p>
    <w:p>
      <w:pPr>
        <w:spacing w:after="0" w:line="6"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b w:val="1"/>
          <w:bCs w:val="1"/>
          <w:color w:val="005A64"/>
        </w:rPr>
        <w:t>The successful commercialization of our product candidates will depend in part on the extent to which governmental authorities, private health insurers and other third-party payors provide coverage and adequate reimbursement levels and implement pricing policies favorable to our product candidates. Failure to obtain or maintain coverage and adequate reimbursement for our product candidates, if approved, and/or delayed payments from government authorities could limit our ability to market those products and decrease our ability to generate revenue.</w:t>
      </w:r>
    </w:p>
    <w:p>
      <w:pPr>
        <w:spacing w:after="0" w:line="4" w:lineRule="exact"/>
        <w:rPr>
          <w:sz w:val="20"/>
          <w:szCs w:val="20"/>
          <w:color w:val="auto"/>
        </w:rPr>
      </w:pPr>
    </w:p>
    <w:p>
      <w:pPr>
        <w:ind w:left="380" w:right="2100"/>
        <w:spacing w:after="0" w:line="217" w:lineRule="auto"/>
        <w:rPr>
          <w:sz w:val="20"/>
          <w:szCs w:val="20"/>
          <w:color w:val="auto"/>
        </w:rPr>
      </w:pPr>
      <w:r>
        <w:rPr>
          <w:rFonts w:ascii="Arial" w:cs="Arial" w:eastAsia="Arial" w:hAnsi="Arial"/>
          <w:sz w:val="13"/>
          <w:szCs w:val="13"/>
          <w:color w:val="auto"/>
        </w:rPr>
        <w:t>The availability and extent of reimbursement by governmental and private payors is essential for most patients to be able to afford certain treatments, including our COVID- 19 vaccine and other product candidates we may develop and sell. In addition, because our mRNA product candidates represent an entirely new therapeutic modality, we cannot accurately estimate how future products we may develop and sell would be priced, whether reimbursement could be obtained, or any potential revenue. Sales of our product candidates will depend substantially, both domestically and abroad, on the extent to which the costs of our product candidates will be paid by health maintenance, managed care, pharmacy benefit, and similar healthcare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240"/>
        <w:spacing w:after="0" w:line="214" w:lineRule="auto"/>
        <w:rPr>
          <w:sz w:val="20"/>
          <w:szCs w:val="20"/>
          <w:color w:val="auto"/>
        </w:rPr>
      </w:pPr>
      <w:r>
        <w:rPr>
          <w:rFonts w:ascii="Arial" w:cs="Arial" w:eastAsia="Arial" w:hAnsi="Arial"/>
          <w:sz w:val="13"/>
          <w:szCs w:val="13"/>
          <w:color w:val="auto"/>
        </w:rPr>
        <w:t>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in any of our products. Additionally, even if pricing terms with governmental authorities are agreed upon, there may be delayed or denied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-501015</wp:posOffset>
            </wp:positionV>
            <wp:extent cx="523113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60"/>
        <w:spacing w:after="0" w:line="210" w:lineRule="auto"/>
        <w:rPr>
          <w:sz w:val="20"/>
          <w:szCs w:val="20"/>
          <w:color w:val="auto"/>
        </w:rPr>
      </w:pPr>
      <w:r>
        <w:rPr>
          <w:rFonts w:ascii="Arial" w:cs="Arial" w:eastAsia="Arial" w:hAnsi="Arial"/>
          <w:sz w:val="13"/>
          <w:szCs w:val="13"/>
          <w:color w:val="auto"/>
        </w:rPr>
        <w:t>There is significant uncertainty related to the insurance coverage and reimbursement for newly approved products in particular in the United States, including genetic medicines. In the United States, the principal decisions about reimbursement for new medicines are typically made by the Centers for Medicare &amp; Medicaid Services, or CMS, an agency within the U.S. Department of Health and Human Services, or HHS, as CMS decides whether and to what extent a new medicine will be covered and reimbursed under Medicare. Private payors tend to follow CMS to a substantial degree. It is difficult to predict what CMS will decide with respect to reimbursement for novel products such as ours. Reimbursement agencies in Europe may be more conservative than CMS. For example, a number of cancer drugs have been approved for reimbursement in the United States but have not been approved for reimbursement in certain European countries.</w:t>
      </w:r>
    </w:p>
    <w:p>
      <w:pPr>
        <w:spacing w:after="0" w:line="5"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Outside the United States, certain countries, including a number of member states of the European Union, set prices and reimbursement for pharmaceutical products, with limited participation from the marketing authorization holders. We cannot be sure that such prices and reimbursement will be acceptable to us or our collaborators. If the regulatory authorities in these jurisdictions set prices or reimbursement levels that are not commercially attractive for us or our collaborators, our revenues from sales by us or our collaborators,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 Additionally, some countries require approval of the sale price of a product before it can be marketed. In many countries, the pricing review period begins after marketing or product licensing approval is granted.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w:t>
      </w:r>
    </w:p>
    <w:p>
      <w:pPr>
        <w:spacing w:after="0" w:line="9" w:lineRule="exact"/>
        <w:rPr>
          <w:sz w:val="20"/>
          <w:szCs w:val="20"/>
          <w:color w:val="auto"/>
        </w:rPr>
      </w:pPr>
    </w:p>
    <w:p>
      <w:pPr>
        <w:ind w:left="380" w:right="2100"/>
        <w:spacing w:after="0" w:line="214" w:lineRule="auto"/>
        <w:rPr>
          <w:sz w:val="20"/>
          <w:szCs w:val="20"/>
          <w:color w:val="auto"/>
        </w:rPr>
      </w:pPr>
      <w:r>
        <w:rPr>
          <w:rFonts w:ascii="Arial" w:cs="Arial" w:eastAsia="Arial" w:hAnsi="Arial"/>
          <w:sz w:val="13"/>
          <w:szCs w:val="13"/>
          <w:color w:val="auto"/>
        </w:rPr>
        <w:t>Moreover, increasing efforts by governmental and third- party payors in the United States and abroad to cap or reduce healthcare costs may cause such organizations to limit both coverage and level of reimbursement for new products approved and, as a result, they may not cover or provide adequate payment for our product candidates. The Inflation Reduction Act, or IRA, enacted in August 2022 allows HHS to negotiate the price of certain drugs and biologics that CMS reimburses under Medicare Part B and Part D. The IRA’s negotiation program will apply to high-expenditure single -source drugs that have been approved for at least 7 years (11 years for biologics), among other negotiation selection criteria. The negotiated prices, which will become effective in 2026 for the first round of selected drugs, will be capped at a statutorily- determined ceiling price.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 of-pocket cost and requiring manufacturers to subsidize, through a newly established manufacturer discount program, once the out-of-pocket maximum has been reached. The IRA permits the Secretary of HHS to implement many of these provisions through guidance,</w:t>
      </w:r>
    </w:p>
    <w:p>
      <w:pPr>
        <w:sectPr>
          <w:pgSz w:w="11900" w:h="16840" w:orient="portrait"/>
          <w:cols w:equalWidth="0" w:num="1">
            <w:col w:w="9020"/>
          </w:cols>
          <w:pgMar w:left="1440" w:top="560" w:right="1440" w:bottom="41" w:gutter="0" w:footer="0" w:header="0"/>
        </w:sectPr>
      </w:pPr>
    </w:p>
    <w:bookmarkStart w:id="10" w:name="page11"/>
    <w:bookmarkEnd w:id="10"/>
    <w:p>
      <w:pPr>
        <w:ind w:left="380" w:right="2140"/>
        <w:spacing w:after="0" w:line="217" w:lineRule="auto"/>
        <w:rPr>
          <w:sz w:val="20"/>
          <w:szCs w:val="20"/>
          <w:color w:val="auto"/>
        </w:rPr>
      </w:pPr>
      <w:r>
        <w:rPr>
          <w:rFonts w:ascii="Arial" w:cs="Arial" w:eastAsia="Arial" w:hAnsi="Arial"/>
          <w:sz w:val="13"/>
          <w:szCs w:val="13"/>
          <w:color w:val="auto"/>
        </w:rPr>
        <w:t>as opposed to regulation, for the initial years. Manufacturers that fail to comply with the IRA may be subject to various penalties, including civil monetary penalties. These IRA provisions have begun to take effect progressively starting in 2023, although the drug negotiation provisions of the IRA are currently the subject of legal challenges. The effects of the IRA on our business and the healthcare industry in general are not yet known. These laws and regulations may result in additional reductions in Medicare and other healthcare funding and otherwise affect the prices we may obtain for any of our products for which we may obtain regulatory approval or the frequency with which any such product is prescribed or used.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jc w:val="both"/>
        <w:ind w:left="380" w:right="2140"/>
        <w:spacing w:after="0" w:line="217" w:lineRule="auto"/>
        <w:rPr>
          <w:sz w:val="20"/>
          <w:szCs w:val="20"/>
          <w:color w:val="auto"/>
        </w:rPr>
      </w:pPr>
      <w:r>
        <w:rPr>
          <w:rFonts w:ascii="Arial" w:cs="Arial" w:eastAsia="Arial" w:hAnsi="Arial"/>
          <w:sz w:val="13"/>
          <w:szCs w:val="13"/>
          <w:color w:val="auto"/>
        </w:rPr>
        <w:t>importing from other countries and bulk purchasing. Officials appointed by the new presidential administration to oversee the implementation of the IRA may take a different approach, and the new administration and Congress could also pursue statutory changes to the program, either of which could negatively affect our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080"/>
        <w:spacing w:after="0" w:line="210" w:lineRule="auto"/>
        <w:rPr>
          <w:sz w:val="20"/>
          <w:szCs w:val="20"/>
          <w:color w:val="auto"/>
        </w:rPr>
      </w:pPr>
      <w:r>
        <w:rPr>
          <w:rFonts w:ascii="Arial" w:cs="Arial" w:eastAsia="Arial" w:hAnsi="Arial"/>
          <w:sz w:val="13"/>
          <w:szCs w:val="13"/>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surgical procedures and other treatments, has become very intense. As a result, increasingly high barriers are being erected to the entry of new products in the marketplace.</w:t>
      </w:r>
    </w:p>
    <w:p>
      <w:pPr>
        <w:spacing w:after="0" w:line="3"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b w:val="1"/>
          <w:bCs w:val="1"/>
          <w:color w:val="005A64"/>
        </w:rPr>
        <w:t>Government policies, including relating to manufacturing or export controls, and negative public perception regarding vaccines and mRNA -based therapeutics could severely and adversely impact the manufacturing and sales of our COVID-19 vaccine and other product candidates we may develop, if approved.</w:t>
      </w:r>
    </w:p>
    <w:p>
      <w:pPr>
        <w:spacing w:after="0" w:line="2"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There is a heightened risk that vaccines could be subject to export controls, adverse emergency actions or supply requirements by governmental and other authorities. In the past, the European Union and other regions have imposed, or threatened to impose, export controls that would limit or block the delivery of COVID-19 vaccines manufactured in or outside their territories in instances where manufacturers have been delayed or have not fully satisfied their delivery obligations to such governments, which could have prohibited us from delivering our COVID-19 vaccine to other jurisdictions. Vaccines are also at risk of being subject to adverse emergency actions taken by governmental entities in certain countries, including intellectual property expropriation, compulsory licenses, strict price controls or other actions, such as the requirement that specific quantities of vaccine doses be set aside for designated purposes or geographic areas. Furthermore, changes in governmental policy preferences and regulatory decision-making may have an adverse effect on our ability to commercialize products or, if approved, product candidates.</w:t>
      </w:r>
    </w:p>
    <w:p>
      <w:pPr>
        <w:spacing w:after="0" w:line="7"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Furthermore, public sentiment regarding commercialization of vaccines, the safety and efficacy of our COVID-19 vaccine, other COVID-19 vaccines and treatments, and other public perceptions and misinformation relating to COVID-19, mRNA technology, and our and other COVID-19 vaccines may limit our ability to generate income from sales of our COVID- 19 vaccine and other product candidates we may develop and sell, including due to changes in local, national and state government policies in the U.S. and other jurisdictions, and cause reputational damage.</w:t>
      </w:r>
    </w:p>
    <w:p>
      <w:pPr>
        <w:spacing w:after="0" w:line="4"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b w:val="1"/>
          <w:bCs w:val="1"/>
          <w:color w:val="005A64"/>
        </w:rPr>
        <w:t>We face significant competition with other makers of COVID-19 vaccines and may be unable to maintain a competitive market share for our COVID-19 vaccine.</w:t>
      </w:r>
    </w:p>
    <w:p>
      <w:pPr>
        <w:spacing w:after="0" w:line="1"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A number of vaccine manufacturers, academic institutions and other organizations currently have programs to develop COVID-19 vaccine candidates, including vaccines developed by Moderna, Inc. and Novavax, Inc. Our competitors pursuing vaccine candidates may have greater financial, product candidate development, manufacturing and marketing resources than we do. Larger pharmaceutical and biotechnology companies have extensive experience in clinical testing and obtaining regulatory approval for their products, and may have the resources to invest heavily to accelerate discovery and development of their vaccine candidates.</w:t>
      </w:r>
    </w:p>
    <w:p>
      <w:pPr>
        <w:spacing w:after="0" w:line="4" w:lineRule="exact"/>
        <w:rPr>
          <w:sz w:val="20"/>
          <w:szCs w:val="20"/>
          <w:color w:val="auto"/>
        </w:rPr>
      </w:pPr>
    </w:p>
    <w:p>
      <w:pPr>
        <w:ind w:left="380" w:right="2280"/>
        <w:spacing w:after="0" w:line="210" w:lineRule="auto"/>
        <w:rPr>
          <w:sz w:val="20"/>
          <w:szCs w:val="20"/>
          <w:color w:val="auto"/>
        </w:rPr>
      </w:pPr>
      <w:r>
        <w:rPr>
          <w:rFonts w:ascii="Arial" w:cs="Arial" w:eastAsia="Arial" w:hAnsi="Arial"/>
          <w:sz w:val="13"/>
          <w:szCs w:val="13"/>
          <w:color w:val="auto"/>
        </w:rPr>
        <w:t>Our efforts to continue successful commercialization of our COVID-19 vaccine may fail if competitors develop and commercialize COVID-19 vaccines that are safer, more effective, produce longer immunity against COVID-19, require fewer administrations, have fewer or less severe undesirable effects, have broader market acceptance, are more convenient to administer or distribute or are less expensive than any vaccine candidate that we have developed or we may develop.</w:t>
      </w:r>
    </w:p>
    <w:p>
      <w:pPr>
        <w:spacing w:after="0" w:line="3"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b w:val="1"/>
          <w:bCs w:val="1"/>
          <w:color w:val="005A64"/>
        </w:rPr>
        <w:t>Our COVID-19 vaccine is sensitive to temperature, shipping and storage conditions and could be subject to risk of loss or damage.</w:t>
      </w:r>
    </w:p>
    <w:p>
      <w:pPr>
        <w:spacing w:after="0" w:line="1" w:lineRule="exact"/>
        <w:rPr>
          <w:sz w:val="20"/>
          <w:szCs w:val="20"/>
          <w:color w:val="auto"/>
        </w:rPr>
      </w:pPr>
    </w:p>
    <w:p>
      <w:pPr>
        <w:ind w:left="380" w:right="2100"/>
        <w:spacing w:after="0" w:line="222" w:lineRule="auto"/>
        <w:rPr>
          <w:sz w:val="20"/>
          <w:szCs w:val="20"/>
          <w:color w:val="auto"/>
        </w:rPr>
      </w:pPr>
      <w:r>
        <w:rPr>
          <w:rFonts w:ascii="Arial" w:cs="Arial" w:eastAsia="Arial" w:hAnsi="Arial"/>
          <w:sz w:val="13"/>
          <w:szCs w:val="13"/>
          <w:color w:val="auto"/>
        </w:rPr>
        <w:t>Our COVID-19 vaccine is, and other product candidates we develop could be, sensitive to temperature, storage and handling conditions. In particular, while we have improved the required shipping and storage conditions of our COVID-19 vaccine, it must be shipped and stored at cold temperatures. Loss in supply of our COVID-19 vaccine and our product candidates could occur if the product or product intermediates are not stored or handled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14</w:t>
      </w:r>
    </w:p>
    <w:p>
      <w:pPr>
        <w:sectPr>
          <w:pgSz w:w="11900" w:h="16840" w:orient="portrait"/>
          <w:cols w:equalWidth="0" w:num="1">
            <w:col w:w="9020"/>
          </w:cols>
          <w:pgMar w:left="1440" w:top="560" w:right="1440" w:bottom="20" w:gutter="0" w:footer="0" w:header="0"/>
        </w:sectPr>
      </w:pPr>
    </w:p>
    <w:p>
      <w:pPr>
        <w:ind w:left="380"/>
        <w:spacing w:after="0"/>
        <w:rPr>
          <w:sz w:val="20"/>
          <w:szCs w:val="20"/>
          <w:color w:val="auto"/>
        </w:rPr>
      </w:pPr>
      <w:r>
        <w:rPr>
          <w:rFonts w:ascii="Arial" w:cs="Arial" w:eastAsia="Arial" w:hAnsi="Arial"/>
          <w:sz w:val="12"/>
          <w:szCs w:val="12"/>
          <w:b w:val="1"/>
          <w:bCs w:val="1"/>
          <w:color w:val="3C9673"/>
        </w:rPr>
        <w:t>Annual Report on Form 20-F for the year ended December 31, 2024</w:t>
      </w:r>
    </w:p>
    <w:p>
      <w:pPr>
        <w:sectPr>
          <w:pgSz w:w="11900" w:h="16840" w:orient="portrait"/>
          <w:cols w:equalWidth="0" w:num="1">
            <w:col w:w="9020"/>
          </w:cols>
          <w:pgMar w:left="1440" w:top="560" w:right="1440" w:bottom="20" w:gutter="0" w:footer="0" w:header="0"/>
          <w:type w:val="continuous"/>
        </w:sectPr>
      </w:pPr>
    </w:p>
    <w:bookmarkStart w:id="11" w:name="page12"/>
    <w:bookmarkEnd w:id="11"/>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48" w:lineRule="exact"/>
        <w:rPr>
          <w:sz w:val="20"/>
          <w:szCs w:val="20"/>
          <w:color w:val="auto"/>
        </w:rPr>
      </w:pPr>
    </w:p>
    <w:p>
      <w:pPr>
        <w:ind w:left="380" w:right="2080"/>
        <w:spacing w:after="0" w:line="213" w:lineRule="auto"/>
        <w:rPr>
          <w:sz w:val="20"/>
          <w:szCs w:val="20"/>
          <w:color w:val="auto"/>
        </w:rPr>
      </w:pPr>
      <w:r>
        <w:rPr>
          <w:rFonts w:ascii="Arial" w:cs="Arial" w:eastAsia="Arial" w:hAnsi="Arial"/>
          <w:sz w:val="13"/>
          <w:szCs w:val="13"/>
          <w:color w:val="auto"/>
        </w:rPr>
        <w:t>properly. Shelf life for our product candidates may vary by product, and it is possible that supply of our COVID-19 vaccine or our product candidates could be lost due to expiration prior to use. This has in the past led, and could in the future lead, to additional manufacturing costs and delays in our ability to supply required quantities for clinical trials or for commercial purposes. Such distribution challenges may make our COVID- 19 vaccine a less attractive product than other COVID-19 vaccines that do not require as cold storage, and our COVID-19 vaccine may become increasingly less competitive as additional other vaccines become authorized for emergency use. If we, our partners and customers are unable to adequately manage these issues, we may be exposed to product liability claims and the market opportunity for our COVID-19 vaccine may be reduced, each of which could adversely affect our business prospects and materially harm our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-751205</wp:posOffset>
            </wp:positionV>
            <wp:extent cx="523113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b w:val="1"/>
          <w:bCs w:val="1"/>
          <w:color w:val="005A64"/>
        </w:rPr>
        <w:t>We are developing other product candidates and services in an environment of rapid technological and scientific change, and our failure to effectively compete would prevent us from achieving significant market penetration. Most of our competitors have significantly greater resources than we do and we may not be able to compete successfully.</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2" w:lineRule="exact"/>
        <w:rPr>
          <w:sz w:val="20"/>
          <w:szCs w:val="20"/>
          <w:color w:val="auto"/>
        </w:rPr>
      </w:pPr>
    </w:p>
    <w:p>
      <w:pPr>
        <w:ind w:left="380" w:right="3080"/>
        <w:spacing w:after="0" w:line="210" w:lineRule="auto"/>
        <w:rPr>
          <w:sz w:val="20"/>
          <w:szCs w:val="20"/>
          <w:color w:val="auto"/>
        </w:rPr>
      </w:pPr>
      <w:r>
        <w:rPr>
          <w:rFonts w:ascii="Arial" w:cs="Arial" w:eastAsia="Arial" w:hAnsi="Arial"/>
          <w:sz w:val="13"/>
          <w:szCs w:val="13"/>
          <w:color w:val="auto"/>
        </w:rPr>
        <w:t>•greater financial, technical and human resources than we have at every stage of the discovery, development, manufacture and commercialization of products;</w:t>
      </w:r>
    </w:p>
    <w:p>
      <w:pPr>
        <w:spacing w:after="0" w:line="1" w:lineRule="exact"/>
        <w:rPr>
          <w:sz w:val="20"/>
          <w:szCs w:val="20"/>
          <w:color w:val="auto"/>
        </w:rPr>
      </w:pPr>
    </w:p>
    <w:p>
      <w:pPr>
        <w:ind w:left="380" w:right="2560"/>
        <w:spacing w:after="0" w:line="210" w:lineRule="auto"/>
        <w:rPr>
          <w:sz w:val="20"/>
          <w:szCs w:val="20"/>
          <w:color w:val="auto"/>
        </w:rPr>
      </w:pPr>
      <w:r>
        <w:rPr>
          <w:rFonts w:ascii="Arial" w:cs="Arial" w:eastAsia="Arial" w:hAnsi="Arial"/>
          <w:sz w:val="13"/>
          <w:szCs w:val="13"/>
          <w:color w:val="auto"/>
        </w:rPr>
        <w:t>•more extensive experience in preclinical testing, conducting clinical trials, obtaining regulatory approvals and manufacturing, marketing and selling drug products;</w:t>
      </w:r>
    </w:p>
    <w:p>
      <w:pPr>
        <w:spacing w:after="0" w:line="1" w:lineRule="exact"/>
        <w:rPr>
          <w:sz w:val="20"/>
          <w:szCs w:val="20"/>
          <w:color w:val="auto"/>
        </w:rPr>
      </w:pPr>
    </w:p>
    <w:p>
      <w:pPr>
        <w:ind w:left="380" w:right="3860"/>
        <w:spacing w:after="0" w:line="210" w:lineRule="auto"/>
        <w:rPr>
          <w:sz w:val="20"/>
          <w:szCs w:val="20"/>
          <w:color w:val="auto"/>
        </w:rPr>
      </w:pPr>
      <w:r>
        <w:rPr>
          <w:rFonts w:ascii="Arial" w:cs="Arial" w:eastAsia="Arial" w:hAnsi="Arial"/>
          <w:sz w:val="13"/>
          <w:szCs w:val="13"/>
          <w:color w:val="auto"/>
        </w:rPr>
        <w:t>•product candidates that are based on previously tested or accepted technologies; •products that have been approved or are in late stages of development; and</w:t>
      </w:r>
    </w:p>
    <w:p>
      <w:pPr>
        <w:ind w:left="380"/>
        <w:spacing w:after="0" w:line="212" w:lineRule="auto"/>
        <w:rPr>
          <w:sz w:val="20"/>
          <w:szCs w:val="20"/>
          <w:color w:val="auto"/>
        </w:rPr>
      </w:pPr>
      <w:r>
        <w:rPr>
          <w:rFonts w:ascii="Arial" w:cs="Arial" w:eastAsia="Arial" w:hAnsi="Arial"/>
          <w:sz w:val="13"/>
          <w:szCs w:val="13"/>
          <w:color w:val="auto"/>
        </w:rPr>
        <w:t>•collaborative arrangements in our target markets with leading companies and research institutions.</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We will continue to face intense competition from products that have already been approved and accepted by the medical community for the treatment of the conditions for which we may develop products in the future. We also expect to face competition from new products that enter the market. There are a number of products currently under development, which may become commercially available in the future, for the treatment of conditions for which we are trying, or may in the future try, to develop drugs. These drugs may be more effective, safer, less expensive, or marketed and sold more effectively than any products we develop.</w:t>
      </w:r>
    </w:p>
    <w:p>
      <w:pPr>
        <w:spacing w:after="0" w:line="4"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We anticipate competing with the largest pharmaceutical companies in the world, many of which are currently conducting research in the fields of infectious diseases, immuno-oncology, rare genetic diseases and cancer immunotherapies. Some of these companies have greater financial and human resources than we currently have. In addition to these large pharmaceutical companies, we may directly compete with fully- integrated biopharmaceutical companies and other immunotherapy-focused oncology companies, as well as a number of companies focused on immunotherapies or shared tumor antigen and neoantigen therapeutics, some of which have entered into collaboration and funding agreements with larger pharmaceutical or biotechnology companies. If we successfully develop other product candidates, and obtain approval for them, we will face competition based on many different factors, including:</w:t>
      </w:r>
    </w:p>
    <w:p>
      <w:pPr>
        <w:ind w:left="380"/>
        <w:spacing w:after="0" w:line="219" w:lineRule="auto"/>
        <w:rPr>
          <w:sz w:val="20"/>
          <w:szCs w:val="20"/>
          <w:color w:val="auto"/>
        </w:rPr>
      </w:pPr>
      <w:r>
        <w:rPr>
          <w:rFonts w:ascii="Arial" w:cs="Arial" w:eastAsia="Arial" w:hAnsi="Arial"/>
          <w:sz w:val="13"/>
          <w:szCs w:val="13"/>
          <w:color w:val="auto"/>
        </w:rPr>
        <w:t>•the safety and effectiveness of our products relative to alternative therapies, if any;</w:t>
      </w:r>
    </w:p>
    <w:p>
      <w:pPr>
        <w:ind w:left="380" w:right="2600"/>
        <w:spacing w:after="0" w:line="210" w:lineRule="auto"/>
        <w:rPr>
          <w:sz w:val="20"/>
          <w:szCs w:val="20"/>
          <w:color w:val="auto"/>
        </w:rPr>
      </w:pPr>
      <w:r>
        <w:rPr>
          <w:rFonts w:ascii="Arial" w:cs="Arial" w:eastAsia="Arial" w:hAnsi="Arial"/>
          <w:sz w:val="13"/>
          <w:szCs w:val="13"/>
          <w:color w:val="auto"/>
        </w:rPr>
        <w:t>•the ease with which our products can be administered and the extent to which patients accept relatively new routes of administration;</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timing and scope of regulatory approvals for these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availability and cost of manufacturing, marketing and sales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0" w:lineRule="auto"/>
        <w:rPr>
          <w:sz w:val="20"/>
          <w:szCs w:val="20"/>
          <w:color w:val="auto"/>
        </w:rPr>
      </w:pPr>
      <w:r>
        <w:rPr>
          <w:rFonts w:ascii="Arial" w:cs="Arial" w:eastAsia="Arial" w:hAnsi="Arial"/>
          <w:sz w:val="13"/>
          <w:szCs w:val="13"/>
          <w:color w:val="auto"/>
        </w:rPr>
        <w:t>•the price of any approved immunotherapy;</w:t>
      </w:r>
    </w:p>
    <w:p>
      <w:pPr>
        <w:ind w:left="380"/>
        <w:spacing w:after="0" w:line="211" w:lineRule="auto"/>
        <w:rPr>
          <w:sz w:val="20"/>
          <w:szCs w:val="20"/>
          <w:color w:val="auto"/>
        </w:rPr>
      </w:pPr>
      <w:r>
        <w:rPr>
          <w:rFonts w:ascii="Arial" w:cs="Arial" w:eastAsia="Arial" w:hAnsi="Arial"/>
          <w:sz w:val="13"/>
          <w:szCs w:val="13"/>
          <w:color w:val="auto"/>
        </w:rPr>
        <w:t>•reimbursement coverage; and</w:t>
      </w:r>
    </w:p>
    <w:p>
      <w:pPr>
        <w:ind w:left="380"/>
        <w:spacing w:after="0" w:line="211" w:lineRule="auto"/>
        <w:rPr>
          <w:sz w:val="20"/>
          <w:szCs w:val="20"/>
          <w:color w:val="auto"/>
        </w:rPr>
      </w:pPr>
      <w:r>
        <w:rPr>
          <w:rFonts w:ascii="Arial" w:cs="Arial" w:eastAsia="Arial" w:hAnsi="Arial"/>
          <w:sz w:val="13"/>
          <w:szCs w:val="13"/>
          <w:color w:val="auto"/>
        </w:rPr>
        <w:t>•intellectual property position.</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Following our acquisition of InstaDeep Ltd., or InstaDeep, we also face competition in the rapidly growing and developing artificial intelligence, or AI, industry. Our competitors may develop or commercialize products and services with significant advantages over any products we develop based on any of the factors listed above or on other factors. In addition, our competitors may develop collaborations with or receive funding from larger pharmaceutical, biotechnology or technology companies, providing them with an advantage over us. Our competitors therefore may be more successful in commercializing their products and services than we are, which could adversely affect our competitive position and business. Competitive products and services may make any products and services we develop obsolete or non-competitive before we can recover the expenses of developing and commercializing such products, if approved, and services.</w:t>
      </w:r>
    </w:p>
    <w:p>
      <w:pPr>
        <w:spacing w:after="0" w:line="5" w:lineRule="exact"/>
        <w:rPr>
          <w:sz w:val="20"/>
          <w:szCs w:val="20"/>
          <w:color w:val="auto"/>
        </w:rPr>
      </w:pPr>
    </w:p>
    <w:p>
      <w:pPr>
        <w:ind w:left="380" w:right="2260"/>
        <w:spacing w:after="0" w:line="210" w:lineRule="auto"/>
        <w:rPr>
          <w:sz w:val="20"/>
          <w:szCs w:val="20"/>
          <w:color w:val="auto"/>
        </w:rPr>
      </w:pPr>
      <w:r>
        <w:rPr>
          <w:rFonts w:ascii="Arial" w:cs="Arial" w:eastAsia="Arial" w:hAnsi="Arial"/>
          <w:sz w:val="13"/>
          <w:szCs w:val="13"/>
          <w:b w:val="1"/>
          <w:bCs w:val="1"/>
          <w:color w:val="005A64"/>
        </w:rPr>
        <w:t>The market opportunities for some of our product candidates may be small due to the rarity of the disease, or limited to those patients who are ineligible for or have failed prior treatments. As the target patient populations for some of our programs are small, we may be unable to achieve or maintain profitability in future periods without obtaining regulatory approval for additional indications.</w:t>
      </w:r>
    </w:p>
    <w:p>
      <w:pPr>
        <w:spacing w:after="0" w:line="2"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The FDA often approves new cancer therapies initially only for use by patients with relapsed or refractory advanced cancer. We expect to seek approval initially for some of our product candidates in this context. Subsequently, for those products that prove to be sufficiently beneficial, we would expect to seek approval in earlier lines of treatment and potentially as a first- line therapy, but there is no guarantee that our product candidates, even if approved, would be approved for earlier lines of therapy, and, prior to any such approvals, we may have to conduct additional clinical trials. We are also developing product candidates for the treatment of rare diseases.</w:t>
      </w:r>
    </w:p>
    <w:p>
      <w:pPr>
        <w:spacing w:after="0" w:line="4"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Our projections of the number of people who have or will have the diseases we may be targeting may prove to be incorrect. Further, new studies may change the estimated incidence or prevalence of these diseases. The number of trial participants may turn out to be lower than expected. Additionally, the potentially addressable patient population for our product candidates may be limited or may not be amenable to treatment with our product candidates. Even if we obtain significant market share for our products, if approved, because the potential target populations may be small, we may be unable to achieve or maintain profitability in future periods without obtaining regulatory approval for additional indications.</w:t>
      </w:r>
    </w:p>
    <w:p>
      <w:pPr>
        <w:spacing w:after="0" w:line="4"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b w:val="1"/>
          <w:bCs w:val="1"/>
          <w:color w:val="005A64"/>
        </w:rPr>
        <w:t>If we are unable to continue to increase our marketing and sales capabilities on our own or through third parties, we may not be able to market and sell our product candidates effectively in the United States and other jurisdictions, if approved, or generate sufficient product sales revenue.</w:t>
      </w:r>
    </w:p>
    <w:p>
      <w:pPr>
        <w:spacing w:after="0" w:line="2" w:lineRule="exact"/>
        <w:rPr>
          <w:sz w:val="20"/>
          <w:szCs w:val="20"/>
          <w:color w:val="auto"/>
        </w:rPr>
      </w:pPr>
    </w:p>
    <w:p>
      <w:pPr>
        <w:ind w:left="380" w:right="2160"/>
        <w:spacing w:after="0" w:line="234" w:lineRule="auto"/>
        <w:rPr>
          <w:sz w:val="20"/>
          <w:szCs w:val="20"/>
          <w:color w:val="auto"/>
        </w:rPr>
      </w:pPr>
      <w:r>
        <w:rPr>
          <w:rFonts w:ascii="Arial" w:cs="Arial" w:eastAsia="Arial" w:hAnsi="Arial"/>
          <w:sz w:val="13"/>
          <w:szCs w:val="13"/>
          <w:color w:val="auto"/>
        </w:rPr>
        <w:t>We have only relatively recently developed our sales, distribution or marketing capabilities in Germany and Türkiye, and, other than for our COVID-19 vaccine, we have not historically designed our preclinical studies and</w:t>
      </w:r>
    </w:p>
    <w:p>
      <w:pPr>
        <w:sectPr>
          <w:pgSz w:w="11900" w:h="16840" w:orient="portrait"/>
          <w:cols w:equalWidth="0" w:num="1">
            <w:col w:w="9020"/>
          </w:cols>
          <w:pgMar w:left="1440" w:top="569" w:right="1440" w:bottom="27" w:gutter="0" w:footer="0" w:header="0"/>
        </w:sectPr>
      </w:pPr>
    </w:p>
    <w:bookmarkStart w:id="12" w:name="page13"/>
    <w:bookmarkEnd w:id="12"/>
    <w:p>
      <w:pPr>
        <w:ind w:left="380" w:right="2120"/>
        <w:spacing w:after="0" w:line="217" w:lineRule="auto"/>
        <w:rPr>
          <w:sz w:val="20"/>
          <w:szCs w:val="20"/>
          <w:color w:val="auto"/>
        </w:rPr>
      </w:pPr>
      <w:r>
        <w:rPr>
          <w:rFonts w:ascii="Arial" w:cs="Arial" w:eastAsia="Arial" w:hAnsi="Arial"/>
          <w:sz w:val="13"/>
          <w:szCs w:val="13"/>
          <w:color w:val="auto"/>
        </w:rPr>
        <w:t>clinical trials with specific commercialization or marketing considerations in mind. In addition, with respect to our COVID-19 vaccine, we rely heavily on the sales, distribution, and marketing capabilities of our partners, except in Germany and Türkiye. To successfully commercialize any other products that may result from our development programs, several of which are undergoing pivotal clinical trials, we will need to continue developing sales and marketing capabilities in the United States, Europe and other regions, either on our own or with others. We may enter into collaborations with other entities to utilize their mature marketing and distribution capabilities, but we may be unable to enter into marketing agreements on favorable terms, if at all. If our current and future collaborators do not commit sufficient resources to further commercialize our COVID-19 vaccine and our future products, if any, and we are unable to develop the necessary marketing capabilities on our own, we may be unable to generate sufficient product sales revenue to sustain our business. We compete with many companies that currently have extensive and well-funded marketing and sales operations. Without continuing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line="220" w:lineRule="auto"/>
        <w:rPr>
          <w:sz w:val="20"/>
          <w:szCs w:val="20"/>
          <w:color w:val="auto"/>
        </w:rPr>
      </w:pPr>
      <w:r>
        <w:rPr>
          <w:rFonts w:ascii="Arial" w:cs="Arial" w:eastAsia="Arial" w:hAnsi="Arial"/>
          <w:sz w:val="13"/>
          <w:szCs w:val="13"/>
          <w:color w:val="auto"/>
        </w:rPr>
        <w:t>grow our internal team or obtaining the support of third parties to perform marketing and sales functions, we may be unable to compete successfully against these more established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60"/>
        <w:spacing w:after="0" w:line="210" w:lineRule="auto"/>
        <w:rPr>
          <w:sz w:val="20"/>
          <w:szCs w:val="20"/>
          <w:color w:val="auto"/>
        </w:rPr>
      </w:pPr>
      <w:r>
        <w:rPr>
          <w:rFonts w:ascii="Arial" w:cs="Arial" w:eastAsia="Arial" w:hAnsi="Arial"/>
          <w:sz w:val="13"/>
          <w:szCs w:val="13"/>
          <w:b w:val="1"/>
          <w:bCs w:val="1"/>
          <w:color w:val="005A64"/>
        </w:rPr>
        <w:t>Our ability to achieve or maintain profitability in future periods depends in part on our and our collaborators’ ability to penetrate global markets, where we would be subject to additional regulatory burdens and other risks and uncertainties associated with international operations that could materially adversely affect our business.</w:t>
      </w:r>
    </w:p>
    <w:p>
      <w:pPr>
        <w:spacing w:after="0" w:line="2"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Our ability to achieve or maintain profitability in future periods will depend in part on our ability and the ability of our collaborators to commercialize any products that we or our collaborators may develop in markets throughout the world. Commercialization of products in various markets could subject us to risks and uncertainties, including:</w:t>
      </w:r>
    </w:p>
    <w:p>
      <w:pPr>
        <w:spacing w:after="0" w:line="2" w:lineRule="exact"/>
        <w:rPr>
          <w:sz w:val="20"/>
          <w:szCs w:val="20"/>
          <w:color w:val="auto"/>
        </w:rPr>
      </w:pPr>
    </w:p>
    <w:p>
      <w:pPr>
        <w:ind w:left="380" w:right="2800"/>
        <w:spacing w:after="0" w:line="210" w:lineRule="auto"/>
        <w:rPr>
          <w:sz w:val="20"/>
          <w:szCs w:val="20"/>
          <w:color w:val="auto"/>
        </w:rPr>
      </w:pPr>
      <w:r>
        <w:rPr>
          <w:rFonts w:ascii="Arial" w:cs="Arial" w:eastAsia="Arial" w:hAnsi="Arial"/>
          <w:sz w:val="13"/>
          <w:szCs w:val="13"/>
          <w:color w:val="auto"/>
        </w:rPr>
        <w:t>•obtaining, on a country-by-country basis, the applicable marketing authorization from the competent regulatory authority;</w:t>
      </w:r>
    </w:p>
    <w:p>
      <w:pPr>
        <w:spacing w:after="0" w:line="1" w:lineRule="exact"/>
        <w:rPr>
          <w:sz w:val="20"/>
          <w:szCs w:val="20"/>
          <w:color w:val="auto"/>
        </w:rPr>
      </w:pPr>
    </w:p>
    <w:p>
      <w:pPr>
        <w:ind w:left="380" w:right="2720"/>
        <w:spacing w:after="0" w:line="210" w:lineRule="auto"/>
        <w:rPr>
          <w:sz w:val="20"/>
          <w:szCs w:val="20"/>
          <w:color w:val="auto"/>
        </w:rPr>
      </w:pPr>
      <w:r>
        <w:rPr>
          <w:rFonts w:ascii="Arial" w:cs="Arial" w:eastAsia="Arial" w:hAnsi="Arial"/>
          <w:sz w:val="13"/>
          <w:szCs w:val="13"/>
          <w:color w:val="auto"/>
        </w:rPr>
        <w:t>•the burden of complying with complex and changing regulatory, tax, accounting, labor and other legal requirements in each jurisdiction that we or our collaborators pursue; •reduced protection for intellectual property rights;</w:t>
      </w:r>
    </w:p>
    <w:p>
      <w:pPr>
        <w:spacing w:after="0" w:line="2" w:lineRule="exact"/>
        <w:rPr>
          <w:sz w:val="20"/>
          <w:szCs w:val="20"/>
          <w:color w:val="auto"/>
        </w:rPr>
      </w:pPr>
    </w:p>
    <w:p>
      <w:pPr>
        <w:ind w:left="380" w:right="3900"/>
        <w:spacing w:after="0" w:line="210" w:lineRule="auto"/>
        <w:rPr>
          <w:sz w:val="20"/>
          <w:szCs w:val="20"/>
          <w:color w:val="auto"/>
        </w:rPr>
      </w:pPr>
      <w:r>
        <w:rPr>
          <w:rFonts w:ascii="Arial" w:cs="Arial" w:eastAsia="Arial" w:hAnsi="Arial"/>
          <w:sz w:val="13"/>
          <w:szCs w:val="13"/>
          <w:color w:val="auto"/>
        </w:rPr>
        <w:t>•differing medical practices and customs affecting acceptance in the marketplace; •import or export licensing requirements;</w:t>
      </w:r>
    </w:p>
    <w:p>
      <w:pPr>
        <w:ind w:left="380"/>
        <w:spacing w:after="0" w:line="212" w:lineRule="auto"/>
        <w:rPr>
          <w:sz w:val="20"/>
          <w:szCs w:val="20"/>
          <w:color w:val="auto"/>
        </w:rPr>
      </w:pPr>
      <w:r>
        <w:rPr>
          <w:rFonts w:ascii="Arial" w:cs="Arial" w:eastAsia="Arial" w:hAnsi="Arial"/>
          <w:sz w:val="13"/>
          <w:szCs w:val="13"/>
          <w:color w:val="auto"/>
        </w:rPr>
        <w:t>•governmental controls, trade restrictions or changes in tariffs;</w:t>
      </w:r>
    </w:p>
    <w:p>
      <w:pPr>
        <w:ind w:left="380"/>
        <w:spacing w:after="0" w:line="211" w:lineRule="auto"/>
        <w:rPr>
          <w:sz w:val="20"/>
          <w:szCs w:val="20"/>
          <w:color w:val="auto"/>
        </w:rPr>
      </w:pPr>
      <w:r>
        <w:rPr>
          <w:rFonts w:ascii="Arial" w:cs="Arial" w:eastAsia="Arial" w:hAnsi="Arial"/>
          <w:sz w:val="13"/>
          <w:szCs w:val="13"/>
          <w:color w:val="auto"/>
        </w:rPr>
        <w:t>•economic weakness, including inflation, or political instability;</w:t>
      </w:r>
    </w:p>
    <w:p>
      <w:pPr>
        <w:spacing w:after="0" w:line="1" w:lineRule="exact"/>
        <w:rPr>
          <w:sz w:val="20"/>
          <w:szCs w:val="20"/>
          <w:color w:val="auto"/>
        </w:rPr>
      </w:pPr>
    </w:p>
    <w:p>
      <w:pPr>
        <w:ind w:left="380" w:right="3140"/>
        <w:spacing w:after="0" w:line="210" w:lineRule="auto"/>
        <w:rPr>
          <w:sz w:val="20"/>
          <w:szCs w:val="20"/>
          <w:color w:val="auto"/>
        </w:rPr>
      </w:pPr>
      <w:r>
        <w:rPr>
          <w:rFonts w:ascii="Arial" w:cs="Arial" w:eastAsia="Arial" w:hAnsi="Arial"/>
          <w:sz w:val="13"/>
          <w:szCs w:val="13"/>
          <w:color w:val="auto"/>
        </w:rPr>
        <w:t>•production shortages resulting from any events affecting raw material supply or manufacturing capabilities abroad;</w:t>
      </w:r>
    </w:p>
    <w:p>
      <w:pPr>
        <w:ind w:left="380"/>
        <w:spacing w:after="0" w:line="212" w:lineRule="auto"/>
        <w:rPr>
          <w:sz w:val="20"/>
          <w:szCs w:val="20"/>
          <w:color w:val="auto"/>
        </w:rPr>
      </w:pPr>
      <w:r>
        <w:rPr>
          <w:rFonts w:ascii="Arial" w:cs="Arial" w:eastAsia="Arial" w:hAnsi="Arial"/>
          <w:sz w:val="13"/>
          <w:szCs w:val="13"/>
          <w:color w:val="auto"/>
        </w:rPr>
        <w:t>•longer accounts receivable collection times;</w:t>
      </w:r>
    </w:p>
    <w:p>
      <w:pPr>
        <w:ind w:left="380"/>
        <w:spacing w:after="0" w:line="211" w:lineRule="auto"/>
        <w:rPr>
          <w:sz w:val="20"/>
          <w:szCs w:val="20"/>
          <w:color w:val="auto"/>
        </w:rPr>
      </w:pPr>
      <w:r>
        <w:rPr>
          <w:rFonts w:ascii="Arial" w:cs="Arial" w:eastAsia="Arial" w:hAnsi="Arial"/>
          <w:sz w:val="13"/>
          <w:szCs w:val="13"/>
          <w:color w:val="auto"/>
        </w:rPr>
        <w:t>•longer lead times for shipping;</w:t>
      </w:r>
    </w:p>
    <w:p>
      <w:pPr>
        <w:ind w:left="380"/>
        <w:spacing w:after="0" w:line="211" w:lineRule="auto"/>
        <w:rPr>
          <w:sz w:val="20"/>
          <w:szCs w:val="20"/>
          <w:color w:val="auto"/>
        </w:rPr>
      </w:pPr>
      <w:r>
        <w:rPr>
          <w:rFonts w:ascii="Arial" w:cs="Arial" w:eastAsia="Arial" w:hAnsi="Arial"/>
          <w:sz w:val="13"/>
          <w:szCs w:val="13"/>
          <w:color w:val="auto"/>
        </w:rPr>
        <w:t>•language barriers;</w:t>
      </w:r>
    </w:p>
    <w:p>
      <w:pPr>
        <w:ind w:left="380"/>
        <w:spacing w:after="0" w:line="211" w:lineRule="auto"/>
        <w:rPr>
          <w:sz w:val="20"/>
          <w:szCs w:val="20"/>
          <w:color w:val="auto"/>
        </w:rPr>
      </w:pPr>
      <w:r>
        <w:rPr>
          <w:rFonts w:ascii="Arial" w:cs="Arial" w:eastAsia="Arial" w:hAnsi="Arial"/>
          <w:sz w:val="13"/>
          <w:szCs w:val="13"/>
          <w:color w:val="auto"/>
        </w:rPr>
        <w:t>•foreign currency exchange rate fluctuations;</w:t>
      </w:r>
    </w:p>
    <w:p>
      <w:pPr>
        <w:ind w:left="380"/>
        <w:spacing w:after="0" w:line="211" w:lineRule="auto"/>
        <w:rPr>
          <w:sz w:val="20"/>
          <w:szCs w:val="20"/>
          <w:color w:val="auto"/>
        </w:rPr>
      </w:pPr>
      <w:r>
        <w:rPr>
          <w:rFonts w:ascii="Arial" w:cs="Arial" w:eastAsia="Arial" w:hAnsi="Arial"/>
          <w:sz w:val="13"/>
          <w:szCs w:val="13"/>
          <w:color w:val="auto"/>
        </w:rPr>
        <w:t>•the impact of epidemics, pandemics and other public health developments, such as COVID-19, on</w:t>
      </w:r>
    </w:p>
    <w:p>
      <w:pPr>
        <w:ind w:left="380"/>
        <w:spacing w:after="0" w:line="211" w:lineRule="auto"/>
        <w:rPr>
          <w:sz w:val="20"/>
          <w:szCs w:val="20"/>
          <w:color w:val="auto"/>
        </w:rPr>
      </w:pPr>
      <w:r>
        <w:rPr>
          <w:rFonts w:ascii="Arial" w:cs="Arial" w:eastAsia="Arial" w:hAnsi="Arial"/>
          <w:sz w:val="13"/>
          <w:szCs w:val="13"/>
          <w:color w:val="auto"/>
        </w:rPr>
        <w:t>employees and the global economy;</w:t>
      </w:r>
    </w:p>
    <w:p>
      <w:pPr>
        <w:ind w:left="380"/>
        <w:spacing w:after="0" w:line="211" w:lineRule="auto"/>
        <w:rPr>
          <w:sz w:val="20"/>
          <w:szCs w:val="20"/>
          <w:color w:val="auto"/>
        </w:rPr>
      </w:pPr>
      <w:r>
        <w:rPr>
          <w:rFonts w:ascii="Arial" w:cs="Arial" w:eastAsia="Arial" w:hAnsi="Arial"/>
          <w:sz w:val="13"/>
          <w:szCs w:val="13"/>
          <w:color w:val="auto"/>
        </w:rPr>
        <w:t>•reimbursement, pricing and insurance regimes; and</w:t>
      </w:r>
    </w:p>
    <w:p>
      <w:pPr>
        <w:ind w:left="380"/>
        <w:spacing w:after="0" w:line="211" w:lineRule="auto"/>
        <w:rPr>
          <w:sz w:val="20"/>
          <w:szCs w:val="20"/>
          <w:color w:val="auto"/>
        </w:rPr>
      </w:pPr>
      <w:r>
        <w:rPr>
          <w:rFonts w:ascii="Arial" w:cs="Arial" w:eastAsia="Arial" w:hAnsi="Arial"/>
          <w:sz w:val="13"/>
          <w:szCs w:val="13"/>
          <w:color w:val="auto"/>
        </w:rPr>
        <w:t>•the interpretation of contractual provisions governed by local laws in the event of a contract dispute.</w:t>
      </w:r>
    </w:p>
    <w:p>
      <w:pPr>
        <w:ind w:left="380" w:right="2180"/>
        <w:spacing w:after="0" w:line="210" w:lineRule="auto"/>
        <w:rPr>
          <w:sz w:val="20"/>
          <w:szCs w:val="20"/>
          <w:color w:val="auto"/>
        </w:rPr>
      </w:pPr>
      <w:r>
        <w:rPr>
          <w:rFonts w:ascii="Arial" w:cs="Arial" w:eastAsia="Arial" w:hAnsi="Arial"/>
          <w:sz w:val="13"/>
          <w:szCs w:val="13"/>
          <w:color w:val="auto"/>
        </w:rPr>
        <w:t>We do not have prior experience in all of these areas, and the experience we do have in some of these areas is limited. Our collaborators may have limited experience in these areas as well. Failure to successfully navigate these risks and uncertainties may limit or prevent market penetration for any products that we or our collaborators may develop, which would limit their commercial potential and our revenues.</w:t>
      </w:r>
    </w:p>
    <w:p>
      <w:pPr>
        <w:spacing w:after="0" w:line="2" w:lineRule="exact"/>
        <w:rPr>
          <w:sz w:val="20"/>
          <w:szCs w:val="20"/>
          <w:color w:val="auto"/>
        </w:rPr>
      </w:pPr>
    </w:p>
    <w:p>
      <w:pPr>
        <w:ind w:left="380" w:right="2180"/>
        <w:spacing w:after="0" w:line="229" w:lineRule="auto"/>
        <w:rPr>
          <w:sz w:val="20"/>
          <w:szCs w:val="20"/>
          <w:color w:val="auto"/>
        </w:rPr>
      </w:pPr>
      <w:r>
        <w:rPr>
          <w:rFonts w:ascii="Arial" w:cs="Arial" w:eastAsia="Arial" w:hAnsi="Arial"/>
          <w:sz w:val="13"/>
          <w:szCs w:val="13"/>
          <w:b w:val="1"/>
          <w:bCs w:val="1"/>
          <w:color w:val="005A64"/>
        </w:rPr>
        <w:t>Even if we obtain regulatory approval for our product candidates, the products may not gain the market acceptance among physicians, patients, hospitals, treatment centers and others in the medical community necessary for commercial success.</w:t>
      </w:r>
    </w:p>
    <w:p>
      <w:pPr>
        <w:sectPr>
          <w:pgSz w:w="11900" w:h="16840" w:orient="portrait"/>
          <w:cols w:equalWidth="0" w:num="1">
            <w:col w:w="9020"/>
          </w:cols>
          <w:pgMar w:left="1440" w:top="560" w:right="1440" w:bottom="1440" w:gutter="0" w:footer="0" w:header="0"/>
        </w:sectPr>
      </w:pPr>
    </w:p>
    <w:bookmarkStart w:id="13" w:name="page14"/>
    <w:bookmarkEnd w:id="13"/>
    <w:p>
      <w:pPr>
        <w:ind w:left="380"/>
        <w:spacing w:after="0"/>
        <w:rPr>
          <w:sz w:val="20"/>
          <w:szCs w:val="20"/>
          <w:color w:val="auto"/>
        </w:rPr>
      </w:pPr>
      <w:r>
        <w:rPr>
          <w:rFonts w:ascii="Arial" w:cs="Arial" w:eastAsia="Arial" w:hAnsi="Arial"/>
          <w:sz w:val="13"/>
          <w:szCs w:val="13"/>
          <w:color w:val="auto"/>
        </w:rPr>
        <w:t>17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jc w:val="both"/>
        <w:ind w:left="380" w:right="2340"/>
        <w:spacing w:after="0" w:line="217" w:lineRule="auto"/>
        <w:rPr>
          <w:sz w:val="20"/>
          <w:szCs w:val="20"/>
          <w:color w:val="auto"/>
        </w:rPr>
      </w:pPr>
      <w:r>
        <w:rPr>
          <w:rFonts w:ascii="Arial" w:cs="Arial" w:eastAsia="Arial" w:hAnsi="Arial"/>
          <w:sz w:val="13"/>
          <w:szCs w:val="13"/>
          <w:color w:val="auto"/>
        </w:rPr>
        <w:t>Even with the requisite approvals, the commercial success of our products will depend in part on the medical community, patients, and third-party or governmental payors accepting immunotherapies in general, and our products in particular, as medically useful, cost-effective and safe.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20"/>
        <w:spacing w:after="0" w:line="210" w:lineRule="auto"/>
        <w:rPr>
          <w:sz w:val="20"/>
          <w:szCs w:val="20"/>
          <w:color w:val="auto"/>
        </w:rPr>
      </w:pPr>
      <w:r>
        <w:rPr>
          <w:rFonts w:ascii="Arial" w:cs="Arial" w:eastAsia="Arial" w:hAnsi="Arial"/>
          <w:sz w:val="13"/>
          <w:szCs w:val="13"/>
          <w:color w:val="auto"/>
        </w:rPr>
        <w:t>Any product that we bring to the market may not gain market acceptance by physicians, trial participants, third-party payors, and others in the medical community. Additionally, ethical and legal concerns and social preferences about research involving mRNA could result in additional regulations restricting or prohibiting the products and processes we may use. If these products do not achieve an adequate level of acceptance, we may not generate significant product sales revenue and may not be able to achieve or maintain profitability in future periods. The degree of market acceptance of our product candidates, if approved for commercial sale, will depend on a number of factors, including:</w:t>
      </w:r>
    </w:p>
    <w:p>
      <w:pPr>
        <w:ind w:left="380"/>
        <w:spacing w:after="0" w:line="217" w:lineRule="auto"/>
        <w:rPr>
          <w:sz w:val="20"/>
          <w:szCs w:val="20"/>
          <w:color w:val="auto"/>
        </w:rPr>
      </w:pPr>
      <w:r>
        <w:rPr>
          <w:rFonts w:ascii="Arial" w:cs="Arial" w:eastAsia="Arial" w:hAnsi="Arial"/>
          <w:sz w:val="13"/>
          <w:szCs w:val="13"/>
          <w:color w:val="auto"/>
        </w:rPr>
        <w:t>•the potential efficacy and potential advantages over alternative treatments;</w:t>
      </w:r>
    </w:p>
    <w:p>
      <w:pPr>
        <w:ind w:left="380"/>
        <w:spacing w:after="0" w:line="211" w:lineRule="auto"/>
        <w:rPr>
          <w:sz w:val="20"/>
          <w:szCs w:val="20"/>
          <w:color w:val="auto"/>
        </w:rPr>
      </w:pPr>
      <w:r>
        <w:rPr>
          <w:rFonts w:ascii="Arial" w:cs="Arial" w:eastAsia="Arial" w:hAnsi="Arial"/>
          <w:sz w:val="13"/>
          <w:szCs w:val="13"/>
          <w:color w:val="auto"/>
        </w:rPr>
        <w:t>•the ability to offer our products, if approved, at competitive prices;</w:t>
      </w:r>
    </w:p>
    <w:p>
      <w:pPr>
        <w:ind w:left="380" w:right="2540"/>
        <w:spacing w:after="0" w:line="210" w:lineRule="auto"/>
        <w:rPr>
          <w:sz w:val="20"/>
          <w:szCs w:val="20"/>
          <w:color w:val="auto"/>
        </w:rPr>
      </w:pPr>
      <w:r>
        <w:rPr>
          <w:rFonts w:ascii="Arial" w:cs="Arial" w:eastAsia="Arial" w:hAnsi="Arial"/>
          <w:sz w:val="13"/>
          <w:szCs w:val="13"/>
          <w:color w:val="auto"/>
        </w:rPr>
        <w:t>•the prevalence and severity of any undesirable effects, including any limitations or warnings contained in a product’s approved labeling;</w:t>
      </w:r>
    </w:p>
    <w:p>
      <w:pPr>
        <w:spacing w:after="0" w:line="1" w:lineRule="exact"/>
        <w:rPr>
          <w:sz w:val="20"/>
          <w:szCs w:val="20"/>
          <w:color w:val="auto"/>
        </w:rPr>
      </w:pPr>
    </w:p>
    <w:p>
      <w:pPr>
        <w:ind w:left="380" w:right="2540"/>
        <w:spacing w:after="0" w:line="210" w:lineRule="auto"/>
        <w:rPr>
          <w:sz w:val="20"/>
          <w:szCs w:val="20"/>
          <w:color w:val="auto"/>
        </w:rPr>
      </w:pPr>
      <w:r>
        <w:rPr>
          <w:rFonts w:ascii="Arial" w:cs="Arial" w:eastAsia="Arial" w:hAnsi="Arial"/>
          <w:sz w:val="13"/>
          <w:szCs w:val="13"/>
          <w:color w:val="auto"/>
        </w:rPr>
        <w:t>•the prevalence and severity of any undesirable effects resulting from checkpoint inhibitors or other drugs or therapies with which our products are administered;</w:t>
      </w:r>
    </w:p>
    <w:p>
      <w:pPr>
        <w:ind w:left="380"/>
        <w:spacing w:after="0" w:line="212" w:lineRule="auto"/>
        <w:rPr>
          <w:sz w:val="20"/>
          <w:szCs w:val="20"/>
          <w:color w:val="auto"/>
        </w:rPr>
      </w:pPr>
      <w:r>
        <w:rPr>
          <w:rFonts w:ascii="Arial" w:cs="Arial" w:eastAsia="Arial" w:hAnsi="Arial"/>
          <w:sz w:val="13"/>
          <w:szCs w:val="13"/>
          <w:color w:val="auto"/>
        </w:rPr>
        <w:t>•the relative convenience and ease of transportation, storage and administration;</w:t>
      </w:r>
    </w:p>
    <w:p>
      <w:pPr>
        <w:ind w:left="380"/>
        <w:spacing w:after="0" w:line="211" w:lineRule="auto"/>
        <w:rPr>
          <w:sz w:val="20"/>
          <w:szCs w:val="20"/>
          <w:color w:val="auto"/>
        </w:rPr>
      </w:pPr>
      <w:r>
        <w:rPr>
          <w:rFonts w:ascii="Arial" w:cs="Arial" w:eastAsia="Arial" w:hAnsi="Arial"/>
          <w:sz w:val="13"/>
          <w:szCs w:val="13"/>
          <w:color w:val="auto"/>
        </w:rPr>
        <w:t>•any restrictions on the use of our products, if approved, together with other medications;</w:t>
      </w:r>
    </w:p>
    <w:p>
      <w:pPr>
        <w:spacing w:after="0" w:line="1" w:lineRule="exact"/>
        <w:rPr>
          <w:sz w:val="20"/>
          <w:szCs w:val="20"/>
          <w:color w:val="auto"/>
        </w:rPr>
      </w:pPr>
    </w:p>
    <w:p>
      <w:pPr>
        <w:ind w:left="380" w:right="3000"/>
        <w:spacing w:after="0" w:line="210" w:lineRule="auto"/>
        <w:rPr>
          <w:sz w:val="20"/>
          <w:szCs w:val="20"/>
          <w:color w:val="auto"/>
        </w:rPr>
      </w:pPr>
      <w:r>
        <w:rPr>
          <w:rFonts w:ascii="Arial" w:cs="Arial" w:eastAsia="Arial" w:hAnsi="Arial"/>
          <w:sz w:val="13"/>
          <w:szCs w:val="13"/>
          <w:color w:val="auto"/>
        </w:rPr>
        <w:t>•the willingness of the target patient population to try new therapies, such as mRNA vaccines and therapies, and of physicians to prescribe these therapies;</w:t>
      </w:r>
    </w:p>
    <w:p>
      <w:pPr>
        <w:spacing w:after="0" w:line="1" w:lineRule="exact"/>
        <w:rPr>
          <w:sz w:val="20"/>
          <w:szCs w:val="20"/>
          <w:color w:val="auto"/>
        </w:rPr>
      </w:pPr>
    </w:p>
    <w:p>
      <w:pPr>
        <w:ind w:left="380" w:right="2940"/>
        <w:spacing w:after="0" w:line="210" w:lineRule="auto"/>
        <w:rPr>
          <w:sz w:val="20"/>
          <w:szCs w:val="20"/>
          <w:color w:val="auto"/>
        </w:rPr>
      </w:pPr>
      <w:r>
        <w:rPr>
          <w:rFonts w:ascii="Arial" w:cs="Arial" w:eastAsia="Arial" w:hAnsi="Arial"/>
          <w:sz w:val="13"/>
          <w:szCs w:val="13"/>
          <w:color w:val="auto"/>
        </w:rPr>
        <w:t>•the strength of marketing and distribution support and timing of market introduction of competitive products;</w:t>
      </w:r>
    </w:p>
    <w:p>
      <w:pPr>
        <w:spacing w:after="0" w:line="1"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•the extent to which changes in local, national and state government policy preferences in the United States and other jurisdictions resulting from new elected leadership and evolving public sentiment affect demand for COVID- 19 vaccines or mRNA therapeutics and our ability to successfully commercialize our product candidates, if approved;</w:t>
      </w:r>
    </w:p>
    <w:p>
      <w:pPr>
        <w:ind w:left="380"/>
        <w:spacing w:after="0" w:line="214" w:lineRule="auto"/>
        <w:rPr>
          <w:sz w:val="20"/>
          <w:szCs w:val="20"/>
          <w:color w:val="auto"/>
        </w:rPr>
      </w:pPr>
      <w:r>
        <w:rPr>
          <w:rFonts w:ascii="Arial" w:cs="Arial" w:eastAsia="Arial" w:hAnsi="Arial"/>
          <w:sz w:val="13"/>
          <w:szCs w:val="13"/>
          <w:color w:val="auto"/>
        </w:rPr>
        <w:t>•publicity concerning our products or competing products and treatments; and</w:t>
      </w:r>
    </w:p>
    <w:p>
      <w:pPr>
        <w:ind w:left="380" w:right="2500"/>
        <w:spacing w:after="0" w:line="210" w:lineRule="auto"/>
        <w:rPr>
          <w:sz w:val="20"/>
          <w:szCs w:val="20"/>
          <w:color w:val="auto"/>
        </w:rPr>
      </w:pPr>
      <w:r>
        <w:rPr>
          <w:rFonts w:ascii="Arial" w:cs="Arial" w:eastAsia="Arial" w:hAnsi="Arial"/>
          <w:sz w:val="13"/>
          <w:szCs w:val="13"/>
          <w:color w:val="auto"/>
        </w:rPr>
        <w:t>•sufficient third -party insurance coverage or reimbursement, and patients’ willingness to pay out-of-pocket in the absence of third-party coverage or adequate reimbursement.</w:t>
      </w:r>
    </w:p>
    <w:p>
      <w:pPr>
        <w:spacing w:after="0" w:line="1"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Even if a potential product displays a favorable efficacy and safety profile in preclinical studies and clinical trials, market acceptance of the product will not be known until after it is launched. Our efforts to educate the medical community and third- party payors on the benefits of the products may require significant resources and may never be successful. Our efforts to educate the marketplace may require more resources than are required by the conventional technologies marketed by our competitors due to the complexity and uniqueness of our programs.</w:t>
      </w:r>
    </w:p>
    <w:p>
      <w:pPr>
        <w:spacing w:after="0" w:line="4" w:lineRule="exact"/>
        <w:rPr>
          <w:sz w:val="20"/>
          <w:szCs w:val="20"/>
          <w:color w:val="auto"/>
        </w:rPr>
      </w:pPr>
    </w:p>
    <w:p>
      <w:pPr>
        <w:ind w:left="380" w:right="2120"/>
        <w:spacing w:after="0" w:line="217" w:lineRule="auto"/>
        <w:rPr>
          <w:sz w:val="20"/>
          <w:szCs w:val="20"/>
          <w:color w:val="auto"/>
        </w:rPr>
      </w:pPr>
      <w:r>
        <w:rPr>
          <w:rFonts w:ascii="Arial" w:cs="Arial" w:eastAsia="Arial" w:hAnsi="Arial"/>
          <w:sz w:val="13"/>
          <w:szCs w:val="13"/>
          <w:color w:val="auto"/>
        </w:rPr>
        <w:t>In addition, for our products that are approved for marketing, we and/or our collaborator are subject to significant regulatory obligations regarding the submission of safety and other post-marketing information and reports for such product, and will need to continue to comply (or ensure that our third- party providers comply) with current GMP and current good clinical practices, or GCP, for any clinical trials that we or a collaborator conduct post-approval. In addition, there is always the risk that we or a collaborator or regulatory authority might identify previously unknown problems with a product post- approval, such as adverse events of unanticipated severity or frequency. Compliance with these requirements is costly, and any such failure to comply or other issues with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400"/>
        <w:spacing w:after="0" w:line="220" w:lineRule="auto"/>
        <w:rPr>
          <w:sz w:val="20"/>
          <w:szCs w:val="20"/>
          <w:color w:val="auto"/>
        </w:rPr>
      </w:pPr>
      <w:r>
        <w:rPr>
          <w:rFonts w:ascii="Arial" w:cs="Arial" w:eastAsia="Arial" w:hAnsi="Arial"/>
          <w:sz w:val="13"/>
          <w:szCs w:val="13"/>
          <w:color w:val="auto"/>
        </w:rPr>
        <w:t>product candidates identified post-approval could have a material adverse impact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00"/>
        <w:spacing w:after="0" w:line="210" w:lineRule="auto"/>
        <w:rPr>
          <w:sz w:val="20"/>
          <w:szCs w:val="20"/>
          <w:color w:val="auto"/>
        </w:rPr>
      </w:pPr>
      <w:r>
        <w:rPr>
          <w:rFonts w:ascii="Arial" w:cs="Arial" w:eastAsia="Arial" w:hAnsi="Arial"/>
          <w:sz w:val="13"/>
          <w:szCs w:val="13"/>
          <w:b w:val="1"/>
          <w:bCs w:val="1"/>
          <w:color w:val="005A64"/>
        </w:rPr>
        <w:t xml:space="preserve">Coverage and reimbursement may be limited or unavailable in certain market segments for our product candidates, which could make it difficult for us to sell our product candidates, if approved, profitably. </w:t>
      </w:r>
      <w:r>
        <w:rPr>
          <w:rFonts w:ascii="Arial" w:cs="Arial" w:eastAsia="Arial" w:hAnsi="Arial"/>
          <w:sz w:val="13"/>
          <w:szCs w:val="13"/>
          <w:color w:val="000000"/>
        </w:rPr>
        <w:t>Successful sales of our product candidates, if approved, depend on the availability of coverage and adequate reimbursement from third-party payors including governmental healthcare programs, such as Medicare and Medicaid in the United States, managed care organizations and commercial payors, among others. Significant uncertainty exists as to the coverage and reimbursement status of any product candidates for which we obtain regulatory approval. In addition, because certain of our product candidates represent new approaches to the treatment of cancer, we cannot accurately estimate the potential revenue from our product candidates.</w:t>
      </w:r>
    </w:p>
    <w:p>
      <w:pPr>
        <w:spacing w:after="0" w:line="5"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Patients who are provided medical treatment for their conditions generally rely on third-party payors to reimburse all or part of the costs associated with their treatment. Obtaining coverage and adequate reimbursement from third-party payors is critical to new product acceptance.</w:t>
      </w:r>
    </w:p>
    <w:p>
      <w:pPr>
        <w:spacing w:after="0" w:line="2" w:lineRule="exact"/>
        <w:rPr>
          <w:sz w:val="20"/>
          <w:szCs w:val="20"/>
          <w:color w:val="auto"/>
        </w:rPr>
      </w:pPr>
    </w:p>
    <w:p>
      <w:pPr>
        <w:ind w:left="380" w:right="2300"/>
        <w:spacing w:after="0"/>
        <w:rPr>
          <w:sz w:val="20"/>
          <w:szCs w:val="20"/>
          <w:color w:val="auto"/>
        </w:rPr>
      </w:pPr>
      <w:r>
        <w:rPr>
          <w:rFonts w:ascii="Arial" w:cs="Arial" w:eastAsia="Arial" w:hAnsi="Arial"/>
          <w:sz w:val="13"/>
          <w:szCs w:val="13"/>
          <w:color w:val="auto"/>
        </w:rPr>
        <w:t>Third-party payors decide which drugs and treatments they will cover and the amount of reimbursement. Reimbursement by a third-party payor may depend upon a number of factors, including, but not limited to, the third-party payor’s determination that use of a product is: •a covered benefit under its health plan;</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•safe, effective and medically necessary;</w:t>
      </w:r>
    </w:p>
    <w:p>
      <w:pPr>
        <w:ind w:left="380"/>
        <w:spacing w:after="0" w:line="210" w:lineRule="auto"/>
        <w:rPr>
          <w:sz w:val="20"/>
          <w:szCs w:val="20"/>
          <w:color w:val="auto"/>
        </w:rPr>
      </w:pPr>
      <w:r>
        <w:rPr>
          <w:rFonts w:ascii="Arial" w:cs="Arial" w:eastAsia="Arial" w:hAnsi="Arial"/>
          <w:sz w:val="13"/>
          <w:szCs w:val="13"/>
          <w:color w:val="auto"/>
        </w:rPr>
        <w:t>•appropriate for the specific patient;</w:t>
      </w:r>
    </w:p>
    <w:p>
      <w:pPr>
        <w:ind w:left="380"/>
        <w:spacing w:after="0" w:line="211" w:lineRule="auto"/>
        <w:rPr>
          <w:sz w:val="20"/>
          <w:szCs w:val="20"/>
          <w:color w:val="auto"/>
        </w:rPr>
      </w:pPr>
      <w:r>
        <w:rPr>
          <w:rFonts w:ascii="Arial" w:cs="Arial" w:eastAsia="Arial" w:hAnsi="Arial"/>
          <w:sz w:val="13"/>
          <w:szCs w:val="13"/>
          <w:color w:val="auto"/>
        </w:rPr>
        <w:t>•cost-effective; and</w:t>
      </w:r>
    </w:p>
    <w:p>
      <w:pPr>
        <w:ind w:left="380"/>
        <w:spacing w:after="0" w:line="211" w:lineRule="auto"/>
        <w:rPr>
          <w:sz w:val="20"/>
          <w:szCs w:val="20"/>
          <w:color w:val="auto"/>
        </w:rPr>
      </w:pPr>
      <w:r>
        <w:rPr>
          <w:rFonts w:ascii="Arial" w:cs="Arial" w:eastAsia="Arial" w:hAnsi="Arial"/>
          <w:sz w:val="13"/>
          <w:szCs w:val="13"/>
          <w:color w:val="auto"/>
        </w:rPr>
        <w:t>•neither experimental nor investigational.</w:t>
      </w:r>
    </w:p>
    <w:p>
      <w:pPr>
        <w:spacing w:after="0" w:line="1" w:lineRule="exact"/>
        <w:rPr>
          <w:sz w:val="20"/>
          <w:szCs w:val="20"/>
          <w:color w:val="auto"/>
        </w:rPr>
      </w:pPr>
    </w:p>
    <w:p>
      <w:pPr>
        <w:ind w:left="380" w:right="2120"/>
        <w:spacing w:after="0" w:line="216" w:lineRule="auto"/>
        <w:rPr>
          <w:sz w:val="20"/>
          <w:szCs w:val="20"/>
          <w:color w:val="auto"/>
        </w:rPr>
      </w:pPr>
      <w:r>
        <w:rPr>
          <w:rFonts w:ascii="Arial" w:cs="Arial" w:eastAsia="Arial" w:hAnsi="Arial"/>
          <w:sz w:val="13"/>
          <w:szCs w:val="13"/>
          <w:color w:val="auto"/>
        </w:rPr>
        <w:t>Obtaining coverage and reimbursement of a product from a government or other third- party payor is a time-consuming and costly process that could require us to provide to the payor supporting scientific, clinical and cost-effectiveness data for the use of our products. Third-party payors could require us to conduct additional studies, including post -marketing studies related to the cost effectiveness of a product, to qualify for reimbursement, which could be costly and divert our resources. Even if we obtain coverage for a given product, if the resulting reimbursement rates are insufficient, hospitals may not approve our product for use in their facility or third-party payors may require co-payments that patients find unacceptably high. Patients are unlikely to use our product candidates unless coverage is provided and reimbursement is adequate to cover a significant</w:t>
      </w:r>
    </w:p>
    <w:p>
      <w:pPr>
        <w:sectPr>
          <w:pgSz w:w="11900" w:h="16840" w:orient="portrait"/>
          <w:cols w:equalWidth="0" w:num="1">
            <w:col w:w="9020"/>
          </w:cols>
          <w:pgMar w:left="1440" w:top="1200" w:right="1440" w:bottom="21" w:gutter="0" w:footer="0" w:header="0"/>
        </w:sectPr>
      </w:pPr>
    </w:p>
    <w:bookmarkStart w:id="14" w:name="page15"/>
    <w:bookmarkEnd w:id="14"/>
    <w:p>
      <w:pPr>
        <w:ind w:left="380" w:right="2140"/>
        <w:spacing w:after="0" w:line="213" w:lineRule="auto"/>
        <w:rPr>
          <w:sz w:val="20"/>
          <w:szCs w:val="20"/>
          <w:color w:val="auto"/>
        </w:rPr>
      </w:pPr>
      <w:r>
        <w:rPr>
          <w:rFonts w:ascii="Arial" w:cs="Arial" w:eastAsia="Arial" w:hAnsi="Arial"/>
          <w:sz w:val="13"/>
          <w:szCs w:val="13"/>
          <w:color w:val="auto"/>
        </w:rPr>
        <w:t>portion of the cost of our product candidates. Separate reimbursement for the product itself may or may not be available. Instead, the hospital or administering physician may be reimbursed only for providing the treatment or procedure in which our product is used. Further, from time to time, CMS revises the reimbursement systems used to reimburse healthcare providers, including the Medicare Physician Fee Schedule and Outpatient Prospective Payment System, which may result in reduced Medicare payments. In some cases, private third-party payors rely on all or portions of Medicare payment systems to determine payment rates. Changes to government healthcare programs that reduce payments under these programs may negatively impact payments from private third-party payors, and reduce the willingness of physicians to use our product candidates.</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In the United States, no uniform policy of coverage and reimbursement for products exists among third-party payors. Therefore, coverage and reimbursement for products can differ significantly from payor to payor.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3" w:lineRule="exact"/>
        <w:rPr>
          <w:sz w:val="20"/>
          <w:szCs w:val="20"/>
          <w:color w:val="auto"/>
        </w:rPr>
      </w:pPr>
    </w:p>
    <w:p>
      <w:pPr>
        <w:ind w:left="380" w:right="2160"/>
        <w:spacing w:after="0" w:line="234" w:lineRule="auto"/>
        <w:rPr>
          <w:sz w:val="20"/>
          <w:szCs w:val="20"/>
          <w:color w:val="auto"/>
        </w:rPr>
      </w:pPr>
      <w:r>
        <w:rPr>
          <w:rFonts w:ascii="Arial" w:cs="Arial" w:eastAsia="Arial" w:hAnsi="Arial"/>
          <w:sz w:val="13"/>
          <w:szCs w:val="13"/>
          <w:color w:val="auto"/>
        </w:rPr>
        <w:t>We intend to seek approval to market our product candidates in the United States, the European Union and other selected jurisdictions. If we obtain approval for our product candidates in any particular jurisdiction, we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40"/>
        <w:spacing w:after="0" w:line="213" w:lineRule="auto"/>
        <w:rPr>
          <w:sz w:val="20"/>
          <w:szCs w:val="20"/>
          <w:color w:val="auto"/>
        </w:rPr>
      </w:pPr>
      <w:r>
        <w:rPr>
          <w:rFonts w:ascii="Arial" w:cs="Arial" w:eastAsia="Arial" w:hAnsi="Arial"/>
          <w:sz w:val="13"/>
          <w:szCs w:val="13"/>
          <w:color w:val="auto"/>
        </w:rPr>
        <w:t>be subject to rules and regulations in that jurisdiction. In some countries, particularly those in Europe, the pricing of biologics is subject to governmental control. In these countries, pricing negotiations with governmental authorities can take considerable time after obtaining marketing approval of a product candidate.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has become very intense. As a result, increasingly high barriers are being erected to the entry of new products into the marketplace. In addition, in some countries, cross-border imports from low-priced markets exert a commercial pressure on pricing within a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-751205</wp:posOffset>
            </wp:positionV>
            <wp:extent cx="523113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80"/>
        <w:spacing w:after="0" w:line="210" w:lineRule="auto"/>
        <w:rPr>
          <w:sz w:val="20"/>
          <w:szCs w:val="20"/>
          <w:color w:val="auto"/>
        </w:rPr>
      </w:pPr>
      <w:r>
        <w:rPr>
          <w:rFonts w:ascii="Arial" w:cs="Arial" w:eastAsia="Arial" w:hAnsi="Arial"/>
          <w:sz w:val="13"/>
          <w:szCs w:val="13"/>
          <w:color w:val="auto"/>
        </w:rPr>
        <w:t>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 coverage policies and third- 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4"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b w:val="1"/>
          <w:bCs w:val="1"/>
          <w:color w:val="005A64"/>
        </w:rPr>
        <w:t>The advancement of healthcare reform legislation and changes to the regulatory environment in the United States, the European Union and elsewhere may increase the difficulty and cost for us to obtain marketing approval of and commercialize any product candidates we or our collaborators develop and may adversely affect the prices for such product candidates.</w:t>
      </w:r>
    </w:p>
    <w:p>
      <w:pPr>
        <w:spacing w:after="0" w:line="2"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the ACA, was passed, which substantially changed the way health care is financed by both governmental and private insurers, and significantly impacted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promoted a new Medicare Part D coverage gap discount program. Considerable uncertainty remains regarding the implementation and impact of the ACA.</w:t>
      </w:r>
    </w:p>
    <w:p>
      <w:pPr>
        <w:spacing w:after="0" w:line="5"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In August 2022, the IRA was enacted, which sets forth meaningful changes to drug product reimbursement by Medicare. The IRA is anticipated to have significant effects on the pharmaceutical industry and may reduce the prices we can charge and reimbursement we can receive for our products in the United States, among other effects. Any reduction in reimbursement from Medicare resulting from the IRA or other legislative or policy changes or from other government programs may result in a similar reduction in payments from private payers. On August 16, 2024, the CMS announced the results of a first round of discounted prices effectively set by CMS under the IRA, applicable to ten products of other manufacturers; those discounted prices, set to take effect for calendar year 2026, were as high as 79% from 2023 list prices. Additional products will be discounted in future years. We cannot be sure whether additional legislative changes will be enacted, or the effect of forthcoming guidance implementing the IRA, or what the impact of such changes on our products and product candidates may be. Officials appointed by the new presidential administration to oversee the implementation of the IRA or other statutes may take a different approach, and the new administration and Congress could also pursue statutory changes to this or other programs, either of which could negatively affect our revenues.</w:t>
      </w:r>
    </w:p>
    <w:p>
      <w:pPr>
        <w:spacing w:after="0" w:line="8" w:lineRule="exact"/>
        <w:rPr>
          <w:sz w:val="20"/>
          <w:szCs w:val="20"/>
          <w:color w:val="auto"/>
        </w:rPr>
      </w:pPr>
    </w:p>
    <w:p>
      <w:pPr>
        <w:ind w:left="380" w:right="2140"/>
        <w:spacing w:after="0" w:line="216" w:lineRule="auto"/>
        <w:rPr>
          <w:sz w:val="20"/>
          <w:szCs w:val="20"/>
          <w:color w:val="auto"/>
        </w:rPr>
      </w:pPr>
      <w:r>
        <w:rPr>
          <w:rFonts w:ascii="Arial" w:cs="Arial" w:eastAsia="Arial" w:hAnsi="Arial"/>
          <w:sz w:val="13"/>
          <w:szCs w:val="13"/>
          <w:color w:val="auto"/>
        </w:rPr>
        <w:t>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ectPr>
          <w:pgSz w:w="11900" w:h="16840" w:orient="portrait"/>
          <w:cols w:equalWidth="0" w:num="1">
            <w:col w:w="9020"/>
          </w:cols>
          <w:pgMar w:left="1440" w:top="560" w:right="1440"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2" w:lineRule="auto"/>
        <w:rPr>
          <w:sz w:val="20"/>
          <w:szCs w:val="20"/>
          <w:color w:val="auto"/>
        </w:rPr>
      </w:pPr>
      <w:r>
        <w:rPr>
          <w:rFonts w:ascii="Arial" w:cs="Arial" w:eastAsia="Arial" w:hAnsi="Arial"/>
          <w:sz w:val="13"/>
          <w:szCs w:val="13"/>
          <w:color w:val="auto"/>
        </w:rPr>
        <w:t>We expect that additional healthcare reform measures or proposals will be adopted in the future, any of which could limit the amounts that governments will pay for healthcare products and services, including public health measures, which could result in reduced demand for our products and product candidates or additional pricing pressures. In the event that the pricing structures for healthcare products, such as the product candidates we are developing, change materially and limit payments for such product candidates, our business will be adversely impacted as our products may no longer be commercially viable based on their expected net present value; we may have invested significant resources in product candidates that cannot be commercially developed; or we may determine that assets that have reached an early phase of development cannot or will not be taken into further development, notwithstanding their clinical viability. In addition, development assets or clinical programs that are part of our collaborations may no longer be deemed commercially viable to pursue based on our collaborators’ assessments of the impact of any proposed, announced, or legislated pricing reforms.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-915670</wp:posOffset>
            </wp:positionV>
            <wp:extent cx="523113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40"/>
        <w:spacing w:after="0" w:line="210" w:lineRule="auto"/>
        <w:rPr>
          <w:sz w:val="20"/>
          <w:szCs w:val="20"/>
          <w:color w:val="auto"/>
        </w:rPr>
      </w:pPr>
      <w:r>
        <w:rPr>
          <w:rFonts w:ascii="Arial" w:cs="Arial" w:eastAsia="Arial" w:hAnsi="Arial"/>
          <w:sz w:val="13"/>
          <w:szCs w:val="13"/>
          <w:color w:val="auto"/>
        </w:rPr>
        <w:t>We cannot predict what healthcare reform initiatives may be adopted in the future. Further legislative and regulatory developments are likely, and we expect ongoing initiatives to increase pressure on drug pricing. Such reforms could have an adverse effect on anticipated revenues from our approved products and from product candidates that we may successfully develop and for which we may obtain regulatory approval, and may affect our overall financial condition and ability to develop product candidates.</w:t>
      </w:r>
    </w:p>
    <w:p>
      <w:pPr>
        <w:spacing w:after="0" w:line="3"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b w:val="1"/>
          <w:bCs w:val="1"/>
          <w:color w:val="005A64"/>
        </w:rPr>
        <w:t>Drug marketing and reimbursement regulations in the European Union and elsewhere may materially affect our ability to market and receive coverage for our products in the member states of the European Union and elsewhere.</w:t>
      </w:r>
    </w:p>
    <w:p>
      <w:pPr>
        <w:spacing w:after="0" w:line="2"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Our COVID-19 vaccine is currently approved in the United States, the European Union, and other jurisdictions, and we intend to seek approval to market other product candidates in the United States, the European Union and other selected jurisdictions. If we obtain approval for our products or product candidates in a particular jurisdiction, we will be subject to rules and regulations in that jurisdiction. In some countries, particularly those in the European Union, the pricing of biologics is subject to governmental control and other market regulations that could put pressure on the pricing and usage of our products or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spacing w:after="0" w:line="6"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In addition, in most countries outside the United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member states and parallel distribution, or arbitrage between low- 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 in the European Union.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by us or our collaborators and the potential profitability of any of our product candidates in those countries would be negatively affected.</w:t>
      </w:r>
    </w:p>
    <w:p>
      <w:pPr>
        <w:spacing w:after="0" w:line="11" w:lineRule="exact"/>
        <w:rPr>
          <w:sz w:val="20"/>
          <w:szCs w:val="20"/>
          <w:color w:val="auto"/>
        </w:rPr>
      </w:pPr>
    </w:p>
    <w:p>
      <w:pPr>
        <w:ind w:left="380" w:right="2140"/>
        <w:spacing w:after="0"/>
        <w:rPr>
          <w:sz w:val="20"/>
          <w:szCs w:val="20"/>
          <w:color w:val="auto"/>
        </w:rPr>
      </w:pPr>
      <w:r>
        <w:rPr>
          <w:rFonts w:ascii="Arial" w:cs="Arial" w:eastAsia="Arial" w:hAnsi="Arial"/>
          <w:sz w:val="13"/>
          <w:szCs w:val="13"/>
          <w:b w:val="1"/>
          <w:bCs w:val="1"/>
          <w:color w:val="005A64"/>
        </w:rPr>
        <w:t>Risks Related to our Financial Condition and Capital Requirements Long-term sustainable profitability is difficult to achieve and maintain over time and is highly dependent on various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2" w:lineRule="auto"/>
        <w:rPr>
          <w:sz w:val="20"/>
          <w:szCs w:val="20"/>
          <w:color w:val="auto"/>
        </w:rPr>
      </w:pPr>
      <w:r>
        <w:rPr>
          <w:rFonts w:ascii="Arial" w:cs="Arial" w:eastAsia="Arial" w:hAnsi="Arial"/>
          <w:sz w:val="13"/>
          <w:szCs w:val="13"/>
          <w:color w:val="auto"/>
        </w:rPr>
        <w:t>Our ability to continue to generate revenues and achieve and maintain long- term sustainable profitability depends on our ability, alone or with collaborators, to successfully complete the development of, and obtain the regulatory approvals necessary to commercialize, our product candidates. We continue to generate revenues from sales of our COVID-19 vaccine and additional limited revenues from other transactions. While we expect to maintain revenue from ongoing COVID-19 vaccine sales, future demand for COVID -19 vaccination is subject to uncertainty. Although we anticipate COVID-19 vaccination rates to remain relatively stable in the near term, variations driven by factors such as new virus variants, regional policy changes, and public health measures may impact long- term demand. Consequently, our revenue projections are influenced by this inherent unpredictability. The amount of long- term revenue from such sales, including the sales of our COVID -19 vaccine, is uncertain at this time. Our ability to generate future revenues from pharmaceutical product sales and sales of our other products and services depends heavily on our success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-915670</wp:posOffset>
            </wp:positionV>
            <wp:extent cx="523113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8" w:lineRule="auto"/>
        <w:rPr>
          <w:sz w:val="20"/>
          <w:szCs w:val="20"/>
          <w:color w:val="auto"/>
        </w:rPr>
      </w:pPr>
      <w:r>
        <w:rPr>
          <w:rFonts w:ascii="Arial" w:cs="Arial" w:eastAsia="Arial" w:hAnsi="Arial"/>
          <w:sz w:val="13"/>
          <w:szCs w:val="13"/>
          <w:color w:val="auto"/>
        </w:rPr>
        <w:t>•completing research and preclinical and clinical development of our product candidates;</w:t>
      </w:r>
    </w:p>
    <w:p>
      <w:pPr>
        <w:ind w:left="380" w:right="2880"/>
        <w:spacing w:after="0" w:line="210" w:lineRule="auto"/>
        <w:rPr>
          <w:sz w:val="20"/>
          <w:szCs w:val="20"/>
          <w:color w:val="auto"/>
        </w:rPr>
      </w:pPr>
      <w:r>
        <w:rPr>
          <w:rFonts w:ascii="Arial" w:cs="Arial" w:eastAsia="Arial" w:hAnsi="Arial"/>
          <w:sz w:val="13"/>
          <w:szCs w:val="13"/>
          <w:color w:val="auto"/>
        </w:rPr>
        <w:t>•seeking and obtaining U.S. and non-U.S. marketing approvals for product candidates for which we complete clinical trials;</w:t>
      </w:r>
    </w:p>
    <w:p>
      <w:pPr>
        <w:spacing w:after="0" w:line="1" w:lineRule="exact"/>
        <w:rPr>
          <w:sz w:val="20"/>
          <w:szCs w:val="20"/>
          <w:color w:val="auto"/>
        </w:rPr>
      </w:pPr>
    </w:p>
    <w:p>
      <w:pPr>
        <w:ind w:left="380" w:right="2760"/>
        <w:spacing w:after="0" w:line="210" w:lineRule="auto"/>
        <w:rPr>
          <w:sz w:val="20"/>
          <w:szCs w:val="20"/>
          <w:color w:val="auto"/>
        </w:rPr>
      </w:pPr>
      <w:r>
        <w:rPr>
          <w:rFonts w:ascii="Arial" w:cs="Arial" w:eastAsia="Arial" w:hAnsi="Arial"/>
          <w:sz w:val="13"/>
          <w:szCs w:val="13"/>
          <w:color w:val="auto"/>
        </w:rPr>
        <w:t>•seeking and obtaining market access and favorable pricing terms in the United States, the European Union, and other key geographies;</w:t>
      </w:r>
    </w:p>
    <w:p>
      <w:pPr>
        <w:spacing w:after="0" w:line="1" w:lineRule="exact"/>
        <w:rPr>
          <w:sz w:val="20"/>
          <w:szCs w:val="20"/>
          <w:color w:val="auto"/>
        </w:rPr>
      </w:pPr>
    </w:p>
    <w:p>
      <w:pPr>
        <w:ind w:left="380" w:right="2660"/>
        <w:spacing w:after="0" w:line="210" w:lineRule="auto"/>
        <w:rPr>
          <w:sz w:val="20"/>
          <w:szCs w:val="20"/>
          <w:color w:val="auto"/>
        </w:rPr>
      </w:pPr>
      <w:r>
        <w:rPr>
          <w:rFonts w:ascii="Arial" w:cs="Arial" w:eastAsia="Arial" w:hAnsi="Arial"/>
          <w:sz w:val="13"/>
          <w:szCs w:val="13"/>
          <w:color w:val="auto"/>
        </w:rPr>
        <w:t>•furthering the development of our own manufacturing capabilities and manufacturing relationships with third parties in order to provide adequate (in amount and quality) products and services to support clinical development and the market demand for our approved products and product candidates, if approved;</w:t>
      </w:r>
    </w:p>
    <w:p>
      <w:pPr>
        <w:spacing w:after="0" w:line="2" w:lineRule="exact"/>
        <w:rPr>
          <w:sz w:val="20"/>
          <w:szCs w:val="20"/>
          <w:color w:val="auto"/>
        </w:rPr>
      </w:pPr>
    </w:p>
    <w:p>
      <w:pPr>
        <w:jc w:val="both"/>
        <w:ind w:left="380" w:right="2700"/>
        <w:spacing w:after="0" w:line="234" w:lineRule="auto"/>
        <w:rPr>
          <w:sz w:val="20"/>
          <w:szCs w:val="20"/>
          <w:color w:val="auto"/>
        </w:rPr>
      </w:pPr>
      <w:r>
        <w:rPr>
          <w:rFonts w:ascii="Arial" w:cs="Arial" w:eastAsia="Arial" w:hAnsi="Arial"/>
          <w:sz w:val="13"/>
          <w:szCs w:val="13"/>
          <w:color w:val="auto"/>
        </w:rPr>
        <w:t>•obtaining market acceptance of our approved products and product candidates as a treatment option; •launching and commercializing products for which we obtain marketing approval and reimbursement,</w:t>
      </w:r>
    </w:p>
    <w:p>
      <w:pPr>
        <w:sectPr>
          <w:pgSz w:w="11900" w:h="16840" w:orient="portrait"/>
          <w:cols w:equalWidth="0" w:num="1">
            <w:col w:w="9020"/>
          </w:cols>
          <w:pgMar w:left="1440" w:top="1440" w:right="1440" w:bottom="7" w:gutter="0" w:footer="0" w:header="0"/>
        </w:sectPr>
      </w:pPr>
    </w:p>
    <w:bookmarkStart w:id="16" w:name="page17"/>
    <w:bookmarkEnd w:id="16"/>
    <w:p>
      <w:pPr>
        <w:ind w:left="380" w:right="2640"/>
        <w:spacing w:after="0" w:line="220" w:lineRule="auto"/>
        <w:rPr>
          <w:sz w:val="20"/>
          <w:szCs w:val="20"/>
          <w:color w:val="auto"/>
        </w:rPr>
      </w:pPr>
      <w:r>
        <w:rPr>
          <w:rFonts w:ascii="Arial" w:cs="Arial" w:eastAsia="Arial" w:hAnsi="Arial"/>
          <w:sz w:val="13"/>
          <w:szCs w:val="13"/>
          <w:color w:val="auto"/>
        </w:rPr>
        <w:t>either through collaborations or, if launched independently, by establishing a sales force, marketing and distribution infrastructure;</w:t>
      </w:r>
    </w:p>
    <w:p>
      <w:pPr>
        <w:spacing w:after="0" w:line="1" w:lineRule="exact"/>
        <w:rPr>
          <w:sz w:val="20"/>
          <w:szCs w:val="20"/>
          <w:color w:val="auto"/>
        </w:rPr>
      </w:pPr>
    </w:p>
    <w:p>
      <w:pPr>
        <w:ind w:left="380" w:right="2660"/>
        <w:spacing w:after="0" w:line="210" w:lineRule="auto"/>
        <w:rPr>
          <w:sz w:val="20"/>
          <w:szCs w:val="20"/>
          <w:color w:val="auto"/>
        </w:rPr>
      </w:pPr>
      <w:r>
        <w:rPr>
          <w:rFonts w:ascii="Arial" w:cs="Arial" w:eastAsia="Arial" w:hAnsi="Arial"/>
          <w:sz w:val="13"/>
          <w:szCs w:val="13"/>
          <w:color w:val="auto"/>
        </w:rPr>
        <w:t>•addressing any competing technological and market developments, in particular, declining demand for any of our approved products;</w:t>
      </w:r>
    </w:p>
    <w:p>
      <w:pPr>
        <w:ind w:left="380"/>
        <w:spacing w:after="0" w:line="212" w:lineRule="auto"/>
        <w:rPr>
          <w:sz w:val="20"/>
          <w:szCs w:val="20"/>
          <w:color w:val="auto"/>
        </w:rPr>
      </w:pPr>
      <w:r>
        <w:rPr>
          <w:rFonts w:ascii="Arial" w:cs="Arial" w:eastAsia="Arial" w:hAnsi="Arial"/>
          <w:sz w:val="13"/>
          <w:szCs w:val="13"/>
          <w:color w:val="auto"/>
        </w:rPr>
        <w:t>•implementing additional internal systems and infrastructure;</w:t>
      </w:r>
    </w:p>
    <w:p>
      <w:pPr>
        <w:spacing w:after="0" w:line="1" w:lineRule="exact"/>
        <w:rPr>
          <w:sz w:val="20"/>
          <w:szCs w:val="20"/>
          <w:color w:val="auto"/>
        </w:rPr>
      </w:pPr>
    </w:p>
    <w:p>
      <w:pPr>
        <w:ind w:left="380" w:right="2800"/>
        <w:spacing w:after="0" w:line="210" w:lineRule="auto"/>
        <w:rPr>
          <w:sz w:val="20"/>
          <w:szCs w:val="20"/>
          <w:color w:val="auto"/>
        </w:rPr>
      </w:pPr>
      <w:r>
        <w:rPr>
          <w:rFonts w:ascii="Arial" w:cs="Arial" w:eastAsia="Arial" w:hAnsi="Arial"/>
          <w:sz w:val="13"/>
          <w:szCs w:val="13"/>
          <w:color w:val="auto"/>
        </w:rPr>
        <w:t>•negotiating favorable terms in any collaboration, licensing or other arrangements into which we may enter;</w:t>
      </w:r>
    </w:p>
    <w:p>
      <w:pPr>
        <w:ind w:left="380"/>
        <w:spacing w:after="0" w:line="212" w:lineRule="auto"/>
        <w:rPr>
          <w:sz w:val="20"/>
          <w:szCs w:val="20"/>
          <w:color w:val="auto"/>
        </w:rPr>
      </w:pPr>
      <w:r>
        <w:rPr>
          <w:rFonts w:ascii="Arial" w:cs="Arial" w:eastAsia="Arial" w:hAnsi="Arial"/>
          <w:sz w:val="13"/>
          <w:szCs w:val="13"/>
          <w:color w:val="auto"/>
        </w:rPr>
        <w:t>•managing our expenses;</w:t>
      </w:r>
    </w:p>
    <w:p>
      <w:pPr>
        <w:spacing w:after="0" w:line="1" w:lineRule="exact"/>
        <w:rPr>
          <w:sz w:val="20"/>
          <w:szCs w:val="20"/>
          <w:color w:val="auto"/>
        </w:rPr>
      </w:pPr>
    </w:p>
    <w:p>
      <w:pPr>
        <w:ind w:left="380" w:right="2660"/>
        <w:spacing w:after="0"/>
        <w:rPr>
          <w:sz w:val="20"/>
          <w:szCs w:val="20"/>
          <w:color w:val="auto"/>
        </w:rPr>
      </w:pPr>
      <w:r>
        <w:rPr>
          <w:rFonts w:ascii="Arial" w:cs="Arial" w:eastAsia="Arial" w:hAnsi="Arial"/>
          <w:sz w:val="13"/>
          <w:szCs w:val="13"/>
          <w:color w:val="auto"/>
        </w:rPr>
        <w:t>•maintaining, defending, protecting, enforcing and expanding our portfolio of intellectual property rights, including patents, trade secrets and know-how; and •attracting, hiring and retaining qualified personnel.</w:t>
      </w:r>
    </w:p>
    <w:p>
      <w:pPr>
        <w:spacing w:after="0" w:line="95"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Additionally, we have incurred significant costs associated with the commercialization of our COVID-19 vaccine. Our expenses could increase beyond our expectations if we are required by the FDA, the European Medicines Agency, or EMA, or other regulatory agencies to perform clinical and other trials or make changes to our manufacturing or quality systems in addition to those that we currently anticipate. Accordingly, such costs could adversely affect our future ability to achieve and maintain profitability.</w:t>
      </w:r>
    </w:p>
    <w:p>
      <w:pPr>
        <w:spacing w:after="0" w:line="3" w:lineRule="exact"/>
        <w:rPr>
          <w:sz w:val="20"/>
          <w:szCs w:val="20"/>
          <w:color w:val="auto"/>
        </w:rPr>
      </w:pPr>
    </w:p>
    <w:p>
      <w:pPr>
        <w:ind w:left="380" w:right="2180"/>
        <w:spacing w:after="0" w:line="229" w:lineRule="auto"/>
        <w:rPr>
          <w:sz w:val="20"/>
          <w:szCs w:val="20"/>
          <w:color w:val="auto"/>
        </w:rPr>
      </w:pPr>
      <w:r>
        <w:rPr>
          <w:rFonts w:ascii="Arial" w:cs="Arial" w:eastAsia="Arial" w:hAnsi="Arial"/>
          <w:sz w:val="13"/>
          <w:szCs w:val="13"/>
          <w:b w:val="1"/>
          <w:bCs w:val="1"/>
          <w:color w:val="005A64"/>
        </w:rPr>
        <w:t>Our operating results may fluctuate significantly, which makes our future operating results difficult to predict. If our operating results fall below expectations, the price of the ADSs representing our ordinary shares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480"/>
        <w:spacing w:after="0" w:line="220" w:lineRule="auto"/>
        <w:rPr>
          <w:sz w:val="20"/>
          <w:szCs w:val="20"/>
          <w:color w:val="auto"/>
        </w:rPr>
      </w:pPr>
      <w:r>
        <w:rPr>
          <w:rFonts w:ascii="Arial" w:cs="Arial" w:eastAsia="Arial" w:hAnsi="Arial"/>
          <w:sz w:val="13"/>
          <w:szCs w:val="13"/>
          <w:color w:val="auto"/>
        </w:rPr>
        <w:t>Our financial condition and operating results have varied in the past and will continue to fluctuate from one financial period to the next due to a variety of factors, many of which are beyond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40"/>
        <w:spacing w:after="0" w:line="210" w:lineRule="auto"/>
        <w:rPr>
          <w:sz w:val="20"/>
          <w:szCs w:val="20"/>
          <w:color w:val="auto"/>
        </w:rPr>
      </w:pPr>
      <w:r>
        <w:rPr>
          <w:rFonts w:ascii="Arial" w:cs="Arial" w:eastAsia="Arial" w:hAnsi="Arial"/>
          <w:sz w:val="13"/>
          <w:szCs w:val="13"/>
          <w:color w:val="auto"/>
        </w:rPr>
        <w:t>Factors relating to our business that may contribute to these fluctuations include the following, as well as other factors described elsewhere in this report:</w:t>
      </w:r>
    </w:p>
    <w:p>
      <w:pPr>
        <w:ind w:left="380"/>
        <w:spacing w:after="0" w:line="212" w:lineRule="auto"/>
        <w:rPr>
          <w:sz w:val="20"/>
          <w:szCs w:val="20"/>
          <w:color w:val="auto"/>
        </w:rPr>
      </w:pPr>
      <w:r>
        <w:rPr>
          <w:rFonts w:ascii="Arial" w:cs="Arial" w:eastAsia="Arial" w:hAnsi="Arial"/>
          <w:sz w:val="13"/>
          <w:szCs w:val="13"/>
          <w:color w:val="auto"/>
        </w:rPr>
        <w:t>•the size and timing of orders for our COVID-19 vaccine;</w:t>
      </w:r>
    </w:p>
    <w:p>
      <w:pPr>
        <w:spacing w:after="0" w:line="1" w:lineRule="exact"/>
        <w:rPr>
          <w:sz w:val="20"/>
          <w:szCs w:val="20"/>
          <w:color w:val="auto"/>
        </w:rPr>
      </w:pPr>
    </w:p>
    <w:p>
      <w:pPr>
        <w:ind w:left="380" w:right="2820"/>
        <w:spacing w:after="0" w:line="210" w:lineRule="auto"/>
        <w:rPr>
          <w:sz w:val="20"/>
          <w:szCs w:val="20"/>
          <w:color w:val="auto"/>
        </w:rPr>
      </w:pPr>
      <w:r>
        <w:rPr>
          <w:rFonts w:ascii="Arial" w:cs="Arial" w:eastAsia="Arial" w:hAnsi="Arial"/>
          <w:sz w:val="13"/>
          <w:szCs w:val="13"/>
          <w:color w:val="auto"/>
        </w:rPr>
        <w:t>•delays or failures in advancement of existing or future product candidates into the clinic or in clinical trials;</w:t>
      </w:r>
    </w:p>
    <w:p>
      <w:pPr>
        <w:ind w:left="380"/>
        <w:spacing w:after="0" w:line="212" w:lineRule="auto"/>
        <w:rPr>
          <w:sz w:val="20"/>
          <w:szCs w:val="20"/>
          <w:color w:val="auto"/>
        </w:rPr>
      </w:pPr>
      <w:r>
        <w:rPr>
          <w:rFonts w:ascii="Arial" w:cs="Arial" w:eastAsia="Arial" w:hAnsi="Arial"/>
          <w:sz w:val="13"/>
          <w:szCs w:val="13"/>
          <w:color w:val="auto"/>
        </w:rPr>
        <w:t>•the occurrence of adverse events during our clinical trials or post marketing authorization;</w:t>
      </w:r>
    </w:p>
    <w:p>
      <w:pPr>
        <w:spacing w:after="0" w:line="1"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•our ability to develop and manufacture our product candidates and commercialize and manufacture our COVID-19 vaccine and, if approved, our product candidates, at commercial scale, including risks associated with quality compliance, such as product design, manufacturing processes, supply chain management, and compliance with regulatory requirements; •our ability to manage our growth and spending;</w:t>
      </w:r>
    </w:p>
    <w:p>
      <w:pPr>
        <w:ind w:left="380"/>
        <w:spacing w:after="0" w:line="215" w:lineRule="auto"/>
        <w:rPr>
          <w:sz w:val="20"/>
          <w:szCs w:val="20"/>
          <w:color w:val="auto"/>
        </w:rPr>
      </w:pPr>
      <w:r>
        <w:rPr>
          <w:rFonts w:ascii="Arial" w:cs="Arial" w:eastAsia="Arial" w:hAnsi="Arial"/>
          <w:sz w:val="13"/>
          <w:szCs w:val="13"/>
          <w:color w:val="auto"/>
        </w:rPr>
        <w:t>•our ability to execute our corporate objectives;</w:t>
      </w:r>
    </w:p>
    <w:p>
      <w:pPr>
        <w:ind w:left="380" w:right="2560"/>
        <w:spacing w:after="0" w:line="210" w:lineRule="auto"/>
        <w:rPr>
          <w:sz w:val="20"/>
          <w:szCs w:val="20"/>
          <w:color w:val="auto"/>
        </w:rPr>
      </w:pPr>
      <w:r>
        <w:rPr>
          <w:rFonts w:ascii="Arial" w:cs="Arial" w:eastAsia="Arial" w:hAnsi="Arial"/>
          <w:sz w:val="13"/>
          <w:szCs w:val="13"/>
          <w:color w:val="auto"/>
        </w:rPr>
        <w:t>•strategic decisions related to portfolio prioritization, which may result in certain potential one-time effects and charges and other material adverse effects on our financial condition and results of operations; •the outcomes of research programs, clinical trials, or other product development or approval processes conducted by us and our collaborators;</w:t>
      </w:r>
    </w:p>
    <w:p>
      <w:pPr>
        <w:spacing w:after="0" w:line="2" w:lineRule="exact"/>
        <w:rPr>
          <w:sz w:val="20"/>
          <w:szCs w:val="20"/>
          <w:color w:val="auto"/>
        </w:rPr>
      </w:pPr>
    </w:p>
    <w:p>
      <w:pPr>
        <w:ind w:left="380" w:right="2640"/>
        <w:spacing w:after="0" w:line="210" w:lineRule="auto"/>
        <w:rPr>
          <w:sz w:val="20"/>
          <w:szCs w:val="20"/>
          <w:color w:val="auto"/>
        </w:rPr>
      </w:pPr>
      <w:r>
        <w:rPr>
          <w:rFonts w:ascii="Arial" w:cs="Arial" w:eastAsia="Arial" w:hAnsi="Arial"/>
          <w:sz w:val="13"/>
          <w:szCs w:val="13"/>
          <w:color w:val="auto"/>
        </w:rPr>
        <w:t>•the ability of our collaborators to develop and successfully commercialize products developed from our suite of therapeutic classes;</w:t>
      </w:r>
    </w:p>
    <w:p>
      <w:pPr>
        <w:ind w:left="380"/>
        <w:spacing w:after="0" w:line="212" w:lineRule="auto"/>
        <w:rPr>
          <w:sz w:val="20"/>
          <w:szCs w:val="20"/>
          <w:color w:val="auto"/>
        </w:rPr>
      </w:pPr>
      <w:r>
        <w:rPr>
          <w:rFonts w:ascii="Arial" w:cs="Arial" w:eastAsia="Arial" w:hAnsi="Arial"/>
          <w:sz w:val="13"/>
          <w:szCs w:val="13"/>
          <w:color w:val="auto"/>
        </w:rPr>
        <w:t>•our relationships, and any associated exclusivity terms, with collaborators;</w:t>
      </w:r>
    </w:p>
    <w:p>
      <w:pPr>
        <w:spacing w:after="0" w:line="1"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•our contractual or other obligations to provide resources to fund our product candidates, and to provide resources to our collaborators or to the collaborations themselves, including take-or-pay or similar obligations;</w:t>
      </w:r>
    </w:p>
    <w:p>
      <w:pPr>
        <w:spacing w:after="0" w:line="2" w:lineRule="exact"/>
        <w:rPr>
          <w:sz w:val="20"/>
          <w:szCs w:val="20"/>
          <w:color w:val="auto"/>
        </w:rPr>
      </w:pPr>
    </w:p>
    <w:p>
      <w:pPr>
        <w:ind w:left="380" w:right="2660"/>
        <w:spacing w:after="0" w:line="210" w:lineRule="auto"/>
        <w:rPr>
          <w:sz w:val="20"/>
          <w:szCs w:val="20"/>
          <w:color w:val="auto"/>
        </w:rPr>
      </w:pPr>
      <w:r>
        <w:rPr>
          <w:rFonts w:ascii="Arial" w:cs="Arial" w:eastAsia="Arial" w:hAnsi="Arial"/>
          <w:sz w:val="13"/>
          <w:szCs w:val="13"/>
          <w:color w:val="auto"/>
        </w:rPr>
        <w:t>•the extent to which we repurchase outstanding ADSs under any share repurchase plans we may enter into in the future;</w:t>
      </w:r>
    </w:p>
    <w:p>
      <w:pPr>
        <w:spacing w:after="0" w:line="1" w:lineRule="exact"/>
        <w:rPr>
          <w:sz w:val="20"/>
          <w:szCs w:val="20"/>
          <w:color w:val="auto"/>
        </w:rPr>
      </w:pPr>
    </w:p>
    <w:p>
      <w:pPr>
        <w:ind w:left="380" w:right="2660"/>
        <w:spacing w:after="0" w:line="210" w:lineRule="auto"/>
        <w:rPr>
          <w:sz w:val="20"/>
          <w:szCs w:val="20"/>
          <w:color w:val="auto"/>
        </w:rPr>
      </w:pPr>
      <w:r>
        <w:rPr>
          <w:rFonts w:ascii="Arial" w:cs="Arial" w:eastAsia="Arial" w:hAnsi="Arial"/>
          <w:sz w:val="13"/>
          <w:szCs w:val="13"/>
          <w:color w:val="auto"/>
        </w:rPr>
        <w:t>•risks associated with the international aspects of our business, including the conduct of clinical trials in multiple locations, and the risks associated with potential international commercialization, including regulatory approval, market competition, public sentiment and consumer demand, supply chain disruptions, and changes to the law and regulatory policy in different jurisdictions, such as the United States;</w:t>
      </w:r>
    </w:p>
    <w:p>
      <w:pPr>
        <w:spacing w:after="0" w:line="3" w:lineRule="exact"/>
        <w:rPr>
          <w:sz w:val="20"/>
          <w:szCs w:val="20"/>
          <w:color w:val="auto"/>
        </w:rPr>
      </w:pPr>
    </w:p>
    <w:p>
      <w:pPr>
        <w:ind w:left="380" w:right="2740"/>
        <w:spacing w:after="0" w:line="210" w:lineRule="auto"/>
        <w:rPr>
          <w:sz w:val="20"/>
          <w:szCs w:val="20"/>
          <w:color w:val="auto"/>
        </w:rPr>
      </w:pPr>
      <w:r>
        <w:rPr>
          <w:rFonts w:ascii="Arial" w:cs="Arial" w:eastAsia="Arial" w:hAnsi="Arial"/>
          <w:sz w:val="13"/>
          <w:szCs w:val="13"/>
          <w:color w:val="auto"/>
        </w:rPr>
        <w:t>•our ability to minimize and manage product recalls or inventory losses caused by unforeseen events, cold chain interruption, testing difficulties or decreased demand, and our ability to write down certain inventory;</w:t>
      </w:r>
    </w:p>
    <w:p>
      <w:pPr>
        <w:ind w:left="380"/>
        <w:spacing w:after="0" w:line="213" w:lineRule="auto"/>
        <w:rPr>
          <w:sz w:val="20"/>
          <w:szCs w:val="20"/>
          <w:color w:val="auto"/>
        </w:rPr>
      </w:pPr>
      <w:r>
        <w:rPr>
          <w:rFonts w:ascii="Arial" w:cs="Arial" w:eastAsia="Arial" w:hAnsi="Arial"/>
          <w:sz w:val="13"/>
          <w:szCs w:val="13"/>
          <w:color w:val="auto"/>
        </w:rPr>
        <w:t>•our ability to report our financial results accurately and in a timely manner;</w:t>
      </w:r>
    </w:p>
    <w:p>
      <w:pPr>
        <w:spacing w:after="0" w:line="1" w:lineRule="exact"/>
        <w:rPr>
          <w:sz w:val="20"/>
          <w:szCs w:val="20"/>
          <w:color w:val="auto"/>
        </w:rPr>
      </w:pPr>
    </w:p>
    <w:p>
      <w:pPr>
        <w:ind w:left="380" w:right="3120"/>
        <w:spacing w:after="0" w:line="234" w:lineRule="auto"/>
        <w:rPr>
          <w:sz w:val="20"/>
          <w:szCs w:val="20"/>
          <w:color w:val="auto"/>
        </w:rPr>
      </w:pPr>
      <w:r>
        <w:rPr>
          <w:rFonts w:ascii="Arial" w:cs="Arial" w:eastAsia="Arial" w:hAnsi="Arial"/>
          <w:sz w:val="13"/>
          <w:szCs w:val="13"/>
          <w:color w:val="auto"/>
        </w:rPr>
        <w:t>•our dependence on, and the need to attract and retain, key management and other personnel; •our ability to obtain, protect, maintain, defend and enforce our intellectual property rights;</w:t>
      </w:r>
    </w:p>
    <w:p>
      <w:pPr>
        <w:sectPr>
          <w:pgSz w:w="11900" w:h="16840" w:orient="portrait"/>
          <w:cols w:equalWidth="0" w:num="1">
            <w:col w:w="9020"/>
          </w:cols>
          <w:pgMar w:left="1440" w:top="560" w:right="1440"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900"/>
        <w:spacing w:after="0" w:line="220" w:lineRule="auto"/>
        <w:rPr>
          <w:sz w:val="20"/>
          <w:szCs w:val="20"/>
          <w:color w:val="auto"/>
        </w:rPr>
      </w:pPr>
      <w:r>
        <w:rPr>
          <w:rFonts w:ascii="Arial" w:cs="Arial" w:eastAsia="Arial" w:hAnsi="Arial"/>
          <w:sz w:val="13"/>
          <w:szCs w:val="13"/>
          <w:color w:val="auto"/>
        </w:rPr>
        <w:t>•our ability to prevent the theft or infringement, misappropriation or other violation of our intellectual property, trade secrets, know-how or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jc w:val="both"/>
        <w:ind w:left="380" w:right="2840"/>
        <w:spacing w:after="0" w:line="210" w:lineRule="auto"/>
        <w:rPr>
          <w:sz w:val="20"/>
          <w:szCs w:val="20"/>
          <w:color w:val="auto"/>
        </w:rPr>
      </w:pPr>
      <w:r>
        <w:rPr>
          <w:rFonts w:ascii="Arial" w:cs="Arial" w:eastAsia="Arial" w:hAnsi="Arial"/>
          <w:sz w:val="13"/>
          <w:szCs w:val="13"/>
          <w:color w:val="auto"/>
        </w:rPr>
        <w:t>•our and our collaborators’ ability to defend against claims of infringement of the intellectual property rights of third parties;</w:t>
      </w:r>
    </w:p>
    <w:p>
      <w:pPr>
        <w:spacing w:after="0" w:line="1" w:lineRule="exact"/>
        <w:rPr>
          <w:sz w:val="20"/>
          <w:szCs w:val="20"/>
          <w:color w:val="auto"/>
        </w:rPr>
      </w:pPr>
    </w:p>
    <w:p>
      <w:pPr>
        <w:jc w:val="both"/>
        <w:ind w:left="380" w:right="2840"/>
        <w:spacing w:after="0" w:line="210" w:lineRule="auto"/>
        <w:rPr>
          <w:sz w:val="20"/>
          <w:szCs w:val="20"/>
          <w:color w:val="auto"/>
        </w:rPr>
      </w:pPr>
      <w:r>
        <w:rPr>
          <w:rFonts w:ascii="Arial" w:cs="Arial" w:eastAsia="Arial" w:hAnsi="Arial"/>
          <w:sz w:val="13"/>
          <w:szCs w:val="13"/>
          <w:color w:val="auto"/>
        </w:rPr>
        <w:t>•potential advantages that our competitors and potential competitors may have in securing funding, obtaining the rights to critical intellectual property or developing competing technologies or products; •our ability to obtain additional capital that may be necessary to expand our business;</w:t>
      </w:r>
    </w:p>
    <w:p>
      <w:pPr>
        <w:spacing w:after="0" w:line="2" w:lineRule="exact"/>
        <w:rPr>
          <w:sz w:val="20"/>
          <w:szCs w:val="20"/>
          <w:color w:val="auto"/>
        </w:rPr>
      </w:pPr>
    </w:p>
    <w:p>
      <w:pPr>
        <w:ind w:left="380" w:right="2720"/>
        <w:spacing w:after="0" w:line="210" w:lineRule="auto"/>
        <w:rPr>
          <w:sz w:val="20"/>
          <w:szCs w:val="20"/>
          <w:color w:val="auto"/>
        </w:rPr>
      </w:pPr>
      <w:r>
        <w:rPr>
          <w:rFonts w:ascii="Arial" w:cs="Arial" w:eastAsia="Arial" w:hAnsi="Arial"/>
          <w:sz w:val="13"/>
          <w:szCs w:val="13"/>
          <w:color w:val="auto"/>
        </w:rPr>
        <w:t>•our collaborators’ ability to obtain and devote additional capital that may be necessary to develop and commercialize products under our collaboration agreements, including our COVID-19 vaccine;</w:t>
      </w:r>
    </w:p>
    <w:p>
      <w:pPr>
        <w:spacing w:after="0" w:line="1" w:lineRule="exact"/>
        <w:rPr>
          <w:sz w:val="20"/>
          <w:szCs w:val="20"/>
          <w:color w:val="auto"/>
        </w:rPr>
      </w:pPr>
    </w:p>
    <w:p>
      <w:pPr>
        <w:ind w:left="380" w:right="2560"/>
        <w:spacing w:after="0" w:line="210" w:lineRule="auto"/>
        <w:rPr>
          <w:sz w:val="20"/>
          <w:szCs w:val="20"/>
          <w:color w:val="auto"/>
        </w:rPr>
      </w:pPr>
      <w:r>
        <w:rPr>
          <w:rFonts w:ascii="Arial" w:cs="Arial" w:eastAsia="Arial" w:hAnsi="Arial"/>
          <w:sz w:val="13"/>
          <w:szCs w:val="13"/>
          <w:color w:val="auto"/>
        </w:rPr>
        <w:t>•our ability to minimize and manage product liability claims arising from the use of our COVID-19 vaccine and our product candidates and other future products, if approved;</w:t>
      </w:r>
    </w:p>
    <w:p>
      <w:pPr>
        <w:spacing w:after="0" w:line="1" w:lineRule="exact"/>
        <w:rPr>
          <w:sz w:val="20"/>
          <w:szCs w:val="20"/>
          <w:color w:val="auto"/>
        </w:rPr>
      </w:pPr>
    </w:p>
    <w:p>
      <w:pPr>
        <w:ind w:left="380" w:right="3260"/>
        <w:spacing w:after="0" w:line="210" w:lineRule="auto"/>
        <w:rPr>
          <w:sz w:val="20"/>
          <w:szCs w:val="20"/>
          <w:color w:val="auto"/>
        </w:rPr>
      </w:pPr>
      <w:r>
        <w:rPr>
          <w:rFonts w:ascii="Arial" w:cs="Arial" w:eastAsia="Arial" w:hAnsi="Arial"/>
          <w:sz w:val="13"/>
          <w:szCs w:val="13"/>
          <w:color w:val="auto"/>
        </w:rPr>
        <w:t>•business interruptions such as power outages, strikes, acts of terrorism or natural disasters; •our ability to use our net operating loss carryforwards to offset future taxable income; •risks of counterparty defaults within our asset management portfolio; and</w:t>
      </w:r>
    </w:p>
    <w:p>
      <w:pPr>
        <w:ind w:left="380"/>
        <w:spacing w:after="0" w:line="213" w:lineRule="auto"/>
        <w:rPr>
          <w:sz w:val="20"/>
          <w:szCs w:val="20"/>
          <w:color w:val="auto"/>
        </w:rPr>
      </w:pPr>
      <w:r>
        <w:rPr>
          <w:rFonts w:ascii="Arial" w:cs="Arial" w:eastAsia="Arial" w:hAnsi="Arial"/>
          <w:sz w:val="13"/>
          <w:szCs w:val="13"/>
          <w:color w:val="auto"/>
        </w:rPr>
        <w:t>•increased or unpredictable pricing for the commodities we rely on, including as a result of inflation.</w:t>
      </w:r>
    </w:p>
    <w:p>
      <w:pPr>
        <w:spacing w:after="0" w:line="1"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Each of the factors listed above may be affected by the changing impact of COVID-19 on the global community and the global economy.</w:t>
      </w:r>
    </w:p>
    <w:p>
      <w:pPr>
        <w:spacing w:after="0" w:line="1"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Due to the various factors mentioned above, and others, the results of any of our periods should not be relied upon as indications of our future operating performance. Our operating results may fluctuate significantly from one reporting period to the next, such that a period-to-period comparison of our results of operations may not be a good indication of our future performance.</w:t>
      </w:r>
    </w:p>
    <w:p>
      <w:pPr>
        <w:spacing w:after="0" w:line="2"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In any particular period, our operating results could be below the expectations of securities analysts or investors, which could cause the price of the ADSs to decline. While as a general matter we intend to periodically report on the status of our product candidate pipeline, including articulating anticipated next steps in the form of development plans or potential data readouts, we may not always be able to provide forward-looking guidance on the timing of those next steps. In addition, we do not control the timing of disclosures of any milestones related to any of our programs that are managed by our collaborators. Any disclosure by a collaborator of data that are perceived as negative, whether or not such data are related to other data that we or others release, may have a material adverse impact on the price of the ADSs or our overall valuation. The price of the ADSs may decline as a result of unexpected clinical trial results in one or more of our programs, including adverse safety events reported for any of our programs.</w:t>
      </w:r>
    </w:p>
    <w:p>
      <w:pPr>
        <w:spacing w:after="0" w:line="6"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b w:val="1"/>
          <w:bCs w:val="1"/>
          <w:color w:val="005A64"/>
        </w:rPr>
        <w:t xml:space="preserve">We have incurred significant losses in the past and we may incur significant losses in the future. </w:t>
      </w:r>
      <w:r>
        <w:rPr>
          <w:rFonts w:ascii="Arial" w:cs="Arial" w:eastAsia="Arial" w:hAnsi="Arial"/>
          <w:sz w:val="13"/>
          <w:szCs w:val="13"/>
          <w:color w:val="000000"/>
        </w:rPr>
        <w:t>Prior to the first full year of commercialization of our COVID-19 vaccine, and for the year ended December 31, 2024, we incurred significant losses due to our significant research and development expenses and our investment in our manufacturing capabilities, and funded our operations primarily from private placements or issuances of ordinary shares (including in the form of ADSs) in connection with our public offerings, generation of proceeds under our collaboration agreements, secured bank loans and issuance of a convertible note.</w:t>
      </w:r>
    </w:p>
    <w:p>
      <w:pPr>
        <w:spacing w:after="0" w:line="4" w:lineRule="exact"/>
        <w:rPr>
          <w:sz w:val="20"/>
          <w:szCs w:val="20"/>
          <w:color w:val="auto"/>
        </w:rPr>
      </w:pPr>
    </w:p>
    <w:p>
      <w:pPr>
        <w:ind w:left="380" w:right="2160"/>
        <w:spacing w:after="0" w:line="222" w:lineRule="auto"/>
        <w:rPr>
          <w:sz w:val="20"/>
          <w:szCs w:val="20"/>
          <w:color w:val="auto"/>
        </w:rPr>
      </w:pPr>
      <w:r>
        <w:rPr>
          <w:rFonts w:ascii="Arial" w:cs="Arial" w:eastAsia="Arial" w:hAnsi="Arial"/>
          <w:sz w:val="13"/>
          <w:szCs w:val="13"/>
          <w:color w:val="auto"/>
        </w:rPr>
        <w:t>We have experienced, and we expect to continue to experience, increasing reductions in demand for COVID-19 vaccination generally, including for our vaccine. We expect that future revenues from sales of our COVID- 19 vaccine will decrease as demand for vaccination wanes. We plan to continue to invest heavily in research and development as we make a strong drive to build out our global development organization and diversify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rPr>
          <w:sz w:val="20"/>
          <w:szCs w:val="20"/>
          <w:color w:val="auto"/>
        </w:rPr>
      </w:pPr>
      <w:r>
        <w:rPr>
          <w:rFonts w:ascii="Arial" w:cs="Arial" w:eastAsia="Arial" w:hAnsi="Arial"/>
          <w:sz w:val="13"/>
          <w:szCs w:val="13"/>
          <w:color w:val="auto"/>
        </w:rPr>
        <w:t>therapeutic area footprint. Additionally, we plan to enhance capabilities through complementary acquisitions, technologies, infrastructure and manufacturing. Even for those products for which we have obtained or may obtain regulatory approval or emergency use authorization, our future revenues will depend upon the size of any markets in which such products have received approval or authorization to market, our ability to achieve sufficient market acceptance, reimbursement from third-party payors, and adequate market share in those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-467995</wp:posOffset>
            </wp:positionV>
            <wp:extent cx="523113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pacing w:after="0" w:line="33"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If achieved, profitability is difficult to maintain over time and is highly dependent on various factors. Our future financial results will depend, in part, on the rate of our future expenditures, the extent to which we experience long-term success of our commercial products and our ability to obtain funding through revenue from commercial sales, equity or debt financings, sales of assets, collaborations or grants.</w:t>
      </w:r>
    </w:p>
    <w:p>
      <w:pPr>
        <w:spacing w:after="0" w:line="2"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As part of our capital allocation strategy, we expect to continue to incur significant and increasing operating expenses for the foreseeable future. We anticipate that our expenses will increase substantially if and as we and our collaborators:</w:t>
      </w:r>
    </w:p>
    <w:p>
      <w:pPr>
        <w:spacing w:after="0" w:line="2" w:lineRule="exact"/>
        <w:rPr>
          <w:sz w:val="20"/>
          <w:szCs w:val="20"/>
          <w:color w:val="auto"/>
        </w:rPr>
      </w:pPr>
    </w:p>
    <w:p>
      <w:pPr>
        <w:ind w:left="380" w:right="2720"/>
        <w:spacing w:after="0" w:line="234" w:lineRule="auto"/>
        <w:rPr>
          <w:sz w:val="20"/>
          <w:szCs w:val="20"/>
          <w:color w:val="auto"/>
        </w:rPr>
      </w:pPr>
      <w:r>
        <w:rPr>
          <w:rFonts w:ascii="Arial" w:cs="Arial" w:eastAsia="Arial" w:hAnsi="Arial"/>
          <w:sz w:val="13"/>
          <w:szCs w:val="13"/>
          <w:color w:val="auto"/>
        </w:rPr>
        <w:t>•continue, expand, or modify the research or development of our programs in preclinical development; •continue, expand, or modify the scope of our clinical trials for our product candidates;</w:t>
      </w:r>
    </w:p>
    <w:p>
      <w:pPr>
        <w:sectPr>
          <w:pgSz w:w="11900" w:h="16840" w:orient="portrait"/>
          <w:cols w:equalWidth="0" w:num="1">
            <w:col w:w="9020"/>
          </w:cols>
          <w:pgMar w:left="1440" w:top="1440" w:right="1440" w:bottom="0" w:gutter="0" w:footer="0" w:header="0"/>
        </w:sectPr>
      </w:pPr>
    </w:p>
    <w:bookmarkStart w:id="18" w:name="page19"/>
    <w:bookmarkEnd w:id="18"/>
    <w:p>
      <w:pPr>
        <w:ind w:left="380" w:right="2940"/>
        <w:spacing w:after="0" w:line="220" w:lineRule="auto"/>
        <w:rPr>
          <w:sz w:val="20"/>
          <w:szCs w:val="20"/>
          <w:color w:val="auto"/>
        </w:rPr>
      </w:pPr>
      <w:r>
        <w:rPr>
          <w:rFonts w:ascii="Arial" w:cs="Arial" w:eastAsia="Arial" w:hAnsi="Arial"/>
          <w:sz w:val="13"/>
          <w:szCs w:val="13"/>
          <w:color w:val="auto"/>
        </w:rPr>
        <w:t>•initiate additional preclinical, clinical, or other trials for our product candidates, including under our collaboration agreements;</w:t>
      </w:r>
    </w:p>
    <w:p>
      <w:pPr>
        <w:spacing w:after="0" w:line="1" w:lineRule="exact"/>
        <w:rPr>
          <w:sz w:val="20"/>
          <w:szCs w:val="20"/>
          <w:color w:val="auto"/>
        </w:rPr>
      </w:pPr>
    </w:p>
    <w:p>
      <w:pPr>
        <w:jc w:val="both"/>
        <w:ind w:left="380" w:right="2620"/>
        <w:spacing w:after="0" w:line="210" w:lineRule="auto"/>
        <w:rPr>
          <w:sz w:val="20"/>
          <w:szCs w:val="20"/>
          <w:color w:val="auto"/>
        </w:rPr>
      </w:pPr>
      <w:r>
        <w:rPr>
          <w:rFonts w:ascii="Arial" w:cs="Arial" w:eastAsia="Arial" w:hAnsi="Arial"/>
          <w:sz w:val="13"/>
          <w:szCs w:val="13"/>
          <w:color w:val="auto"/>
        </w:rPr>
        <w:t>•execute on our strategic decisions related to portfolio prioritization, which may result in certain potential one-time effects and charges and other material adverse effects on our financial condition and results of operations;</w:t>
      </w:r>
    </w:p>
    <w:p>
      <w:pPr>
        <w:ind w:left="380"/>
        <w:spacing w:after="0" w:line="213" w:lineRule="auto"/>
        <w:rPr>
          <w:sz w:val="20"/>
          <w:szCs w:val="20"/>
          <w:color w:val="auto"/>
        </w:rPr>
      </w:pPr>
      <w:r>
        <w:rPr>
          <w:rFonts w:ascii="Arial" w:cs="Arial" w:eastAsia="Arial" w:hAnsi="Arial"/>
          <w:sz w:val="13"/>
          <w:szCs w:val="13"/>
          <w:color w:val="auto"/>
        </w:rPr>
        <w:t>•continue to invest in our immunotherapy platforms to conduct research to identify novel technologies;</w:t>
      </w:r>
    </w:p>
    <w:p>
      <w:pPr>
        <w:ind w:left="380"/>
        <w:spacing w:after="0" w:line="211" w:lineRule="auto"/>
        <w:rPr>
          <w:sz w:val="20"/>
          <w:szCs w:val="20"/>
          <w:color w:val="auto"/>
        </w:rPr>
      </w:pPr>
      <w:r>
        <w:rPr>
          <w:rFonts w:ascii="Arial" w:cs="Arial" w:eastAsia="Arial" w:hAnsi="Arial"/>
          <w:sz w:val="13"/>
          <w:szCs w:val="13"/>
          <w:color w:val="auto"/>
        </w:rPr>
        <w:t>•change our manufacturing capacity or capability;</w:t>
      </w:r>
    </w:p>
    <w:p>
      <w:pPr>
        <w:ind w:left="380"/>
        <w:spacing w:after="0" w:line="211" w:lineRule="auto"/>
        <w:rPr>
          <w:sz w:val="20"/>
          <w:szCs w:val="20"/>
          <w:color w:val="auto"/>
        </w:rPr>
      </w:pPr>
      <w:r>
        <w:rPr>
          <w:rFonts w:ascii="Arial" w:cs="Arial" w:eastAsia="Arial" w:hAnsi="Arial"/>
          <w:sz w:val="13"/>
          <w:szCs w:val="13"/>
          <w:color w:val="auto"/>
        </w:rPr>
        <w:t>•change or add additional suppliers;</w:t>
      </w:r>
    </w:p>
    <w:p>
      <w:pPr>
        <w:ind w:left="380" w:right="2920"/>
        <w:spacing w:after="0" w:line="210" w:lineRule="auto"/>
        <w:rPr>
          <w:sz w:val="20"/>
          <w:szCs w:val="20"/>
          <w:color w:val="auto"/>
        </w:rPr>
      </w:pPr>
      <w:r>
        <w:rPr>
          <w:rFonts w:ascii="Arial" w:cs="Arial" w:eastAsia="Arial" w:hAnsi="Arial"/>
          <w:sz w:val="13"/>
          <w:szCs w:val="13"/>
          <w:color w:val="auto"/>
        </w:rPr>
        <w:t>•make changes to our infrastructure in connection with our quality control, quality assurance, legal, compliance and other groups to support our operations as a public company and our product development and commercialization efforts, including changes to our sites globally; •attract and retain skilled personnel;</w:t>
      </w:r>
    </w:p>
    <w:p>
      <w:pPr>
        <w:ind w:left="380"/>
        <w:spacing w:after="0" w:line="214" w:lineRule="auto"/>
        <w:rPr>
          <w:sz w:val="20"/>
          <w:szCs w:val="20"/>
          <w:color w:val="auto"/>
        </w:rPr>
      </w:pPr>
      <w:r>
        <w:rPr>
          <w:rFonts w:ascii="Arial" w:cs="Arial" w:eastAsia="Arial" w:hAnsi="Arial"/>
          <w:sz w:val="13"/>
          <w:szCs w:val="13"/>
          <w:color w:val="auto"/>
        </w:rPr>
        <w:t>•seek marketing approvals and reimbursement for our product candidates;</w:t>
      </w:r>
    </w:p>
    <w:p>
      <w:pPr>
        <w:ind w:left="380" w:right="2760"/>
        <w:spacing w:after="0" w:line="210" w:lineRule="auto"/>
        <w:rPr>
          <w:sz w:val="20"/>
          <w:szCs w:val="20"/>
          <w:color w:val="auto"/>
        </w:rPr>
      </w:pPr>
      <w:r>
        <w:rPr>
          <w:rFonts w:ascii="Arial" w:cs="Arial" w:eastAsia="Arial" w:hAnsi="Arial"/>
          <w:sz w:val="13"/>
          <w:szCs w:val="13"/>
          <w:color w:val="auto"/>
        </w:rPr>
        <w:t>•develop our sales, marketing, and distribution infrastructure for our COVID-19 vaccine and any other products for which we may obtain marketing approval or emergency use authorization; •seek to identify and validate additional product candidates;</w:t>
      </w:r>
    </w:p>
    <w:p>
      <w:pPr>
        <w:ind w:left="380"/>
        <w:spacing w:after="0" w:line="213" w:lineRule="auto"/>
        <w:rPr>
          <w:sz w:val="20"/>
          <w:szCs w:val="20"/>
          <w:color w:val="auto"/>
        </w:rPr>
      </w:pPr>
      <w:r>
        <w:rPr>
          <w:rFonts w:ascii="Arial" w:cs="Arial" w:eastAsia="Arial" w:hAnsi="Arial"/>
          <w:sz w:val="13"/>
          <w:szCs w:val="13"/>
          <w:color w:val="auto"/>
        </w:rPr>
        <w:t>•acquire or in-license other product candidates and technologies;</w:t>
      </w:r>
    </w:p>
    <w:p>
      <w:pPr>
        <w:ind w:left="380"/>
        <w:spacing w:after="0" w:line="211" w:lineRule="auto"/>
        <w:rPr>
          <w:sz w:val="20"/>
          <w:szCs w:val="20"/>
          <w:color w:val="auto"/>
        </w:rPr>
      </w:pPr>
      <w:r>
        <w:rPr>
          <w:rFonts w:ascii="Arial" w:cs="Arial" w:eastAsia="Arial" w:hAnsi="Arial"/>
          <w:sz w:val="13"/>
          <w:szCs w:val="13"/>
          <w:color w:val="auto"/>
        </w:rPr>
        <w:t>•acquire other companies;</w:t>
      </w:r>
    </w:p>
    <w:p>
      <w:pPr>
        <w:ind w:left="380"/>
        <w:spacing w:after="0" w:line="211" w:lineRule="auto"/>
        <w:rPr>
          <w:sz w:val="20"/>
          <w:szCs w:val="20"/>
          <w:color w:val="auto"/>
        </w:rPr>
      </w:pPr>
      <w:r>
        <w:rPr>
          <w:rFonts w:ascii="Arial" w:cs="Arial" w:eastAsia="Arial" w:hAnsi="Arial"/>
          <w:sz w:val="13"/>
          <w:szCs w:val="13"/>
          <w:color w:val="auto"/>
        </w:rPr>
        <w:t>•make milestone or other payments under any in-license agreements;</w:t>
      </w:r>
    </w:p>
    <w:p>
      <w:pPr>
        <w:ind w:left="380" w:right="3720"/>
        <w:spacing w:after="0" w:line="234" w:lineRule="auto"/>
        <w:rPr>
          <w:sz w:val="20"/>
          <w:szCs w:val="20"/>
          <w:color w:val="auto"/>
        </w:rPr>
      </w:pPr>
      <w:r>
        <w:rPr>
          <w:rFonts w:ascii="Arial" w:cs="Arial" w:eastAsia="Arial" w:hAnsi="Arial"/>
          <w:sz w:val="13"/>
          <w:szCs w:val="13"/>
          <w:color w:val="auto"/>
        </w:rPr>
        <w:t>•maintain, protect, defend, enforce and expand our intellectual property portfolio; and •experience any delays or encounter issues with any of the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200"/>
        <w:spacing w:after="0" w:line="214" w:lineRule="auto"/>
        <w:rPr>
          <w:sz w:val="20"/>
          <w:szCs w:val="20"/>
          <w:color w:val="auto"/>
        </w:rPr>
      </w:pPr>
      <w:r>
        <w:rPr>
          <w:rFonts w:ascii="Arial" w:cs="Arial" w:eastAsia="Arial" w:hAnsi="Arial"/>
          <w:sz w:val="13"/>
          <w:szCs w:val="13"/>
          <w:b w:val="1"/>
          <w:bCs w:val="1"/>
          <w:color w:val="005A64"/>
        </w:rPr>
        <w:t>The amount of, and our ability to use, net operating losses and research and development credits to offset future taxable income may be subject to certain limitations and uncertainty. In addition, pending and future tax audits within our Group, disputes with tax authorities and changes in tax law or fiscal regulations could lead to additional tax liabilities. We are subject to routine tax audits by the respective local tax authorities. Any additional tax liability could have an adverse effect on our business, financial conditions, results of operations or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-501015</wp:posOffset>
            </wp:positionV>
            <wp:extent cx="523113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60"/>
        <w:spacing w:after="0" w:line="210" w:lineRule="auto"/>
        <w:rPr>
          <w:sz w:val="20"/>
          <w:szCs w:val="20"/>
          <w:color w:val="auto"/>
        </w:rPr>
      </w:pPr>
      <w:r>
        <w:rPr>
          <w:rFonts w:ascii="Arial" w:cs="Arial" w:eastAsia="Arial" w:hAnsi="Arial"/>
          <w:sz w:val="13"/>
          <w:szCs w:val="13"/>
          <w:color w:val="auto"/>
        </w:rPr>
        <w:t>In Germany, we have unused German tax loss carryforwards for corporate taxes for German group entities with pre tax group losses, though we generally have not recognized deferred tax assets related to such loss carryforwards for International Financial Reporting Standards, or IFRS, reporting purposes as of December 31, 2024. Deferred tax assets are recognized for unused tax losses only to the extent that it is probable that taxable profit will be available against which the losses can be utilized. In general, net operating loss, or NOL, carryforwards in Germany do not expire. Furthermore, under current German tax laws, certain substantial changes in the Company’s ownership and business may further limit the amount of NOL carryforwards that can be used annually to offset future taxable income.</w:t>
      </w:r>
    </w:p>
    <w:p>
      <w:pPr>
        <w:spacing w:after="0" w:line="5"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For the German tax group, we incurred tax losses up to and including December 31, 2020. Even though we recognized deferred tax assets on a majority of German tax loss carry forwards in 2020 which were fully utilized in 2021, they are, however, subject to review and possible adjustment by the German tax authorities. In addition, the incurred tax losses up to and including December 31, 2024 also remain subject to review.</w:t>
      </w:r>
    </w:p>
    <w:p>
      <w:pPr>
        <w:spacing w:after="0" w:line="2" w:lineRule="exact"/>
        <w:rPr>
          <w:sz w:val="20"/>
          <w:szCs w:val="20"/>
          <w:color w:val="auto"/>
        </w:rPr>
      </w:pPr>
    </w:p>
    <w:p>
      <w:pPr>
        <w:ind w:left="380" w:right="2460"/>
        <w:spacing w:after="0" w:line="210" w:lineRule="auto"/>
        <w:rPr>
          <w:sz w:val="20"/>
          <w:szCs w:val="20"/>
          <w:color w:val="auto"/>
        </w:rPr>
      </w:pPr>
      <w:r>
        <w:rPr>
          <w:rFonts w:ascii="Arial" w:cs="Arial" w:eastAsia="Arial" w:hAnsi="Arial"/>
          <w:sz w:val="13"/>
          <w:szCs w:val="13"/>
          <w:color w:val="auto"/>
        </w:rPr>
        <w:t>In addition, we have U.S. federal and state NOL carryforwards due to our subsidiaries in the United States, which may be subject to limitations on use after an ownership change.</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We may not be able to utilize a material portion of our historic or current NOLs or credits in either Germany (resulting from our German tax group or non-tax group entities in Germany) or the United States until these have been finally assessed by the tax authorities or when the limitation period has passed. In addition, the rules regarding the timing of revenue and expense recognition for tax purposes in connection with various transactions are complex and uncertain in many respects, and, if challenged, our recognition may be subject to a revised assessment. In the event any such challenge is sustained, our NOLs could be materially reduced or we could be determined to be a material cash taxpayer for one or more years, which could have an adverse effect on our business, financial conditions, results of operations or prospects.</w:t>
      </w:r>
    </w:p>
    <w:p>
      <w:pPr>
        <w:spacing w:after="0" w:line="5"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Furthermore, our ability to use our NOLs or credits is conditioned upon our attaining profitability and generating taxable income. Taxable income exceeding NOLs will be subject to taxation resulting tax liabilities. As described above, we incurred significant net losses in every year since our inception other than 2018, 2021, 2022 and 2023 and anticipate that in the future, we may incur losses for the majority of the group entities. Our ability to utilize our NOL or credit carryforwards in the United States and for some other group entities is uncertain, however we do recognize deferred tax assets on NOLs and tax credit carryforwards in the United States, as the requirements of IAS 12 are fulfilled.</w:t>
      </w:r>
    </w:p>
    <w:p>
      <w:pPr>
        <w:spacing w:after="0" w:line="4"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b w:val="1"/>
          <w:bCs w:val="1"/>
          <w:color w:val="005A64"/>
        </w:rPr>
        <w:t>Under German tax laws, we are obligated to withhold a percentage of wage tax and social security contributions on personnel expenses if contract services providers are considered to be our internal employees and remit those withholdings to German tax authorities and social security institutions. Late payments may subject us to penalties and fees.</w:t>
      </w:r>
    </w:p>
    <w:p>
      <w:pPr>
        <w:spacing w:after="0" w:line="2" w:lineRule="exact"/>
        <w:rPr>
          <w:sz w:val="20"/>
          <w:szCs w:val="20"/>
          <w:color w:val="auto"/>
        </w:rPr>
      </w:pPr>
    </w:p>
    <w:p>
      <w:pPr>
        <w:ind w:left="380" w:right="2160"/>
        <w:spacing w:after="0" w:line="216" w:lineRule="auto"/>
        <w:rPr>
          <w:sz w:val="20"/>
          <w:szCs w:val="20"/>
          <w:color w:val="auto"/>
        </w:rPr>
      </w:pPr>
      <w:r>
        <w:rPr>
          <w:rFonts w:ascii="Arial" w:cs="Arial" w:eastAsia="Arial" w:hAnsi="Arial"/>
          <w:sz w:val="13"/>
          <w:szCs w:val="13"/>
          <w:color w:val="auto"/>
        </w:rPr>
        <w:t>Under German tax and social security laws, we are obligated to withhold a percentage of payments we make to third parties in consideration of the services provided, in case these are considered employment payments, and remit those withholdings to German tax authorities and social security institutions. After a significant volume of service providers were engaged to assist with research, development, manufacturing and supply of our COVID-19 vaccine, we discovered after internal review that we and certain of our subsidiaries did not withhold, report and remit certain German wage taxes and social security contributions in connection with certain contract service providers engaged in a manner comparable to internal employees, which we notified tax authorities about. If we do not properly and timely make required payments in the future, we could be subjected to fees, administrative offenses or other proceedings or penalties.</w:t>
      </w:r>
    </w:p>
    <w:p>
      <w:pPr>
        <w:sectPr>
          <w:pgSz w:w="11900" w:h="16840" w:orient="portrait"/>
          <w:cols w:equalWidth="0" w:num="1">
            <w:col w:w="9020"/>
          </w:cols>
          <w:pgMar w:left="1440" w:top="560" w:right="1440" w:bottom="584"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220"/>
        <w:spacing w:after="0" w:line="217" w:lineRule="auto"/>
        <w:rPr>
          <w:sz w:val="20"/>
          <w:szCs w:val="20"/>
          <w:color w:val="auto"/>
        </w:rPr>
      </w:pPr>
      <w:r>
        <w:rPr>
          <w:rFonts w:ascii="Arial" w:cs="Arial" w:eastAsia="Arial" w:hAnsi="Arial"/>
          <w:sz w:val="13"/>
          <w:szCs w:val="13"/>
          <w:color w:val="auto"/>
        </w:rPr>
        <w:t>It is not possible to seek the refund of these wage taxes or social security contributions from either the German tax authorities or social security institutions after filing returns. In Germany, employers are considered secondarily liable for wage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60"/>
        <w:spacing w:after="0" w:line="210" w:lineRule="auto"/>
        <w:rPr>
          <w:sz w:val="20"/>
          <w:szCs w:val="20"/>
          <w:color w:val="auto"/>
        </w:rPr>
      </w:pPr>
      <w:r>
        <w:rPr>
          <w:rFonts w:ascii="Arial" w:cs="Arial" w:eastAsia="Arial" w:hAnsi="Arial"/>
          <w:sz w:val="13"/>
          <w:szCs w:val="13"/>
          <w:color w:val="auto"/>
        </w:rPr>
        <w:t>In addition, value added taxes, or VAT, on invoices received by contract services providers who are considered internal employees are considered non-deductible and must be repaid to the German tax authorities. It is possible to reclaim the VAT repaid to the German tax authorities from the service provider. There is a possibility that the relevant input VAT claims against the contract service providers may, in some instances, not be enforceable as a result of a contract service provider no longer existing, the lapse of time or any other facts preventing the enforcement of such claims.</w:t>
      </w:r>
    </w:p>
    <w:p>
      <w:pPr>
        <w:spacing w:after="0" w:line="4"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b w:val="1"/>
          <w:bCs w:val="1"/>
          <w:color w:val="005A64"/>
        </w:rPr>
        <w:t>We may require substantial additional financing to achieve our goals, and a failure to obtain this capital on acceptable terms, or at all, could force us to delay, limit, reduce or terminate our product development programs, commercialization efforts or other operations.</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Our operating plans may change as a result of many factors currently unknown to us, and we may need to seek additional funds sooner than planned, through public or private equity or debt financings, government or other third-party funding, sales of assets, marketing and distribution arrangements, other collaborations and licensing arrangements, or a combination of these approaches. We may require additional capital to obtain regulatory approval for, and to commercialize, future product candidates. Even if we believe we have sufficient funds for our current or future operating plans, we may seek additional capital if market conditions are favorable or if we have specific strategic considerations. Our spending will vary based on new and ongoing development and corporate activities. Due to the high uncertainty of the length of time and activities associated with discovery and development of our product candidates, we are unable to estimate the actual funds we will require for development, marketing and commercialization activities.</w:t>
      </w:r>
    </w:p>
    <w:p>
      <w:pPr>
        <w:spacing w:after="0" w:line="6"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Our future funding requirements, both near and long term, will depend on many factors, including, but not limited to:</w:t>
      </w:r>
    </w:p>
    <w:p>
      <w:pPr>
        <w:spacing w:after="0" w:line="1" w:lineRule="exact"/>
        <w:rPr>
          <w:sz w:val="20"/>
          <w:szCs w:val="20"/>
          <w:color w:val="auto"/>
        </w:rPr>
      </w:pPr>
    </w:p>
    <w:p>
      <w:pPr>
        <w:ind w:left="380" w:right="2580"/>
        <w:spacing w:after="0" w:line="210" w:lineRule="auto"/>
        <w:rPr>
          <w:sz w:val="20"/>
          <w:szCs w:val="20"/>
          <w:color w:val="auto"/>
        </w:rPr>
      </w:pPr>
      <w:r>
        <w:rPr>
          <w:rFonts w:ascii="Arial" w:cs="Arial" w:eastAsia="Arial" w:hAnsi="Arial"/>
          <w:sz w:val="13"/>
          <w:szCs w:val="13"/>
          <w:color w:val="auto"/>
        </w:rPr>
        <w:t>•the initiation, progress, timing, costs, and results of preclinical or nonclinical studies and clinical trials for our product candidates;</w:t>
      </w:r>
    </w:p>
    <w:p>
      <w:pPr>
        <w:spacing w:after="0" w:line="1" w:lineRule="exact"/>
        <w:rPr>
          <w:sz w:val="20"/>
          <w:szCs w:val="20"/>
          <w:color w:val="auto"/>
        </w:rPr>
      </w:pPr>
    </w:p>
    <w:p>
      <w:pPr>
        <w:ind w:left="380" w:right="3120"/>
        <w:spacing w:after="0" w:line="210" w:lineRule="auto"/>
        <w:rPr>
          <w:sz w:val="20"/>
          <w:szCs w:val="20"/>
          <w:color w:val="auto"/>
        </w:rPr>
      </w:pPr>
      <w:r>
        <w:rPr>
          <w:rFonts w:ascii="Arial" w:cs="Arial" w:eastAsia="Arial" w:hAnsi="Arial"/>
          <w:sz w:val="13"/>
          <w:szCs w:val="13"/>
          <w:color w:val="auto"/>
        </w:rPr>
        <w:t>•the amount and timing of revenues and associated costs from sales of our COVID-19 vaccine; •the results of research and our other platform activities;</w:t>
      </w:r>
    </w:p>
    <w:p>
      <w:pPr>
        <w:ind w:left="380"/>
        <w:spacing w:after="0" w:line="212" w:lineRule="auto"/>
        <w:rPr>
          <w:sz w:val="20"/>
          <w:szCs w:val="20"/>
          <w:color w:val="auto"/>
        </w:rPr>
      </w:pPr>
      <w:r>
        <w:rPr>
          <w:rFonts w:ascii="Arial" w:cs="Arial" w:eastAsia="Arial" w:hAnsi="Arial"/>
          <w:sz w:val="13"/>
          <w:szCs w:val="13"/>
          <w:color w:val="auto"/>
        </w:rPr>
        <w:t>•the clinical development plans we establish for our product candidates;</w:t>
      </w:r>
    </w:p>
    <w:p>
      <w:pPr>
        <w:spacing w:after="0" w:line="1" w:lineRule="exact"/>
        <w:rPr>
          <w:sz w:val="20"/>
          <w:szCs w:val="20"/>
          <w:color w:val="auto"/>
        </w:rPr>
      </w:pPr>
    </w:p>
    <w:p>
      <w:pPr>
        <w:ind w:left="380" w:right="2980"/>
        <w:spacing w:after="0" w:line="210" w:lineRule="auto"/>
        <w:rPr>
          <w:sz w:val="20"/>
          <w:szCs w:val="20"/>
          <w:color w:val="auto"/>
        </w:rPr>
      </w:pPr>
      <w:r>
        <w:rPr>
          <w:rFonts w:ascii="Arial" w:cs="Arial" w:eastAsia="Arial" w:hAnsi="Arial"/>
          <w:sz w:val="13"/>
          <w:szCs w:val="13"/>
          <w:color w:val="auto"/>
        </w:rPr>
        <w:t>•the terms of any agreements with our current or future collaborators, and the achievement of any milestone payments under such agreements to be paid to us or our collaborators;</w:t>
      </w:r>
    </w:p>
    <w:p>
      <w:pPr>
        <w:spacing w:after="0" w:line="1"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•the terms of any other strategic transactions, including relating to any acquisitions, into which we enter; •the number and characteristics of product candidates that we develop or may in-license;</w:t>
      </w:r>
    </w:p>
    <w:p>
      <w:pPr>
        <w:spacing w:after="0" w:line="1"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•the outcome, timing and cost of meeting regulatory requirements established by the FDA, the EMA and other comparable regulatory authorities;</w:t>
      </w:r>
    </w:p>
    <w:p>
      <w:pPr>
        <w:spacing w:after="0" w:line="1" w:lineRule="exact"/>
        <w:rPr>
          <w:sz w:val="20"/>
          <w:szCs w:val="20"/>
          <w:color w:val="auto"/>
        </w:rPr>
      </w:pPr>
    </w:p>
    <w:p>
      <w:pPr>
        <w:ind w:left="380" w:right="2720"/>
        <w:spacing w:after="0" w:line="210" w:lineRule="auto"/>
        <w:rPr>
          <w:sz w:val="20"/>
          <w:szCs w:val="20"/>
          <w:color w:val="auto"/>
        </w:rPr>
      </w:pPr>
      <w:r>
        <w:rPr>
          <w:rFonts w:ascii="Arial" w:cs="Arial" w:eastAsia="Arial" w:hAnsi="Arial"/>
          <w:sz w:val="13"/>
          <w:szCs w:val="13"/>
          <w:color w:val="auto"/>
        </w:rPr>
        <w:t>•the cost of filing, prosecuting, obtaining, maintaining, protecting, defending and enforcing our patent claims and other intellectual property rights, including actions for patent and other intellectual property infringement, misappropriation and other violations brought by third parties against us regarding our products or product candidates or actions by us challenging the patent or intellectual property rights of others;</w:t>
      </w:r>
    </w:p>
    <w:p>
      <w:pPr>
        <w:spacing w:after="0" w:line="3" w:lineRule="exact"/>
        <w:rPr>
          <w:sz w:val="20"/>
          <w:szCs w:val="20"/>
          <w:color w:val="auto"/>
        </w:rPr>
      </w:pPr>
    </w:p>
    <w:p>
      <w:pPr>
        <w:ind w:left="380" w:right="2900"/>
        <w:spacing w:after="0" w:line="234" w:lineRule="auto"/>
        <w:rPr>
          <w:sz w:val="20"/>
          <w:szCs w:val="20"/>
          <w:color w:val="auto"/>
        </w:rPr>
      </w:pPr>
      <w:r>
        <w:rPr>
          <w:rFonts w:ascii="Arial" w:cs="Arial" w:eastAsia="Arial" w:hAnsi="Arial"/>
          <w:sz w:val="13"/>
          <w:szCs w:val="13"/>
          <w:color w:val="auto"/>
        </w:rPr>
        <w:t>•the effect of competing technological and market developments, including other products that may compete with one or more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620"/>
        <w:spacing w:after="0" w:line="217" w:lineRule="auto"/>
        <w:rPr>
          <w:sz w:val="20"/>
          <w:szCs w:val="20"/>
          <w:color w:val="auto"/>
        </w:rPr>
      </w:pPr>
      <w:r>
        <w:rPr>
          <w:rFonts w:ascii="Arial" w:cs="Arial" w:eastAsia="Arial" w:hAnsi="Arial"/>
          <w:sz w:val="13"/>
          <w:szCs w:val="13"/>
          <w:color w:val="auto"/>
        </w:rPr>
        <w:t>•the cost and timing of completion and further expansion of clinical and commercial scale manufacturing activities sufficient to support all of our current and future programs, including the development of modular production and clinical facilities in various markets via our BioNTainer network;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840"/>
        <w:spacing w:after="0" w:line="210" w:lineRule="auto"/>
        <w:rPr>
          <w:sz w:val="20"/>
          <w:szCs w:val="20"/>
          <w:color w:val="auto"/>
        </w:rPr>
      </w:pPr>
      <w:r>
        <w:rPr>
          <w:rFonts w:ascii="Arial" w:cs="Arial" w:eastAsia="Arial" w:hAnsi="Arial"/>
          <w:sz w:val="13"/>
          <w:szCs w:val="13"/>
          <w:color w:val="auto"/>
        </w:rPr>
        <w:t>•the cost of establishing sales, marketing, and distribution capabilities for any product candidates for which we may receive marketing approval and reimbursement in regions where we choose to commercialize our products on our own.</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To date, we have financed our operations primarily through the sale of equity securities, revenue from</w:t>
      </w:r>
    </w:p>
    <w:p>
      <w:pPr>
        <w:sectPr>
          <w:pgSz w:w="11900" w:h="16840" w:orient="portrait"/>
          <w:cols w:equalWidth="0" w:num="1">
            <w:col w:w="9020"/>
          </w:cols>
          <w:pgMar w:left="1440" w:top="1440" w:right="1440" w:bottom="129" w:gutter="0" w:footer="0" w:header="0"/>
        </w:sectPr>
      </w:pPr>
    </w:p>
    <w:bookmarkStart w:id="20" w:name="page21"/>
    <w:bookmarkEnd w:id="20"/>
    <w:p>
      <w:pPr>
        <w:ind w:left="380" w:right="2160"/>
        <w:spacing w:after="0" w:line="212" w:lineRule="auto"/>
        <w:rPr>
          <w:sz w:val="20"/>
          <w:szCs w:val="20"/>
          <w:color w:val="auto"/>
        </w:rPr>
      </w:pPr>
      <w:r>
        <w:rPr>
          <w:rFonts w:ascii="Arial" w:cs="Arial" w:eastAsia="Arial" w:hAnsi="Arial"/>
          <w:sz w:val="13"/>
          <w:szCs w:val="13"/>
          <w:color w:val="auto"/>
        </w:rPr>
        <w:t>collaborations, and revenue from sales of our COVID-19 vaccine. While we are currently generating product sales and royalty revenue to finance our operations, we cannot be certain that we will continue to generate sufficient revenue from product sales and royalties to finance our operations. If we were to seek financing from outside sources, that additional funding may not be available on favorable terms, or at all. Should our revenues from product sales sufficiently decrease in the future, we expect to finance our future cash needs through a combination of product sales, public or private equity offerings, debt financings, collaborations, licensing arrangements, and other marketing or distribution arrangements. Any fundraising efforts may divert our management from their day-to-day activities, which may adversely affect our ability to develop and commercialize our product candidates. In addition, we cannot guarantee that future financing will be available in sufficient amounts, at the right time, on favorable terms, or at all, including as a result of the impact that the shift of COVID-19 towards an endemic phase and other global events, such as political upheavals and economic downturns, may have on the capital markets.</w:t>
      </w:r>
    </w:p>
    <w:p>
      <w:pPr>
        <w:spacing w:after="0" w:line="4"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Negative clinical trial data or setbacks, or perceived setbacks, in our programs or with respect to our technology could impair our ability to raise additional financing on favorable terms, or at all. Moreover, the terms of any financing may adversely affect the holdings or the rights of our shareholders, and the issuance of additional securities, whether equity or debt, by us, or the possibility of such issuance, may cause the market price of the ADSs representing our ordinary shares to decline. If we raise additional funds through public or private equity offerings, the terms of these securities may include liquidation or other preferences that may adversely affect our shareholders’ rights.</w:t>
      </w:r>
    </w:p>
    <w:p>
      <w:pPr>
        <w:spacing w:after="0" w:line="4"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Further, to the extent that we raise additional capital through the sale of ADSs, ordinary shares or securities convertible or exchangeable into ordinary shares or ADSs, share ownership interests will be diluted. If we raise additional capital through debt financing, we would be subject to fixed payment obligations and may be subject to security interests in our assets and covenants limiting or restricting our ability to take specific actions, such as incurring additional debt, making capital expenditures or declaring dividends. If we raise additional capital through marketing and distribution arrangements, sales of assets, collaborations, or licensing arrangements with third parties, we may have to relinquish certain valuable rights to our product candidates, technologies, future revenue streams or research programs. We also could be required to seek collaborators for one or more of our current or future product candidates at an earlier stage than otherwise would be desirable or relinquish our rights to product candidates or intellectual property that we otherwise would seek to develop or commercialize ourselves. If we are unable to raise additional capital in sufficient amounts, at the right time, on favorable terms, or at all, we may have to significantly delay, scale back or discontinue the development or commercialization of one or more of our products or product candidates, or one or more of our other research and development initiatives. Any of the above events could significantly harm our business, prospects, financial condition and results of operations, cause the price of the ADSs to decline, and negatively impact our ability to fund operations.</w:t>
      </w:r>
    </w:p>
    <w:p>
      <w:pPr>
        <w:spacing w:after="0" w:line="9" w:lineRule="exact"/>
        <w:rPr>
          <w:sz w:val="20"/>
          <w:szCs w:val="20"/>
          <w:color w:val="auto"/>
        </w:rPr>
      </w:pPr>
    </w:p>
    <w:p>
      <w:pPr>
        <w:ind w:left="380" w:right="2800"/>
        <w:spacing w:after="0" w:line="210" w:lineRule="auto"/>
        <w:rPr>
          <w:sz w:val="20"/>
          <w:szCs w:val="20"/>
          <w:color w:val="auto"/>
        </w:rPr>
      </w:pPr>
      <w:r>
        <w:rPr>
          <w:rFonts w:ascii="Arial" w:cs="Arial" w:eastAsia="Arial" w:hAnsi="Arial"/>
          <w:sz w:val="13"/>
          <w:szCs w:val="13"/>
          <w:b w:val="1"/>
          <w:bCs w:val="1"/>
          <w:color w:val="005A64"/>
        </w:rPr>
        <w:t>We may encounter difficulties in developing and expanding our company and managing such development and expansion, which could disrupt our operations.</w:t>
      </w:r>
    </w:p>
    <w:p>
      <w:pPr>
        <w:spacing w:after="0" w:line="1" w:lineRule="exact"/>
        <w:rPr>
          <w:sz w:val="20"/>
          <w:szCs w:val="20"/>
          <w:color w:val="auto"/>
        </w:rPr>
      </w:pPr>
    </w:p>
    <w:p>
      <w:pPr>
        <w:ind w:left="380" w:right="2160"/>
        <w:spacing w:after="0" w:line="218" w:lineRule="auto"/>
        <w:rPr>
          <w:sz w:val="20"/>
          <w:szCs w:val="20"/>
          <w:color w:val="auto"/>
        </w:rPr>
      </w:pPr>
      <w:r>
        <w:rPr>
          <w:rFonts w:ascii="Arial" w:cs="Arial" w:eastAsia="Arial" w:hAnsi="Arial"/>
          <w:sz w:val="13"/>
          <w:szCs w:val="13"/>
          <w:color w:val="auto"/>
        </w:rPr>
        <w:t>To manage our anticipated development and expansion, we must continue to implement and improve our managerial, operational, legal, compliance and financial systems, expand our facilities, and continue to recruit and train additional qualified personnel. This includes our acquisition in January 2025 of Biotheus, Inc., or Biotheus, a clinical -stage biotechnology company, as part of our oncology strategy, and our strategic initiatives more generally. In addition, our management may need to divert a disproportionate amount of its attention away from its day-to-day activities and devote a substantial amount of time to managing these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2" w:lineRule="auto"/>
        <w:rPr>
          <w:sz w:val="20"/>
          <w:szCs w:val="20"/>
          <w:color w:val="auto"/>
        </w:rPr>
      </w:pPr>
      <w:r>
        <w:rPr>
          <w:rFonts w:ascii="Arial" w:cs="Arial" w:eastAsia="Arial" w:hAnsi="Arial"/>
          <w:sz w:val="13"/>
          <w:szCs w:val="13"/>
          <w:color w:val="auto"/>
        </w:rPr>
        <w:t>As an evolving biotechnology company, we are actively pursuing drug classes, platforms and product candidates in many therapeutic areas and across a wide range of diseases. Successfully developing products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certain operations or recruit and train additional qualified personnel. This may result in weaknesses in our infrastructure and/or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our expenses may increase more than expected, our ability to generate or increase our revenue could be reduced and we may not be able to effectively implement our business strategy. Our future financial performance and our ability to compete effectively and commercialize our COVID-19 vaccine and our product candidates, if approved, will depend in part on our ability to effectively manage the current and future development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-1250950</wp:posOffset>
            </wp:positionV>
            <wp:extent cx="523113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b w:val="1"/>
          <w:bCs w:val="1"/>
          <w:color w:val="005A64"/>
        </w:rPr>
        <w:t>We incur significant costs as a result of operating as a public company, and our management is required to devote substantial time to compliance initiatives. We are subject to financial reporting and other requirements for which our accounting and other management systems and resources may not be adequately prepared. We may fail to comply with the rules that apply to public companies, including Section 404 of the Sarbanes-Oxley Act of 2002, which could result in sanctions or other penalties that would harm the business.</w:t>
      </w:r>
    </w:p>
    <w:p>
      <w:pPr>
        <w:spacing w:after="0" w:line="4"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As a public company, we incur significant legal, accounting and other expenses. The U.S. federal securities laws, including the Sarbanes-Oxley Act of 2002, or the Sarbanes-Oxley Act, and rules subsequently implemented by the SEC and the Nasdaq Stock Market LLC, or Nasdaq, have imposed various requirements on public companies, including requirements to file annual and event-driven reports with respect to our business and financial condition, and to establish and maintain effective disclosure and financial controls and corporate governance practices. Our management and other personnel need to devote a substantial amount of time to these compliance initiatives. Moreover, these rules and regulations result in substantial legal and financial compliance costs and have made some activities time-consuming and costly. We may not be able to produce reliable financial statements or file these financial statements as part of a periodic report in a timely manner with the SEC or comply with Nasdaq listing requirements. In addition, we could make errors in our financial statements that could require us to restate our financial statements.</w:t>
      </w:r>
    </w:p>
    <w:p>
      <w:pPr>
        <w:spacing w:after="0" w:line="7" w:lineRule="exact"/>
        <w:rPr>
          <w:sz w:val="20"/>
          <w:szCs w:val="20"/>
          <w:color w:val="auto"/>
        </w:rPr>
      </w:pPr>
    </w:p>
    <w:p>
      <w:pPr>
        <w:ind w:left="380" w:right="2080"/>
        <w:spacing w:after="0" w:line="214" w:lineRule="auto"/>
        <w:rPr>
          <w:sz w:val="20"/>
          <w:szCs w:val="20"/>
          <w:color w:val="auto"/>
        </w:rPr>
      </w:pPr>
      <w:r>
        <w:rPr>
          <w:rFonts w:ascii="Arial" w:cs="Arial" w:eastAsia="Arial" w:hAnsi="Arial"/>
          <w:sz w:val="13"/>
          <w:szCs w:val="13"/>
          <w:color w:val="auto"/>
        </w:rPr>
        <w:t>Pursuant to Section 404 of the Sarbanes-Oxley Act, or Section 404, we are required to furnish a report by our management on our internal control over financial reporting, including the attestation report on internal control over financial reporting issued by our independent registered public accounting firm. To maintain compliance with Section 404, we document and evaluate our internal control over financial reporting, which is both costly and challenging. In this regard, we have needed to continue to dedicate internal resources, have engaged outside consultants, and have adopted a detailed work plan to assess and document the adequacy of internal control over financial reporting. We will continue to implement steps to improve control processes as appropriate, validate through testing that controls are functioning as documented, and implement a continuous reporting and improvement process for internal control over financial reporting. Despite our efforts, there is a risk that in the future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ectPr>
          <w:pgSz w:w="11900" w:h="16840" w:orient="portrait"/>
          <w:cols w:equalWidth="0" w:num="1">
            <w:col w:w="9020"/>
          </w:cols>
          <w:pgMar w:left="1440" w:top="560" w:right="1440" w:bottom="51" w:gutter="0" w:footer="0" w:header="0"/>
        </w:sectPr>
      </w:pPr>
    </w:p>
    <w:bookmarkStart w:id="21" w:name="page22"/>
    <w:bookmarkEnd w:id="21"/>
    <w:p>
      <w:pPr>
        <w:ind w:left="380" w:right="2160"/>
        <w:spacing w:after="0" w:line="224" w:lineRule="auto"/>
        <w:rPr>
          <w:sz w:val="20"/>
          <w:szCs w:val="20"/>
          <w:color w:val="auto"/>
        </w:rPr>
      </w:pPr>
      <w:r>
        <w:rPr>
          <w:rFonts w:ascii="Arial" w:cs="Arial" w:eastAsia="Arial" w:hAnsi="Arial"/>
          <w:sz w:val="13"/>
          <w:szCs w:val="13"/>
          <w:color w:val="auto"/>
        </w:rPr>
        <w:t>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need to devote a substantial amount of time to these compliance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jc w:val="both"/>
        <w:ind w:left="380" w:right="2300"/>
        <w:spacing w:after="0" w:line="217" w:lineRule="auto"/>
        <w:rPr>
          <w:sz w:val="20"/>
          <w:szCs w:val="20"/>
          <w:color w:val="auto"/>
        </w:rPr>
      </w:pPr>
      <w:r>
        <w:rPr>
          <w:rFonts w:ascii="Arial" w:cs="Arial" w:eastAsia="Arial" w:hAnsi="Arial"/>
          <w:sz w:val="13"/>
          <w:szCs w:val="13"/>
          <w:b w:val="1"/>
          <w:bCs w:val="1"/>
          <w:color w:val="005A64"/>
        </w:rPr>
        <w:t>If we identify material weaknesses in our internal control over financial reporting and fail to remediate such material weaknesses, we may not be able to report our financial results accurately or to prevent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20"/>
        <w:spacing w:after="0" w:line="210" w:lineRule="auto"/>
        <w:rPr>
          <w:sz w:val="20"/>
          <w:szCs w:val="20"/>
          <w:color w:val="auto"/>
        </w:rPr>
      </w:pPr>
      <w:r>
        <w:rPr>
          <w:rFonts w:ascii="Arial" w:cs="Arial" w:eastAsia="Arial" w:hAnsi="Arial"/>
          <w:sz w:val="13"/>
          <w:szCs w:val="13"/>
          <w:color w:val="auto"/>
        </w:rPr>
        <w:t>Our management is responsible for establishing and maintaining internal control over financial reporting, disclosure controls, and compliance with the other requirements of the Sarbanes -Oxley Act and the rules promulgated by the SEC thereunder. Internal control over financial reporting is a process designed to provide reasonable assurance regarding the reliability of financial reporting and the preparation of financial statements in accordance with international financial reporting standards. A material weakness is defined as a deficiency, or a combination of deficiencies, in internal control over financial reporting, such that there is a reasonable possibility that a material misstatement of a company’s annual or interim financial statements will not be prevented or detected by the company’s internal controls on a timely basis.</w:t>
      </w:r>
    </w:p>
    <w:p>
      <w:pPr>
        <w:spacing w:after="0" w:line="5"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If we fail to comply with the relevant rules and regulations or otherwise fail to prepare our financial statements in accordance with international financial reporting standards, a material weakness may arise. If we are unable to successfully remediate any material weaknesses, our financial statements could contain material misstatements discovered in the future that could cause us to fail to meet our future reporting obligations and cause the price of the ADSs to decline.</w:t>
      </w:r>
    </w:p>
    <w:p>
      <w:pPr>
        <w:spacing w:after="0" w:line="3"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b w:val="1"/>
          <w:bCs w:val="1"/>
          <w:color w:val="005A64"/>
        </w:rPr>
        <w:t>We have various international trade obligations, including customs value calculation, customs tariff number classification and other related securities requirements. Late payments to customs authorities may subject us to penalties and fees.</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Our supply chain, production and distribution network across the globe creates an increasing level of complexity in customs and foreign trade processes. The requirements for internal control systems are increasing and must be developed simultaneously. The risk management system for customs and foreign trade, which we are continuously improving, determines which stakeholders, goods, and means of transport should be examined and to what extent. These risks include the potential for non-compliance with customs value calculation, customs tariff number classification, trade restrictions, security regulations as well as the potential failure to facilitate international trade. We have in the past discovered that certain of our and our subsidiaries’ customs value calculations were not applied correctly, following which we notified the customs authorities of potential late payments.</w:t>
      </w:r>
    </w:p>
    <w:p>
      <w:pPr>
        <w:spacing w:after="0" w:line="5" w:lineRule="exact"/>
        <w:rPr>
          <w:sz w:val="20"/>
          <w:szCs w:val="20"/>
          <w:color w:val="auto"/>
        </w:rPr>
      </w:pPr>
    </w:p>
    <w:p>
      <w:pPr>
        <w:ind w:left="380" w:right="2320"/>
        <w:spacing w:after="0" w:line="210" w:lineRule="auto"/>
        <w:rPr>
          <w:sz w:val="20"/>
          <w:szCs w:val="20"/>
          <w:color w:val="auto"/>
        </w:rPr>
      </w:pPr>
      <w:r>
        <w:rPr>
          <w:rFonts w:ascii="Arial" w:cs="Arial" w:eastAsia="Arial" w:hAnsi="Arial"/>
          <w:sz w:val="13"/>
          <w:szCs w:val="13"/>
          <w:color w:val="auto"/>
        </w:rPr>
        <w:t>We are, and will likely continue to be, subject to various audits that arise from time to time, including customs and potential future foreign trade audits. If we do not properly address our international trade and customs requirements, we could be subjected to penalties and fees.</w:t>
      </w:r>
    </w:p>
    <w:p>
      <w:pPr>
        <w:spacing w:after="0" w:line="2" w:lineRule="exact"/>
        <w:rPr>
          <w:sz w:val="20"/>
          <w:szCs w:val="20"/>
          <w:color w:val="auto"/>
        </w:rPr>
      </w:pPr>
    </w:p>
    <w:p>
      <w:pPr>
        <w:jc w:val="both"/>
        <w:ind w:left="380" w:right="2240"/>
        <w:spacing w:after="0" w:line="210" w:lineRule="auto"/>
        <w:rPr>
          <w:sz w:val="20"/>
          <w:szCs w:val="20"/>
          <w:color w:val="auto"/>
        </w:rPr>
      </w:pPr>
      <w:r>
        <w:rPr>
          <w:rFonts w:ascii="Arial" w:cs="Arial" w:eastAsia="Arial" w:hAnsi="Arial"/>
          <w:sz w:val="13"/>
          <w:szCs w:val="13"/>
          <w:b w:val="1"/>
          <w:bCs w:val="1"/>
          <w:color w:val="005A64"/>
        </w:rPr>
        <w:t>As a “foreign private issuer,” we are exempt from a number of rules under the U.S. securities laws, as well as Nasdaq rules, and we are permitted to file less information with the SEC than U.S. companies. This may limit the information available to holders of the ADSs and may make our ordinary shares and the ADSs less attractive to investors.</w:t>
      </w:r>
    </w:p>
    <w:p>
      <w:pPr>
        <w:spacing w:after="0" w:line="2"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We are a “foreign private issuer,” as defined in the rules and regulations of the SEC, and, consequently, we are not subject to all of the disclosure requirements applicable to companies organized within the United States. For example, we are exempt from certain rules under the U.S. Securities Exchange Act of 1934, as amended, or the Exchange Act, that regulate disclosure obligations and procedural requirements related to the solicitation of proxies, consents or authorizations applicable to a security registered under the Exchange Act. In addition, our officers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Accordingly, there may be less publicly available information concerning our company than there is for U.S. public companies.</w:t>
      </w:r>
    </w:p>
    <w:p>
      <w:pPr>
        <w:spacing w:after="0" w:line="6" w:lineRule="exact"/>
        <w:rPr>
          <w:sz w:val="20"/>
          <w:szCs w:val="20"/>
          <w:color w:val="auto"/>
        </w:rPr>
      </w:pPr>
    </w:p>
    <w:p>
      <w:pPr>
        <w:ind w:left="380" w:right="2120"/>
        <w:spacing w:after="0" w:line="222" w:lineRule="auto"/>
        <w:rPr>
          <w:sz w:val="20"/>
          <w:szCs w:val="20"/>
          <w:color w:val="auto"/>
        </w:rPr>
      </w:pPr>
      <w:r>
        <w:rPr>
          <w:rFonts w:ascii="Arial" w:cs="Arial" w:eastAsia="Arial" w:hAnsi="Arial"/>
          <w:sz w:val="13"/>
          <w:szCs w:val="13"/>
          <w:color w:val="auto"/>
        </w:rPr>
        <w:t>As a foreign private issuer, we file an Annual Report on Form 20-F within four months of the close of each financial year ending December 31 and reports on Form 6 -K relating to certain material events promptly after we publicly announce these events. Additionally, we rely on a provision in Nasdaq’s Listed Company Manual that allows us to follow German company law and European law applicable to European stock corporations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30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sectPr>
          <w:pgSz w:w="11900" w:h="16840" w:orient="portrait"/>
          <w:cols w:equalWidth="0" w:num="1">
            <w:col w:w="9020"/>
          </w:cols>
          <w:pgMar w:left="1440" w:top="560" w:right="1440" w:bottom="198" w:gutter="0" w:footer="0" w:header="0"/>
        </w:sectPr>
      </w:pPr>
    </w:p>
    <w:p>
      <w:pPr>
        <w:ind w:left="1120"/>
        <w:spacing w:after="0"/>
        <w:rPr>
          <w:rFonts w:ascii="Arial" w:cs="Arial" w:eastAsia="Arial" w:hAnsi="Arial"/>
          <w:sz w:val="9"/>
          <w:szCs w:val="9"/>
          <w:b w:val="1"/>
          <w:bCs w:val="1"/>
          <w:color w:val="005A64"/>
        </w:rPr>
      </w:pPr>
      <w:hyperlink w:anchor="page3">
        <w:r>
          <w:rPr>
            <w:rFonts w:ascii="Arial" w:cs="Arial" w:eastAsia="Arial" w:hAnsi="Arial"/>
            <w:sz w:val="9"/>
            <w:szCs w:val="9"/>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37465</wp:posOffset>
            </wp:positionV>
            <wp:extent cx="523113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560" w:right="1440" w:bottom="198" w:gutter="0" w:footer="0" w:header="0"/>
          <w:type w:val="continuous"/>
        </w:sectPr>
      </w:pPr>
    </w:p>
    <w:bookmarkStart w:id="22" w:name="page23"/>
    <w:bookmarkEnd w:id="22"/>
    <w:p>
      <w:pPr>
        <w:ind w:left="380" w:right="2120"/>
        <w:spacing w:after="0" w:line="213" w:lineRule="auto"/>
        <w:rPr>
          <w:sz w:val="20"/>
          <w:szCs w:val="20"/>
          <w:color w:val="auto"/>
        </w:rPr>
      </w:pPr>
      <w:r>
        <w:rPr>
          <w:rFonts w:ascii="Arial" w:cs="Arial" w:eastAsia="Arial" w:hAnsi="Arial"/>
          <w:sz w:val="13"/>
          <w:szCs w:val="13"/>
          <w:color w:val="auto"/>
        </w:rPr>
        <w:t>general, the German Stock Corporation Act (Aktiengesetz), the Council Regulation (EC) No 2157/2001 of October 8, 2001 on the Statute for a European company (SE), or the SE Regulation, and the German Act on the Implementation of Council Regulation (EC) No 2157/2001 of October 8, 2001 on the Statute for a European company (SE) (Gesetz zur Ausführung der Verordnung (EG) NR. 2157/2001 des Rates vom 8. Oktober 2001 über das Statut der Europäischen Gesellschaft (SE)) (SE-Ausführungsgesetz-SEAG), in particular with regard to certain aspects of corporate governance. This allows us to follow certain corporate governance practices that differ in significant respects from the corporate governance requirements applicable to U.S. companies listed on Nasdaq.</w:t>
      </w:r>
    </w:p>
    <w:p>
      <w:pPr>
        <w:ind w:left="380"/>
        <w:spacing w:after="0" w:line="213" w:lineRule="auto"/>
        <w:rPr>
          <w:sz w:val="20"/>
          <w:szCs w:val="20"/>
          <w:color w:val="auto"/>
        </w:rPr>
      </w:pPr>
      <w:r>
        <w:rPr>
          <w:rFonts w:ascii="Arial" w:cs="Arial" w:eastAsia="Arial" w:hAnsi="Arial"/>
          <w:sz w:val="13"/>
          <w:szCs w:val="13"/>
          <w:color w:val="auto"/>
        </w:rPr>
        <w:t>For example, we are exempt from regulations of Nasdaq that require a listed U.S. company to:</w:t>
      </w:r>
    </w:p>
    <w:p>
      <w:pPr>
        <w:ind w:left="380"/>
        <w:spacing w:after="0" w:line="211" w:lineRule="auto"/>
        <w:rPr>
          <w:sz w:val="20"/>
          <w:szCs w:val="20"/>
          <w:color w:val="auto"/>
        </w:rPr>
      </w:pPr>
      <w:r>
        <w:rPr>
          <w:rFonts w:ascii="Arial" w:cs="Arial" w:eastAsia="Arial" w:hAnsi="Arial"/>
          <w:sz w:val="13"/>
          <w:szCs w:val="13"/>
          <w:color w:val="auto"/>
        </w:rPr>
        <w:t>•have a majority of the board of directors consist of independent directors;</w:t>
      </w:r>
    </w:p>
    <w:p>
      <w:pPr>
        <w:ind w:left="380"/>
        <w:spacing w:after="0" w:line="211" w:lineRule="auto"/>
        <w:rPr>
          <w:sz w:val="20"/>
          <w:szCs w:val="20"/>
          <w:color w:val="auto"/>
        </w:rPr>
      </w:pPr>
      <w:r>
        <w:rPr>
          <w:rFonts w:ascii="Arial" w:cs="Arial" w:eastAsia="Arial" w:hAnsi="Arial"/>
          <w:sz w:val="13"/>
          <w:szCs w:val="13"/>
          <w:color w:val="auto"/>
        </w:rPr>
        <w:t>•require non-management directors to meet on a regular basis without management present;</w:t>
      </w:r>
    </w:p>
    <w:p>
      <w:pPr>
        <w:ind w:left="380"/>
        <w:spacing w:after="0" w:line="211" w:lineRule="auto"/>
        <w:rPr>
          <w:sz w:val="20"/>
          <w:szCs w:val="20"/>
          <w:color w:val="auto"/>
        </w:rPr>
      </w:pPr>
      <w:r>
        <w:rPr>
          <w:rFonts w:ascii="Arial" w:cs="Arial" w:eastAsia="Arial" w:hAnsi="Arial"/>
          <w:sz w:val="13"/>
          <w:szCs w:val="13"/>
          <w:color w:val="auto"/>
        </w:rPr>
        <w:t>•adopt a code of conduct and promptly disclose any waivers of the code for directors or executive officers</w:t>
      </w:r>
    </w:p>
    <w:p>
      <w:pPr>
        <w:ind w:left="380"/>
        <w:spacing w:after="0" w:line="211" w:lineRule="auto"/>
        <w:rPr>
          <w:sz w:val="20"/>
          <w:szCs w:val="20"/>
          <w:color w:val="auto"/>
        </w:rPr>
      </w:pPr>
      <w:r>
        <w:rPr>
          <w:rFonts w:ascii="Arial" w:cs="Arial" w:eastAsia="Arial" w:hAnsi="Arial"/>
          <w:sz w:val="13"/>
          <w:szCs w:val="13"/>
          <w:color w:val="auto"/>
        </w:rPr>
        <w:t>that should address certain specified items;</w:t>
      </w:r>
    </w:p>
    <w:p>
      <w:pPr>
        <w:ind w:left="380"/>
        <w:spacing w:after="0" w:line="211" w:lineRule="auto"/>
        <w:rPr>
          <w:sz w:val="20"/>
          <w:szCs w:val="20"/>
          <w:color w:val="auto"/>
        </w:rPr>
      </w:pPr>
      <w:r>
        <w:rPr>
          <w:rFonts w:ascii="Arial" w:cs="Arial" w:eastAsia="Arial" w:hAnsi="Arial"/>
          <w:sz w:val="13"/>
          <w:szCs w:val="13"/>
          <w:color w:val="auto"/>
        </w:rPr>
        <w:t>•have an independent compensation committee;</w:t>
      </w:r>
    </w:p>
    <w:p>
      <w:pPr>
        <w:ind w:left="380"/>
        <w:spacing w:after="0" w:line="211" w:lineRule="auto"/>
        <w:rPr>
          <w:sz w:val="20"/>
          <w:szCs w:val="20"/>
          <w:color w:val="auto"/>
        </w:rPr>
      </w:pPr>
      <w:r>
        <w:rPr>
          <w:rFonts w:ascii="Arial" w:cs="Arial" w:eastAsia="Arial" w:hAnsi="Arial"/>
          <w:sz w:val="13"/>
          <w:szCs w:val="13"/>
          <w:color w:val="auto"/>
        </w:rPr>
        <w:t>•have an independent nominating committee;</w:t>
      </w:r>
    </w:p>
    <w:p>
      <w:pPr>
        <w:ind w:left="380"/>
        <w:spacing w:after="0" w:line="211" w:lineRule="auto"/>
        <w:rPr>
          <w:sz w:val="20"/>
          <w:szCs w:val="20"/>
          <w:color w:val="auto"/>
        </w:rPr>
      </w:pPr>
      <w:r>
        <w:rPr>
          <w:rFonts w:ascii="Arial" w:cs="Arial" w:eastAsia="Arial" w:hAnsi="Arial"/>
          <w:sz w:val="13"/>
          <w:szCs w:val="13"/>
          <w:color w:val="auto"/>
        </w:rPr>
        <w:t>•solicit proxies and provide proxy statements for all shareholder meetings;</w:t>
      </w:r>
    </w:p>
    <w:p>
      <w:pPr>
        <w:ind w:left="380"/>
        <w:spacing w:after="0" w:line="211" w:lineRule="auto"/>
        <w:rPr>
          <w:sz w:val="20"/>
          <w:szCs w:val="20"/>
          <w:color w:val="auto"/>
        </w:rPr>
      </w:pPr>
      <w:r>
        <w:rPr>
          <w:rFonts w:ascii="Arial" w:cs="Arial" w:eastAsia="Arial" w:hAnsi="Arial"/>
          <w:sz w:val="13"/>
          <w:szCs w:val="13"/>
          <w:color w:val="auto"/>
        </w:rPr>
        <w:t>•review related party transactions; and</w:t>
      </w:r>
    </w:p>
    <w:p>
      <w:pPr>
        <w:ind w:left="380" w:right="2520"/>
        <w:spacing w:after="0" w:line="210" w:lineRule="auto"/>
        <w:rPr>
          <w:sz w:val="20"/>
          <w:szCs w:val="20"/>
          <w:color w:val="auto"/>
        </w:rPr>
      </w:pPr>
      <w:r>
        <w:rPr>
          <w:rFonts w:ascii="Arial" w:cs="Arial" w:eastAsia="Arial" w:hAnsi="Arial"/>
          <w:sz w:val="13"/>
          <w:szCs w:val="13"/>
          <w:color w:val="auto"/>
        </w:rPr>
        <w:t>•seek shareholder approval for the implementation of certain equity compensation plans and issuances of ordinary shares.</w:t>
      </w:r>
    </w:p>
    <w:p>
      <w:pPr>
        <w:spacing w:after="0" w:line="1"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As a foreign private issuer, we are permitted to follow home country practice in lieu of the above requirements. We therefore continue to follow German corporate governance practices in lieu of the corporate governance requirements of Nasdaq in certain respects. In particular, we follow German corporate governance practices in connection with the distribution of annual and interim reports to shareholders, the application of our code of conduct to our employees and the Supervisory Board, executive remuneration disclosure, proxy solicitation in connection with shareholders’ meetings, and obtaining shareholder approval in connection with the establishment of, or material amendment to, certain equity-based compensation plans.</w:t>
      </w:r>
    </w:p>
    <w:p>
      <w:pPr>
        <w:spacing w:after="0" w:line="4"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Our audit committee is required to comply with the provisions of Section 301 of the Sarbanes-Oxley Act and Rule 10A-3 of the Exchange Act, both of which are also applicable to U.S. companies listed on Nasdaq. As we are a foreign private issuer, however, our audit committee is not subject to additional requirements of Nasdaq applicable to listed U.S. companies, including an affirmative determination that all members of the audit committee are “independent,” using more stringent criteria than those applicable to us as a foreign private issuer. Due to the above exemptions for foreign private issuers, our shareholders will not be afforded the same protections or information generally available to investors holding shares in public companies organized in the United States, some investors may find the ADSs less attractive as a result, and there may be a less active trading market for the ADSs.</w:t>
      </w:r>
    </w:p>
    <w:p>
      <w:pPr>
        <w:spacing w:after="0" w:line="5" w:lineRule="exact"/>
        <w:rPr>
          <w:sz w:val="20"/>
          <w:szCs w:val="20"/>
          <w:color w:val="auto"/>
        </w:rPr>
      </w:pPr>
    </w:p>
    <w:p>
      <w:pPr>
        <w:jc w:val="both"/>
        <w:ind w:left="380" w:right="2160"/>
        <w:spacing w:after="0" w:line="210" w:lineRule="auto"/>
        <w:rPr>
          <w:sz w:val="20"/>
          <w:szCs w:val="20"/>
          <w:color w:val="auto"/>
        </w:rPr>
      </w:pPr>
      <w:r>
        <w:rPr>
          <w:rFonts w:ascii="Arial" w:cs="Arial" w:eastAsia="Arial" w:hAnsi="Arial"/>
          <w:sz w:val="13"/>
          <w:szCs w:val="13"/>
          <w:b w:val="1"/>
          <w:bCs w:val="1"/>
          <w:color w:val="005A64"/>
        </w:rPr>
        <w:t>We face risks related to catastrophic global events including natural disasters, political crises, or public health epidemics and pandemics and other public health developments, that could adversely affect our operations.</w:t>
      </w:r>
    </w:p>
    <w:p>
      <w:pPr>
        <w:spacing w:after="0" w:line="2" w:lineRule="exact"/>
        <w:rPr>
          <w:sz w:val="20"/>
          <w:szCs w:val="20"/>
          <w:color w:val="auto"/>
        </w:rPr>
      </w:pPr>
    </w:p>
    <w:p>
      <w:pPr>
        <w:ind w:left="380" w:right="2200"/>
        <w:spacing w:after="0" w:line="226" w:lineRule="auto"/>
        <w:rPr>
          <w:sz w:val="20"/>
          <w:szCs w:val="20"/>
          <w:color w:val="auto"/>
        </w:rPr>
      </w:pPr>
      <w:r>
        <w:rPr>
          <w:rFonts w:ascii="Arial" w:cs="Arial" w:eastAsia="Arial" w:hAnsi="Arial"/>
          <w:sz w:val="13"/>
          <w:szCs w:val="13"/>
          <w:color w:val="auto"/>
        </w:rPr>
        <w:t>Our business could be adversely impacted by the effects of catastrophic global events, including natural disasters such as an earthquake, fire, hurricane, tornado, flood or significant power outage; public health crises such as the COVID-19 pandemic; political crises, such as terrorist attacks, war and other political instability,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31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line="212" w:lineRule="auto"/>
        <w:rPr>
          <w:sz w:val="20"/>
          <w:szCs w:val="20"/>
          <w:color w:val="auto"/>
        </w:rPr>
      </w:pPr>
      <w:r>
        <w:rPr>
          <w:rFonts w:ascii="Arial" w:cs="Arial" w:eastAsia="Arial" w:hAnsi="Arial"/>
          <w:sz w:val="13"/>
          <w:szCs w:val="13"/>
          <w:color w:val="auto"/>
        </w:rPr>
        <w:t>including the ongoing geopolitical conflicts in eastern Africa, the Middle East and Ukraine, and resulting sanctions imposed and retaliatory actions taken in response to such sanctions; or other catastrophic events. For example, prolonged or expanded conflicts, and political responses to global actions, could destabilize oil and gas supply and demand patterns, increase energy volatility and have severe adverse effects on regional and global supply chains and economies and our business. Our commercial production of our COVID -19 vaccine is currently run on natural gas, although we believe our production could be powered by alternative fuel sources if needed. We also continue to evaluate the impacts that energy shortages may have on our partners, suppliers and service providers. Were any of these parties to experience significant impacts from this or any other energy shortage, our business could be materially harmed. We cannot predict with certainty the impact that volatility in energy prices could have on our or their operations, including on the manufacturing of our COVID-19 vaccine and the manufacturing and testing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-915670</wp:posOffset>
            </wp:positionV>
            <wp:extent cx="523113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color w:val="auto"/>
        </w:rPr>
        <w:t>Although we have generated revenues from sales of our COVID-19 vaccine, there remains uncertainty regarding other potential effects of COVID-19 on our business. For example, if a new variant of COVID-19 emerges for which existing vaccines, including our COVID-19 vaccine, are ineffective, infections may become even more widespread, negatively impact our ability to enroll patients in clinical studies and complete clinical trials on the timelines we currently anticipate, or result in an economic downturn that could affect demand for our products and services or our ability to raise capital, which could have a material adverse effect on our business, operating results and financial condition. Our suppliers, licensors or collaborators could also be disrupted by conditions related to COVID-19 or other pandemics and epidemics, possibly resulting in disruption to our supply chain, clinical trials, partnerships or operations.</w:t>
      </w:r>
    </w:p>
    <w:p>
      <w:pPr>
        <w:spacing w:after="0" w:line="5" w:lineRule="exact"/>
        <w:rPr>
          <w:sz w:val="20"/>
          <w:szCs w:val="20"/>
          <w:color w:val="auto"/>
        </w:rPr>
      </w:pPr>
    </w:p>
    <w:p>
      <w:pPr>
        <w:ind w:left="380" w:right="2340"/>
        <w:spacing w:after="0" w:line="210" w:lineRule="auto"/>
        <w:rPr>
          <w:sz w:val="20"/>
          <w:szCs w:val="20"/>
          <w:color w:val="auto"/>
        </w:rPr>
      </w:pPr>
      <w:r>
        <w:rPr>
          <w:rFonts w:ascii="Arial" w:cs="Arial" w:eastAsia="Arial" w:hAnsi="Arial"/>
          <w:sz w:val="13"/>
          <w:szCs w:val="13"/>
          <w:b w:val="1"/>
          <w:bCs w:val="1"/>
          <w:color w:val="005A64"/>
        </w:rPr>
        <w:t>Our insurance policies are expensive and protect us only from some business risks, which leaves us exposed to significant uninsured liabilities.</w:t>
      </w:r>
    </w:p>
    <w:p>
      <w:pPr>
        <w:spacing w:after="0" w:line="1"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We do not carry insurance for all categories of risk that our business may encounter and insurance coverage is becoming increasingly expensive. We do not know if we will be able to maintain existing insurance with adequate levels of coverage, and any liability insurance coverage we acquire in the future may not be sufficient to reimburse us for any expenses or losses we may suffer. We currently maintain insurance coverage for losses relating to property damage, business interruption, transportation, product liability, cyber matters, clinical trials, and several other areas of coverage. For example, attracting and retaining qualified individuals to serve on our Supervisory Board and our Management Board requires that we obtain and maintain adequate director and officer liability insurance, which has increased in cost as our operations have evolved. We are dedicating resources to exploring additional avenues for more adequate coverage as our business evolves. However, the coverage or coverage limits of our insurance policies may not be adequate. If our losses exceed our insurance coverage, our financial condition would be adversely affected. In the event of contamination or injury, we could be held liable for damages or be penalized with fines in an amount exceeding our resources. Clinical trials or regulatory approvals for any of our product candidates could be suspended, which could adversely affect our results of operations and business, including by preventing or limiting the development and commercialization of any product candidates that we or our collaborators may develop.</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Additionally, operating as a public company has made it more expensive for us to obtain director and officer</w:t>
      </w:r>
    </w:p>
    <w:p>
      <w:pPr>
        <w:sectPr>
          <w:pgSz w:w="11900" w:h="16840" w:orient="portrait"/>
          <w:cols w:equalWidth="0" w:num="1">
            <w:col w:w="9020"/>
          </w:cols>
          <w:pgMar w:left="1440" w:top="560" w:right="1440" w:bottom="48" w:gutter="0" w:footer="0" w:header="0"/>
        </w:sectPr>
      </w:pPr>
    </w:p>
    <w:bookmarkStart w:id="23" w:name="page24"/>
    <w:bookmarkEnd w:id="23"/>
    <w:p>
      <w:pPr>
        <w:ind w:left="380" w:right="2160"/>
        <w:spacing w:after="0" w:line="220" w:lineRule="auto"/>
        <w:rPr>
          <w:sz w:val="20"/>
          <w:szCs w:val="20"/>
          <w:color w:val="auto"/>
        </w:rPr>
      </w:pPr>
      <w:r>
        <w:rPr>
          <w:rFonts w:ascii="Arial" w:cs="Arial" w:eastAsia="Arial" w:hAnsi="Arial"/>
          <w:sz w:val="13"/>
          <w:szCs w:val="13"/>
          <w:color w:val="auto"/>
        </w:rPr>
        <w:t>liability insurance. As a result, it may be more difficult for us to attract and retain qualified individuals to serve on our Supervisory Board, our Management Board, or our board committees.</w:t>
      </w:r>
    </w:p>
    <w:p>
      <w:pPr>
        <w:spacing w:after="0" w:line="1"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b w:val="1"/>
          <w:bCs w:val="1"/>
          <w:color w:val="005A64"/>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2"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w:t>
      </w:r>
    </w:p>
    <w:p>
      <w:pPr>
        <w:spacing w:after="0" w:line="2" w:lineRule="exact"/>
        <w:rPr>
          <w:sz w:val="20"/>
          <w:szCs w:val="20"/>
          <w:color w:val="auto"/>
        </w:rPr>
      </w:pPr>
    </w:p>
    <w:p>
      <w:pPr>
        <w:jc w:val="both"/>
        <w:ind w:left="380" w:right="2320"/>
        <w:spacing w:after="0" w:line="226" w:lineRule="auto"/>
        <w:rPr>
          <w:sz w:val="20"/>
          <w:szCs w:val="20"/>
          <w:color w:val="auto"/>
        </w:rPr>
      </w:pPr>
      <w:r>
        <w:rPr>
          <w:rFonts w:ascii="Arial" w:cs="Arial" w:eastAsia="Arial" w:hAnsi="Arial"/>
          <w:sz w:val="13"/>
          <w:szCs w:val="13"/>
          <w:color w:val="auto"/>
        </w:rPr>
        <w:t>There is no guarantee that the U.S. Department of Treasury, the Federal Deposit Insurance Corporation, and Federal Reserve Board will provide access to uninsured funds in a timely fashion, or at all, in the event of the closure of banks or financial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32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40"/>
        <w:spacing w:after="0" w:line="212" w:lineRule="auto"/>
        <w:rPr>
          <w:sz w:val="20"/>
          <w:szCs w:val="20"/>
          <w:color w:val="auto"/>
        </w:rPr>
      </w:pPr>
      <w:r>
        <w:rPr>
          <w:rFonts w:ascii="Arial" w:cs="Arial" w:eastAsia="Arial" w:hAnsi="Arial"/>
          <w:sz w:val="13"/>
          <w:szCs w:val="13"/>
          <w:color w:val="auto"/>
        </w:rPr>
        <w:t>While we maintain our cash and cash equivalents in multiple financial institutions worldwide, 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-831850</wp:posOffset>
            </wp:positionV>
            <wp:extent cx="523113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9" w:lineRule="auto"/>
        <w:rPr>
          <w:sz w:val="20"/>
          <w:szCs w:val="20"/>
          <w:color w:val="auto"/>
        </w:rPr>
      </w:pPr>
      <w:r>
        <w:rPr>
          <w:rFonts w:ascii="Arial" w:cs="Arial" w:eastAsia="Arial" w:hAnsi="Arial"/>
          <w:sz w:val="13"/>
          <w:szCs w:val="13"/>
          <w:b w:val="1"/>
          <w:bCs w:val="1"/>
          <w:color w:val="005A64"/>
        </w:rPr>
        <w:t>Risks Related to our Business</w:t>
      </w:r>
    </w:p>
    <w:p>
      <w:pPr>
        <w:spacing w:after="0" w:line="1"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b w:val="1"/>
          <w:bCs w:val="1"/>
          <w:color w:val="005A64"/>
        </w:rPr>
        <w:t>Our business is dependent on the successful development, regulatory approval and commercialization of product candidates based on our technology platforms. If we and our collaborators are unable to obtain approval for and effectively commercialize our product candidates for the treatment of patients in their intended indications, our business would be significantly harmed.</w:t>
      </w:r>
    </w:p>
    <w:p>
      <w:pPr>
        <w:spacing w:after="0" w:line="2" w:lineRule="exact"/>
        <w:rPr>
          <w:sz w:val="20"/>
          <w:szCs w:val="20"/>
          <w:color w:val="auto"/>
        </w:rPr>
      </w:pPr>
    </w:p>
    <w:p>
      <w:pPr>
        <w:ind w:left="380" w:right="2100"/>
        <w:spacing w:after="0" w:line="228" w:lineRule="auto"/>
        <w:rPr>
          <w:sz w:val="20"/>
          <w:szCs w:val="20"/>
          <w:color w:val="auto"/>
        </w:rPr>
      </w:pPr>
      <w:r>
        <w:rPr>
          <w:rFonts w:ascii="Arial" w:cs="Arial" w:eastAsia="Arial" w:hAnsi="Arial"/>
          <w:sz w:val="13"/>
          <w:szCs w:val="13"/>
          <w:color w:val="auto"/>
        </w:rPr>
        <w:t>Even if we complete the necessary preclinical studies and clinical trials, the marketing approval process is expensive, time-consuming and uncertain, and we may not be able to obtain approvals for the commercialization of product candidates we may develop. Any product candidates we may develop and the activities associated with their development and commercialization, including design, testing, manufacture, recordkeeping, labeling, storage, approval, advertising, promotion, sale and distribution, are subject to comprehensive regulation by the FDA and by comparable global health authorities. To obtain the requisite regulatory approvals required to commercialize any of our product candidates, we and our collaborators must demonstrate through extensive preclinical studies and clinical trials that our product candidates are safe and effective for their intended use in the relevant target population. Successful completion of clinical trials is a prerequisite to submitting a biologics license application, or BLA, or a new drug application, or NDA, to the FDA, a Marketing Authorization Application, or MAA, to the EMA, and similar marketing applications to comparable global regulatory authorities, for each product candidate and, consequently, the ultimate approval and commercial marketing of any product candidates.</w:t>
      </w:r>
    </w:p>
    <w:p>
      <w:pPr>
        <w:spacing w:after="0" w:line="4"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Failure to obtain marketing approval for a product candidate will prevent us from commercializing the product candidate in a given jurisdiction. Although our COVID-19 vaccine has received emergency use authorization and/or regulatory approvals in certain countries, it is possible that none of our other product candidates, or any product candidates we may seek to develop in the future, will ever obtain regulatory approval. We have limited experience in filing and supporting the applications necessary to gain marketing approvals and may need to rely on third-party contract research organizations, or CROs, regulatory consultants or collaborators to assist us in this process. We expect to submit initial BLAs/MAAs for our mRNA-based product candidates in the United States, the European Union and in other countries globally. In some of these jurisdictions, mRNA-based medicinal products may be classified in different ways and may be subject to specific requirements. Securing regulatory approval requires the submission of extensive quality,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Benefit and risk are regularly assessed, and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0" w:lineRule="exact"/>
        <w:rPr>
          <w:sz w:val="20"/>
          <w:szCs w:val="20"/>
          <w:color w:val="auto"/>
        </w:rPr>
      </w:pPr>
    </w:p>
    <w:p>
      <w:pPr>
        <w:ind w:left="380" w:right="2100"/>
        <w:spacing w:after="0" w:line="216" w:lineRule="auto"/>
        <w:rPr>
          <w:sz w:val="20"/>
          <w:szCs w:val="20"/>
          <w:color w:val="auto"/>
        </w:rPr>
      </w:pPr>
      <w:r>
        <w:rPr>
          <w:rFonts w:ascii="Arial" w:cs="Arial" w:eastAsia="Arial" w:hAnsi="Arial"/>
          <w:sz w:val="13"/>
          <w:szCs w:val="13"/>
          <w:color w:val="auto"/>
        </w:rPr>
        <w:t>The process of obtaining marketing approvals in the United States, the European Union and elsewhere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and standards of care during the development period, changes in or the enactment of additional statutes or regulations, or changes in regulatory review for each submitted product application may cause delays in the approval or rejection of an application. The FDA, EMA and comparable regulatory authorities in other countries have substantial discretion in the approval process and may refuse to accept any application or may decide that the data are insufficient for approval and require</w:t>
      </w:r>
    </w:p>
    <w:p>
      <w:pPr>
        <w:sectPr>
          <w:pgSz w:w="11900" w:h="16840" w:orient="portrait"/>
          <w:cols w:equalWidth="0" w:num="1">
            <w:col w:w="9020"/>
          </w:cols>
          <w:pgMar w:left="1440" w:top="560" w:right="1440" w:bottom="1440" w:gutter="0" w:footer="0" w:header="0"/>
        </w:sectPr>
      </w:pPr>
    </w:p>
    <w:bookmarkStart w:id="24" w:name="page25"/>
    <w:bookmarkEnd w:id="24"/>
    <w:p>
      <w:pPr>
        <w:ind w:left="380"/>
        <w:spacing w:after="0"/>
        <w:rPr>
          <w:sz w:val="20"/>
          <w:szCs w:val="20"/>
          <w:color w:val="auto"/>
        </w:rPr>
      </w:pPr>
      <w:r>
        <w:rPr>
          <w:rFonts w:ascii="Arial" w:cs="Arial" w:eastAsia="Arial" w:hAnsi="Arial"/>
          <w:sz w:val="13"/>
          <w:szCs w:val="13"/>
          <w:color w:val="auto"/>
        </w:rPr>
        <w:t>33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080"/>
        <w:spacing w:after="0" w:line="212" w:lineRule="auto"/>
        <w:rPr>
          <w:sz w:val="20"/>
          <w:szCs w:val="20"/>
          <w:color w:val="auto"/>
        </w:rPr>
      </w:pPr>
      <w:r>
        <w:rPr>
          <w:rFonts w:ascii="Arial" w:cs="Arial" w:eastAsia="Arial" w:hAnsi="Arial"/>
          <w:sz w:val="13"/>
          <w:szCs w:val="13"/>
          <w:color w:val="auto"/>
        </w:rPr>
        <w:t>additional preclinical, clinical or other trials.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Additional delays or non-approval may result if an FDA panel of experts, referred to as an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 Officials appointed by the new U.S. presidential administration to oversee the agencies involved with approval of drugs and biologics may seek to change regulatory requirements for approval or the approach to reviewing applications. Together with changes of regulatory policy priorities and allocated resources, this could cause further delays, expense or non-approvals. Regulatory agencies also may approve a product candidate for fewer or more limited indications or patient populations than requested or may grant approval subject to the conduct of post-marketing studies. In addition, regulatory agencies may not approve the labeling claims that are necessary or desirable for the successful commercialization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-1250950</wp:posOffset>
            </wp:positionV>
            <wp:extent cx="523113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080"/>
        <w:spacing w:after="0" w:line="210" w:lineRule="auto"/>
        <w:rPr>
          <w:sz w:val="20"/>
          <w:szCs w:val="20"/>
          <w:color w:val="auto"/>
        </w:rPr>
      </w:pPr>
      <w:r>
        <w:rPr>
          <w:rFonts w:ascii="Arial" w:cs="Arial" w:eastAsia="Arial" w:hAnsi="Arial"/>
          <w:sz w:val="13"/>
          <w:szCs w:val="13"/>
          <w:color w:val="auto"/>
        </w:rPr>
        <w:t>The FDA, EMA and other regulatory agencies review the Quality or Chemistry, Manufacturing and Controls, or CMC, section of regulatory filings. Any aspects found unsatisfactory by regulatory agencies may result in delays in clinical trials and commercialization. In addition, the regulatory agencies typically conduct pre-approval inspections at the time of a BLA, MAA or comparable filing. Any findings by regulatory agencies and failure to comply with requirements may lead to delay in approval and failure to commercialize the potential mRNA product candidate.</w:t>
      </w:r>
    </w:p>
    <w:p>
      <w:pPr>
        <w:spacing w:after="0" w:line="4"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If we experience delays in obtaining, or if we fail to obtain, approval of any product candidates we may develop, the commercial prospects for those product candidates will be harmed, and our ability to generate revenues will be materially impaired. Additionally, even if we are successful in obtaining marketing approval for product candidates, because our preclinical studies and clinical trials have not been designed with specific commercialization considerations, the commercial prospects for those product candidates could be harmed, and our ability to generate revenues could be materially impaired.</w:t>
      </w:r>
    </w:p>
    <w:p>
      <w:pPr>
        <w:spacing w:after="0" w:line="4" w:lineRule="exact"/>
        <w:rPr>
          <w:sz w:val="20"/>
          <w:szCs w:val="20"/>
          <w:color w:val="auto"/>
        </w:rPr>
      </w:pPr>
    </w:p>
    <w:p>
      <w:pPr>
        <w:ind w:left="380" w:right="2360"/>
        <w:spacing w:after="0" w:line="210" w:lineRule="auto"/>
        <w:rPr>
          <w:sz w:val="20"/>
          <w:szCs w:val="20"/>
          <w:color w:val="auto"/>
        </w:rPr>
      </w:pPr>
      <w:r>
        <w:rPr>
          <w:rFonts w:ascii="Arial" w:cs="Arial" w:eastAsia="Arial" w:hAnsi="Arial"/>
          <w:sz w:val="13"/>
          <w:szCs w:val="13"/>
          <w:b w:val="1"/>
          <w:bCs w:val="1"/>
          <w:color w:val="005A64"/>
        </w:rPr>
        <w:t>mRNA drug development carries substantial clinical development and regulatory risks due to limited regulatory experience with mRNA immunotherapies.</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To our knowledge, other than our and Moderna, Inc.’s COVID-19 vaccines, no mRNA immunotherapies have been approved or received emergency use authorization or conditional marketing authorization to date by the FDA or the EMA. Successful discovery and development of mRNA-based (and other) immunotherapies by either us or our collaborators is highly uncertain and depends on numerous factors, many of which are beyond our or their control. Our product candidates that appear promising in the early phases of development may fail to advance, experience delays in the clinic or clinical holds, or fail to reach the market for many reasons, including: •discovery efforts aimed at identifying potential immunotherapies may not be successful;</w:t>
      </w:r>
    </w:p>
    <w:p>
      <w:pPr>
        <w:spacing w:after="0" w:line="4"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•nonclinical or preclinical study results may show product candidates to be less effective than desired or have harmful or problematic side effects;</w:t>
      </w:r>
    </w:p>
    <w:p>
      <w:pPr>
        <w:ind w:left="380"/>
        <w:spacing w:after="0" w:line="212" w:lineRule="auto"/>
        <w:rPr>
          <w:sz w:val="20"/>
          <w:szCs w:val="20"/>
          <w:color w:val="auto"/>
        </w:rPr>
      </w:pPr>
      <w:r>
        <w:rPr>
          <w:rFonts w:ascii="Arial" w:cs="Arial" w:eastAsia="Arial" w:hAnsi="Arial"/>
          <w:sz w:val="13"/>
          <w:szCs w:val="13"/>
          <w:color w:val="auto"/>
        </w:rPr>
        <w:t>•clinical trial results may show the product candidates to be less effective than expected, including a</w:t>
      </w:r>
    </w:p>
    <w:p>
      <w:pPr>
        <w:ind w:left="380"/>
        <w:spacing w:after="0" w:line="211" w:lineRule="auto"/>
        <w:rPr>
          <w:sz w:val="20"/>
          <w:szCs w:val="20"/>
          <w:color w:val="auto"/>
        </w:rPr>
      </w:pPr>
      <w:r>
        <w:rPr>
          <w:rFonts w:ascii="Arial" w:cs="Arial" w:eastAsia="Arial" w:hAnsi="Arial"/>
          <w:sz w:val="13"/>
          <w:szCs w:val="13"/>
          <w:color w:val="auto"/>
        </w:rPr>
        <w:t>failure to meet one or more endpoints or have unacceptable side effects or toxicities;</w:t>
      </w:r>
    </w:p>
    <w:p>
      <w:pPr>
        <w:ind w:left="380"/>
        <w:spacing w:after="0" w:line="211" w:lineRule="auto"/>
        <w:rPr>
          <w:sz w:val="20"/>
          <w:szCs w:val="20"/>
          <w:color w:val="auto"/>
        </w:rPr>
      </w:pPr>
      <w:r>
        <w:rPr>
          <w:rFonts w:ascii="Arial" w:cs="Arial" w:eastAsia="Arial" w:hAnsi="Arial"/>
          <w:sz w:val="13"/>
          <w:szCs w:val="13"/>
          <w:color w:val="auto"/>
        </w:rPr>
        <w:t>•manufacturing or distribution failures or insufficient supply of GMP materials for clinical trials or higher</w:t>
      </w:r>
    </w:p>
    <w:p>
      <w:pPr>
        <w:ind w:left="380"/>
        <w:spacing w:after="0" w:line="211" w:lineRule="auto"/>
        <w:rPr>
          <w:sz w:val="20"/>
          <w:szCs w:val="20"/>
          <w:color w:val="auto"/>
        </w:rPr>
      </w:pPr>
      <w:r>
        <w:rPr>
          <w:rFonts w:ascii="Arial" w:cs="Arial" w:eastAsia="Arial" w:hAnsi="Arial"/>
          <w:sz w:val="13"/>
          <w:szCs w:val="13"/>
          <w:color w:val="auto"/>
        </w:rPr>
        <w:t>than expected cost could delay or set back clinical trials, or make our product candidates commercially</w:t>
      </w:r>
    </w:p>
    <w:p>
      <w:pPr>
        <w:ind w:left="380"/>
        <w:spacing w:after="0" w:line="211" w:lineRule="auto"/>
        <w:rPr>
          <w:sz w:val="20"/>
          <w:szCs w:val="20"/>
          <w:color w:val="auto"/>
        </w:rPr>
      </w:pPr>
      <w:r>
        <w:rPr>
          <w:rFonts w:ascii="Arial" w:cs="Arial" w:eastAsia="Arial" w:hAnsi="Arial"/>
          <w:sz w:val="13"/>
          <w:szCs w:val="13"/>
          <w:color w:val="auto"/>
        </w:rPr>
        <w:t>unattractive;</w:t>
      </w:r>
    </w:p>
    <w:p>
      <w:pPr>
        <w:ind w:left="380" w:right="3080"/>
        <w:spacing w:after="0" w:line="234" w:lineRule="auto"/>
        <w:rPr>
          <w:sz w:val="20"/>
          <w:szCs w:val="20"/>
          <w:color w:val="auto"/>
        </w:rPr>
      </w:pPr>
      <w:r>
        <w:rPr>
          <w:rFonts w:ascii="Arial" w:cs="Arial" w:eastAsia="Arial" w:hAnsi="Arial"/>
          <w:sz w:val="13"/>
          <w:szCs w:val="13"/>
          <w:color w:val="auto"/>
        </w:rPr>
        <w:t>•our improvements in the manufacturing processes may not be sufficient to satisfy the clinical or commercial demand of our product candidates or regulatory requirements for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34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800"/>
        <w:spacing w:after="0" w:line="220" w:lineRule="auto"/>
        <w:rPr>
          <w:sz w:val="20"/>
          <w:szCs w:val="20"/>
          <w:color w:val="auto"/>
        </w:rPr>
      </w:pPr>
      <w:r>
        <w:rPr>
          <w:rFonts w:ascii="Arial" w:cs="Arial" w:eastAsia="Arial" w:hAnsi="Arial"/>
          <w:sz w:val="13"/>
          <w:szCs w:val="13"/>
          <w:color w:val="auto"/>
        </w:rPr>
        <w:t>•changes that we make to optimize our manufacturing, testing or formulating of GMP materials could impact the safety, tolerability and efficacy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660"/>
        <w:spacing w:after="0" w:line="210" w:lineRule="auto"/>
        <w:rPr>
          <w:sz w:val="20"/>
          <w:szCs w:val="20"/>
          <w:color w:val="auto"/>
        </w:rPr>
      </w:pPr>
      <w:r>
        <w:rPr>
          <w:rFonts w:ascii="Arial" w:cs="Arial" w:eastAsia="Arial" w:hAnsi="Arial"/>
          <w:sz w:val="13"/>
          <w:szCs w:val="13"/>
          <w:color w:val="auto"/>
        </w:rPr>
        <w:t>•pricing or reimbursement issues or other factors could delay clinical trials or make any immunotherapy uneconomical or noncompetitive with other therapies;</w:t>
      </w:r>
    </w:p>
    <w:p>
      <w:pPr>
        <w:ind w:left="380"/>
        <w:spacing w:after="0" w:line="212" w:lineRule="auto"/>
        <w:rPr>
          <w:sz w:val="20"/>
          <w:szCs w:val="20"/>
          <w:color w:val="auto"/>
        </w:rPr>
      </w:pPr>
      <w:r>
        <w:rPr>
          <w:rFonts w:ascii="Arial" w:cs="Arial" w:eastAsia="Arial" w:hAnsi="Arial"/>
          <w:sz w:val="13"/>
          <w:szCs w:val="13"/>
          <w:color w:val="auto"/>
        </w:rPr>
        <w:t>•</w:t>
      </w:r>
      <w:r>
        <w:rPr>
          <w:rFonts w:ascii="Arial" w:cs="Arial" w:eastAsia="Arial" w:hAnsi="Arial"/>
          <w:sz w:val="13"/>
          <w:szCs w:val="13"/>
          <w:color w:val="008080"/>
        </w:rPr>
        <w:t>changing social and political preferences regarding vaccines and mRNA therapies;</w:t>
      </w:r>
    </w:p>
    <w:p>
      <w:pPr>
        <w:spacing w:after="0" w:line="1"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•the failure to timely advance our programs or receive the necessary regulatory approvals, or a delay in receiving such approvals, due to, among other reasons, slow or failure to complete enrollment in clinical trials, withdrawal by trial participants from trials, failure to achieve trial endpoints, additional time requirements for data analysis, data integrity issues, BLA, MAA or the equivalent application, discussions with the FDA or the EMA, a regulatory request for additional nonclinical or clinical data, or safety formulation or manufacturing issues may lead to our inability to obtain sufficient funding; and •the proprietary rights, products and technologies of our competitors may prevent our immunotherapies from being commercialized.</w:t>
      </w:r>
    </w:p>
    <w:p>
      <w:pPr>
        <w:spacing w:after="0" w:line="5"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For administrative purposes, some mRNA-based medicinal products may be classified together with gene therapy products by the FDA or other regulatory agencies. Unlike certain gene therapies that irreversibly alter cell DNA and may be subsequently subject to specific safety concerns, most mRNA products are not designed to localize to the cell nucleus or interact with the genome. Side effects observed in other gene therapies, however, could negatively impact the perception of immunotherapies despite the differences in mechanism. In addition, unclear or inconsistent regulatory classification of mRNA products may result in uncertainties regarding the regulatory requirements and pathways for marketing approval. On the other hand, mRNA-based vaccines for the prevention of infectious diseases, like our COVID-19 vaccine, are not currently classified as gene therapies in most regions. The regulatory pathway for an individualized therapy, such as our Individualized Neoantigen Specific Immunotherapy, or iNeST, an mRNA-based immunotherapy where each patient receives a different combination of mRNAs, remains undetermined. The number and design of the clinical and preclinical studies required for the approval of these types of medicines have not been established, may be different from those required for advanced medicinal therapy products or therapies that are not individualized or may require safety testing like gene therapy products. Moreover, the length of time necessary to complete clinical trials and submit an application for marketing approval by a regulatory authority varies significantly from one pharmaceutical product to the next and may be difficult to predict.</w:t>
      </w:r>
    </w:p>
    <w:p>
      <w:pPr>
        <w:spacing w:after="0" w:line="10" w:lineRule="exact"/>
        <w:rPr>
          <w:sz w:val="20"/>
          <w:szCs w:val="20"/>
          <w:color w:val="auto"/>
        </w:rPr>
      </w:pPr>
    </w:p>
    <w:p>
      <w:pPr>
        <w:ind w:left="380" w:right="2360"/>
        <w:spacing w:after="0" w:line="239" w:lineRule="auto"/>
        <w:rPr>
          <w:sz w:val="20"/>
          <w:szCs w:val="20"/>
          <w:color w:val="auto"/>
        </w:rPr>
      </w:pPr>
      <w:r>
        <w:rPr>
          <w:rFonts w:ascii="Arial" w:cs="Arial" w:eastAsia="Arial" w:hAnsi="Arial"/>
          <w:sz w:val="13"/>
          <w:szCs w:val="13"/>
          <w:b w:val="1"/>
          <w:bCs w:val="1"/>
          <w:color w:val="005A64"/>
        </w:rPr>
        <w:t>Our product candidates may not work as intended, may cause undesirable effects or may have other properties that could delay or prevent their regulatory approval, limit the commercial profile of an</w:t>
      </w:r>
    </w:p>
    <w:p>
      <w:pPr>
        <w:sectPr>
          <w:pgSz w:w="11900" w:h="16840" w:orient="portrait"/>
          <w:cols w:equalWidth="0" w:num="1">
            <w:col w:w="9020"/>
          </w:cols>
          <w:pgMar w:left="1440" w:top="927" w:right="1440" w:bottom="21" w:gutter="0" w:footer="0" w:header="0"/>
        </w:sectPr>
      </w:pPr>
    </w:p>
    <w:bookmarkStart w:id="25" w:name="page26"/>
    <w:bookmarkEnd w:id="25"/>
    <w:p>
      <w:pPr>
        <w:ind w:left="380"/>
        <w:spacing w:after="0"/>
        <w:rPr>
          <w:sz w:val="20"/>
          <w:szCs w:val="20"/>
          <w:color w:val="auto"/>
        </w:rPr>
      </w:pPr>
      <w:r>
        <w:rPr>
          <w:rFonts w:ascii="Arial" w:cs="Arial" w:eastAsia="Arial" w:hAnsi="Arial"/>
          <w:sz w:val="13"/>
          <w:szCs w:val="13"/>
          <w:b w:val="1"/>
          <w:bCs w:val="1"/>
          <w:color w:val="005A64"/>
        </w:rPr>
        <w:t>approved label, or result in significant negative consequences following marketing approval, if any.</w:t>
      </w:r>
    </w:p>
    <w:p>
      <w:pPr>
        <w:ind w:left="380" w:right="2100"/>
        <w:spacing w:after="0" w:line="210" w:lineRule="auto"/>
        <w:rPr>
          <w:sz w:val="20"/>
          <w:szCs w:val="20"/>
          <w:color w:val="auto"/>
        </w:rPr>
      </w:pPr>
      <w:r>
        <w:rPr>
          <w:rFonts w:ascii="Arial" w:cs="Arial" w:eastAsia="Arial" w:hAnsi="Arial"/>
          <w:sz w:val="13"/>
          <w:szCs w:val="13"/>
          <w:color w:val="auto"/>
        </w:rPr>
        <w:t>As with most medicinal products, use of our product candidates could be associated with undesirable effects or adverse events which can vary in severity from minor reactions to death and in frequency from infrequent to prevalent. The potential for adverse events is especially acute in the oncology setting, where patients may have advanced disease, have impaired organ function, compromised immune and other systems and may be receiving numerous other therapies. Undesirable side effects or unacceptable toxicities caused by our product candidates could cause us or regulatory authorities to interrupt, delay or halt clinical trials and could result in a more restrictive label or the delay or denial of regulatory approval by the FDA, the EMA or comparable regulatory authorities. Results of our trials could reveal a high and unacceptable severity and prevalence of side effects.</w:t>
      </w:r>
    </w:p>
    <w:p>
      <w:pPr>
        <w:spacing w:after="0" w:line="5" w:lineRule="exact"/>
        <w:rPr>
          <w:sz w:val="20"/>
          <w:szCs w:val="20"/>
          <w:color w:val="auto"/>
        </w:rPr>
      </w:pPr>
    </w:p>
    <w:p>
      <w:pPr>
        <w:ind w:left="380" w:right="2100"/>
        <w:spacing w:after="0" w:line="216" w:lineRule="auto"/>
        <w:rPr>
          <w:sz w:val="20"/>
          <w:szCs w:val="20"/>
          <w:color w:val="auto"/>
        </w:rPr>
      </w:pPr>
      <w:r>
        <w:rPr>
          <w:rFonts w:ascii="Arial" w:cs="Arial" w:eastAsia="Arial" w:hAnsi="Arial"/>
          <w:sz w:val="13"/>
          <w:szCs w:val="13"/>
          <w:color w:val="auto"/>
        </w:rPr>
        <w:t>If unacceptable side effects arise in the development of our product candidates, we, the FDA, competent authorities of EU member states, ethics committees, the institutional review boards, or IRBs, at the institutions in which our studies are conducted, or the Data Safety Monitoring Board, or DSMB, could suspend or terminate our clinical trials. The FDA or comparable regulatory authorities could also order us to cease clinical trials or deny approval of our product candidates for any or all targeted indications. Treatment- related side effects could also affect patient recruitment or the ability of enrolled patients to complete any of our clinical trials or result in product liability claims. In addition, these side effects may not be appropriately recognized or managed by the treating medical staff. We expect to have to train medical personnel using our product candidates to understand the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35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line="217" w:lineRule="auto"/>
        <w:rPr>
          <w:sz w:val="20"/>
          <w:szCs w:val="20"/>
          <w:color w:val="auto"/>
        </w:rPr>
      </w:pPr>
      <w:r>
        <w:rPr>
          <w:rFonts w:ascii="Arial" w:cs="Arial" w:eastAsia="Arial" w:hAnsi="Arial"/>
          <w:sz w:val="13"/>
          <w:szCs w:val="13"/>
          <w:color w:val="auto"/>
        </w:rPr>
        <w:t>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40"/>
        <w:spacing w:after="0" w:line="210" w:lineRule="auto"/>
        <w:rPr>
          <w:sz w:val="20"/>
          <w:szCs w:val="20"/>
          <w:color w:val="auto"/>
        </w:rPr>
      </w:pPr>
      <w:r>
        <w:rPr>
          <w:rFonts w:ascii="Arial" w:cs="Arial" w:eastAsia="Arial" w:hAnsi="Arial"/>
          <w:sz w:val="13"/>
          <w:szCs w:val="13"/>
          <w:b w:val="1"/>
          <w:bCs w:val="1"/>
          <w:color w:val="005A64"/>
        </w:rPr>
        <w:t>Clinical trials are strictly regulated and monitored by regulatory agencies, ethics committees, and sponsors. Despite this rigorous oversight, unexpected events may occur that could adversely impact patients’ safety and/or affect our ability to obtain regulatory approvals and, if approved, commercialize our product candidates.</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In our ongoing and planned clinical trials, we have contracted, and are expected to continue to contract, with academic medical centers and hospitals experienced in the assessment and management of toxicities arising during clinical trials. Nonetheless, these centers and hospitals may have difficulty observing patients and treating toxicities, which may be more challenging due to personnel changes, inexperience, shift changes, house staff coverage or related issues. This could lead to more severe or prolonged toxicities or even patient deaths, which could result in us or the FDA, the EMA or other comparable regulatory authority delaying, suspending or terminating one or more of our clinical trials, and which could jeopardize regulatory approval. The centers using our products, if and when approved, could also have difficulty managing any adverse effects of our products, or use medicines that do not adequately control such undesirable effects or that have a detrimental impact on the efficacy of the treatment.</w:t>
      </w:r>
    </w:p>
    <w:p>
      <w:pPr>
        <w:spacing w:after="0" w:line="6"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In addition, even if we successfully advance our product candidates into and through clinical trials, such trials will likely only include a limited number of patients and limited duration of exposure to our product candidates. As a result, we cannot be assured that adverse effects of our product candidates will not be uncovered when a significantly larger number of patients are exposed to the product candidate. Further, any clinical trials may not be sufficient to determine the effects and safety consequences of taking our product candidates over a multi-year period.</w:t>
      </w:r>
    </w:p>
    <w:p>
      <w:pPr>
        <w:spacing w:after="0" w:line="4" w:lineRule="exact"/>
        <w:rPr>
          <w:sz w:val="20"/>
          <w:szCs w:val="20"/>
          <w:color w:val="auto"/>
        </w:rPr>
      </w:pPr>
    </w:p>
    <w:p>
      <w:pPr>
        <w:ind w:left="380" w:right="2220"/>
        <w:spacing w:after="0" w:line="210" w:lineRule="auto"/>
        <w:rPr>
          <w:sz w:val="20"/>
          <w:szCs w:val="20"/>
          <w:color w:val="auto"/>
        </w:rPr>
      </w:pPr>
      <w:r>
        <w:rPr>
          <w:rFonts w:ascii="Arial" w:cs="Arial" w:eastAsia="Arial" w:hAnsi="Arial"/>
          <w:sz w:val="13"/>
          <w:szCs w:val="13"/>
          <w:color w:val="auto"/>
        </w:rPr>
        <w:t>If any of our product candidates receives marketing approval and we or others later identify undesirable effects caused by such products, a number of potentially significant negative consequences could result, including: •regulatory authorities may withdraw their approval of the product;</w:t>
      </w:r>
    </w:p>
    <w:p>
      <w:pPr>
        <w:spacing w:after="0" w:line="2" w:lineRule="exact"/>
        <w:rPr>
          <w:sz w:val="20"/>
          <w:szCs w:val="20"/>
          <w:color w:val="auto"/>
        </w:rPr>
      </w:pPr>
    </w:p>
    <w:p>
      <w:pPr>
        <w:ind w:left="380" w:right="2680"/>
        <w:spacing w:after="0" w:line="210" w:lineRule="auto"/>
        <w:rPr>
          <w:sz w:val="20"/>
          <w:szCs w:val="20"/>
          <w:color w:val="auto"/>
        </w:rPr>
      </w:pPr>
      <w:r>
        <w:rPr>
          <w:rFonts w:ascii="Arial" w:cs="Arial" w:eastAsia="Arial" w:hAnsi="Arial"/>
          <w:sz w:val="13"/>
          <w:szCs w:val="13"/>
          <w:color w:val="auto"/>
        </w:rPr>
        <w:t>•we may be required to recall a product or change the way such product is administered to patients; •additional restrictions may be imposed on the marketing of the particular product or the manufacturing processes for the product or any component thereof;</w:t>
      </w:r>
    </w:p>
    <w:p>
      <w:pPr>
        <w:spacing w:after="0" w:line="2" w:lineRule="exact"/>
        <w:rPr>
          <w:sz w:val="20"/>
          <w:szCs w:val="20"/>
          <w:color w:val="auto"/>
        </w:rPr>
      </w:pPr>
    </w:p>
    <w:p>
      <w:pPr>
        <w:ind w:left="380" w:right="2540"/>
        <w:spacing w:after="0" w:line="210" w:lineRule="auto"/>
        <w:rPr>
          <w:sz w:val="20"/>
          <w:szCs w:val="20"/>
          <w:color w:val="auto"/>
        </w:rPr>
      </w:pPr>
      <w:r>
        <w:rPr>
          <w:rFonts w:ascii="Arial" w:cs="Arial" w:eastAsia="Arial" w:hAnsi="Arial"/>
          <w:sz w:val="13"/>
          <w:szCs w:val="13"/>
          <w:color w:val="auto"/>
        </w:rPr>
        <w:t>•regulatory authorities may require the addition of labeling statements, such as a “black box” warning or a contraindication;</w:t>
      </w:r>
    </w:p>
    <w:p>
      <w:pPr>
        <w:spacing w:after="0" w:line="1" w:lineRule="exact"/>
        <w:rPr>
          <w:sz w:val="20"/>
          <w:szCs w:val="20"/>
          <w:color w:val="auto"/>
        </w:rPr>
      </w:pPr>
    </w:p>
    <w:p>
      <w:pPr>
        <w:ind w:left="380" w:right="2920"/>
        <w:spacing w:after="0" w:line="210" w:lineRule="auto"/>
        <w:rPr>
          <w:sz w:val="20"/>
          <w:szCs w:val="20"/>
          <w:color w:val="auto"/>
        </w:rPr>
      </w:pPr>
      <w:r>
        <w:rPr>
          <w:rFonts w:ascii="Arial" w:cs="Arial" w:eastAsia="Arial" w:hAnsi="Arial"/>
          <w:sz w:val="13"/>
          <w:szCs w:val="13"/>
          <w:color w:val="auto"/>
        </w:rPr>
        <w:t>•we may be required to implement a Risk Evaluation and Mitigation Strategy, or REMS, or create a Medication Guide outlining the risks of such side effects for distribution to patients; •we could be sued and held liable for harm caused to patients;</w:t>
      </w:r>
    </w:p>
    <w:p>
      <w:pPr>
        <w:ind w:left="380"/>
        <w:spacing w:after="0" w:line="213" w:lineRule="auto"/>
        <w:rPr>
          <w:sz w:val="20"/>
          <w:szCs w:val="20"/>
          <w:color w:val="auto"/>
        </w:rPr>
      </w:pPr>
      <w:r>
        <w:rPr>
          <w:rFonts w:ascii="Arial" w:cs="Arial" w:eastAsia="Arial" w:hAnsi="Arial"/>
          <w:sz w:val="13"/>
          <w:szCs w:val="13"/>
          <w:color w:val="auto"/>
        </w:rPr>
        <w:t>•the product may become less competitive; and</w:t>
      </w:r>
    </w:p>
    <w:p>
      <w:pPr>
        <w:ind w:left="380"/>
        <w:spacing w:after="0" w:line="211" w:lineRule="auto"/>
        <w:rPr>
          <w:sz w:val="20"/>
          <w:szCs w:val="20"/>
          <w:color w:val="auto"/>
        </w:rPr>
      </w:pPr>
      <w:r>
        <w:rPr>
          <w:rFonts w:ascii="Arial" w:cs="Arial" w:eastAsia="Arial" w:hAnsi="Arial"/>
          <w:sz w:val="13"/>
          <w:szCs w:val="13"/>
          <w:color w:val="auto"/>
        </w:rPr>
        <w:t>•our reputation may be negatively impacted.</w:t>
      </w:r>
    </w:p>
    <w:p>
      <w:pPr>
        <w:ind w:left="380" w:right="2200"/>
        <w:spacing w:after="0" w:line="218" w:lineRule="auto"/>
        <w:rPr>
          <w:sz w:val="20"/>
          <w:szCs w:val="20"/>
          <w:color w:val="auto"/>
        </w:rPr>
      </w:pPr>
      <w:r>
        <w:rPr>
          <w:rFonts w:ascii="Arial" w:cs="Arial" w:eastAsia="Arial" w:hAnsi="Arial"/>
          <w:sz w:val="13"/>
          <w:szCs w:val="13"/>
          <w:color w:val="auto"/>
        </w:rPr>
        <w:t>Any of the foregoing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or our immunotherapy approach generally prove to be unsafe, our technology platforms and pipeline could be affected, which would have a material and adverse effect on our business, financial condition, results of operations and prospects.</w:t>
      </w:r>
    </w:p>
    <w:p>
      <w:pPr>
        <w:sectPr>
          <w:pgSz w:w="11900" w:h="16840" w:orient="portrait"/>
          <w:cols w:equalWidth="0" w:num="1">
            <w:col w:w="9020"/>
          </w:cols>
          <w:pgMar w:left="1440" w:top="554" w:right="1440" w:bottom="1440" w:gutter="0" w:footer="0" w:header="0"/>
        </w:sectPr>
      </w:pPr>
    </w:p>
    <w:bookmarkStart w:id="26" w:name="page27"/>
    <w:bookmarkEnd w:id="26"/>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36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400"/>
        <w:spacing w:after="0" w:line="215" w:lineRule="auto"/>
        <w:rPr>
          <w:sz w:val="20"/>
          <w:szCs w:val="20"/>
          <w:color w:val="auto"/>
        </w:rPr>
      </w:pPr>
      <w:r>
        <w:rPr>
          <w:rFonts w:ascii="Arial" w:cs="Arial" w:eastAsia="Arial" w:hAnsi="Arial"/>
          <w:sz w:val="13"/>
          <w:szCs w:val="13"/>
          <w:b w:val="1"/>
          <w:bCs w:val="1"/>
          <w:color w:val="005A64"/>
        </w:rPr>
        <w:t>Preclinical development is uncertain. Our preclinical programs may experience delays or may never advance to clinical trials, which would adversely affect our ability to obtain regulatory approvals or commercialize these programs on a timely basis or at all and would have an adverse effect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color w:val="auto"/>
        </w:rPr>
        <w:t>Much of our pipeline is in preclinical development and these programs could be delayed or not advance into the clinic. Before we can initiate clinical trials for product candidates, we must complete extensive preclinical studies, including IND-enabling Good Laboratory Practice toxicology testing, that support our planned Investigational New Drug applications, or INDs, in the United States or similar applications in other jurisdictions. We must also complete extensive work on CMC activities (including collecting yield, purity and stability data) to be included in the IND filing. CMC activities for a new category of medicines such as mRNA therapies require extensive manufacturing processes and analytical development, which are uncertain and lengthy. For instance, batch failures have occurred as we scale up our manufacturing and may occur in the future. In addition, we have had in the past, and may in the future have, difficulty identifying appropriate buffers and storage conditions to enable sufficient shelf life of batches of our preclinical or clinical product candidates. If we are required to produce new batches of our product candidates due to insufficient shelf life, it may delay the commencement or completion of preclinical or clinical trials of such product candidates. For example, we cannot be certain of the timely completion or outcome of our preclinical testing and studies and cannot predict if the FDA or other regulatory authorities will accept the results of our preclinical testing or our proposed clinical programs or if the outcome of our preclinical testing, studies and CMC activities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b w:val="1"/>
          <w:bCs w:val="1"/>
          <w:color w:val="005A64"/>
        </w:rPr>
        <w:t xml:space="preserve">Clinical development involves a lengthy and expensive process with an uncertain outcome, and delays can occur for a variety of reasons outside of our control. Clinical trials of our product candidates may be delayed, certain programs may never advance in the clinic or may be more costly to conduct than we anticipate, and we may have difficulty recruiting patients to participate in clinical trials, any of which can affect our ability to fund our company and would have a material adverse impact on our business. </w:t>
      </w:r>
      <w:r>
        <w:rPr>
          <w:rFonts w:ascii="Arial" w:cs="Arial" w:eastAsia="Arial" w:hAnsi="Arial"/>
          <w:sz w:val="13"/>
          <w:szCs w:val="13"/>
          <w:color w:val="000000"/>
        </w:rPr>
        <w:t>Clinical testing is expensive and complex and can take many years to complete. Its outcome is inherently uncertain. We may not be able to initiate, may experience delays in, or may have to discontinue clinical trials for our product candidates. We and our collaborators also may experience numerous unforeseen events during, or as a result of, any clinical trials that we or our collaborators conduct that could delay or prevent us or our collaborators from successfully developing our product candidates, including:</w:t>
      </w:r>
    </w:p>
    <w:p>
      <w:pPr>
        <w:spacing w:after="0" w:line="6" w:lineRule="exact"/>
        <w:rPr>
          <w:sz w:val="20"/>
          <w:szCs w:val="20"/>
          <w:color w:val="auto"/>
        </w:rPr>
      </w:pPr>
    </w:p>
    <w:p>
      <w:pPr>
        <w:ind w:left="380" w:right="2720"/>
        <w:spacing w:after="0" w:line="210" w:lineRule="auto"/>
        <w:rPr>
          <w:sz w:val="20"/>
          <w:szCs w:val="20"/>
          <w:color w:val="auto"/>
        </w:rPr>
      </w:pPr>
      <w:r>
        <w:rPr>
          <w:rFonts w:ascii="Arial" w:cs="Arial" w:eastAsia="Arial" w:hAnsi="Arial"/>
          <w:sz w:val="13"/>
          <w:szCs w:val="13"/>
          <w:color w:val="auto"/>
        </w:rPr>
        <w:t>•the FDA, other regulators, IRBs or ethics committees may not authorize us or our investigators to commence a clinical trial or conduct a clinical trial at a prospective trial site for any number of reasons, including concerns regarding safety and aspects of the clinical trial design;</w:t>
      </w:r>
    </w:p>
    <w:p>
      <w:pPr>
        <w:spacing w:after="0" w:line="2" w:lineRule="exact"/>
        <w:rPr>
          <w:sz w:val="20"/>
          <w:szCs w:val="20"/>
          <w:color w:val="auto"/>
        </w:rPr>
      </w:pPr>
    </w:p>
    <w:p>
      <w:pPr>
        <w:ind w:left="380" w:right="2660"/>
        <w:spacing w:after="0" w:line="210" w:lineRule="auto"/>
        <w:rPr>
          <w:sz w:val="20"/>
          <w:szCs w:val="20"/>
          <w:color w:val="auto"/>
        </w:rPr>
      </w:pPr>
      <w:r>
        <w:rPr>
          <w:rFonts w:ascii="Arial" w:cs="Arial" w:eastAsia="Arial" w:hAnsi="Arial"/>
          <w:sz w:val="13"/>
          <w:szCs w:val="13"/>
          <w:color w:val="auto"/>
        </w:rPr>
        <w:t>•we may experience delays in reaching, or fail to reach, agreement on favorable terms with prospective trial sites and prospective CROs, the terms of which can be subject to extensive negotiation and may vary significantly among different CROs and trial sites;</w:t>
      </w:r>
    </w:p>
    <w:p>
      <w:pPr>
        <w:spacing w:after="0" w:line="2" w:lineRule="exact"/>
        <w:rPr>
          <w:sz w:val="20"/>
          <w:szCs w:val="20"/>
          <w:color w:val="auto"/>
        </w:rPr>
      </w:pPr>
    </w:p>
    <w:p>
      <w:pPr>
        <w:ind w:left="380" w:right="2660"/>
        <w:spacing w:after="0" w:line="210" w:lineRule="auto"/>
        <w:rPr>
          <w:sz w:val="20"/>
          <w:szCs w:val="20"/>
          <w:color w:val="auto"/>
        </w:rPr>
      </w:pPr>
      <w:r>
        <w:rPr>
          <w:rFonts w:ascii="Arial" w:cs="Arial" w:eastAsia="Arial" w:hAnsi="Arial"/>
          <w:sz w:val="13"/>
          <w:szCs w:val="13"/>
          <w:color w:val="auto"/>
        </w:rPr>
        <w:t>•we have optimized in the past and may in the future optimize our manufacturing processes, including through changes to the scale and site of manufacturing, which may lead to additional studies (including bridging and bioequivalence studies) or potentially significant changes in our clinical trial designs, requiring additional cost and time, and, as a consequence, lead to a delay in plans for progressing one or more product candidates;</w:t>
      </w:r>
    </w:p>
    <w:p>
      <w:pPr>
        <w:spacing w:after="0" w:line="3" w:lineRule="exact"/>
        <w:rPr>
          <w:sz w:val="20"/>
          <w:szCs w:val="20"/>
          <w:color w:val="auto"/>
        </w:rPr>
      </w:pPr>
    </w:p>
    <w:p>
      <w:pPr>
        <w:jc w:val="both"/>
        <w:ind w:left="380" w:right="2560"/>
        <w:spacing w:after="0" w:line="210" w:lineRule="auto"/>
        <w:rPr>
          <w:sz w:val="20"/>
          <w:szCs w:val="20"/>
          <w:color w:val="auto"/>
        </w:rPr>
      </w:pPr>
      <w:r>
        <w:rPr>
          <w:rFonts w:ascii="Arial" w:cs="Arial" w:eastAsia="Arial" w:hAnsi="Arial"/>
          <w:sz w:val="13"/>
          <w:szCs w:val="13"/>
          <w:color w:val="auto"/>
        </w:rPr>
        <w:t>•the outcome of our preclinical studies and our early clinical trials may not be predictive of the success of later clinical trials, and interim results of a clinical trial do not necessarily predict final results;</w:t>
      </w:r>
    </w:p>
    <w:p>
      <w:pPr>
        <w:spacing w:after="0" w:line="1" w:lineRule="exact"/>
        <w:rPr>
          <w:sz w:val="20"/>
          <w:szCs w:val="20"/>
          <w:color w:val="auto"/>
        </w:rPr>
      </w:pPr>
    </w:p>
    <w:p>
      <w:pPr>
        <w:ind w:left="380" w:right="2720"/>
        <w:spacing w:after="0" w:line="234" w:lineRule="auto"/>
        <w:rPr>
          <w:sz w:val="20"/>
          <w:szCs w:val="20"/>
          <w:color w:val="auto"/>
        </w:rPr>
      </w:pPr>
      <w:r>
        <w:rPr>
          <w:rFonts w:ascii="Arial" w:cs="Arial" w:eastAsia="Arial" w:hAnsi="Arial"/>
          <w:sz w:val="13"/>
          <w:szCs w:val="13"/>
          <w:color w:val="auto"/>
        </w:rPr>
        <w:t>•we may be unable to establish clinical endpoints that applicable regulatory authorities would consider clinically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37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jc w:val="both"/>
        <w:ind w:left="380" w:right="2580"/>
        <w:spacing w:after="0" w:line="217" w:lineRule="auto"/>
        <w:rPr>
          <w:sz w:val="20"/>
          <w:szCs w:val="20"/>
          <w:color w:val="auto"/>
        </w:rPr>
      </w:pPr>
      <w:r>
        <w:rPr>
          <w:rFonts w:ascii="Arial" w:cs="Arial" w:eastAsia="Arial" w:hAnsi="Arial"/>
          <w:sz w:val="13"/>
          <w:szCs w:val="13"/>
          <w:color w:val="auto"/>
        </w:rPr>
        <w:t>•in an effort to optimize product features, we have made in the past and may continue to make changes to our product candidates after we commence clinical trials of a medicine which may require us to repeat earlier stages of clinical testing or delay later-stage testing of the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jc w:val="both"/>
        <w:ind w:left="380" w:right="2660"/>
        <w:spacing w:after="0" w:line="210" w:lineRule="auto"/>
        <w:rPr>
          <w:sz w:val="20"/>
          <w:szCs w:val="20"/>
          <w:color w:val="auto"/>
        </w:rPr>
      </w:pPr>
      <w:r>
        <w:rPr>
          <w:rFonts w:ascii="Arial" w:cs="Arial" w:eastAsia="Arial" w:hAnsi="Arial"/>
          <w:sz w:val="13"/>
          <w:szCs w:val="13"/>
          <w:color w:val="auto"/>
        </w:rPr>
        <w:t>•clinical trials of any product candidates may fail to show safety or efficacy, or may produce negative or inconclusive results, and we may decide, or regulators may require us, to conduct additional nonclinical studies or clinical trials, or we may decide to abandon product development programs;</w:t>
      </w:r>
    </w:p>
    <w:p>
      <w:pPr>
        <w:spacing w:after="0" w:line="2" w:lineRule="exact"/>
        <w:rPr>
          <w:sz w:val="20"/>
          <w:szCs w:val="20"/>
          <w:color w:val="auto"/>
        </w:rPr>
      </w:pPr>
    </w:p>
    <w:p>
      <w:pPr>
        <w:ind w:left="380" w:right="2780"/>
        <w:spacing w:after="0" w:line="210" w:lineRule="auto"/>
        <w:rPr>
          <w:sz w:val="20"/>
          <w:szCs w:val="20"/>
          <w:color w:val="auto"/>
        </w:rPr>
      </w:pPr>
      <w:r>
        <w:rPr>
          <w:rFonts w:ascii="Arial" w:cs="Arial" w:eastAsia="Arial" w:hAnsi="Arial"/>
          <w:sz w:val="13"/>
          <w:szCs w:val="13"/>
          <w:color w:val="auto"/>
        </w:rPr>
        <w:t>•differences in trial design between early-stage clinical trials and later- stage clinical trials may make it difficult to extrapolate the results of earlier clinical trials to later clinical trials;</w:t>
      </w:r>
    </w:p>
    <w:p>
      <w:pPr>
        <w:spacing w:after="0" w:line="1"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•preclinical and clinical data are often susceptible to varying interpretations and analyses, and many product candidates believed to have performed satisfactorily in preclinical studies and clinical trials have nonetheless failed to obtain marketing approval;</w:t>
      </w:r>
    </w:p>
    <w:p>
      <w:pPr>
        <w:spacing w:after="0" w:line="2" w:lineRule="exact"/>
        <w:rPr>
          <w:sz w:val="20"/>
          <w:szCs w:val="20"/>
          <w:color w:val="auto"/>
        </w:rPr>
      </w:pPr>
    </w:p>
    <w:p>
      <w:pPr>
        <w:ind w:left="380" w:right="2580"/>
        <w:spacing w:after="0" w:line="210" w:lineRule="auto"/>
        <w:rPr>
          <w:sz w:val="20"/>
          <w:szCs w:val="20"/>
          <w:color w:val="auto"/>
        </w:rPr>
      </w:pPr>
      <w:r>
        <w:rPr>
          <w:rFonts w:ascii="Arial" w:cs="Arial" w:eastAsia="Arial" w:hAnsi="Arial"/>
          <w:sz w:val="13"/>
          <w:szCs w:val="13"/>
          <w:color w:val="auto"/>
        </w:rPr>
        <w:t>•our product candidates may have undesirable effects or other unexpected characteristics. One or more of such effects or events could cause regulators to impose a clinical hold on the applicable trial, or cause us or our investigators, IRBs or ethics committees to suspend or terminate the trial of that product candidate or any other of our product candidates for which a clinical trial may be ongoing;</w:t>
      </w:r>
    </w:p>
    <w:p>
      <w:pPr>
        <w:spacing w:after="0" w:line="2" w:lineRule="exact"/>
        <w:rPr>
          <w:sz w:val="20"/>
          <w:szCs w:val="20"/>
          <w:color w:val="auto"/>
        </w:rPr>
      </w:pPr>
    </w:p>
    <w:p>
      <w:pPr>
        <w:ind w:left="380" w:right="2640"/>
        <w:spacing w:after="0" w:line="210" w:lineRule="auto"/>
        <w:rPr>
          <w:sz w:val="20"/>
          <w:szCs w:val="20"/>
          <w:color w:val="auto"/>
        </w:rPr>
      </w:pPr>
      <w:r>
        <w:rPr>
          <w:rFonts w:ascii="Arial" w:cs="Arial" w:eastAsia="Arial" w:hAnsi="Arial"/>
          <w:sz w:val="13"/>
          <w:szCs w:val="13"/>
          <w:color w:val="auto"/>
        </w:rPr>
        <w:t>•the number of trial participants required for clinical trials of any product candidates may be larger than we anticipate, identification of trial participants for such trials may be limited, enrollment in these clinical trials may be slower than we anticipate due to perceived adverse effects, limited patient populations, competitive trials, risks related to COVID-19 or other reasons, or participants may withdraw from clinical trials or fail to return for post-treatment follow-up at a higher rate than we anticipate;</w:t>
      </w:r>
    </w:p>
    <w:p>
      <w:pPr>
        <w:spacing w:after="0" w:line="3" w:lineRule="exact"/>
        <w:rPr>
          <w:sz w:val="20"/>
          <w:szCs w:val="20"/>
          <w:color w:val="auto"/>
        </w:rPr>
      </w:pPr>
    </w:p>
    <w:p>
      <w:pPr>
        <w:jc w:val="both"/>
        <w:ind w:left="380" w:right="2720"/>
        <w:spacing w:after="0" w:line="222" w:lineRule="auto"/>
        <w:rPr>
          <w:sz w:val="20"/>
          <w:szCs w:val="20"/>
          <w:color w:val="auto"/>
        </w:rPr>
      </w:pPr>
      <w:r>
        <w:rPr>
          <w:rFonts w:ascii="Arial" w:cs="Arial" w:eastAsia="Arial" w:hAnsi="Arial"/>
          <w:sz w:val="13"/>
          <w:szCs w:val="13"/>
          <w:color w:val="auto"/>
        </w:rPr>
        <w:t>•despite robust sponsor oversight, our and our collaborators’ third -party contractors may fail to comply with regulatory requirements or meet their contractual obligations in a timely manner, or at all, or may deviate from the clinical trial protocol or withdraw from the trial, which may require the addition of new clinical trial sites;</w:t>
      </w:r>
    </w:p>
    <w:p>
      <w:pPr>
        <w:sectPr>
          <w:pgSz w:w="11900" w:h="16840" w:orient="portrait"/>
          <w:cols w:equalWidth="0" w:num="1">
            <w:col w:w="9020"/>
          </w:cols>
          <w:pgMar w:left="1440" w:top="1440" w:right="1440" w:bottom="18" w:gutter="0" w:footer="0" w:header="0"/>
        </w:sectPr>
      </w:pPr>
    </w:p>
    <w:bookmarkStart w:id="27" w:name="page28"/>
    <w:bookmarkEnd w:id="27"/>
    <w:p>
      <w:pPr>
        <w:ind w:left="380" w:right="2560"/>
        <w:spacing w:after="0" w:line="215" w:lineRule="auto"/>
        <w:rPr>
          <w:sz w:val="20"/>
          <w:szCs w:val="20"/>
          <w:color w:val="auto"/>
        </w:rPr>
      </w:pPr>
      <w:r>
        <w:rPr>
          <w:rFonts w:ascii="Arial" w:cs="Arial" w:eastAsia="Arial" w:hAnsi="Arial"/>
          <w:sz w:val="13"/>
          <w:szCs w:val="13"/>
          <w:color w:val="auto"/>
        </w:rPr>
        <w:t>•regulators may elect to impose a clinical hold, or we, our investigators, IRBs or ethics committees may elect to suspend or terminate clinical research or trials for various reasons, including noncompliance with regulatory requirements or a finding that the participants are being exposed to an unacceptable benefit-risk ratio;</w:t>
      </w:r>
    </w:p>
    <w:p>
      <w:pPr>
        <w:spacing w:after="0" w:line="2" w:lineRule="exact"/>
        <w:rPr>
          <w:sz w:val="20"/>
          <w:szCs w:val="20"/>
          <w:color w:val="auto"/>
        </w:rPr>
      </w:pPr>
    </w:p>
    <w:p>
      <w:pPr>
        <w:ind w:left="380" w:right="2580"/>
        <w:spacing w:after="0" w:line="210" w:lineRule="auto"/>
        <w:rPr>
          <w:sz w:val="20"/>
          <w:szCs w:val="20"/>
          <w:color w:val="auto"/>
        </w:rPr>
      </w:pPr>
      <w:r>
        <w:rPr>
          <w:rFonts w:ascii="Arial" w:cs="Arial" w:eastAsia="Arial" w:hAnsi="Arial"/>
          <w:sz w:val="13"/>
          <w:szCs w:val="13"/>
          <w:color w:val="auto"/>
        </w:rPr>
        <w:t>•with respect to infectious disease vaccine trials in particular, we have to wait for particular level of infection in the placebo arm in order to assess protection provided by vaccine, and we cannot control the rate of exposure or infection which can make timing uncertain;</w:t>
      </w:r>
    </w:p>
    <w:p>
      <w:pPr>
        <w:spacing w:after="0" w:line="2" w:lineRule="exact"/>
        <w:rPr>
          <w:sz w:val="20"/>
          <w:szCs w:val="20"/>
          <w:color w:val="auto"/>
        </w:rPr>
      </w:pPr>
    </w:p>
    <w:p>
      <w:pPr>
        <w:ind w:left="380" w:right="2600"/>
        <w:spacing w:after="0" w:line="210" w:lineRule="auto"/>
        <w:rPr>
          <w:sz w:val="20"/>
          <w:szCs w:val="20"/>
          <w:color w:val="auto"/>
        </w:rPr>
      </w:pPr>
      <w:r>
        <w:rPr>
          <w:rFonts w:ascii="Arial" w:cs="Arial" w:eastAsia="Arial" w:hAnsi="Arial"/>
          <w:sz w:val="13"/>
          <w:szCs w:val="13"/>
          <w:color w:val="auto"/>
        </w:rPr>
        <w:t>•the cost of preclinical or nonclinical testing and studies and clinical trials of any product candidates may be greater than we anticipate;</w:t>
      </w:r>
    </w:p>
    <w:p>
      <w:pPr>
        <w:spacing w:after="0" w:line="1" w:lineRule="exact"/>
        <w:rPr>
          <w:sz w:val="20"/>
          <w:szCs w:val="20"/>
          <w:color w:val="auto"/>
        </w:rPr>
      </w:pPr>
    </w:p>
    <w:p>
      <w:pPr>
        <w:ind w:left="380" w:right="2540"/>
        <w:spacing w:after="0" w:line="210" w:lineRule="auto"/>
        <w:rPr>
          <w:sz w:val="20"/>
          <w:szCs w:val="20"/>
          <w:color w:val="auto"/>
        </w:rPr>
      </w:pPr>
      <w:r>
        <w:rPr>
          <w:rFonts w:ascii="Arial" w:cs="Arial" w:eastAsia="Arial" w:hAnsi="Arial"/>
          <w:sz w:val="13"/>
          <w:szCs w:val="13"/>
          <w:color w:val="auto"/>
        </w:rPr>
        <w:t>•the supply or quality of our product candidates or other materials necessary to conduct clinical trials may be insufficient or inadequate;</w:t>
      </w:r>
    </w:p>
    <w:p>
      <w:pPr>
        <w:spacing w:after="0" w:line="1" w:lineRule="exact"/>
        <w:rPr>
          <w:sz w:val="20"/>
          <w:szCs w:val="20"/>
          <w:color w:val="auto"/>
        </w:rPr>
      </w:pPr>
    </w:p>
    <w:p>
      <w:pPr>
        <w:ind w:left="380" w:right="2580"/>
        <w:spacing w:after="0" w:line="210" w:lineRule="auto"/>
        <w:rPr>
          <w:sz w:val="20"/>
          <w:szCs w:val="20"/>
          <w:color w:val="auto"/>
        </w:rPr>
      </w:pPr>
      <w:r>
        <w:rPr>
          <w:rFonts w:ascii="Arial" w:cs="Arial" w:eastAsia="Arial" w:hAnsi="Arial"/>
          <w:sz w:val="13"/>
          <w:szCs w:val="13"/>
          <w:color w:val="auto"/>
        </w:rPr>
        <w:t>•safety or efficacy concerns regarding our product candidates may result from any concerns arising from nonclinical or clinical testing of other therapies targeting a similar disease state or other therapies, such as gene therapy, that are perceived as similar to ours; and</w:t>
      </w:r>
    </w:p>
    <w:p>
      <w:pPr>
        <w:spacing w:after="0" w:line="2" w:lineRule="exact"/>
        <w:rPr>
          <w:sz w:val="20"/>
          <w:szCs w:val="20"/>
          <w:color w:val="auto"/>
        </w:rPr>
      </w:pPr>
    </w:p>
    <w:p>
      <w:pPr>
        <w:ind w:left="380" w:right="2880"/>
        <w:spacing w:after="0" w:line="210" w:lineRule="auto"/>
        <w:rPr>
          <w:sz w:val="20"/>
          <w:szCs w:val="20"/>
          <w:color w:val="auto"/>
        </w:rPr>
      </w:pPr>
      <w:r>
        <w:rPr>
          <w:rFonts w:ascii="Arial" w:cs="Arial" w:eastAsia="Arial" w:hAnsi="Arial"/>
          <w:sz w:val="13"/>
          <w:szCs w:val="13"/>
          <w:color w:val="auto"/>
        </w:rPr>
        <w:t>•the FDA or other regulatory authorities may require us to submit additional data, such as long-term toxicology studies, or impose other requirements before permitting us to initiate a clinical trial.</w:t>
      </w:r>
    </w:p>
    <w:p>
      <w:pPr>
        <w:spacing w:after="0" w:line="1" w:lineRule="exact"/>
        <w:rPr>
          <w:sz w:val="20"/>
          <w:szCs w:val="20"/>
          <w:color w:val="auto"/>
        </w:rPr>
      </w:pPr>
    </w:p>
    <w:p>
      <w:pPr>
        <w:jc w:val="both"/>
        <w:ind w:left="380" w:right="2180"/>
        <w:spacing w:after="0" w:line="226" w:lineRule="auto"/>
        <w:rPr>
          <w:sz w:val="20"/>
          <w:szCs w:val="20"/>
          <w:color w:val="auto"/>
        </w:rPr>
      </w:pPr>
      <w:r>
        <w:rPr>
          <w:rFonts w:ascii="Arial" w:cs="Arial" w:eastAsia="Arial" w:hAnsi="Arial"/>
          <w:sz w:val="13"/>
          <w:szCs w:val="13"/>
          <w:color w:val="auto"/>
        </w:rPr>
        <w:t>We could also encounter delays if a clinical trial is suspended or terminated by us, the FDA or other regulatory authorities, ethics committees, or the IRBs of the institutions in which such trials are being conducted, or if such trial is recommended for suspension or termination by the DSMB. We may in the future be delayed in gaining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38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line="212" w:lineRule="auto"/>
        <w:rPr>
          <w:sz w:val="20"/>
          <w:szCs w:val="20"/>
          <w:color w:val="auto"/>
        </w:rPr>
      </w:pPr>
      <w:r>
        <w:rPr>
          <w:rFonts w:ascii="Arial" w:cs="Arial" w:eastAsia="Arial" w:hAnsi="Arial"/>
          <w:sz w:val="13"/>
          <w:szCs w:val="13"/>
          <w:color w:val="auto"/>
        </w:rPr>
        <w:t>clearance from the FDA or other regulators to initiate clinical trials through, among other things, the imposition of a clinical hold in order to address comments from such regulators on our clinical trial design or other elements of our clinical trials.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or adequate benefit-risk ratio, from using a product candidate;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We could also experience delays if physicians encounter unresolved ethical issues associated with enrolling patients in clinical trials of our product candidates in lieu of prescribing existing treatments that have established safety and efficacy profiles. We must also complete extensive work on CMC activities that require extensive manufacturing processes and analytical development, which are uncertain and lengthy.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-1167130</wp:posOffset>
            </wp:positionV>
            <wp:extent cx="523113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40"/>
        <w:spacing w:after="0" w:line="210" w:lineRule="auto"/>
        <w:rPr>
          <w:sz w:val="20"/>
          <w:szCs w:val="20"/>
          <w:color w:val="auto"/>
        </w:rPr>
      </w:pPr>
      <w:r>
        <w:rPr>
          <w:rFonts w:ascii="Arial" w:cs="Arial" w:eastAsia="Arial" w:hAnsi="Arial"/>
          <w:sz w:val="13"/>
          <w:szCs w:val="13"/>
          <w:color w:val="auto"/>
        </w:rPr>
        <w:t>We expect the novel nature of our product candidates to create further challenges in obtaining regulatory approval. For example, the FDA and regulatory authorities in other jurisdictions have limited experience with commercial development of several of our technologies. The FDA may require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certain.</w:t>
      </w:r>
    </w:p>
    <w:p>
      <w:pPr>
        <w:spacing w:after="0" w:line="5"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Moreover, the FDA and other regulatory authorities have indicated that, prior to commencing later stage clinical trials for our mRNA-based product candidates, we will need to scale up and further refine assays to measure and predict the potency of a given dose of these product candidates. Any delay in the scaling and refining of assays that are acceptable to the FDA or other regulatory authorities could delay the start of future clinical trials. Further, the FDA or other regulatory authorities may disagree with our clinical trial design and our interpretation of data for our clinical trials or may change the requirements for approval even after they have reviewed and commented on the design for our clinical trials.</w:t>
      </w:r>
    </w:p>
    <w:p>
      <w:pPr>
        <w:spacing w:after="0" w:line="4"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Significant additional preclinical or nonclinical testing and studies or clinical trial delays for our product candidates also could allow our competitors to bring products to market before we do, potentially impairing our ability to successfully commercialize our product candidates and harming our business and results of operations. Any delays in the development, or the suspension of development, of our product candidates may harm our business, financial condition and prospects significantly.</w:t>
      </w:r>
    </w:p>
    <w:p>
      <w:pPr>
        <w:spacing w:after="0" w:line="3"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 xml:space="preserve">In addition, on June 28, 2024, the Supreme Court overturned the </w:t>
      </w:r>
      <w:r>
        <w:rPr>
          <w:rFonts w:ascii="Arial" w:cs="Arial" w:eastAsia="Arial" w:hAnsi="Arial"/>
          <w:sz w:val="13"/>
          <w:szCs w:val="13"/>
          <w:i w:val="1"/>
          <w:iCs w:val="1"/>
          <w:color w:val="auto"/>
        </w:rPr>
        <w:t>Chevron</w:t>
      </w:r>
      <w:r>
        <w:rPr>
          <w:rFonts w:ascii="Arial" w:cs="Arial" w:eastAsia="Arial" w:hAnsi="Arial"/>
          <w:sz w:val="13"/>
          <w:szCs w:val="13"/>
          <w:color w:val="auto"/>
        </w:rPr>
        <w:t xml:space="preserve"> doctrine in the combined cases of </w:t>
      </w:r>
      <w:r>
        <w:rPr>
          <w:rFonts w:ascii="Arial" w:cs="Arial" w:eastAsia="Arial" w:hAnsi="Arial"/>
          <w:sz w:val="13"/>
          <w:szCs w:val="13"/>
          <w:i w:val="1"/>
          <w:iCs w:val="1"/>
          <w:color w:val="auto"/>
        </w:rPr>
        <w:t xml:space="preserve">Loper Bright Enterprises v. Raimondo </w:t>
      </w:r>
      <w:r>
        <w:rPr>
          <w:rFonts w:ascii="Arial" w:cs="Arial" w:eastAsia="Arial" w:hAnsi="Arial"/>
          <w:sz w:val="13"/>
          <w:szCs w:val="13"/>
          <w:color w:val="auto"/>
        </w:rPr>
        <w:t>and</w:t>
      </w:r>
      <w:r>
        <w:rPr>
          <w:rFonts w:ascii="Arial" w:cs="Arial" w:eastAsia="Arial" w:hAnsi="Arial"/>
          <w:sz w:val="13"/>
          <w:szCs w:val="13"/>
          <w:i w:val="1"/>
          <w:iCs w:val="1"/>
          <w:color w:val="auto"/>
        </w:rPr>
        <w:t xml:space="preserve"> Relentless Inc. v. Department of Commerce</w:t>
      </w:r>
      <w:r>
        <w:rPr>
          <w:rFonts w:ascii="Arial" w:cs="Arial" w:eastAsia="Arial" w:hAnsi="Arial"/>
          <w:sz w:val="13"/>
          <w:szCs w:val="13"/>
          <w:color w:val="auto"/>
        </w:rPr>
        <w:t>. The</w:t>
      </w:r>
      <w:r>
        <w:rPr>
          <w:rFonts w:ascii="Arial" w:cs="Arial" w:eastAsia="Arial" w:hAnsi="Arial"/>
          <w:sz w:val="13"/>
          <w:szCs w:val="13"/>
          <w:i w:val="1"/>
          <w:iCs w:val="1"/>
          <w:color w:val="auto"/>
        </w:rPr>
        <w:t xml:space="preserve"> Chevron </w:t>
      </w:r>
      <w:r>
        <w:rPr>
          <w:rFonts w:ascii="Arial" w:cs="Arial" w:eastAsia="Arial" w:hAnsi="Arial"/>
          <w:sz w:val="13"/>
          <w:szCs w:val="13"/>
          <w:color w:val="auto"/>
        </w:rPr>
        <w:t>doctrine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gave deference to regulatory agencies in litigation against the FDA and other agencies. In addition, the Supreme Court decided </w:t>
      </w:r>
      <w:r>
        <w:rPr>
          <w:rFonts w:ascii="Arial" w:cs="Arial" w:eastAsia="Arial" w:hAnsi="Arial"/>
          <w:sz w:val="13"/>
          <w:szCs w:val="13"/>
          <w:i w:val="1"/>
          <w:iCs w:val="1"/>
          <w:color w:val="auto"/>
        </w:rPr>
        <w:t>Corner Post, Inc. v. Board of Governors of the Federal Reserve System</w:t>
      </w:r>
      <w:r>
        <w:rPr>
          <w:rFonts w:ascii="Arial" w:cs="Arial" w:eastAsia="Arial" w:hAnsi="Arial"/>
          <w:sz w:val="13"/>
          <w:szCs w:val="13"/>
          <w:color w:val="auto"/>
        </w:rPr>
        <w:t>, which lengthened the time in which some challenges to agency rules can be initiated. As a result of these cases, more plaintiffs may bring lawsuits against the FDA to challenge longstanding decisions and policies of the FDA, which could undermine the FDA’s authority, lead to uncertainties in the industry, and disrupt the FDA’s normal operations, which could delay the FDA’s review of our marketing applications.</w:t>
      </w:r>
    </w:p>
    <w:p>
      <w:pPr>
        <w:spacing w:after="0" w:line="5" w:lineRule="exact"/>
        <w:rPr>
          <w:sz w:val="20"/>
          <w:szCs w:val="20"/>
          <w:color w:val="auto"/>
        </w:rPr>
      </w:pPr>
    </w:p>
    <w:p>
      <w:pPr>
        <w:ind w:left="380" w:right="2320"/>
        <w:spacing w:after="0" w:line="210" w:lineRule="auto"/>
        <w:rPr>
          <w:sz w:val="20"/>
          <w:szCs w:val="20"/>
          <w:color w:val="auto"/>
        </w:rPr>
      </w:pPr>
      <w:r>
        <w:rPr>
          <w:rFonts w:ascii="Arial" w:cs="Arial" w:eastAsia="Arial" w:hAnsi="Arial"/>
          <w:sz w:val="13"/>
          <w:szCs w:val="13"/>
          <w:b w:val="1"/>
          <w:bCs w:val="1"/>
          <w:color w:val="005A64"/>
        </w:rPr>
        <w:t>If we or our collaborators encounter difficulties enrolling participants in our clinical trials, our clinical development activities could be delayed or otherwise adversely affected.</w:t>
      </w:r>
    </w:p>
    <w:p>
      <w:pPr>
        <w:spacing w:after="0" w:line="1" w:lineRule="exact"/>
        <w:rPr>
          <w:sz w:val="20"/>
          <w:szCs w:val="20"/>
          <w:color w:val="auto"/>
        </w:rPr>
      </w:pPr>
    </w:p>
    <w:p>
      <w:pPr>
        <w:ind w:left="380" w:right="2100"/>
        <w:spacing w:after="0" w:line="218" w:lineRule="auto"/>
        <w:rPr>
          <w:sz w:val="20"/>
          <w:szCs w:val="20"/>
          <w:color w:val="auto"/>
        </w:rPr>
      </w:pPr>
      <w:r>
        <w:rPr>
          <w:rFonts w:ascii="Arial" w:cs="Arial" w:eastAsia="Arial" w:hAnsi="Arial"/>
          <w:sz w:val="13"/>
          <w:szCs w:val="13"/>
          <w:color w:val="auto"/>
        </w:rPr>
        <w:t>We depend on enrollment of participants in our clinical trials for our product candidates. In the past, our collaborators have found, and we or our collaborators may in the future find, it difficult to enroll trial participants in our clinical studies, which could delay or prevent clinical studies of our product candidates. Identifying and qualifying trial participants to participate in clinical studies of our product candidates is critical to our success. The timing of our clinical studies depends on the speed at which we can recruit trial participants to participate in testing our product candidates. Delays in enrollment may result in increased costs or may affect the timing or</w:t>
      </w:r>
    </w:p>
    <w:p>
      <w:pPr>
        <w:sectPr>
          <w:pgSz w:w="11900" w:h="16840" w:orient="portrait"/>
          <w:cols w:equalWidth="0" w:num="1">
            <w:col w:w="9020"/>
          </w:cols>
          <w:pgMar w:left="1440" w:top="560" w:right="1440"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39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60"/>
        <w:spacing w:after="0" w:line="213" w:lineRule="auto"/>
        <w:rPr>
          <w:sz w:val="20"/>
          <w:szCs w:val="20"/>
          <w:color w:val="auto"/>
        </w:rPr>
      </w:pPr>
      <w:r>
        <w:rPr>
          <w:rFonts w:ascii="Arial" w:cs="Arial" w:eastAsia="Arial" w:hAnsi="Arial"/>
          <w:sz w:val="13"/>
          <w:szCs w:val="13"/>
          <w:color w:val="auto"/>
        </w:rPr>
        <w:t>outcome of the planned clinical trials, which could prevent completion of these trials and adversely affect our ability to advance the development of our product candidates. If trial participants are unwilling to participate in our studies because of negative publicity from adverse events in our trials or other trials of similar products, or those related to specific a therapeutic area, or for other reasons, including competitive clinical studies for similar patient populations, the timeline for recruiting trial participants, conducting studies, and obtaining regulatory approval of potential products may be delayed. These delays could result in increased costs, delays in advancing our product development, delays in testing the effectiveness of our product, or termination of the clinical studies altogether.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-667385</wp:posOffset>
            </wp:positionV>
            <wp:extent cx="523113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3" w:lineRule="auto"/>
        <w:rPr>
          <w:sz w:val="20"/>
          <w:szCs w:val="20"/>
          <w:color w:val="auto"/>
        </w:rPr>
      </w:pPr>
      <w:r>
        <w:rPr>
          <w:rFonts w:ascii="Arial" w:cs="Arial" w:eastAsia="Arial" w:hAnsi="Arial"/>
          <w:sz w:val="13"/>
          <w:szCs w:val="13"/>
          <w:color w:val="auto"/>
        </w:rPr>
        <w:t>We may not be able to identify, recruit and enroll a sufficient number of trial participants, or those with required or</w:t>
      </w:r>
    </w:p>
    <w:p>
      <w:pPr>
        <w:ind w:left="380"/>
        <w:spacing w:after="0" w:line="211" w:lineRule="auto"/>
        <w:rPr>
          <w:sz w:val="20"/>
          <w:szCs w:val="20"/>
          <w:color w:val="auto"/>
        </w:rPr>
      </w:pPr>
      <w:r>
        <w:rPr>
          <w:rFonts w:ascii="Arial" w:cs="Arial" w:eastAsia="Arial" w:hAnsi="Arial"/>
          <w:sz w:val="13"/>
          <w:szCs w:val="13"/>
          <w:color w:val="auto"/>
        </w:rPr>
        <w:t>desired characteristics to achieve diversity in a study, to complete our clinical trials in a timely manner. Patient</w:t>
      </w:r>
    </w:p>
    <w:p>
      <w:pPr>
        <w:ind w:left="380"/>
        <w:spacing w:after="0" w:line="211" w:lineRule="auto"/>
        <w:rPr>
          <w:sz w:val="20"/>
          <w:szCs w:val="20"/>
          <w:color w:val="auto"/>
        </w:rPr>
      </w:pPr>
      <w:r>
        <w:rPr>
          <w:rFonts w:ascii="Arial" w:cs="Arial" w:eastAsia="Arial" w:hAnsi="Arial"/>
          <w:sz w:val="13"/>
          <w:szCs w:val="13"/>
          <w:color w:val="auto"/>
        </w:rPr>
        <w:t>and subject enrollment is affected by factors including:</w:t>
      </w:r>
    </w:p>
    <w:p>
      <w:pPr>
        <w:ind w:left="380"/>
        <w:spacing w:after="0" w:line="211" w:lineRule="auto"/>
        <w:rPr>
          <w:sz w:val="20"/>
          <w:szCs w:val="20"/>
          <w:color w:val="auto"/>
        </w:rPr>
      </w:pPr>
      <w:r>
        <w:rPr>
          <w:rFonts w:ascii="Arial" w:cs="Arial" w:eastAsia="Arial" w:hAnsi="Arial"/>
          <w:sz w:val="13"/>
          <w:szCs w:val="13"/>
          <w:color w:val="auto"/>
        </w:rPr>
        <w:t>•severity of the disease under investigation;</w:t>
      </w:r>
    </w:p>
    <w:p>
      <w:pPr>
        <w:ind w:left="380"/>
        <w:spacing w:after="0" w:line="211" w:lineRule="auto"/>
        <w:rPr>
          <w:sz w:val="20"/>
          <w:szCs w:val="20"/>
          <w:color w:val="auto"/>
        </w:rPr>
      </w:pPr>
      <w:r>
        <w:rPr>
          <w:rFonts w:ascii="Arial" w:cs="Arial" w:eastAsia="Arial" w:hAnsi="Arial"/>
          <w:sz w:val="13"/>
          <w:szCs w:val="13"/>
          <w:color w:val="auto"/>
        </w:rPr>
        <w:t>•complexity and design of the study protocol;</w:t>
      </w:r>
    </w:p>
    <w:p>
      <w:pPr>
        <w:ind w:left="380"/>
        <w:spacing w:after="0" w:line="211" w:lineRule="auto"/>
        <w:rPr>
          <w:sz w:val="20"/>
          <w:szCs w:val="20"/>
          <w:color w:val="auto"/>
        </w:rPr>
      </w:pPr>
      <w:r>
        <w:rPr>
          <w:rFonts w:ascii="Arial" w:cs="Arial" w:eastAsia="Arial" w:hAnsi="Arial"/>
          <w:sz w:val="13"/>
          <w:szCs w:val="13"/>
          <w:color w:val="auto"/>
        </w:rPr>
        <w:t>•size of the patient population;</w:t>
      </w:r>
    </w:p>
    <w:p>
      <w:pPr>
        <w:ind w:left="380"/>
        <w:spacing w:after="0" w:line="211" w:lineRule="auto"/>
        <w:rPr>
          <w:sz w:val="20"/>
          <w:szCs w:val="20"/>
          <w:color w:val="auto"/>
        </w:rPr>
      </w:pPr>
      <w:r>
        <w:rPr>
          <w:rFonts w:ascii="Arial" w:cs="Arial" w:eastAsia="Arial" w:hAnsi="Arial"/>
          <w:sz w:val="13"/>
          <w:szCs w:val="13"/>
          <w:color w:val="auto"/>
        </w:rPr>
        <w:t>•eligibility criteria for the study in question;</w:t>
      </w:r>
    </w:p>
    <w:p>
      <w:pPr>
        <w:ind w:left="380"/>
        <w:spacing w:after="0" w:line="211" w:lineRule="auto"/>
        <w:rPr>
          <w:sz w:val="20"/>
          <w:szCs w:val="20"/>
          <w:color w:val="auto"/>
        </w:rPr>
      </w:pPr>
      <w:r>
        <w:rPr>
          <w:rFonts w:ascii="Arial" w:cs="Arial" w:eastAsia="Arial" w:hAnsi="Arial"/>
          <w:sz w:val="13"/>
          <w:szCs w:val="13"/>
          <w:color w:val="auto"/>
        </w:rPr>
        <w:t>•proximity and availability of clinical study sites for prospective trial participants;</w:t>
      </w:r>
    </w:p>
    <w:p>
      <w:pPr>
        <w:ind w:left="380" w:right="3220"/>
        <w:spacing w:after="0"/>
        <w:rPr>
          <w:sz w:val="20"/>
          <w:szCs w:val="20"/>
          <w:color w:val="auto"/>
        </w:rPr>
      </w:pPr>
      <w:r>
        <w:rPr>
          <w:rFonts w:ascii="Arial" w:cs="Arial" w:eastAsia="Arial" w:hAnsi="Arial"/>
          <w:sz w:val="13"/>
          <w:szCs w:val="13"/>
          <w:color w:val="auto"/>
        </w:rPr>
        <w:t>•availability of competing therapies and clinical trials, including between our own clinical trials; •efforts to facilitate timely enrollment in clinical trials; •patient referral practices of physicians;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•ability to monitor trial participants adequately during and after treatment;</w:t>
      </w:r>
    </w:p>
    <w:p>
      <w:pPr>
        <w:ind w:left="380" w:right="2660"/>
        <w:spacing w:after="0" w:line="210" w:lineRule="auto"/>
        <w:rPr>
          <w:sz w:val="20"/>
          <w:szCs w:val="20"/>
          <w:color w:val="auto"/>
        </w:rPr>
      </w:pPr>
      <w:r>
        <w:rPr>
          <w:rFonts w:ascii="Arial" w:cs="Arial" w:eastAsia="Arial" w:hAnsi="Arial"/>
          <w:sz w:val="13"/>
          <w:szCs w:val="13"/>
          <w:color w:val="auto"/>
        </w:rPr>
        <w:t>•ability to recruit clinical trial investigators with the appropriate competencies and experience; •clinicians’ and trial participants’ perceptions of the potential advantages and side effects of the product candidate being studied in relation to other available therapies, including any new drugs or treatments that may be approved for the indications we are investigating; •our ability to obtain and maintain participant informed consent;</w:t>
      </w:r>
    </w:p>
    <w:p>
      <w:pPr>
        <w:spacing w:after="0" w:line="3" w:lineRule="exact"/>
        <w:rPr>
          <w:sz w:val="20"/>
          <w:szCs w:val="20"/>
          <w:color w:val="auto"/>
        </w:rPr>
      </w:pPr>
    </w:p>
    <w:p>
      <w:pPr>
        <w:ind w:left="380" w:right="2940"/>
        <w:spacing w:after="0" w:line="210" w:lineRule="auto"/>
        <w:rPr>
          <w:sz w:val="20"/>
          <w:szCs w:val="20"/>
          <w:color w:val="auto"/>
        </w:rPr>
      </w:pPr>
      <w:r>
        <w:rPr>
          <w:rFonts w:ascii="Arial" w:cs="Arial" w:eastAsia="Arial" w:hAnsi="Arial"/>
          <w:sz w:val="13"/>
          <w:szCs w:val="13"/>
          <w:color w:val="auto"/>
        </w:rPr>
        <w:t>•major changes in the approval status of competitor investigational products during the clinical trial period; and</w:t>
      </w:r>
    </w:p>
    <w:p>
      <w:pPr>
        <w:ind w:left="380"/>
        <w:spacing w:after="0" w:line="212" w:lineRule="auto"/>
        <w:rPr>
          <w:sz w:val="20"/>
          <w:szCs w:val="20"/>
          <w:color w:val="auto"/>
        </w:rPr>
      </w:pPr>
      <w:r>
        <w:rPr>
          <w:rFonts w:ascii="Arial" w:cs="Arial" w:eastAsia="Arial" w:hAnsi="Arial"/>
          <w:sz w:val="13"/>
          <w:szCs w:val="13"/>
          <w:color w:val="auto"/>
        </w:rPr>
        <w:t>•the risk that trial participants enrolled in clinical trials will not complete a clinical trial.</w:t>
      </w:r>
    </w:p>
    <w:p>
      <w:pPr>
        <w:spacing w:after="0" w:line="1" w:lineRule="exact"/>
        <w:rPr>
          <w:sz w:val="20"/>
          <w:szCs w:val="20"/>
          <w:color w:val="auto"/>
        </w:rPr>
      </w:pPr>
    </w:p>
    <w:p>
      <w:pPr>
        <w:ind w:left="380" w:right="2120"/>
        <w:spacing w:after="0" w:line="214" w:lineRule="auto"/>
        <w:rPr>
          <w:sz w:val="20"/>
          <w:szCs w:val="20"/>
          <w:color w:val="auto"/>
        </w:rPr>
      </w:pPr>
      <w:r>
        <w:rPr>
          <w:rFonts w:ascii="Arial" w:cs="Arial" w:eastAsia="Arial" w:hAnsi="Arial"/>
          <w:sz w:val="13"/>
          <w:szCs w:val="13"/>
          <w:color w:val="auto"/>
        </w:rPr>
        <w:t>In addition, our clinical trials may compete with other clinical trials for product candidates that are in the same therapeutic areas as our product candidates, and this competition will reduce the number and types of trial participants available to us because some trial participants who might have opted to enroll in our trials may instead opt to enroll in a trial being conducted by a third party. Since the number of qualified clinical investigators is limited, we expect to conduct some of our clinical trials at the same clinical trial sites that some of our competitors use, which will reduce the number of trial participants who are available for our clinical trials at such clinical trial sites. Moreover, because in some cases our product candidates represent a therapeutic novelty in contrast to more traditional methods for disease treatment and prevention, potential trial participants and their doctors may be inclined to use conventional therapies or other investigational therapies rather than enroll trial participants in any future clinical trial involving more novel product candidates. Additionally, if new product candidates, such as gene editing therapies, show encouraging results, potential trial participants and their doctors may be inclined to enroll trial participants in clinical trials using those product candidates. If such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40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60"/>
        <w:spacing w:after="0" w:line="220" w:lineRule="auto"/>
        <w:rPr>
          <w:sz w:val="20"/>
          <w:szCs w:val="20"/>
          <w:color w:val="auto"/>
        </w:rPr>
      </w:pPr>
      <w:r>
        <w:rPr>
          <w:rFonts w:ascii="Arial" w:cs="Arial" w:eastAsia="Arial" w:hAnsi="Arial"/>
          <w:sz w:val="13"/>
          <w:szCs w:val="13"/>
          <w:color w:val="auto"/>
        </w:rPr>
        <w:t>product candidates show discouraging results or other adverse safety indications, potential trial participants and their doctors may be less inclined to enroll trial participants in our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color w:val="auto"/>
        </w:rPr>
        <w:t>In particular, certain conditions for which we plan to evaluate our current product candidates are rare diseases with limited patient pools from which to draw for clinical trials. The eligibility criteria of our clinical trials will further limit the pool of available trial participants. Additionally, the process of finding and diagnosing patients may prove costly. Each of the foregoing risks may continue to be affected by the spread of seasonal viral infections, including COVID-19, as well as the potential for any new pandemic caused by an as-yet-unknown agent.</w:t>
      </w:r>
    </w:p>
    <w:p>
      <w:pPr>
        <w:spacing w:after="0" w:line="3" w:lineRule="exact"/>
        <w:rPr>
          <w:sz w:val="20"/>
          <w:szCs w:val="20"/>
          <w:color w:val="auto"/>
        </w:rPr>
      </w:pPr>
    </w:p>
    <w:p>
      <w:pPr>
        <w:ind w:left="380" w:right="2340"/>
        <w:spacing w:after="0" w:line="210" w:lineRule="auto"/>
        <w:rPr>
          <w:sz w:val="20"/>
          <w:szCs w:val="20"/>
          <w:color w:val="auto"/>
        </w:rPr>
      </w:pPr>
      <w:r>
        <w:rPr>
          <w:rFonts w:ascii="Arial" w:cs="Arial" w:eastAsia="Arial" w:hAnsi="Arial"/>
          <w:sz w:val="13"/>
          <w:szCs w:val="13"/>
          <w:b w:val="1"/>
          <w:bCs w:val="1"/>
          <w:color w:val="005A64"/>
        </w:rPr>
        <w:t>We, our collaborators, and other third parties on whom we rely conduct various activities, including research, clinical trials, manufacturing and, where approved, marketing, in jurisdictions across the globe. Such activities are subject to a variety of risks which could materially and adversely affect our business.</w:t>
      </w:r>
    </w:p>
    <w:p>
      <w:pPr>
        <w:spacing w:after="0" w:line="2" w:lineRule="exact"/>
        <w:rPr>
          <w:sz w:val="20"/>
          <w:szCs w:val="20"/>
          <w:color w:val="auto"/>
        </w:rPr>
      </w:pPr>
    </w:p>
    <w:p>
      <w:pPr>
        <w:ind w:left="380" w:right="2260"/>
        <w:spacing w:after="0" w:line="210" w:lineRule="auto"/>
        <w:rPr>
          <w:sz w:val="20"/>
          <w:szCs w:val="20"/>
          <w:color w:val="auto"/>
        </w:rPr>
      </w:pPr>
      <w:r>
        <w:rPr>
          <w:rFonts w:ascii="Arial" w:cs="Arial" w:eastAsia="Arial" w:hAnsi="Arial"/>
          <w:sz w:val="13"/>
          <w:szCs w:val="13"/>
          <w:color w:val="auto"/>
        </w:rPr>
        <w:t>Our activities increasingly span different jurisdictions. For example, clinical trials of our product candidates are currently being conducted in several countries, and we plan to commercialize our product candidates, if approved, globally. Accordingly, we are subject to additional risks related to operating in multiple countries, including:</w:t>
      </w:r>
    </w:p>
    <w:p>
      <w:pPr>
        <w:ind w:left="380"/>
        <w:spacing w:after="0" w:line="214" w:lineRule="auto"/>
        <w:rPr>
          <w:sz w:val="20"/>
          <w:szCs w:val="20"/>
          <w:color w:val="auto"/>
        </w:rPr>
      </w:pPr>
      <w:r>
        <w:rPr>
          <w:rFonts w:ascii="Arial" w:cs="Arial" w:eastAsia="Arial" w:hAnsi="Arial"/>
          <w:sz w:val="13"/>
          <w:szCs w:val="13"/>
          <w:color w:val="auto"/>
        </w:rPr>
        <w:t>•differing regulatory requirements in such countries;</w:t>
      </w:r>
    </w:p>
    <w:p>
      <w:pPr>
        <w:ind w:left="380"/>
        <w:spacing w:after="0"/>
        <w:rPr>
          <w:sz w:val="20"/>
          <w:szCs w:val="20"/>
          <w:color w:val="auto"/>
        </w:rPr>
      </w:pPr>
      <w:r>
        <w:rPr>
          <w:rFonts w:ascii="Arial" w:cs="Arial" w:eastAsia="Arial" w:hAnsi="Arial"/>
          <w:sz w:val="13"/>
          <w:szCs w:val="13"/>
          <w:color w:val="auto"/>
        </w:rPr>
        <w:t>•unexpected changes in tariffs, trade barriers, price and exchange controls and other regulatory</w:t>
      </w:r>
    </w:p>
    <w:p>
      <w:pPr>
        <w:sectPr>
          <w:pgSz w:w="11900" w:h="16840" w:orient="portrait"/>
          <w:cols w:equalWidth="0" w:num="1">
            <w:col w:w="9020"/>
          </w:cols>
          <w:pgMar w:left="1440" w:top="1440" w:right="1440" w:bottom="18" w:gutter="0" w:footer="0" w:header="0"/>
        </w:sectPr>
      </w:pPr>
    </w:p>
    <w:bookmarkStart w:id="29" w:name="page30"/>
    <w:bookmarkEnd w:id="29"/>
    <w:p>
      <w:pPr>
        <w:ind w:left="380"/>
        <w:spacing w:after="0"/>
        <w:rPr>
          <w:sz w:val="20"/>
          <w:szCs w:val="20"/>
          <w:color w:val="auto"/>
        </w:rPr>
      </w:pPr>
      <w:r>
        <w:rPr>
          <w:rFonts w:ascii="Arial" w:cs="Arial" w:eastAsia="Arial" w:hAnsi="Arial"/>
          <w:sz w:val="13"/>
          <w:szCs w:val="13"/>
          <w:color w:val="auto"/>
        </w:rPr>
        <w:t>requirements;</w:t>
      </w:r>
    </w:p>
    <w:p>
      <w:pPr>
        <w:ind w:left="380" w:right="3000"/>
        <w:spacing w:after="0" w:line="210" w:lineRule="auto"/>
        <w:rPr>
          <w:sz w:val="20"/>
          <w:szCs w:val="20"/>
          <w:color w:val="auto"/>
        </w:rPr>
      </w:pPr>
      <w:r>
        <w:rPr>
          <w:rFonts w:ascii="Arial" w:cs="Arial" w:eastAsia="Arial" w:hAnsi="Arial"/>
          <w:sz w:val="13"/>
          <w:szCs w:val="13"/>
          <w:color w:val="auto"/>
        </w:rPr>
        <w:t>•increased difficulties in managing the logistics and transportation of storing and shipping product candidates produced in Germany and shipping the product candidate to the patient abroad; •import and export requirements and restrictions;</w:t>
      </w:r>
    </w:p>
    <w:p>
      <w:pPr>
        <w:spacing w:after="0" w:line="2" w:lineRule="exact"/>
        <w:rPr>
          <w:sz w:val="20"/>
          <w:szCs w:val="20"/>
          <w:color w:val="auto"/>
        </w:rPr>
      </w:pPr>
    </w:p>
    <w:p>
      <w:pPr>
        <w:ind w:left="380" w:right="3000"/>
        <w:spacing w:after="0" w:line="210" w:lineRule="auto"/>
        <w:rPr>
          <w:sz w:val="20"/>
          <w:szCs w:val="20"/>
          <w:color w:val="auto"/>
        </w:rPr>
      </w:pPr>
      <w:r>
        <w:rPr>
          <w:rFonts w:ascii="Arial" w:cs="Arial" w:eastAsia="Arial" w:hAnsi="Arial"/>
          <w:sz w:val="13"/>
          <w:szCs w:val="13"/>
          <w:color w:val="auto"/>
        </w:rPr>
        <w:t>•restrictions on transfers of information, including certain technologies and personal data; •economic weakness, including inflation, or changes to the political climate, public sentiment, and government policy preferences in certain economies and markets;</w:t>
      </w:r>
    </w:p>
    <w:p>
      <w:pPr>
        <w:spacing w:after="0" w:line="2" w:lineRule="exact"/>
        <w:rPr>
          <w:sz w:val="20"/>
          <w:szCs w:val="20"/>
          <w:color w:val="auto"/>
        </w:rPr>
      </w:pPr>
    </w:p>
    <w:p>
      <w:pPr>
        <w:ind w:left="380" w:right="2660"/>
        <w:spacing w:after="0" w:line="210" w:lineRule="auto"/>
        <w:rPr>
          <w:sz w:val="20"/>
          <w:szCs w:val="20"/>
          <w:color w:val="auto"/>
        </w:rPr>
      </w:pPr>
      <w:r>
        <w:rPr>
          <w:rFonts w:ascii="Arial" w:cs="Arial" w:eastAsia="Arial" w:hAnsi="Arial"/>
          <w:sz w:val="13"/>
          <w:szCs w:val="13"/>
          <w:color w:val="auto"/>
        </w:rPr>
        <w:t>•compliance with tax, employment, immigration and labor laws for employees living or traveling abroad; •taxes, including withholding of payroll taxes;</w:t>
      </w:r>
    </w:p>
    <w:p>
      <w:pPr>
        <w:spacing w:after="0" w:line="1" w:lineRule="exact"/>
        <w:rPr>
          <w:sz w:val="20"/>
          <w:szCs w:val="20"/>
          <w:color w:val="auto"/>
        </w:rPr>
      </w:pPr>
    </w:p>
    <w:p>
      <w:pPr>
        <w:ind w:left="380" w:right="2780"/>
        <w:spacing w:after="0" w:line="210" w:lineRule="auto"/>
        <w:rPr>
          <w:sz w:val="20"/>
          <w:szCs w:val="20"/>
          <w:color w:val="auto"/>
        </w:rPr>
      </w:pPr>
      <w:r>
        <w:rPr>
          <w:rFonts w:ascii="Arial" w:cs="Arial" w:eastAsia="Arial" w:hAnsi="Arial"/>
          <w:sz w:val="13"/>
          <w:szCs w:val="13"/>
          <w:color w:val="auto"/>
        </w:rPr>
        <w:t>•currency fluctuations, which could result in increased operating expenses and reduced revenue, and other obligations incident to doing business in another country; •difficulties staffing and managing operations outside of Germany;</w:t>
      </w:r>
    </w:p>
    <w:p>
      <w:pPr>
        <w:ind w:left="380"/>
        <w:spacing w:after="0" w:line="213" w:lineRule="auto"/>
        <w:rPr>
          <w:sz w:val="20"/>
          <w:szCs w:val="20"/>
          <w:color w:val="auto"/>
        </w:rPr>
      </w:pPr>
      <w:r>
        <w:rPr>
          <w:rFonts w:ascii="Arial" w:cs="Arial" w:eastAsia="Arial" w:hAnsi="Arial"/>
          <w:sz w:val="13"/>
          <w:szCs w:val="13"/>
          <w:color w:val="auto"/>
        </w:rPr>
        <w:t>•workforce uncertainty in countries where labor unrest is more common;</w:t>
      </w:r>
    </w:p>
    <w:p>
      <w:pPr>
        <w:spacing w:after="0" w:line="1" w:lineRule="exact"/>
        <w:rPr>
          <w:sz w:val="20"/>
          <w:szCs w:val="20"/>
          <w:color w:val="auto"/>
        </w:rPr>
      </w:pPr>
    </w:p>
    <w:p>
      <w:pPr>
        <w:ind w:left="380" w:right="2840"/>
        <w:spacing w:after="0" w:line="210" w:lineRule="auto"/>
        <w:rPr>
          <w:sz w:val="20"/>
          <w:szCs w:val="20"/>
          <w:color w:val="auto"/>
        </w:rPr>
      </w:pPr>
      <w:r>
        <w:rPr>
          <w:rFonts w:ascii="Arial" w:cs="Arial" w:eastAsia="Arial" w:hAnsi="Arial"/>
          <w:sz w:val="13"/>
          <w:szCs w:val="13"/>
          <w:color w:val="auto"/>
        </w:rPr>
        <w:t>•differing payor reimbursement regimes, governmental payors or patient self-pay systems, and price controls;</w:t>
      </w:r>
    </w:p>
    <w:p>
      <w:pPr>
        <w:spacing w:after="0" w:line="1" w:lineRule="exact"/>
        <w:rPr>
          <w:sz w:val="20"/>
          <w:szCs w:val="20"/>
          <w:color w:val="auto"/>
        </w:rPr>
      </w:pPr>
    </w:p>
    <w:p>
      <w:pPr>
        <w:ind w:left="380" w:right="2520"/>
        <w:spacing w:after="0" w:line="210" w:lineRule="auto"/>
        <w:rPr>
          <w:sz w:val="20"/>
          <w:szCs w:val="20"/>
          <w:color w:val="auto"/>
        </w:rPr>
      </w:pPr>
      <w:r>
        <w:rPr>
          <w:rFonts w:ascii="Arial" w:cs="Arial" w:eastAsia="Arial" w:hAnsi="Arial"/>
          <w:sz w:val="13"/>
          <w:szCs w:val="13"/>
          <w:color w:val="auto"/>
        </w:rPr>
        <w:t>•potential liability under the U.S. Foreign Corrupt Practices Act of 1977 or comparable regulations in other jurisdictions;</w:t>
      </w:r>
    </w:p>
    <w:p>
      <w:pPr>
        <w:spacing w:after="0" w:line="1" w:lineRule="exact"/>
        <w:rPr>
          <w:sz w:val="20"/>
          <w:szCs w:val="20"/>
          <w:color w:val="auto"/>
        </w:rPr>
      </w:pPr>
    </w:p>
    <w:p>
      <w:pPr>
        <w:ind w:left="380" w:right="2540"/>
        <w:spacing w:after="0"/>
        <w:rPr>
          <w:sz w:val="20"/>
          <w:szCs w:val="20"/>
          <w:color w:val="auto"/>
        </w:rPr>
      </w:pPr>
      <w:r>
        <w:rPr>
          <w:rFonts w:ascii="Arial" w:cs="Arial" w:eastAsia="Arial" w:hAnsi="Arial"/>
          <w:sz w:val="13"/>
          <w:szCs w:val="13"/>
          <w:color w:val="auto"/>
        </w:rPr>
        <w:t>•challenges enforcing our contractual and intellectual property rights, especially in those countries that do not respect and protect intellectual property rights to the same extent as Germany and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41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3140"/>
        <w:spacing w:after="0" w:line="220" w:lineRule="auto"/>
        <w:rPr>
          <w:sz w:val="20"/>
          <w:szCs w:val="20"/>
          <w:color w:val="auto"/>
        </w:rPr>
      </w:pPr>
      <w:r>
        <w:rPr>
          <w:rFonts w:ascii="Arial" w:cs="Arial" w:eastAsia="Arial" w:hAnsi="Arial"/>
          <w:sz w:val="13"/>
          <w:szCs w:val="13"/>
          <w:color w:val="auto"/>
        </w:rPr>
        <w:t>•production shortages resulting from any events affecting raw material supply or manufacturing capabilities abroad;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720"/>
        <w:spacing w:after="0" w:line="210" w:lineRule="auto"/>
        <w:rPr>
          <w:sz w:val="20"/>
          <w:szCs w:val="20"/>
          <w:color w:val="auto"/>
        </w:rPr>
      </w:pPr>
      <w:r>
        <w:rPr>
          <w:rFonts w:ascii="Arial" w:cs="Arial" w:eastAsia="Arial" w:hAnsi="Arial"/>
          <w:sz w:val="13"/>
          <w:szCs w:val="13"/>
          <w:color w:val="auto"/>
        </w:rPr>
        <w:t>•business interruptions resulting from geopolitical actions, including war and terrorism, or public health epidemics or pandemics.</w:t>
      </w:r>
    </w:p>
    <w:p>
      <w:pPr>
        <w:spacing w:after="0" w:line="1" w:lineRule="exact"/>
        <w:rPr>
          <w:sz w:val="20"/>
          <w:szCs w:val="20"/>
          <w:color w:val="auto"/>
        </w:rPr>
      </w:pPr>
    </w:p>
    <w:p>
      <w:pPr>
        <w:ind w:left="380" w:right="2220"/>
        <w:spacing w:after="0" w:line="210" w:lineRule="auto"/>
        <w:rPr>
          <w:sz w:val="20"/>
          <w:szCs w:val="20"/>
          <w:color w:val="auto"/>
        </w:rPr>
      </w:pPr>
      <w:r>
        <w:rPr>
          <w:rFonts w:ascii="Arial" w:cs="Arial" w:eastAsia="Arial" w:hAnsi="Arial"/>
          <w:sz w:val="13"/>
          <w:szCs w:val="13"/>
          <w:color w:val="auto"/>
        </w:rPr>
        <w:t>As part of our global operations, we and our collaborators rely on relationships with entities based in various jurisdictions, including for clinical research and manufacturing activities and other regional operational needs. Such relationships may involve the use of our or others’ intellectual property. We expect to continue to rely on such entities, which include locally-based contract manufacturing organizations, or CMOs, and CROs, in the future. For example, we and our collaborators rely on WuXi Biologics Co., Ltd. and its affiliates for outsourcing activities related to manufacturing and the supply chain, research and development, certain IP, and commercialization readiness for certain of our product candidates. Such entities are subject to evolving local regulatory requirements, and may also be subject to U.S. and EU legislation, including the proposed U.S. BIOSECURE Act, sanctions, trade restrictions, and/or other regulations. Such requirements could increase the cost or reduce the supply of material available to us, delay the procurement or supply of such material, or have an adverse affect on our ability to secure significant commitments from governments to purchase our potential therapies.</w:t>
      </w:r>
    </w:p>
    <w:p>
      <w:pPr>
        <w:spacing w:after="0" w:line="7"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The extent to which the COVID- 19 virus continues to impact our operations, including our clinical trial operations, in its endemic stage will depend on future developments, which are highly uncertain and cannot be predicted with confidence, including new outbreaks, new information which may emerge concerning the severity of COVID-19 and the actions to contain COVID-19 or treat its impact, among others. In the future, similar events could affect our ability to manufacture and commercialize our product candidates.</w:t>
      </w:r>
    </w:p>
    <w:p>
      <w:pPr>
        <w:spacing w:after="0" w:line="3" w:lineRule="exact"/>
        <w:rPr>
          <w:sz w:val="20"/>
          <w:szCs w:val="20"/>
          <w:color w:val="auto"/>
        </w:rPr>
      </w:pPr>
    </w:p>
    <w:p>
      <w:pPr>
        <w:ind w:left="380" w:right="2060"/>
        <w:spacing w:after="0" w:line="210" w:lineRule="auto"/>
        <w:rPr>
          <w:sz w:val="20"/>
          <w:szCs w:val="20"/>
          <w:color w:val="auto"/>
        </w:rPr>
      </w:pPr>
      <w:r>
        <w:rPr>
          <w:rFonts w:ascii="Arial" w:cs="Arial" w:eastAsia="Arial" w:hAnsi="Arial"/>
          <w:sz w:val="13"/>
          <w:szCs w:val="13"/>
          <w:color w:val="auto"/>
        </w:rPr>
        <w:t>As noted above, we and our partners have conducted and are expecting in the future to conduct clinical trials for our product candidates at clinical sites located outside of the United States. Although the FDA may accept data from clinical trials outside the United States that are not conducted under an IND, acceptance of this data in support of a marketing application or IND requires the clinical trial to have been conducted in accordance with GCPs, and that the FDA is able to validate the data from the clinical trial through an onsite inspection if it deems such inspection necessary. Where data from non-U.S. clinical trials are intended to serve as the sole basis for marketing approval in the United States, the FDA will not approve the application on the basis of non-U.S. data alone unless those data are considered applicable to the U.S. patient population and U.S. medical practice, the clinical trials were performed by clinical investigators of recognized competence, and the data is considered valid without the need for an onsite inspection by the FDA or, if the FDA considers such an inspection to be necessary, the FDA is able to validate the data through an onsite inspection or other appropriate means. There can be no assurance the FDA will accept data from clinical trials conducted outside of the United States in support of a marketing application. If the FDA does not accept data from our clinical trials of our product candidates, it would likely result in the need for additional clinical trials, which would be costly and time-consuming and delay or permanently halt our development of a product candidate.</w:t>
      </w:r>
    </w:p>
    <w:p>
      <w:pPr>
        <w:spacing w:after="0" w:line="9"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These and other risks associated with our international operations and our collaborations with our collaborators may materially adversely affect our ability to attain or maintain profitable operations.</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b w:val="1"/>
          <w:bCs w:val="1"/>
          <w:color w:val="005A64"/>
        </w:rPr>
        <w:t>Interim top-line and preliminary data from studies or trials that we announce or publish from time to time may change as more data become available and are subject to audit and verification procedures that could result in material changes in the final data.</w:t>
      </w:r>
    </w:p>
    <w:p>
      <w:pPr>
        <w:spacing w:after="0" w:line="2" w:lineRule="exact"/>
        <w:rPr>
          <w:sz w:val="20"/>
          <w:szCs w:val="20"/>
          <w:color w:val="auto"/>
        </w:rPr>
      </w:pPr>
    </w:p>
    <w:p>
      <w:pPr>
        <w:ind w:left="380" w:right="2100"/>
        <w:spacing w:after="0" w:line="216" w:lineRule="auto"/>
        <w:rPr>
          <w:sz w:val="20"/>
          <w:szCs w:val="20"/>
          <w:color w:val="auto"/>
        </w:rPr>
      </w:pPr>
      <w:r>
        <w:rPr>
          <w:rFonts w:ascii="Arial" w:cs="Arial" w:eastAsia="Arial" w:hAnsi="Arial"/>
          <w:sz w:val="13"/>
          <w:szCs w:val="13"/>
          <w:color w:val="auto"/>
        </w:rPr>
        <w:t>From time to time, we may publish interim top -line or preliminary data from preclinical studies or clinical trials. Interim data are subject to the risk that one or more of the outcomes may materially change as more data become available. We also make assumptions, estimations, calculations and conclusions as part of our analyses of data, and we may not have received or had the opportunity to 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interim and</w:t>
      </w:r>
    </w:p>
    <w:p>
      <w:pPr>
        <w:sectPr>
          <w:pgSz w:w="11900" w:h="16840" w:orient="portrait"/>
          <w:cols w:equalWidth="0" w:num="1">
            <w:col w:w="9020"/>
          </w:cols>
          <w:pgMar w:left="1440" w:top="554" w:right="1440" w:bottom="728"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42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60"/>
        <w:spacing w:after="0" w:line="215" w:lineRule="auto"/>
        <w:rPr>
          <w:sz w:val="20"/>
          <w:szCs w:val="20"/>
          <w:color w:val="auto"/>
        </w:rPr>
      </w:pPr>
      <w:r>
        <w:rPr>
          <w:rFonts w:ascii="Arial" w:cs="Arial" w:eastAsia="Arial" w:hAnsi="Arial"/>
          <w:sz w:val="13"/>
          <w:szCs w:val="13"/>
          <w:color w:val="auto"/>
        </w:rPr>
        <w:t>preliminary data should be viewed with caution until the final data are available. Additionally,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80"/>
        <w:spacing w:after="0" w:line="210" w:lineRule="auto"/>
        <w:rPr>
          <w:sz w:val="20"/>
          <w:szCs w:val="20"/>
          <w:color w:val="auto"/>
        </w:rPr>
      </w:pPr>
      <w:r>
        <w:rPr>
          <w:rFonts w:ascii="Arial" w:cs="Arial" w:eastAsia="Arial" w:hAnsi="Arial"/>
          <w:sz w:val="13"/>
          <w:szCs w:val="13"/>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disclose publicly regarding a particular study or clinical trial is based on what is typically extensive information, and our securityholders may not agree with what we determine is the material or otherwise appropriate information to include in our disclosure. Any information we determine not to disclose may ultimately be deemed significant by our securityholders or others with respect to future decisions, conclusions, views, activities or otherwise regarding a particular product candidate or our business. If the top-line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7" w:lineRule="exact"/>
        <w:rPr>
          <w:sz w:val="20"/>
          <w:szCs w:val="20"/>
          <w:color w:val="auto"/>
        </w:rPr>
      </w:pPr>
    </w:p>
    <w:p>
      <w:pPr>
        <w:ind w:left="380" w:right="2560"/>
        <w:spacing w:after="0" w:line="210" w:lineRule="auto"/>
        <w:rPr>
          <w:sz w:val="20"/>
          <w:szCs w:val="20"/>
          <w:color w:val="auto"/>
        </w:rPr>
      </w:pPr>
      <w:r>
        <w:rPr>
          <w:rFonts w:ascii="Arial" w:cs="Arial" w:eastAsia="Arial" w:hAnsi="Arial"/>
          <w:sz w:val="13"/>
          <w:szCs w:val="13"/>
          <w:b w:val="1"/>
          <w:bCs w:val="1"/>
          <w:color w:val="005A64"/>
        </w:rPr>
        <w:t>Results of earlier studies and trials of our product candidates may not be predictive of future trial results.</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Success in preclinical studies and early clinical trials does not ensure that later clinical trials will be successful.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Even if our clinical trials are completed, the results may not be sufficient to obtain regulatory approval for our product candidates. In addition, the results of our preclinical studies may not be predictive of the results of outcomes in human clinical trials. For example, our tumor-specific cancer immunotherapy candidates and any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the desired pharmacological properties or safety and efficacy traits despite having progressed through preclinical studies and initial clinical trials. Even if we are able to initiate and complete clinical trials, the results may not be sufficient to obtain regulatory approval for our product candidates.</w:t>
      </w:r>
    </w:p>
    <w:p>
      <w:pPr>
        <w:spacing w:after="0" w:line="9"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b w:val="1"/>
          <w:bCs w:val="1"/>
          <w:color w:val="005A64"/>
        </w:rPr>
        <w:t>Our planned clinical trials or those of our collaborators may be less efficacious or may reveal significant adverse events not seen in our preclinical or nonclinical studies and may result in a safety profile that could delay or terminate clinical trials, or delay or prevent regulatory approval or market acceptance of any of our product candidates.</w:t>
      </w:r>
    </w:p>
    <w:p>
      <w:pPr>
        <w:spacing w:after="0" w:line="2" w:lineRule="exact"/>
        <w:rPr>
          <w:sz w:val="20"/>
          <w:szCs w:val="20"/>
          <w:color w:val="auto"/>
        </w:rPr>
      </w:pPr>
    </w:p>
    <w:p>
      <w:pPr>
        <w:ind w:left="380" w:right="2540"/>
        <w:spacing w:after="0" w:line="210" w:lineRule="auto"/>
        <w:rPr>
          <w:sz w:val="20"/>
          <w:szCs w:val="20"/>
          <w:color w:val="auto"/>
        </w:rPr>
      </w:pPr>
      <w:r>
        <w:rPr>
          <w:rFonts w:ascii="Arial" w:cs="Arial" w:eastAsia="Arial" w:hAnsi="Arial"/>
          <w:sz w:val="13"/>
          <w:szCs w:val="13"/>
          <w:color w:val="auto"/>
        </w:rPr>
        <w:t>There is typically an extremely high rate of attrition for product candidates across categories of medicines proceeding through clinical trials.</w:t>
      </w:r>
    </w:p>
    <w:p>
      <w:pPr>
        <w:spacing w:after="0" w:line="1"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These product candidates may fail to show the desired safety and efficacy profile in later stages of clinical trials despite having progressed through nonclinical studies and initial clinical trials. A number of companies in the biopharmaceutical industry have suffered significant setbacks in later-stage clinical trials due to lack of efficacy or unacceptable safety profiles,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p>
    <w:p>
      <w:pPr>
        <w:spacing w:after="0" w:line="4" w:lineRule="exact"/>
        <w:rPr>
          <w:sz w:val="20"/>
          <w:szCs w:val="20"/>
          <w:color w:val="auto"/>
        </w:rPr>
      </w:pPr>
    </w:p>
    <w:p>
      <w:pPr>
        <w:ind w:left="380" w:right="2220"/>
        <w:spacing w:after="0" w:line="222" w:lineRule="auto"/>
        <w:rPr>
          <w:sz w:val="20"/>
          <w:szCs w:val="20"/>
          <w:color w:val="auto"/>
        </w:rPr>
      </w:pPr>
      <w:r>
        <w:rPr>
          <w:rFonts w:ascii="Arial" w:cs="Arial" w:eastAsia="Arial" w:hAnsi="Arial"/>
          <w:sz w:val="13"/>
          <w:szCs w:val="13"/>
          <w:color w:val="auto"/>
        </w:rPr>
        <w:t>Many of our product candidates are being developed or are intended to be co-administered with other developmental therapies or approved medicines. For example, autogene cevumeran (BNT122/RO7198457) is being developed to be co-administered with checkpoint inhibitors. Such combinations may have additional side effects, which may be difficult to predict in future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43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60"/>
        <w:spacing w:after="0" w:line="217" w:lineRule="auto"/>
        <w:rPr>
          <w:sz w:val="20"/>
          <w:szCs w:val="20"/>
          <w:color w:val="auto"/>
        </w:rPr>
      </w:pPr>
      <w:r>
        <w:rPr>
          <w:rFonts w:ascii="Arial" w:cs="Arial" w:eastAsia="Arial" w:hAnsi="Arial"/>
          <w:sz w:val="13"/>
          <w:szCs w:val="13"/>
          <w:color w:val="auto"/>
        </w:rPr>
        <w:t>If significant adverse events or other side effects are observed in any of our current or future clinical trials, we may have difficulty recruiting trial participants to any of our clinical trials, trial participants may withdraw from trials, or we may be required to abandon the trials or our development efforts of one or more product candidates altogether. We, the FDA or other regulatory authorities, ethics committees or an IRB may impose a clinical hold on, or suspend or terminate,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drug from obtaining or maintaining marketing approval, an unfavorable benefit-risk ratio may inhibit market acceptance of the approved product due to its tolerability versus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-851535</wp:posOffset>
            </wp:positionV>
            <wp:extent cx="523113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1440" w:right="1440" w:bottom="0" w:gutter="0" w:footer="0" w:header="0"/>
        </w:sectPr>
      </w:pPr>
    </w:p>
    <w:bookmarkStart w:id="31" w:name="page32"/>
    <w:bookmarkEnd w:id="31"/>
    <w:p>
      <w:pPr>
        <w:ind w:left="380"/>
        <w:spacing w:after="0"/>
        <w:rPr>
          <w:sz w:val="20"/>
          <w:szCs w:val="20"/>
          <w:color w:val="auto"/>
        </w:rPr>
      </w:pPr>
      <w:r>
        <w:rPr>
          <w:rFonts w:ascii="Arial" w:cs="Arial" w:eastAsia="Arial" w:hAnsi="Arial"/>
          <w:sz w:val="13"/>
          <w:szCs w:val="13"/>
          <w:color w:val="auto"/>
        </w:rPr>
        <w:t>therapies. Any of these developments could materially harm our business, financial condition and prospects.</w:t>
      </w:r>
    </w:p>
    <w:p>
      <w:pPr>
        <w:ind w:left="380" w:right="2220"/>
        <w:spacing w:after="0" w:line="210" w:lineRule="auto"/>
        <w:rPr>
          <w:sz w:val="20"/>
          <w:szCs w:val="20"/>
          <w:color w:val="auto"/>
        </w:rPr>
      </w:pPr>
      <w:r>
        <w:rPr>
          <w:rFonts w:ascii="Arial" w:cs="Arial" w:eastAsia="Arial" w:hAnsi="Arial"/>
          <w:sz w:val="13"/>
          <w:szCs w:val="13"/>
          <w:b w:val="1"/>
          <w:bCs w:val="1"/>
          <w:color w:val="005A64"/>
        </w:rPr>
        <w:t>If we are not successful in discovering, developing and commercializing additional product candidates beyond our current portfolio, our ability to expand our business and achieve our strategic objectives would be impaired.</w:t>
      </w:r>
    </w:p>
    <w:p>
      <w:pPr>
        <w:spacing w:after="0" w:line="2"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Although a substantial amount of our efforts focus on the clinical trials and potential approval of our existing product candidates, a key element of our strategy is to discover, develop and potentially commercialize additional products beyond our current portfolio to treat various conditions and in a variety of therapeutic areas. We intend to do so by investing in our own drug and target discovery efforts, exploring potential collaborations for the development of new products, and in-licensing technologies. Identifying new product candidates requires substantial technical, financial and human resources, whether or not any product candidates are ultimately identified. Even if we identify product candidates that initially show promise, we may fail to develop and commercialize such products successfully for many reasons, including the following:</w:t>
      </w:r>
    </w:p>
    <w:p>
      <w:pPr>
        <w:spacing w:after="0" w:line="5" w:lineRule="exact"/>
        <w:rPr>
          <w:sz w:val="20"/>
          <w:szCs w:val="20"/>
          <w:color w:val="auto"/>
        </w:rPr>
      </w:pPr>
    </w:p>
    <w:p>
      <w:pPr>
        <w:ind w:left="380" w:right="2940"/>
        <w:spacing w:after="0" w:line="210" w:lineRule="auto"/>
        <w:rPr>
          <w:sz w:val="20"/>
          <w:szCs w:val="20"/>
          <w:color w:val="auto"/>
        </w:rPr>
      </w:pPr>
      <w:r>
        <w:rPr>
          <w:rFonts w:ascii="Arial" w:cs="Arial" w:eastAsia="Arial" w:hAnsi="Arial"/>
          <w:sz w:val="13"/>
          <w:szCs w:val="13"/>
          <w:color w:val="auto"/>
        </w:rPr>
        <w:t>•the research methodology used may not be successful in identifying potential product candidates; •competitors may develop alternatives that render our product candidates obsolete;</w:t>
      </w:r>
    </w:p>
    <w:p>
      <w:pPr>
        <w:spacing w:after="0" w:line="1" w:lineRule="exact"/>
        <w:rPr>
          <w:sz w:val="20"/>
          <w:szCs w:val="20"/>
          <w:color w:val="auto"/>
        </w:rPr>
      </w:pPr>
    </w:p>
    <w:p>
      <w:pPr>
        <w:ind w:left="380" w:right="2560"/>
        <w:spacing w:after="0" w:line="210" w:lineRule="auto"/>
        <w:rPr>
          <w:sz w:val="20"/>
          <w:szCs w:val="20"/>
          <w:color w:val="auto"/>
        </w:rPr>
      </w:pPr>
      <w:r>
        <w:rPr>
          <w:rFonts w:ascii="Arial" w:cs="Arial" w:eastAsia="Arial" w:hAnsi="Arial"/>
          <w:sz w:val="13"/>
          <w:szCs w:val="13"/>
          <w:color w:val="auto"/>
        </w:rPr>
        <w:t>•product candidates we develop may nevertheless be covered by third parties’ patents or other exclusive rights;</w:t>
      </w:r>
    </w:p>
    <w:p>
      <w:pPr>
        <w:spacing w:after="0" w:line="1" w:lineRule="exact"/>
        <w:rPr>
          <w:sz w:val="20"/>
          <w:szCs w:val="20"/>
          <w:color w:val="auto"/>
        </w:rPr>
      </w:pPr>
    </w:p>
    <w:p>
      <w:pPr>
        <w:ind w:left="380" w:right="2520"/>
        <w:spacing w:after="0" w:line="210" w:lineRule="auto"/>
        <w:rPr>
          <w:sz w:val="20"/>
          <w:szCs w:val="20"/>
          <w:color w:val="auto"/>
        </w:rPr>
      </w:pPr>
      <w:r>
        <w:rPr>
          <w:rFonts w:ascii="Arial" w:cs="Arial" w:eastAsia="Arial" w:hAnsi="Arial"/>
          <w:sz w:val="13"/>
          <w:szCs w:val="13"/>
          <w:color w:val="auto"/>
        </w:rPr>
        <w:t>•a product candidate may, on further study, be shown to have harmful side effects or other characteristics that indicate it is unlikely to be effective or otherwise does not meet applicable regulatory criteria; •we may discontinue the development of a product candidate;</w:t>
      </w:r>
    </w:p>
    <w:p>
      <w:pPr>
        <w:spacing w:after="0" w:line="2" w:lineRule="exact"/>
        <w:rPr>
          <w:sz w:val="20"/>
          <w:szCs w:val="20"/>
          <w:color w:val="auto"/>
        </w:rPr>
      </w:pPr>
    </w:p>
    <w:p>
      <w:pPr>
        <w:ind w:left="380" w:right="2720"/>
        <w:spacing w:after="0" w:line="210" w:lineRule="auto"/>
        <w:rPr>
          <w:sz w:val="20"/>
          <w:szCs w:val="20"/>
          <w:color w:val="auto"/>
        </w:rPr>
      </w:pPr>
      <w:r>
        <w:rPr>
          <w:rFonts w:ascii="Arial" w:cs="Arial" w:eastAsia="Arial" w:hAnsi="Arial"/>
          <w:sz w:val="13"/>
          <w:szCs w:val="13"/>
          <w:color w:val="auto"/>
        </w:rPr>
        <w:t>•a product candidate may not be capable of being produced in commercial quantities at an acceptable cost, or at all; and</w:t>
      </w:r>
    </w:p>
    <w:p>
      <w:pPr>
        <w:spacing w:after="0" w:line="1" w:lineRule="exact"/>
        <w:rPr>
          <w:sz w:val="20"/>
          <w:szCs w:val="20"/>
          <w:color w:val="auto"/>
        </w:rPr>
      </w:pPr>
    </w:p>
    <w:p>
      <w:pPr>
        <w:ind w:left="380" w:right="3020"/>
        <w:spacing w:after="0" w:line="210" w:lineRule="auto"/>
        <w:rPr>
          <w:sz w:val="20"/>
          <w:szCs w:val="20"/>
          <w:color w:val="auto"/>
        </w:rPr>
      </w:pPr>
      <w:r>
        <w:rPr>
          <w:rFonts w:ascii="Arial" w:cs="Arial" w:eastAsia="Arial" w:hAnsi="Arial"/>
          <w:sz w:val="13"/>
          <w:szCs w:val="13"/>
          <w:color w:val="auto"/>
        </w:rPr>
        <w:t>•an approved product may not be accepted as safe and effective by trial participants, the medical community or third-party payors.</w:t>
      </w:r>
    </w:p>
    <w:p>
      <w:pPr>
        <w:spacing w:after="0" w:line="1"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If we are unsuccessful in identifying and developing additional products, our potential for growth may be impaired.</w:t>
      </w:r>
    </w:p>
    <w:p>
      <w:pPr>
        <w:spacing w:after="0" w:line="1" w:lineRule="exact"/>
        <w:rPr>
          <w:sz w:val="20"/>
          <w:szCs w:val="20"/>
          <w:color w:val="auto"/>
        </w:rPr>
      </w:pPr>
    </w:p>
    <w:p>
      <w:pPr>
        <w:ind w:left="380" w:right="2400"/>
        <w:spacing w:after="0" w:line="210" w:lineRule="auto"/>
        <w:rPr>
          <w:sz w:val="20"/>
          <w:szCs w:val="20"/>
          <w:color w:val="auto"/>
        </w:rPr>
      </w:pPr>
      <w:r>
        <w:rPr>
          <w:rFonts w:ascii="Arial" w:cs="Arial" w:eastAsia="Arial" w:hAnsi="Arial"/>
          <w:sz w:val="13"/>
          <w:szCs w:val="13"/>
          <w:b w:val="1"/>
          <w:bCs w:val="1"/>
          <w:color w:val="005A64"/>
        </w:rPr>
        <w:t>Our future success depends on our ability to retain key employees, consultants and advisors and to attract, retain and motivate qualified senior management and scientific personnel.</w:t>
      </w:r>
    </w:p>
    <w:p>
      <w:pPr>
        <w:spacing w:after="0" w:line="1" w:lineRule="exact"/>
        <w:rPr>
          <w:sz w:val="20"/>
          <w:szCs w:val="20"/>
          <w:color w:val="auto"/>
        </w:rPr>
      </w:pPr>
    </w:p>
    <w:p>
      <w:pPr>
        <w:ind w:left="380" w:right="2120"/>
        <w:spacing w:after="0" w:line="217" w:lineRule="auto"/>
        <w:rPr>
          <w:sz w:val="20"/>
          <w:szCs w:val="20"/>
          <w:color w:val="auto"/>
        </w:rPr>
      </w:pPr>
      <w:r>
        <w:rPr>
          <w:rFonts w:ascii="Arial" w:cs="Arial" w:eastAsia="Arial" w:hAnsi="Arial"/>
          <w:sz w:val="13"/>
          <w:szCs w:val="13"/>
          <w:color w:val="auto"/>
        </w:rPr>
        <w:t>Our ability to compete in the highly competitive biotechnology and pharmaceutical industries depends upon our ability to attract and retain highly qualified managerial, scientific and medical personnel. We are highly dependent upon members of our management and scientific teams. We may not be able to retain these persons due to the competitive environment in the biotechnology industry, as well as a current global shortage of these highly qualified individuals. The loss of any of these persons’ services may adversely impact the achievement of our research, development, financing and commercialization objectives. We are also aware of physical threats made against certain of these people. In response to these threats, we have deployed personal protection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44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200"/>
        <w:spacing w:after="0" w:line="220" w:lineRule="auto"/>
        <w:rPr>
          <w:sz w:val="20"/>
          <w:szCs w:val="20"/>
          <w:color w:val="auto"/>
        </w:rPr>
      </w:pPr>
      <w:r>
        <w:rPr>
          <w:rFonts w:ascii="Arial" w:cs="Arial" w:eastAsia="Arial" w:hAnsi="Arial"/>
          <w:sz w:val="13"/>
          <w:szCs w:val="13"/>
          <w:color w:val="auto"/>
        </w:rPr>
        <w:t>such employees and increased our security generally. We currently do not have “key person” insurance on any of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20"/>
        <w:spacing w:after="0" w:line="210" w:lineRule="auto"/>
        <w:rPr>
          <w:sz w:val="20"/>
          <w:szCs w:val="20"/>
          <w:color w:val="auto"/>
        </w:rPr>
      </w:pPr>
      <w:r>
        <w:rPr>
          <w:rFonts w:ascii="Arial" w:cs="Arial" w:eastAsia="Arial" w:hAnsi="Arial"/>
          <w:sz w:val="13"/>
          <w:szCs w:val="13"/>
          <w:color w:val="auto"/>
        </w:rPr>
        <w:t>In addition, we rely on consultants, contractors and advisors, including scientific and clinical advisors, to assist us in formulating our research and development, regulatory approval and commercialization strategy. Our consultants and advisors may be employed by employers other than us and may have commitments under consulting or advisory contracts with other entities that may limit their availability to us. The loss of the services of one or more of our current employees or advisors might impede the achievement of our research, development, regulatory approval and commercialization objectives. In addition, we have flexibly grown our workforce through the use of contractors and part-time workers. We may not be able to retain the services of such personnel, which might result in delays in the operation of our business.</w:t>
      </w:r>
    </w:p>
    <w:p>
      <w:pPr>
        <w:spacing w:after="0" w:line="5"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Recruiting and retaining other qualified employees, consultants and advisors for our business, including scientific and technical personnel, will be critical to our success as well. Competition for skilled personnel, including in mRNA research, clinical development, clinical operations, regulatory affairs, therapeutic area management, manufacturing, and AI, is intense and the turnover rate can be high. We may not be able to attract and retain personnel on favorable terms given the competition among numerous pharmaceutical and biotechnology companies and academic institutions for individuals with similar skill sets. In addition, adverse publicity, and the failure to succeed in preclinical studies or clinical trials or in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have a material adverse impact on our business, financial condition, results of operations and prospects.</w:t>
      </w:r>
    </w:p>
    <w:p>
      <w:pPr>
        <w:spacing w:after="0" w:line="7" w:lineRule="exact"/>
        <w:rPr>
          <w:sz w:val="20"/>
          <w:szCs w:val="20"/>
          <w:color w:val="auto"/>
        </w:rPr>
      </w:pPr>
    </w:p>
    <w:p>
      <w:pPr>
        <w:jc w:val="both"/>
        <w:ind w:left="380" w:right="2320"/>
        <w:spacing w:after="0" w:line="210" w:lineRule="auto"/>
        <w:rPr>
          <w:sz w:val="20"/>
          <w:szCs w:val="20"/>
          <w:color w:val="auto"/>
        </w:rPr>
      </w:pPr>
      <w:r>
        <w:rPr>
          <w:rFonts w:ascii="Arial" w:cs="Arial" w:eastAsia="Arial" w:hAnsi="Arial"/>
          <w:sz w:val="13"/>
          <w:szCs w:val="13"/>
          <w:b w:val="1"/>
          <w:bCs w:val="1"/>
          <w:color w:val="005A64"/>
        </w:rPr>
        <w:t>Our employees, principal investigators and consultants may engage in misconduct or other improper activities, including non-compliance with regulatory standards and requirements and insider trading, which could have an adverse effect on the results of our operations.</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We are exposed to the risk of fraud or other misconduct by our employees, principal investigators and consultants, despite our robust efforts to prevent such misconduct through sponsor oversight. Misconduct by these parties could include intentional failures to comply with FDA regulations or the regulations applicable in the European Union and other jurisdictions, to provide accurate information to the FDA, the EMA and other regulatory authorities, to comply with healthcare fraud and abuse laws and regulations in the United States and abroad, to report financial information or data accurately or to disclose unauthorized activities to us.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9"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b w:val="1"/>
          <w:bCs w:val="1"/>
          <w:color w:val="005A64"/>
        </w:rPr>
        <w:t>Employment-related disputes, including employee litigation and unfavorable publicity, could negatively affect our future business.</w:t>
      </w:r>
    </w:p>
    <w:p>
      <w:pPr>
        <w:spacing w:after="0" w:line="1" w:lineRule="exact"/>
        <w:rPr>
          <w:sz w:val="20"/>
          <w:szCs w:val="20"/>
          <w:color w:val="auto"/>
        </w:rPr>
      </w:pPr>
    </w:p>
    <w:p>
      <w:pPr>
        <w:ind w:left="380" w:right="2260"/>
        <w:spacing w:after="0" w:line="218" w:lineRule="auto"/>
        <w:rPr>
          <w:sz w:val="20"/>
          <w:szCs w:val="20"/>
          <w:color w:val="auto"/>
        </w:rPr>
      </w:pPr>
      <w:r>
        <w:rPr>
          <w:rFonts w:ascii="Arial" w:cs="Arial" w:eastAsia="Arial" w:hAnsi="Arial"/>
          <w:sz w:val="13"/>
          <w:szCs w:val="13"/>
          <w:color w:val="auto"/>
        </w:rPr>
        <w:t>From time to time we may be subject to claims by our employees or regulatory authorities with respect to employment and workplace matters, including lawsuits or proceedings against us regarding injury, creating a hostile workplace, discrimination, wage and hour disputes, sexual harassment or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Certain companies</w:t>
      </w:r>
    </w:p>
    <w:p>
      <w:pPr>
        <w:sectPr>
          <w:pgSz w:w="11900" w:h="16840" w:orient="portrait"/>
          <w:cols w:equalWidth="0" w:num="1">
            <w:col w:w="9020"/>
          </w:cols>
          <w:pgMar w:left="1440" w:top="554" w:right="1440" w:bottom="60" w:gutter="0" w:footer="0" w:header="0"/>
        </w:sectPr>
      </w:pPr>
    </w:p>
    <w:bookmarkStart w:id="32" w:name="page33"/>
    <w:bookmarkEnd w:id="32"/>
    <w:p>
      <w:pPr>
        <w:ind w:left="380"/>
        <w:spacing w:after="0"/>
        <w:rPr>
          <w:sz w:val="20"/>
          <w:szCs w:val="20"/>
          <w:color w:val="auto"/>
        </w:rPr>
      </w:pPr>
      <w:r>
        <w:rPr>
          <w:rFonts w:ascii="Arial" w:cs="Arial" w:eastAsia="Arial" w:hAnsi="Arial"/>
          <w:sz w:val="13"/>
          <w:szCs w:val="13"/>
          <w:color w:val="auto"/>
        </w:rPr>
        <w:t>that have faced employment- or harassment- related lawsuits have had to terminate management or other 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45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jc w:val="both"/>
        <w:ind w:left="380" w:right="2240"/>
        <w:spacing w:after="0" w:line="220" w:lineRule="auto"/>
        <w:rPr>
          <w:sz w:val="20"/>
          <w:szCs w:val="20"/>
          <w:color w:val="auto"/>
        </w:rPr>
      </w:pPr>
      <w:r>
        <w:rPr>
          <w:rFonts w:ascii="Arial" w:cs="Arial" w:eastAsia="Arial" w:hAnsi="Arial"/>
          <w:sz w:val="13"/>
          <w:szCs w:val="13"/>
          <w:color w:val="auto"/>
        </w:rPr>
        <w:t>personnel, and have suffered reputational harm that has negatively impacted their business. If we were to face any employment-related claims, our business could be negatively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jc w:val="both"/>
        <w:ind w:left="380" w:right="2240"/>
        <w:spacing w:after="0" w:line="210" w:lineRule="auto"/>
        <w:rPr>
          <w:sz w:val="20"/>
          <w:szCs w:val="20"/>
          <w:color w:val="auto"/>
        </w:rPr>
      </w:pPr>
      <w:r>
        <w:rPr>
          <w:rFonts w:ascii="Arial" w:cs="Arial" w:eastAsia="Arial" w:hAnsi="Arial"/>
          <w:sz w:val="13"/>
          <w:szCs w:val="13"/>
          <w:b w:val="1"/>
          <w:bCs w:val="1"/>
          <w:color w:val="005A64"/>
        </w:rPr>
        <w:t>The illegal distribution and sale by third parties of counterfeit versions of our COVID-19 vaccine, or, if approved, our other product candidates, could have a negative impact on our financial performance or reputation.</w:t>
      </w:r>
    </w:p>
    <w:p>
      <w:pPr>
        <w:spacing w:after="0" w:line="2"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Third parties have in the past and may continue to illegally distribute and sell counterfeit versions of COVID-19 vaccines. Counterfeit products are frequently unsafe or ineffective, and may even be life-threatening. Counterfeit medicines may contain harmful substances or the wrong dosage. However, to distributors and users, counterfeit products may be visually indistinguishable from the authentic version.</w:t>
      </w:r>
    </w:p>
    <w:p>
      <w:pPr>
        <w:spacing w:after="0" w:line="2"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Reports of adverse reactions to counterfeit products, increased levels of counterfeiting, or unsafe vaccines could materially affect public confidence in our COVID-19 vaccine or other product candidates. It is possible that adverse events caused by unsafe counterfeit vaccines will mistakenly be attributed to our COVID- 19 vaccine, or, if approved, our other product candidates. In addition, thefts of inventory at warehouses, plants or while in-transit, which are subsequently improperly stored and which are sold through unauthorized channels, could adversely impact patient safety, our reputation, and our business. Public loss of confidence in the integrity of our COVID-19 vaccine or, if approved, our other product candidates, as a result of counterfeiting or theft could have a material adverse effect on our business, results of operations, and financial condition.</w:t>
      </w:r>
    </w:p>
    <w:p>
      <w:pPr>
        <w:spacing w:after="0" w:line="5"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b w:val="1"/>
          <w:bCs w:val="1"/>
          <w:color w:val="005A64"/>
        </w:rPr>
        <w:t>We and our collaborators or other contractors or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3"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Our internal computer systems and those of our current and any future collaborators, vendors, and other contractors or consultants are vulnerable to damage from computer viruses, unauthorized access, natural disasters, terrorism, cybersecurity threats, war, and telecommunication and electrical failures. If any such material system failure, accident or security breach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one or more ongoing or completed or future clinical trials could result in delays in our regulatory approval efforts and significantly increase our costs to recover or reproduce the data. In addition, because of our approach of running multiple clinical trials in parallel, any breach of our computer systems may result in a loss of data or compromised data integrity across many of our programs in many stages of development. Any such breach, loss or compromise of clinical trial participant personal data may also subject us to civil fines and penalties, including under the EU General Data Protection Regulation, or the GDPR, relevant law of an EU member state, HIPAA, and other relevant state and federal privacy laws in the United States or in other jurisdictions. To the extent that any disruption or security breach were to result in a loss of, or damage to,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0"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While we have not experienced any material system failures, accidents or security breaches to date, in December 2020, we were informed by the EMA that the agency was subject to a cyberattack and that some documents relating to our regulatory submission for our COVID-19 vaccine candidate, which was stored on an EMA server, had been unlawfully accessed. None of our systems were breached in connection with this incident and we are unaware that any study participants were identified through the data being accessed.</w:t>
      </w:r>
    </w:p>
    <w:p>
      <w:pPr>
        <w:spacing w:after="0" w:line="3" w:lineRule="exact"/>
        <w:rPr>
          <w:sz w:val="20"/>
          <w:szCs w:val="20"/>
          <w:color w:val="auto"/>
        </w:rPr>
      </w:pPr>
    </w:p>
    <w:p>
      <w:pPr>
        <w:ind w:left="380" w:right="2120"/>
        <w:spacing w:after="0" w:line="222" w:lineRule="auto"/>
        <w:rPr>
          <w:sz w:val="20"/>
          <w:szCs w:val="20"/>
          <w:color w:val="auto"/>
        </w:rPr>
      </w:pPr>
      <w:r>
        <w:rPr>
          <w:rFonts w:ascii="Arial" w:cs="Arial" w:eastAsia="Arial" w:hAnsi="Arial"/>
          <w:sz w:val="13"/>
          <w:szCs w:val="13"/>
          <w:color w:val="auto"/>
        </w:rPr>
        <w:t>We have put systems and procedures in place to minimize the likelihood of such incidents reoccurring; however, we cannot guarantee that third parties will not be able to gain unauthorized access to or otherwise breach our systems in the future. Any such unauthorized access or breach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46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ectPr>
          <w:pgSz w:w="11900" w:h="16840" w:orient="portrait"/>
          <w:cols w:equalWidth="0" w:num="1">
            <w:col w:w="9020"/>
          </w:cols>
          <w:pgMar w:left="1440" w:top="560" w:right="1440" w:bottom="100" w:gutter="0" w:footer="0" w:header="0"/>
        </w:sectPr>
      </w:pPr>
    </w:p>
    <w:p>
      <w:pPr>
        <w:spacing w:after="0" w:line="38" w:lineRule="exact"/>
        <w:rPr>
          <w:sz w:val="20"/>
          <w:szCs w:val="20"/>
          <w:color w:val="auto"/>
        </w:rPr>
      </w:pPr>
    </w:p>
    <w:p>
      <w:pPr>
        <w:ind w:left="380" w:right="2620"/>
        <w:spacing w:after="0" w:line="258" w:lineRule="auto"/>
        <w:rPr>
          <w:sz w:val="20"/>
          <w:szCs w:val="20"/>
          <w:color w:val="auto"/>
        </w:rPr>
      </w:pPr>
      <w:r>
        <w:rPr>
          <w:rFonts w:ascii="Arial" w:cs="Arial" w:eastAsia="Arial" w:hAnsi="Arial"/>
          <w:sz w:val="13"/>
          <w:szCs w:val="13"/>
          <w:b w:val="1"/>
          <w:bCs w:val="1"/>
          <w:color w:val="005A64"/>
        </w:rPr>
        <w:t>Product liability lawsuits against us could cause us to incur substantial liabilities and could limit commercialization of our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-197485</wp:posOffset>
            </wp:positionV>
            <wp:extent cx="523113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560" w:right="1440" w:bottom="100" w:gutter="0" w:footer="0" w:header="0"/>
          <w:type w:val="continuous"/>
        </w:sectPr>
      </w:pPr>
    </w:p>
    <w:bookmarkStart w:id="33" w:name="page34"/>
    <w:bookmarkEnd w:id="33"/>
    <w:p>
      <w:pPr>
        <w:ind w:left="380" w:right="2140"/>
        <w:spacing w:after="0" w:line="214" w:lineRule="auto"/>
        <w:rPr>
          <w:sz w:val="20"/>
          <w:szCs w:val="20"/>
          <w:color w:val="auto"/>
        </w:rPr>
      </w:pPr>
      <w:r>
        <w:rPr>
          <w:rFonts w:ascii="Arial" w:cs="Arial" w:eastAsia="Arial" w:hAnsi="Arial"/>
          <w:sz w:val="13"/>
          <w:szCs w:val="13"/>
          <w:color w:val="auto"/>
        </w:rPr>
        <w:t>We face an inherent risk of product liability exposure related to the testing of any of our current or future product candidates in clinical trials, and an even greater risk related to any commercialized products, such as our COVID- 19 vaccine. We have received product liability claims against our COVID-19 vaccine, and expect to receive additional product liability claims in the future. If we cannot successfully defend ourselves against claims that our products and/or our product candidates have caused injuries, we could incur substantial liabilities. Regardless of merit or eventual outcome, liability claims may result in:</w:t>
      </w:r>
    </w:p>
    <w:p>
      <w:pPr>
        <w:spacing w:after="0" w:line="1" w:lineRule="exact"/>
        <w:rPr>
          <w:sz w:val="20"/>
          <w:szCs w:val="20"/>
          <w:color w:val="auto"/>
        </w:rPr>
      </w:pPr>
    </w:p>
    <w:p>
      <w:pPr>
        <w:ind w:left="380" w:right="4040"/>
        <w:spacing w:after="0" w:line="210" w:lineRule="auto"/>
        <w:rPr>
          <w:sz w:val="20"/>
          <w:szCs w:val="20"/>
          <w:color w:val="auto"/>
        </w:rPr>
      </w:pPr>
      <w:r>
        <w:rPr>
          <w:rFonts w:ascii="Arial" w:cs="Arial" w:eastAsia="Arial" w:hAnsi="Arial"/>
          <w:sz w:val="13"/>
          <w:szCs w:val="13"/>
          <w:color w:val="auto"/>
        </w:rPr>
        <w:t>•decreased demand for any product or product candidate that we may develop; •loss of revenue;</w:t>
      </w:r>
    </w:p>
    <w:p>
      <w:pPr>
        <w:ind w:left="380"/>
        <w:spacing w:after="0" w:line="212" w:lineRule="auto"/>
        <w:rPr>
          <w:sz w:val="20"/>
          <w:szCs w:val="20"/>
          <w:color w:val="auto"/>
        </w:rPr>
      </w:pPr>
      <w:r>
        <w:rPr>
          <w:rFonts w:ascii="Arial" w:cs="Arial" w:eastAsia="Arial" w:hAnsi="Arial"/>
          <w:sz w:val="13"/>
          <w:szCs w:val="13"/>
          <w:color w:val="auto"/>
        </w:rPr>
        <w:t>•substantial monetary awards to patients, healthy volunteers or their children;</w:t>
      </w:r>
    </w:p>
    <w:p>
      <w:pPr>
        <w:ind w:left="380"/>
        <w:spacing w:after="0" w:line="211" w:lineRule="auto"/>
        <w:rPr>
          <w:sz w:val="20"/>
          <w:szCs w:val="20"/>
          <w:color w:val="auto"/>
        </w:rPr>
      </w:pPr>
      <w:r>
        <w:rPr>
          <w:rFonts w:ascii="Arial" w:cs="Arial" w:eastAsia="Arial" w:hAnsi="Arial"/>
          <w:sz w:val="13"/>
          <w:szCs w:val="13"/>
          <w:color w:val="auto"/>
        </w:rPr>
        <w:t>•significant time and costs to defend the related litigation;</w:t>
      </w:r>
    </w:p>
    <w:p>
      <w:pPr>
        <w:ind w:left="380"/>
        <w:spacing w:after="0" w:line="211" w:lineRule="auto"/>
        <w:rPr>
          <w:sz w:val="20"/>
          <w:szCs w:val="20"/>
          <w:color w:val="auto"/>
        </w:rPr>
      </w:pPr>
      <w:r>
        <w:rPr>
          <w:rFonts w:ascii="Arial" w:cs="Arial" w:eastAsia="Arial" w:hAnsi="Arial"/>
          <w:sz w:val="13"/>
          <w:szCs w:val="13"/>
          <w:color w:val="auto"/>
        </w:rPr>
        <w:t>•withdrawal of clinical trial participants;</w:t>
      </w:r>
    </w:p>
    <w:p>
      <w:pPr>
        <w:ind w:left="380" w:right="3280"/>
        <w:spacing w:after="0" w:line="210" w:lineRule="auto"/>
        <w:rPr>
          <w:sz w:val="20"/>
          <w:szCs w:val="20"/>
          <w:color w:val="auto"/>
        </w:rPr>
      </w:pPr>
      <w:r>
        <w:rPr>
          <w:rFonts w:ascii="Arial" w:cs="Arial" w:eastAsia="Arial" w:hAnsi="Arial"/>
          <w:sz w:val="13"/>
          <w:szCs w:val="13"/>
          <w:color w:val="auto"/>
        </w:rPr>
        <w:t>•the inability to commercialize any products or product candidates that we may develop; and •injury to our reputation and significant negative media attention.</w:t>
      </w:r>
    </w:p>
    <w:p>
      <w:pPr>
        <w:spacing w:after="0" w:line="1"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We carry clinical trial insurance and product liability insurance, which we believe to be sufficient in light of our current clinical programs and commercial operations. However, the amount of coverage we have obtained may not be adequate, and we may seek to further increase insurance coverage limits as our pipeline moves towards commercialization. As we evolve, we may not be able to maintain insurance coverage at a reasonable cost or in sufficient amounts to protect us against losses due to liability. On occasion, large judgments have been awarded in class action lawsuits based on drugs or medical treatments that had unanticipated adverse effects. A successful product liability claim or series of claims brought against us could cause the price of the ADSs to decline and, if judgments exceed our insurance coverage, could adversely affect our results of operations and business.</w:t>
      </w:r>
    </w:p>
    <w:p>
      <w:pPr>
        <w:spacing w:after="0" w:line="5"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b w:val="1"/>
          <w:bCs w:val="1"/>
          <w:color w:val="005A64"/>
        </w:rPr>
        <w:t>If our products become subject to a product recall it could harm our reputation, business and financial results.</w:t>
      </w:r>
    </w:p>
    <w:p>
      <w:pPr>
        <w:spacing w:after="0" w:line="1"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The FDA and similar governmental authorities in other jurisdictions have the authority to require the recall of certain commercialized products. In the case of the FDA, the authority to require a recall of a biologic product must be based on an FDA finding that a batch, lot of other quantity of the biologic product presents an imminent or substantial hazard to the public health. In addition, some governmental bodies outside the United States have the authority to require the recall of any product or product candidate in the event of material deficiencies or defects in design or manufacture. Manufacturers may, under their own initiative, recall a product if any material deficiency in a product is found. A government-mandated or voluntary recall by us could occur as a result of manufacturing errors, design or labeling defects or other deficiencies and issues.</w:t>
      </w:r>
    </w:p>
    <w:p>
      <w:pPr>
        <w:spacing w:after="0" w:line="5" w:lineRule="exact"/>
        <w:rPr>
          <w:sz w:val="20"/>
          <w:szCs w:val="20"/>
          <w:color w:val="auto"/>
        </w:rPr>
      </w:pPr>
    </w:p>
    <w:p>
      <w:pPr>
        <w:ind w:left="380" w:right="2380"/>
        <w:spacing w:after="0" w:line="210" w:lineRule="auto"/>
        <w:rPr>
          <w:sz w:val="20"/>
          <w:szCs w:val="20"/>
          <w:color w:val="auto"/>
        </w:rPr>
      </w:pPr>
      <w:r>
        <w:rPr>
          <w:rFonts w:ascii="Arial" w:cs="Arial" w:eastAsia="Arial" w:hAnsi="Arial"/>
          <w:sz w:val="13"/>
          <w:szCs w:val="13"/>
          <w:color w:val="auto"/>
        </w:rPr>
        <w:t>Recalls of any of our products or, if approved, our product candidates, would divert managerial and financial resources and have an adverse effect on our financial condition and results of operations. A recall announcement could harm our reputation with customers and negatively affect our sales, if any.</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b w:val="1"/>
          <w:bCs w:val="1"/>
          <w:color w:val="005A64"/>
        </w:rPr>
        <w:t>Issues in the development and use of AI, combined with an uncertain regulatory environment, may result in reputational harm, liability or other adverse consequences to our business.</w:t>
      </w:r>
    </w:p>
    <w:p>
      <w:pPr>
        <w:spacing w:after="0" w:line="1" w:lineRule="exact"/>
        <w:rPr>
          <w:sz w:val="20"/>
          <w:szCs w:val="20"/>
          <w:color w:val="auto"/>
        </w:rPr>
      </w:pPr>
    </w:p>
    <w:p>
      <w:pPr>
        <w:ind w:left="380" w:right="2080"/>
        <w:spacing w:after="0" w:line="222" w:lineRule="auto"/>
        <w:rPr>
          <w:sz w:val="20"/>
          <w:szCs w:val="20"/>
          <w:color w:val="auto"/>
        </w:rPr>
      </w:pPr>
      <w:r>
        <w:rPr>
          <w:rFonts w:ascii="Arial" w:cs="Arial" w:eastAsia="Arial" w:hAnsi="Arial"/>
          <w:sz w:val="13"/>
          <w:szCs w:val="13"/>
          <w:color w:val="auto"/>
        </w:rPr>
        <w:t>We are investing in AI technology systems, including through our acquisition of InstaDeep, and such systems are complex and rapidly changing. We face significant competition from other companies with respect to our AI and machine learning services, along with an evolving regulatory landscape. The introduction of AI into the development and manufacturing of our product candidates, or the provision of services relating to 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47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7" w:lineRule="auto"/>
        <w:rPr>
          <w:sz w:val="20"/>
          <w:szCs w:val="20"/>
          <w:color w:val="auto"/>
        </w:rPr>
      </w:pPr>
      <w:r>
        <w:rPr>
          <w:rFonts w:ascii="Arial" w:cs="Arial" w:eastAsia="Arial" w:hAnsi="Arial"/>
          <w:sz w:val="13"/>
          <w:szCs w:val="13"/>
          <w:color w:val="auto"/>
        </w:rPr>
        <w:t>technologies and applications, may result in new or enhanced governmental or regulatory scrutiny, litigation, intellectual property risks, confidentiality or security risks, ethical concerns or other complications that could harm our business, reputation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20"/>
        <w:spacing w:after="0" w:line="210" w:lineRule="auto"/>
        <w:rPr>
          <w:sz w:val="20"/>
          <w:szCs w:val="20"/>
          <w:color w:val="auto"/>
        </w:rPr>
      </w:pPr>
      <w:r>
        <w:rPr>
          <w:rFonts w:ascii="Arial" w:cs="Arial" w:eastAsia="Arial" w:hAnsi="Arial"/>
          <w:sz w:val="13"/>
          <w:szCs w:val="13"/>
          <w:color w:val="auto"/>
        </w:rPr>
        <w:t>Uncertainty around AI may require additional investment in the development and maintenance of proprietary datasets and development of appropriate protections and safeguards for handling the use of customer data with AI technologies, which may be costly and could impact our expenses. In addition, AI may create content that appears correct but is inaccurate or flawed, and if created by third parties, may be mistakenly attributed to us. Our customers or others may rely on or use this flawed content to their detriment, which may expose us to brand or reputational harm, competitive harm or legal liability.</w:t>
      </w:r>
    </w:p>
    <w:p>
      <w:pPr>
        <w:spacing w:after="0" w:line="4"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b w:val="1"/>
          <w:bCs w:val="1"/>
          <w:color w:val="005A64"/>
        </w:rPr>
        <w:t>Our ability to effectively monitor and respond to the rapid and ongoing developments and expectations relating to environmental, social and governance, or ESG, matters, including related social expectations and concerns, may impose unexpected costs or result in reputational or other harm that could have a material adverse effect on our business, financial condition, cash flows and results of operations and could cause the price of ADSs representing our ordinary shares to decline.</w:t>
      </w:r>
    </w:p>
    <w:p>
      <w:pPr>
        <w:spacing w:after="0" w:line="3"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There are rapid and ongoing developments and changing, sometimes conflicting, expectations relating to ESG matters and factors such as the environmental impact of our operations, access to our COVID-19 vaccine, corporate governance, our product stewardship practices, management of business ethics, human rights due diligence in our own operations and our supply chain, and workforce development. At the same time, ESG matters, including climate change, are the subject of increased politicization, particularly in the United States. These factors may result in increased regulatory, social or other scrutiny on us.</w:t>
      </w:r>
    </w:p>
    <w:p>
      <w:pPr>
        <w:spacing w:after="0" w:line="4"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We believe we must address climate risks from our own contribution to climate change (inside- out perspective), risks to our own operations due to physical effects of climate change as well as transition risks (outside-in perspective), and interactions between both perspectives. To this end, we have set ourselves near- term scienced -based emissions reduction targets for our own operations (scope 1, 2) and for our supply chain (supplier engagement target for scope 3), validated by the Science Based Targets initiative, or SBTi, in early February 2024.</w:t>
      </w:r>
    </w:p>
    <w:p>
      <w:pPr>
        <w:spacing w:after="0" w:line="4"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Additionally, we are addressing increasingly complex regulatory requirements with respect to human rights risks. These requirements include German legislation such as the Act on Corporate Due Diligence Obligations for the Prevention of Human Rights Violations in Supply Chains (Lieferkettensorgfaltspflichtengesetz – LkSG), potential legislative planning by the European Union, and local or regional regulations. Regulatory frameworks require us to identify, prevent, mitigate and ideally end the extent of any potential adverse impacts or violations throughout our own operations and value chain.</w:t>
      </w:r>
    </w:p>
    <w:p>
      <w:pPr>
        <w:spacing w:after="0" w:line="4"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Finally, we are faced with increasing ESG related transparency and reporting obligations. These requirements arise, for example, from the EU Corporate Sustainability Reporting Directive regulation, the European Sustainability Reporting Standards, and the respective German implementation law, any potential SEC rules that could require registrants to provide additional climate-related disclosures in future periods, and other possible obligations.</w:t>
      </w:r>
    </w:p>
    <w:p>
      <w:pPr>
        <w:spacing w:after="0" w:line="3" w:lineRule="exact"/>
        <w:rPr>
          <w:sz w:val="20"/>
          <w:szCs w:val="20"/>
          <w:color w:val="auto"/>
        </w:rPr>
      </w:pPr>
    </w:p>
    <w:p>
      <w:pPr>
        <w:ind w:left="380" w:right="2080"/>
        <w:spacing w:after="0" w:line="226" w:lineRule="auto"/>
        <w:rPr>
          <w:sz w:val="20"/>
          <w:szCs w:val="20"/>
          <w:color w:val="auto"/>
        </w:rPr>
      </w:pPr>
      <w:r>
        <w:rPr>
          <w:rFonts w:ascii="Arial" w:cs="Arial" w:eastAsia="Arial" w:hAnsi="Arial"/>
          <w:sz w:val="13"/>
          <w:szCs w:val="13"/>
          <w:color w:val="auto"/>
        </w:rPr>
        <w:t>Should we fail to meet our climate protection targets or if we are unable to adequately recognize and respond to such developments and governmental, societal, investor and NGO expectations relating to such ESG matters, we may have to pay substantial fines, forego corporate opportunities, become subject to additional scrutiny, incur</w:t>
      </w:r>
    </w:p>
    <w:p>
      <w:pPr>
        <w:sectPr>
          <w:pgSz w:w="11900" w:h="16840" w:orient="portrait"/>
          <w:cols w:equalWidth="0" w:num="1">
            <w:col w:w="9020"/>
          </w:cols>
          <w:pgMar w:left="1440" w:top="560" w:right="1440" w:bottom="48" w:gutter="0" w:footer="0" w:header="0"/>
        </w:sectPr>
      </w:pPr>
    </w:p>
    <w:bookmarkStart w:id="34" w:name="page35"/>
    <w:bookmarkEnd w:id="34"/>
    <w:p>
      <w:pPr>
        <w:ind w:left="380" w:right="2220"/>
        <w:spacing w:after="0" w:line="217" w:lineRule="auto"/>
        <w:rPr>
          <w:sz w:val="20"/>
          <w:szCs w:val="20"/>
          <w:color w:val="auto"/>
        </w:rPr>
      </w:pPr>
      <w:r>
        <w:rPr>
          <w:rFonts w:ascii="Arial" w:cs="Arial" w:eastAsia="Arial" w:hAnsi="Arial"/>
          <w:sz w:val="13"/>
          <w:szCs w:val="13"/>
          <w:color w:val="auto"/>
        </w:rPr>
        <w:t>unexpected costs or experience damage to our reputation or our various brands. If any of these events were to occur, there may be a material adverse effect on our business, financial condition, cash flows and results of operations, and the price of ADSs representing our ordinary shares may decline.</w:t>
      </w:r>
    </w:p>
    <w:p>
      <w:pPr>
        <w:spacing w:after="0" w:line="1" w:lineRule="exact"/>
        <w:rPr>
          <w:sz w:val="20"/>
          <w:szCs w:val="20"/>
          <w:color w:val="auto"/>
        </w:rPr>
      </w:pPr>
    </w:p>
    <w:p>
      <w:pPr>
        <w:ind w:left="380" w:right="2120"/>
        <w:spacing w:after="0" w:line="220" w:lineRule="auto"/>
        <w:rPr>
          <w:sz w:val="20"/>
          <w:szCs w:val="20"/>
          <w:color w:val="auto"/>
        </w:rPr>
      </w:pPr>
      <w:r>
        <w:rPr>
          <w:rFonts w:ascii="Arial" w:cs="Arial" w:eastAsia="Arial" w:hAnsi="Arial"/>
          <w:sz w:val="13"/>
          <w:szCs w:val="13"/>
          <w:color w:val="auto"/>
        </w:rPr>
        <w:t>We have observed that in addition to the importance of their financial performance, companies are increasingly being judged by their performance on ESG matters. A variety of organizations measure the performance of companies on such ESG topics, and the results of these assessments are widely publicized. We may fail to comply with standards or best practices put forth by such organizations or by governmental or regulatory bodies. There can be no certainty that we will manage such issues successfully, or that we will successfully meet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48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380"/>
        <w:spacing w:after="0" w:line="217" w:lineRule="auto"/>
        <w:rPr>
          <w:sz w:val="20"/>
          <w:szCs w:val="20"/>
          <w:color w:val="auto"/>
        </w:rPr>
      </w:pPr>
      <w:r>
        <w:rPr>
          <w:rFonts w:ascii="Arial" w:cs="Arial" w:eastAsia="Arial" w:hAnsi="Arial"/>
          <w:sz w:val="13"/>
          <w:szCs w:val="13"/>
          <w:color w:val="auto"/>
        </w:rPr>
        <w:t>society’s expectations as to our proper role. Any failure or perceived failure by us in this regard could have a material adverse effect on our reputation and on our business, the price of ADSs representing our ordinary shares, financial condition, or results of operations, including the sustainability of our business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580"/>
        <w:spacing w:after="0" w:line="210" w:lineRule="auto"/>
        <w:rPr>
          <w:sz w:val="20"/>
          <w:szCs w:val="20"/>
          <w:color w:val="auto"/>
        </w:rPr>
      </w:pPr>
      <w:r>
        <w:rPr>
          <w:rFonts w:ascii="Arial" w:cs="Arial" w:eastAsia="Arial" w:hAnsi="Arial"/>
          <w:sz w:val="13"/>
          <w:szCs w:val="13"/>
          <w:b w:val="1"/>
          <w:bCs w:val="1"/>
          <w:color w:val="005A64"/>
        </w:rPr>
        <w:t>Risks Related to the Manufacturing of our COVID-19 Vaccine, our Product Candidates and Future Pipeline</w:t>
      </w:r>
    </w:p>
    <w:p>
      <w:pPr>
        <w:spacing w:after="0" w:line="1"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b w:val="1"/>
          <w:bCs w:val="1"/>
          <w:color w:val="005A64"/>
        </w:rPr>
        <w:t>Our COVID-19 vaccine and product candidates are based on novel technologies and they may be complex and difficult to manufacture. We may encounter difficulties in manufacturing, product release, shelf life, testing, storage, supply chain management or shipping. If we or any of the third-party manufacturers we work with encounter such difficulties, our ability to supply materials for clinical trials or any approved product could be delayed or stopped.</w:t>
      </w:r>
    </w:p>
    <w:p>
      <w:pPr>
        <w:spacing w:after="0" w:line="3"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The manufacturing processes for our COVID-19 vaccine and our product candidates are novel and complex. Due to the novel nature of this technology and the recency of our experience at larger scale production, we may encounter difficulties in manufacturing, product release, shelf life, testing, storage and supply chain management, or shipping. These difficulties could be due to any number of reasons, including, but not limited to, complexities of producing batches at larger scale, equipment failure, choice and quality of raw materials and excipients, analytical testing technology, and product instability. In an effort to optimize product features, we have in the past and may in the future make changes to our product candidates in their manufacturing and stability formulation and conditions. This has resulted in the past, and may in the future result, in our having to resupply batches for preclinical, clinical, or commercial activities when there is insufficient product stability during storage and insufficient supply. Insufficient stability or shelf life of our products or product candidates could materially delay our or our collaborators’ ability to continue the clinical trial for that product candidate or require us to begin a new clinical trial with a newly formulated drug product, due to the need to manufacture additional preclinical, clinical or commercial supply.</w:t>
      </w:r>
    </w:p>
    <w:p>
      <w:pPr>
        <w:spacing w:after="0" w:line="8" w:lineRule="exact"/>
        <w:rPr>
          <w:sz w:val="20"/>
          <w:szCs w:val="20"/>
          <w:color w:val="auto"/>
        </w:rPr>
      </w:pPr>
    </w:p>
    <w:p>
      <w:pPr>
        <w:ind w:left="380" w:right="2260"/>
        <w:spacing w:after="0" w:line="210" w:lineRule="auto"/>
        <w:rPr>
          <w:sz w:val="20"/>
          <w:szCs w:val="20"/>
          <w:color w:val="auto"/>
        </w:rPr>
      </w:pPr>
      <w:r>
        <w:rPr>
          <w:rFonts w:ascii="Arial" w:cs="Arial" w:eastAsia="Arial" w:hAnsi="Arial"/>
          <w:sz w:val="13"/>
          <w:szCs w:val="13"/>
          <w:color w:val="auto"/>
        </w:rPr>
        <w:t>Our rate of innovation is high, which has resulted in, and will continue to cause a high degree of, technology change that can negatively impact product comparability during and after clinical development. Furthermore, technology changes may drive the need for changes in, modification to, or the sourcing of, new manufacturing infrastructure or may adversely affect third-party relationships.</w:t>
      </w:r>
    </w:p>
    <w:p>
      <w:pPr>
        <w:spacing w:after="0" w:line="2"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The process to generate mRNA medicines is complex and, if not developed and manufactured under well-controlled conditions, can adversely impact pharmacological activity. We may encounter difficulties in scaling up our manufacturing process, thereby potentially impacting clinical and commercial supply. Additionally, for individualized therapies, we may encounter issues with our ability to timely and efficiently manufacture product given the on-demand requirements of such therapies, thereby potentially impacting clinical and commercial supply.</w:t>
      </w:r>
    </w:p>
    <w:p>
      <w:pPr>
        <w:spacing w:after="0" w:line="4"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As we continue developing new manufacturing processes for our drug substance and drug product, the changes we implement to the manufacturing process may impact, in turn, specification and stability of the drug product. Changes in our manufacturing processes may lead to failure of lots and this could lead to a substantial delay in our clinical trials or an inability to supply sufficient commercial quantities of drug product. Our mRNA product candidates may prove to have a stability profile that leads to an unfavorable shelf life. This poses risk in supply requirements, wasted stock and higher cost of goods.</w:t>
      </w:r>
    </w:p>
    <w:p>
      <w:pPr>
        <w:spacing w:after="0" w:line="4"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b w:val="1"/>
          <w:bCs w:val="1"/>
          <w:color w:val="005A64"/>
        </w:rPr>
        <w:t>We are dependent on a number of equipment providers who are also implementing novel technology. Further, we have developed our own custom manufacturing equipment for certain of our product candidates. If such equipment malfunctions or we encounter unexpected performance issues, we could encounter delays or interruptions to clinical and commercial supply.</w:t>
      </w:r>
    </w:p>
    <w:p>
      <w:pPr>
        <w:spacing w:after="0" w:line="2" w:lineRule="exact"/>
        <w:rPr>
          <w:sz w:val="20"/>
          <w:szCs w:val="20"/>
          <w:color w:val="auto"/>
        </w:rPr>
      </w:pPr>
    </w:p>
    <w:p>
      <w:pPr>
        <w:ind w:left="380" w:right="2080"/>
        <w:spacing w:after="0" w:line="234" w:lineRule="auto"/>
        <w:rPr>
          <w:sz w:val="20"/>
          <w:szCs w:val="20"/>
          <w:color w:val="auto"/>
        </w:rPr>
      </w:pPr>
      <w:r>
        <w:rPr>
          <w:rFonts w:ascii="Arial" w:cs="Arial" w:eastAsia="Arial" w:hAnsi="Arial"/>
          <w:sz w:val="13"/>
          <w:szCs w:val="13"/>
          <w:color w:val="auto"/>
        </w:rPr>
        <w:t>Due to the number of different programs, we may in the future have cross contamination of products inside of our factories, CROs, external CMOs, suppliers or in the clinic that affect the integrity of our products. Additionally, for</w:t>
      </w:r>
    </w:p>
    <w:p>
      <w:pPr>
        <w:sectPr>
          <w:pgSz w:w="11900" w:h="16840" w:orient="portrait"/>
          <w:cols w:equalWidth="0" w:num="1">
            <w:col w:w="9020"/>
          </w:cols>
          <w:pgMar w:left="1440" w:top="560" w:right="1440" w:bottom="1440" w:gutter="0" w:footer="0" w:header="0"/>
        </w:sectPr>
      </w:pPr>
    </w:p>
    <w:bookmarkStart w:id="35" w:name="page36"/>
    <w:bookmarkEnd w:id="35"/>
    <w:p>
      <w:pPr>
        <w:ind w:left="380"/>
        <w:spacing w:after="0"/>
        <w:rPr>
          <w:sz w:val="20"/>
          <w:szCs w:val="20"/>
          <w:color w:val="auto"/>
        </w:rPr>
      </w:pPr>
      <w:r>
        <w:rPr>
          <w:rFonts w:ascii="Arial" w:cs="Arial" w:eastAsia="Arial" w:hAnsi="Arial"/>
          <w:sz w:val="13"/>
          <w:szCs w:val="13"/>
          <w:color w:val="auto"/>
        </w:rPr>
        <w:t>49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80"/>
        <w:spacing w:after="0" w:line="212" w:lineRule="auto"/>
        <w:rPr>
          <w:sz w:val="20"/>
          <w:szCs w:val="20"/>
          <w:color w:val="auto"/>
        </w:rPr>
      </w:pPr>
      <w:r>
        <w:rPr>
          <w:rFonts w:ascii="Arial" w:cs="Arial" w:eastAsia="Arial" w:hAnsi="Arial"/>
          <w:sz w:val="13"/>
          <w:szCs w:val="13"/>
          <w:color w:val="auto"/>
        </w:rPr>
        <w:t>some programs the manufacturing scale is extremely small compared to the standard volumes of supply, such that we run the risk of contaminating the process each time we reopen a container to use remaining supplies. As we scale the manufacturing output for particular programs, we plan to continuously improve yield, purity and the pharmaceutical properties of our product candidates from IND- enabling studies through commercial launch, including shelf life stability and solubility properties of drug product and drug substance. Due to continuous improvement in manufacturing processes, we may switch processes for a particular program during development. However, after the change in process, more time is required for pharmaceutical property testing, such as six- or 12 - month stability testing. That may require resupplying clinical or commercial material, or making additional GMP batches to keep up with clinical trial demand before such pharmaceutical property testing is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-831850</wp:posOffset>
            </wp:positionV>
            <wp:extent cx="523113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20"/>
        <w:spacing w:after="0" w:line="210" w:lineRule="auto"/>
        <w:rPr>
          <w:sz w:val="20"/>
          <w:szCs w:val="20"/>
          <w:color w:val="auto"/>
        </w:rPr>
      </w:pPr>
      <w:r>
        <w:rPr>
          <w:rFonts w:ascii="Arial" w:cs="Arial" w:eastAsia="Arial" w:hAnsi="Arial"/>
          <w:sz w:val="13"/>
          <w:szCs w:val="13"/>
          <w:color w:val="auto"/>
        </w:rPr>
        <w:t>We are utilizing a number of raw materials and excipients that are either new to the pharmaceutical industry or are being employed in a novel manner. Some of these raw materials and excipients have not been scaled to a level to support commercial supply and could experience unexpected manufacturing or testing failures, or supply shortages. Such issues with raw materials and excipients could cause delays or interruptions to clinical and commercial supply of our COVID-19 vaccine and our product candidates. Further, now and in the future, one or more of our programs may have a single source of supply for raw materials and excipients. Some of our suppliers are located in countries different from our manufacturing sites. Export restrictions could lead to unplanned interruptions in manufacturing, thus impacting supply of both clinical and commercial material.</w:t>
      </w:r>
    </w:p>
    <w:p>
      <w:pPr>
        <w:spacing w:after="0" w:line="5" w:lineRule="exact"/>
        <w:rPr>
          <w:sz w:val="20"/>
          <w:szCs w:val="20"/>
          <w:color w:val="auto"/>
        </w:rPr>
      </w:pPr>
    </w:p>
    <w:p>
      <w:pPr>
        <w:ind w:left="380" w:right="2060"/>
        <w:spacing w:after="0" w:line="210" w:lineRule="auto"/>
        <w:rPr>
          <w:sz w:val="20"/>
          <w:szCs w:val="20"/>
          <w:color w:val="auto"/>
        </w:rPr>
      </w:pPr>
      <w:r>
        <w:rPr>
          <w:rFonts w:ascii="Arial" w:cs="Arial" w:eastAsia="Arial" w:hAnsi="Arial"/>
          <w:sz w:val="13"/>
          <w:szCs w:val="13"/>
          <w:color w:val="auto"/>
        </w:rPr>
        <w:t>We have established a number of analytical assays, and may have to establish several more, to assess the quality of our mRNA products and product candidates. We may identify gaps in our analytical testing strategy that might prevent release of product or could require product withdrawal or recall. For example, we may discover new impurities that have an impact on product safety, efficacy or stability. This may lead to an inability to release mRNA products or product candidates until the manufacturing or testing process is rectified.</w:t>
      </w:r>
    </w:p>
    <w:p>
      <w:pPr>
        <w:spacing w:after="0" w:line="3"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Our product and product intermediates are extremely temperature sensitive, and we may learn that any or all of our products are less stable than desired. We may also find that transportation conditions negatively impact product quality. This may require changes to the formulation or manufacturing process for one or more of our products or product candidates and result in delays or interruptions to clinical or commercial supply. In addition, the cost associated with such transportation services and the limited pool of vendors may also add additional risks of supply disruptions. As we transport intermediate products with holding times in refrigeration (TIR) and allowed times out of refrigeration (TOR) across long distances and crossing borders, traffic issues and customs delays could lead to the loss of batches which would need to be replaced.</w:t>
      </w:r>
    </w:p>
    <w:p>
      <w:pPr>
        <w:spacing w:after="0" w:line="5"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b w:val="1"/>
          <w:bCs w:val="1"/>
          <w:color w:val="005A64"/>
        </w:rPr>
        <w:t>Certain of our product candidates are uniquely manufactured for each patient and we may encounter difficulties in production, particularly with respect to scaling our manufacturing capabilities. If we or any of the third-party manufacturers with whom we contract encounter these types of difficulties, our ability to provide such product candidates for clinical trials or, if approved, products for patients could be delayed or stopped, or we may be unable to maintain a commercially viable cost structure.</w:t>
      </w:r>
    </w:p>
    <w:p>
      <w:pPr>
        <w:spacing w:after="0" w:line="3"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We custom design and manufacture certain product candidates that are unique and tailored specifically for each patient. Manufacturing unique lots of these product candidates is susceptible to product loss or failure due to issues with:</w:t>
      </w:r>
    </w:p>
    <w:p>
      <w:pPr>
        <w:spacing w:after="0" w:line="2" w:lineRule="exact"/>
        <w:rPr>
          <w:sz w:val="20"/>
          <w:szCs w:val="20"/>
          <w:color w:val="auto"/>
        </w:rPr>
      </w:pPr>
    </w:p>
    <w:p>
      <w:pPr>
        <w:ind w:left="380" w:right="3480"/>
        <w:spacing w:after="0" w:line="210" w:lineRule="auto"/>
        <w:rPr>
          <w:sz w:val="20"/>
          <w:szCs w:val="20"/>
          <w:color w:val="auto"/>
        </w:rPr>
      </w:pPr>
      <w:r>
        <w:rPr>
          <w:rFonts w:ascii="Arial" w:cs="Arial" w:eastAsia="Arial" w:hAnsi="Arial"/>
          <w:sz w:val="13"/>
          <w:szCs w:val="13"/>
          <w:color w:val="auto"/>
        </w:rPr>
        <w:t>•logistics associated with the collection of a patient’s tumor, blood or other tissue sample; •shipping such samples to a facility for genetic sequencing; •next-generation sequencing of the tumor mRNA;</w:t>
      </w:r>
    </w:p>
    <w:p>
      <w:pPr>
        <w:spacing w:after="0" w:line="2" w:lineRule="exact"/>
        <w:rPr>
          <w:sz w:val="20"/>
          <w:szCs w:val="20"/>
          <w:color w:val="auto"/>
        </w:rPr>
      </w:pPr>
    </w:p>
    <w:p>
      <w:pPr>
        <w:ind w:left="380" w:right="2780"/>
        <w:spacing w:after="0" w:line="210" w:lineRule="auto"/>
        <w:rPr>
          <w:sz w:val="20"/>
          <w:szCs w:val="20"/>
          <w:color w:val="auto"/>
        </w:rPr>
      </w:pPr>
      <w:r>
        <w:rPr>
          <w:rFonts w:ascii="Arial" w:cs="Arial" w:eastAsia="Arial" w:hAnsi="Arial"/>
          <w:sz w:val="13"/>
          <w:szCs w:val="13"/>
          <w:color w:val="auto"/>
        </w:rPr>
        <w:t>•biopsy of a sufficient quantity of cancerous tissue to allow for proper sequencing and identification of tumor-specific mutations;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•identification of appropriate tumor-specific mutations;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50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720"/>
        <w:spacing w:after="0" w:line="217" w:lineRule="auto"/>
        <w:rPr>
          <w:sz w:val="20"/>
          <w:szCs w:val="20"/>
          <w:color w:val="auto"/>
        </w:rPr>
      </w:pPr>
      <w:r>
        <w:rPr>
          <w:rFonts w:ascii="Arial" w:cs="Arial" w:eastAsia="Arial" w:hAnsi="Arial"/>
          <w:sz w:val="13"/>
          <w:szCs w:val="13"/>
          <w:color w:val="auto"/>
        </w:rPr>
        <w:t>•the use of a software program, including proprietary and open source components, which is hosted in the cloud and a part of our product candidate, to assist with the design of the patient-specific mRNA, which software must be maintained and 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color w:val="auto"/>
        </w:rPr>
        <w:t>•effective design of the patient-specific mRNA that encodes for the required neoantigens;</w:t>
      </w:r>
    </w:p>
    <w:p>
      <w:pPr>
        <w:ind w:left="380"/>
        <w:spacing w:after="0" w:line="211" w:lineRule="auto"/>
        <w:rPr>
          <w:sz w:val="20"/>
          <w:szCs w:val="20"/>
          <w:color w:val="auto"/>
        </w:rPr>
      </w:pPr>
      <w:r>
        <w:rPr>
          <w:rFonts w:ascii="Arial" w:cs="Arial" w:eastAsia="Arial" w:hAnsi="Arial"/>
          <w:sz w:val="13"/>
          <w:szCs w:val="13"/>
          <w:color w:val="auto"/>
        </w:rPr>
        <w:t>•batch-specific manufacturing failures or issues that arise due to the uniqueness of each patient-specific</w:t>
      </w:r>
    </w:p>
    <w:p>
      <w:pPr>
        <w:ind w:left="380"/>
        <w:spacing w:after="0" w:line="211" w:lineRule="auto"/>
        <w:rPr>
          <w:sz w:val="20"/>
          <w:szCs w:val="20"/>
          <w:color w:val="auto"/>
        </w:rPr>
      </w:pPr>
      <w:r>
        <w:rPr>
          <w:rFonts w:ascii="Arial" w:cs="Arial" w:eastAsia="Arial" w:hAnsi="Arial"/>
          <w:sz w:val="13"/>
          <w:szCs w:val="13"/>
          <w:color w:val="auto"/>
        </w:rPr>
        <w:t>batch that may not have been foreseen;</w:t>
      </w:r>
    </w:p>
    <w:p>
      <w:pPr>
        <w:ind w:left="380"/>
        <w:spacing w:after="0" w:line="210" w:lineRule="auto"/>
        <w:rPr>
          <w:sz w:val="20"/>
          <w:szCs w:val="20"/>
          <w:color w:val="auto"/>
        </w:rPr>
      </w:pPr>
      <w:r>
        <w:rPr>
          <w:rFonts w:ascii="Arial" w:cs="Arial" w:eastAsia="Arial" w:hAnsi="Arial"/>
          <w:sz w:val="13"/>
          <w:szCs w:val="13"/>
          <w:color w:val="auto"/>
        </w:rPr>
        <w:t>•quality control testing failures;</w:t>
      </w:r>
    </w:p>
    <w:p>
      <w:pPr>
        <w:ind w:left="380"/>
        <w:spacing w:after="0" w:line="211" w:lineRule="auto"/>
        <w:rPr>
          <w:sz w:val="20"/>
          <w:szCs w:val="20"/>
          <w:color w:val="auto"/>
        </w:rPr>
      </w:pPr>
      <w:r>
        <w:rPr>
          <w:rFonts w:ascii="Arial" w:cs="Arial" w:eastAsia="Arial" w:hAnsi="Arial"/>
          <w:sz w:val="13"/>
          <w:szCs w:val="13"/>
          <w:color w:val="auto"/>
        </w:rPr>
        <w:t>•unexpected failures of batches placed on stability;</w:t>
      </w:r>
    </w:p>
    <w:p>
      <w:pPr>
        <w:spacing w:after="0" w:line="1" w:lineRule="exact"/>
        <w:rPr>
          <w:sz w:val="20"/>
          <w:szCs w:val="20"/>
          <w:color w:val="auto"/>
        </w:rPr>
      </w:pPr>
    </w:p>
    <w:p>
      <w:pPr>
        <w:ind w:left="380" w:right="2760"/>
        <w:spacing w:after="0" w:line="210" w:lineRule="auto"/>
        <w:rPr>
          <w:sz w:val="20"/>
          <w:szCs w:val="20"/>
          <w:color w:val="auto"/>
        </w:rPr>
      </w:pPr>
      <w:r>
        <w:rPr>
          <w:rFonts w:ascii="Arial" w:cs="Arial" w:eastAsia="Arial" w:hAnsi="Arial"/>
          <w:sz w:val="13"/>
          <w:szCs w:val="13"/>
          <w:color w:val="auto"/>
        </w:rPr>
        <w:t>•shortages or quality control issues with single- use assemblies, consumables or critical parts sourced from third-party vendors that must be changed out for each patient-specific batch;</w:t>
      </w:r>
    </w:p>
    <w:p>
      <w:pPr>
        <w:spacing w:after="0" w:line="1" w:lineRule="exact"/>
        <w:rPr>
          <w:sz w:val="20"/>
          <w:szCs w:val="20"/>
          <w:color w:val="auto"/>
        </w:rPr>
      </w:pPr>
    </w:p>
    <w:p>
      <w:pPr>
        <w:ind w:left="380" w:right="2800"/>
        <w:spacing w:after="0" w:line="210" w:lineRule="auto"/>
        <w:rPr>
          <w:sz w:val="20"/>
          <w:szCs w:val="20"/>
          <w:color w:val="auto"/>
        </w:rPr>
      </w:pPr>
      <w:r>
        <w:rPr>
          <w:rFonts w:ascii="Arial" w:cs="Arial" w:eastAsia="Arial" w:hAnsi="Arial"/>
          <w:sz w:val="13"/>
          <w:szCs w:val="13"/>
          <w:color w:val="auto"/>
        </w:rPr>
        <w:t>•significant costs associated with individualized manufacturing that may adversely affect our ability to continue development;</w:t>
      </w:r>
    </w:p>
    <w:p>
      <w:pPr>
        <w:spacing w:after="0" w:line="1" w:lineRule="exact"/>
        <w:rPr>
          <w:sz w:val="20"/>
          <w:szCs w:val="20"/>
          <w:color w:val="auto"/>
        </w:rPr>
      </w:pPr>
    </w:p>
    <w:p>
      <w:pPr>
        <w:ind w:left="380" w:right="3700"/>
        <w:spacing w:after="0" w:line="210" w:lineRule="auto"/>
        <w:rPr>
          <w:sz w:val="20"/>
          <w:szCs w:val="20"/>
          <w:color w:val="auto"/>
        </w:rPr>
      </w:pPr>
      <w:r>
        <w:rPr>
          <w:rFonts w:ascii="Arial" w:cs="Arial" w:eastAsia="Arial" w:hAnsi="Arial"/>
          <w:sz w:val="13"/>
          <w:szCs w:val="13"/>
          <w:color w:val="auto"/>
        </w:rPr>
        <w:t>•successful and timely manufacture and release of the patient-specific batch; •shipment issues encountered during transport of the batch to the site of patient care;</w:t>
      </w:r>
    </w:p>
    <w:p>
      <w:pPr>
        <w:spacing w:after="0" w:line="1" w:lineRule="exact"/>
        <w:rPr>
          <w:sz w:val="20"/>
          <w:szCs w:val="20"/>
          <w:color w:val="auto"/>
        </w:rPr>
      </w:pPr>
    </w:p>
    <w:p>
      <w:pPr>
        <w:ind w:left="380" w:right="2680"/>
        <w:spacing w:after="0" w:line="210" w:lineRule="auto"/>
        <w:rPr>
          <w:sz w:val="20"/>
          <w:szCs w:val="20"/>
          <w:color w:val="auto"/>
        </w:rPr>
      </w:pPr>
      <w:r>
        <w:rPr>
          <w:rFonts w:ascii="Arial" w:cs="Arial" w:eastAsia="Arial" w:hAnsi="Arial"/>
          <w:sz w:val="13"/>
          <w:szCs w:val="13"/>
          <w:color w:val="auto"/>
        </w:rPr>
        <w:t>•the ability to define a consistent safety profile at a given dose when each participant receives a unique treatment; and</w:t>
      </w:r>
    </w:p>
    <w:p>
      <w:pPr>
        <w:ind w:left="380"/>
        <w:spacing w:after="0" w:line="212" w:lineRule="auto"/>
        <w:rPr>
          <w:sz w:val="20"/>
          <w:szCs w:val="20"/>
          <w:color w:val="auto"/>
        </w:rPr>
      </w:pPr>
      <w:r>
        <w:rPr>
          <w:rFonts w:ascii="Arial" w:cs="Arial" w:eastAsia="Arial" w:hAnsi="Arial"/>
          <w:sz w:val="13"/>
          <w:szCs w:val="13"/>
          <w:color w:val="auto"/>
        </w:rPr>
        <w:t>•our reliance on single source suppliers.</w:t>
      </w:r>
    </w:p>
    <w:p>
      <w:pPr>
        <w:spacing w:after="0" w:line="1"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We also continue to evolve our own custom manufacturing equipment. This equipment may not function as designed, which may lead to deviations in the drug product being produced. This can lead to increased batch failure and the inability to supply patients enrolled in the clinical trial. If our clinical development plans are expanded, we may not be able to supply this expanded need reliably without significant investments due to the custom nature of the equipment and single-use assemblies. In addition, there will be considerable time to scale up our facilities or build new facilities before we can begin to meet any commercial demand if one or more of our individualized product candidates are approved. This expansion or addition of new facilities could also lead to product comparability issues, which can further delay introduction of new capacity.</w:t>
      </w:r>
    </w:p>
    <w:p>
      <w:pPr>
        <w:spacing w:after="0" w:line="5" w:lineRule="exact"/>
        <w:rPr>
          <w:sz w:val="20"/>
          <w:szCs w:val="20"/>
          <w:color w:val="auto"/>
        </w:rPr>
      </w:pPr>
    </w:p>
    <w:p>
      <w:pPr>
        <w:ind w:left="380" w:right="2180"/>
        <w:spacing w:after="0" w:line="216" w:lineRule="auto"/>
        <w:rPr>
          <w:sz w:val="20"/>
          <w:szCs w:val="20"/>
          <w:color w:val="auto"/>
        </w:rPr>
      </w:pPr>
      <w:r>
        <w:rPr>
          <w:rFonts w:ascii="Arial" w:cs="Arial" w:eastAsia="Arial" w:hAnsi="Arial"/>
          <w:sz w:val="13"/>
          <w:szCs w:val="13"/>
          <w:color w:val="auto"/>
        </w:rPr>
        <w:t>For those of our product candidates that are manufactured for each individual patient, we are required to maintain a chain of identity with respect to each patient’s tissue sample, the sequenced data derived from such tissue sample, the results of such patient’s genomic analysis and the custom manufactured product for such patient. Maintaining such a chain of identity is difficult and complex, and failure to do so could result in product mix-up, adverse patient outcomes, loss of product, or regulatory action, including withdrawal of any approved products from the market. Further, as our product candidates are developed through early-stage clinical studies to later-stage clinical trials towards approval and commercialization, we expect that multiple aspects of the complicated collection, analysis, manufacture and delivery processes will be modified in an effort to optimize</w:t>
      </w:r>
    </w:p>
    <w:p>
      <w:pPr>
        <w:sectPr>
          <w:pgSz w:w="11900" w:h="16840" w:orient="portrait"/>
          <w:cols w:equalWidth="0" w:num="1">
            <w:col w:w="9020"/>
          </w:cols>
          <w:pgMar w:left="1440" w:top="654" w:right="1440" w:bottom="41" w:gutter="0" w:footer="0" w:header="0"/>
        </w:sectPr>
      </w:pPr>
    </w:p>
    <w:bookmarkStart w:id="36" w:name="page37"/>
    <w:bookmarkEnd w:id="36"/>
    <w:p>
      <w:pPr>
        <w:ind w:left="380" w:right="2100"/>
        <w:spacing w:after="0" w:line="217" w:lineRule="auto"/>
        <w:rPr>
          <w:sz w:val="20"/>
          <w:szCs w:val="20"/>
          <w:color w:val="auto"/>
        </w:rPr>
      </w:pPr>
      <w:r>
        <w:rPr>
          <w:rFonts w:ascii="Arial" w:cs="Arial" w:eastAsia="Arial" w:hAnsi="Arial"/>
          <w:sz w:val="13"/>
          <w:szCs w:val="13"/>
          <w:color w:val="auto"/>
        </w:rPr>
        <w:t>processes and results. These changes may not achieve the intended objectives, and any of these changes could cause our product candidates to perform differently than we expect, potentially affecting the results of clinical trials.</w:t>
      </w:r>
    </w:p>
    <w:p>
      <w:pPr>
        <w:spacing w:after="0" w:line="1" w:lineRule="exact"/>
        <w:rPr>
          <w:sz w:val="20"/>
          <w:szCs w:val="20"/>
          <w:color w:val="auto"/>
        </w:rPr>
      </w:pPr>
    </w:p>
    <w:p>
      <w:pPr>
        <w:jc w:val="both"/>
        <w:ind w:left="380" w:right="2280"/>
        <w:spacing w:after="0" w:line="210" w:lineRule="auto"/>
        <w:rPr>
          <w:sz w:val="20"/>
          <w:szCs w:val="20"/>
          <w:color w:val="auto"/>
        </w:rPr>
      </w:pPr>
      <w:r>
        <w:rPr>
          <w:rFonts w:ascii="Arial" w:cs="Arial" w:eastAsia="Arial" w:hAnsi="Arial"/>
          <w:sz w:val="13"/>
          <w:szCs w:val="13"/>
          <w:b w:val="1"/>
          <w:bCs w:val="1"/>
          <w:color w:val="005A64"/>
        </w:rPr>
        <w:t>Our inability to manufacture sufficient or appropriate quantities of our COVID-19 vaccine or any of our product candidates, or our failure to comply with applicable regulatory requirements, could materially and adversely affect our business.</w:t>
      </w:r>
    </w:p>
    <w:p>
      <w:pPr>
        <w:spacing w:after="0" w:line="2" w:lineRule="exact"/>
        <w:rPr>
          <w:sz w:val="20"/>
          <w:szCs w:val="20"/>
          <w:color w:val="auto"/>
        </w:rPr>
      </w:pPr>
    </w:p>
    <w:p>
      <w:pPr>
        <w:ind w:left="380" w:right="2080"/>
        <w:spacing w:after="0" w:line="226" w:lineRule="auto"/>
        <w:rPr>
          <w:sz w:val="20"/>
          <w:szCs w:val="20"/>
          <w:color w:val="auto"/>
        </w:rPr>
      </w:pPr>
      <w:r>
        <w:rPr>
          <w:rFonts w:ascii="Arial" w:cs="Arial" w:eastAsia="Arial" w:hAnsi="Arial"/>
          <w:sz w:val="13"/>
          <w:szCs w:val="13"/>
          <w:color w:val="auto"/>
        </w:rPr>
        <w:t>Manufacturing is a vital component of our individualized immunotherapy approach, and we have invested significantly in our manufacturing facilities, including the acquisition of a manufacturing site in Marburg, Germany, the construction of a novel modular manufacturing facility that we refer to as a “BioNTainer,” and the construction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51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3" w:lineRule="auto"/>
        <w:rPr>
          <w:sz w:val="20"/>
          <w:szCs w:val="20"/>
          <w:color w:val="auto"/>
        </w:rPr>
      </w:pPr>
      <w:r>
        <w:rPr>
          <w:rFonts w:ascii="Arial" w:cs="Arial" w:eastAsia="Arial" w:hAnsi="Arial"/>
          <w:sz w:val="13"/>
          <w:szCs w:val="13"/>
          <w:color w:val="auto"/>
        </w:rPr>
        <w:t>of a facility to support manufacturing of our Individualized Vaccines Against Cancer candidates. All internal manufacturing is performed under GMP guidelines. We also rely on a network of CMOs for the manufacture of our COVID -19 vaccine. We do not rely on any external CMOs for the manufacture of our individualized product candidates and at this time, and we have limited redundancy among our facilities. Due to the individualized nature of our product candidates, we do not maintain product reserves. If any of our or our external CMOs’ manufacturing facilities, including our BioNTainer units, experience difficulties, including related to manufacturing, product release, shelf life, testing, storage and supply chain management or shipping, our clinical development programs may be delayed or suspended until we or our external CMOs can resume operations. We may also be required to incur significant expenditures to resolve such difficulties.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-751205</wp:posOffset>
            </wp:positionV>
            <wp:extent cx="523113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color w:val="auto"/>
        </w:rPr>
        <w:t>We and our collaboration partner also have experienced, and continue to face the risk of, inventory write-downs or redundant production capacities with respect to our COVID-19 vaccine. Planned new formulations of our COVID-19 vaccine, including versions that could protect against new variants of COVID -19, have resulted or may result in significant research and development expense that was not or may not be recouped. In addition, we have experienced in the past, and may experience in the future, redundant production capacities under our agreements with CMOs due to planned new formulations, adaptations of our COVID-19 vaccine and increased internal manufacturing capacities. Significant inventory write-downs or redundant manufacturing expenses would negatively impact our results of operations.</w:t>
      </w:r>
    </w:p>
    <w:p>
      <w:pPr>
        <w:spacing w:after="0" w:line="5"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Our facilities are subject to various regulatory requirements and may be subject to announced or unannounced inspections by the FDA or other regulatory authorities at any time during the development or commercialization phase. If we or our external CMOs cannot successfully manufacture material that conforms to our specifications and the strict regulatory requirements of the FDA, the EMA or comparable regulatory authorities in other jurisdictions, we may not be able to rely on our or our external CMOs’ manufacturing facilities for the manufacture of our product candidates. If the FDA, the EMA or another comparable regulatory authority finds our or our external CMOs’ facilities inadequate for the manufacture of our COVID-19 vaccine or our product candidates or otherwise deficient, including as a result of a site inspection, such facilities may be the subject of adverse regulatory action, including the issuance of untitled or warning letters. If such facilities are subject to enforcement action in the future or are otherwise inadequate, we may need to find alternative manufacturing facilities, which would significantly delay or otherwise impact our ability to develop, obtain regulatory approval for or market our COVID-19 vaccine or our product candidates.</w:t>
      </w:r>
    </w:p>
    <w:p>
      <w:pPr>
        <w:spacing w:after="0" w:line="7"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Additionally, we may experience manufacturing difficulties due to resource constraints, labor disputes or unstable political environments. If we were to encounter any of these difficulties, our ability to provide our product candidates to patients in clinical trials, or to provide approved products for the treatment of patients, would be jeopardized.</w:t>
      </w:r>
    </w:p>
    <w:p>
      <w:pPr>
        <w:spacing w:after="0" w:line="2"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b w:val="1"/>
          <w:bCs w:val="1"/>
          <w:color w:val="005A64"/>
        </w:rPr>
        <w:t>We are subject to regulatory and operational risks associated with the physical and digital infrastructure at both our internal manufacturing facilities and at those of our external service providers.</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The designs of our facilities are based on current standards for biotechnology facilities. They have been reviewed and approved by local authorities and have also received GMP manufacturing licenses. We have designed our facilities to incorporate a significant level of automation of equipment with integration of several digital systems to improve efficiency of operations. We have attempted to achieve a high level of digitization for clinical and commercial manufacturing facilities relative to industry standards. While this is meant to improve operational efficiency, this may pose additional risk of process equipment malfunction and even overall manufacturing system failure or shutdown due to internal or external factors including, but not limited to, design issues, system compatibility or potential cybersecurity breaches. This may lead to a delay in supply or shutdown of our facilities. Any disruption in our manufacturing capabilities could cause delays in our production capacity for our drug substances or drug products, impose additional costs, or require us to identify, qualify and establish an alternative manufacturing site, the occurrence of which could have a material adverse effect on our business, financial condition, results of operations and prospects.</w:t>
      </w:r>
    </w:p>
    <w:p>
      <w:pPr>
        <w:spacing w:after="0" w:line="7" w:lineRule="exact"/>
        <w:rPr>
          <w:sz w:val="20"/>
          <w:szCs w:val="20"/>
          <w:color w:val="auto"/>
        </w:rPr>
      </w:pPr>
    </w:p>
    <w:p>
      <w:pPr>
        <w:ind w:left="380" w:right="2100"/>
        <w:spacing w:after="0" w:line="226" w:lineRule="auto"/>
        <w:rPr>
          <w:sz w:val="20"/>
          <w:szCs w:val="20"/>
          <w:color w:val="auto"/>
        </w:rPr>
      </w:pPr>
      <w:r>
        <w:rPr>
          <w:rFonts w:ascii="Arial" w:cs="Arial" w:eastAsia="Arial" w:hAnsi="Arial"/>
          <w:sz w:val="13"/>
          <w:szCs w:val="13"/>
          <w:color w:val="auto"/>
        </w:rPr>
        <w:t>As we expand our development and commercial capacity, we may continue to establish additional manufacturing capabilities in different jurisdictions, which may lead to regulatory delays or prove costly. If we fail to select the correct location, complete the construction in an efficient manner, recruit required personnel, and/or generally</w:t>
      </w:r>
    </w:p>
    <w:p>
      <w:pPr>
        <w:sectPr>
          <w:pgSz w:w="11900" w:h="16840" w:orient="portrait"/>
          <w:cols w:equalWidth="0" w:num="1">
            <w:col w:w="9020"/>
          </w:cols>
          <w:pgMar w:left="1440" w:top="560" w:right="1440" w:bottom="1440" w:gutter="0" w:footer="0" w:header="0"/>
        </w:sectPr>
      </w:pPr>
    </w:p>
    <w:bookmarkStart w:id="37" w:name="page38"/>
    <w:bookmarkEnd w:id="37"/>
    <w:p>
      <w:pPr>
        <w:spacing w:after="0" w:line="14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52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200"/>
        <w:spacing w:after="0" w:line="217" w:lineRule="auto"/>
        <w:rPr>
          <w:sz w:val="20"/>
          <w:szCs w:val="20"/>
          <w:color w:val="auto"/>
        </w:rPr>
      </w:pPr>
      <w:r>
        <w:rPr>
          <w:rFonts w:ascii="Arial" w:cs="Arial" w:eastAsia="Arial" w:hAnsi="Arial"/>
          <w:sz w:val="13"/>
          <w:szCs w:val="13"/>
          <w:color w:val="auto"/>
        </w:rPr>
        <w:t>manage our growth effectively, the development and production of our products or product candidates could be delayed or curtailed. Additional investments may be needed if changes in our manufacturing process lead to required changes in our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420"/>
        <w:spacing w:after="0" w:line="210" w:lineRule="auto"/>
        <w:rPr>
          <w:sz w:val="20"/>
          <w:szCs w:val="20"/>
          <w:color w:val="auto"/>
        </w:rPr>
      </w:pPr>
      <w:r>
        <w:rPr>
          <w:rFonts w:ascii="Arial" w:cs="Arial" w:eastAsia="Arial" w:hAnsi="Arial"/>
          <w:sz w:val="13"/>
          <w:szCs w:val="13"/>
          <w:b w:val="1"/>
          <w:bCs w:val="1"/>
          <w:color w:val="005A64"/>
        </w:rPr>
        <w:t>Our COVID-19 vaccine and certain of our product candidates rely on the availability of specialty raw materials, which may not be available to us on acceptable terms or at all.</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Our product candidates require many specialty raw materials, some of which are manufactured by small companies with limited resources and experience to support a commercial product, and suppliers may not be able to deliver raw materials to our specifications. In addition, some such suppliers normally support blood -based hospital businesses and generally do not have the capacity to support commercial products manufactured under GMP by biopharmaceutical firms. These suppliers may be ill-equipped to support our needs, especially in non-routine circumstances like an FDA inspection or medical crisis, such as widespread contamination. We also do not have contracts with many of these suppliers, and we may not be able to contract with them on acceptable terms or at all. Accordingly, we have experienced and we may in the future experience delays in receiving key raw materials to support clinical or commercial manufacturing.</w:t>
      </w:r>
    </w:p>
    <w:p>
      <w:pPr>
        <w:spacing w:after="0" w:line="5"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In addition, some raw materials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In addition, the lead time needed to establish a relationship 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negatively impact our operating results. Further, we may be unable to enter into agreements with a new supplier on commercially reasonable terms or at all, which could have a material adverse impact on our business.</w:t>
      </w:r>
    </w:p>
    <w:p>
      <w:pPr>
        <w:spacing w:after="0" w:line="5" w:lineRule="exact"/>
        <w:rPr>
          <w:sz w:val="20"/>
          <w:szCs w:val="20"/>
          <w:color w:val="auto"/>
        </w:rPr>
      </w:pPr>
    </w:p>
    <w:p>
      <w:pPr>
        <w:ind w:left="380" w:right="2260"/>
        <w:spacing w:after="0" w:line="210" w:lineRule="auto"/>
        <w:rPr>
          <w:sz w:val="20"/>
          <w:szCs w:val="20"/>
          <w:color w:val="auto"/>
        </w:rPr>
      </w:pPr>
      <w:r>
        <w:rPr>
          <w:rFonts w:ascii="Arial" w:cs="Arial" w:eastAsia="Arial" w:hAnsi="Arial"/>
          <w:sz w:val="13"/>
          <w:szCs w:val="13"/>
          <w:b w:val="1"/>
          <w:bCs w:val="1"/>
          <w:color w:val="005A64"/>
        </w:rPr>
        <w:t>We are subject to significant regulatory oversight with respect to manufacturing our products and product candidates. Our manufacturing facilities or the manufacturing facilities of our third-party manufacturers or suppliers may not meet regulatory requirements. Failure to meet GMP requirements set forth in regulations promulgated by the FDA, the EMA and other comparable regulatory authorities could result in significant delays in and costs of our products.</w:t>
      </w:r>
    </w:p>
    <w:p>
      <w:pPr>
        <w:ind w:left="380"/>
        <w:spacing w:after="0" w:line="215" w:lineRule="auto"/>
        <w:rPr>
          <w:sz w:val="20"/>
          <w:szCs w:val="20"/>
          <w:color w:val="auto"/>
        </w:rPr>
      </w:pPr>
      <w:r>
        <w:rPr>
          <w:rFonts w:ascii="Arial" w:cs="Arial" w:eastAsia="Arial" w:hAnsi="Arial"/>
          <w:sz w:val="13"/>
          <w:szCs w:val="13"/>
          <w:color w:val="auto"/>
        </w:rPr>
        <w:t>The manufacturing of immunotherapies for clinical trials or commercial sale is subject to extensive regulation.</w:t>
      </w:r>
    </w:p>
    <w:p>
      <w:pPr>
        <w:ind w:left="380"/>
        <w:spacing w:after="0" w:line="211" w:lineRule="auto"/>
        <w:rPr>
          <w:sz w:val="20"/>
          <w:szCs w:val="20"/>
          <w:color w:val="auto"/>
        </w:rPr>
      </w:pPr>
      <w:r>
        <w:rPr>
          <w:rFonts w:ascii="Arial" w:cs="Arial" w:eastAsia="Arial" w:hAnsi="Arial"/>
          <w:sz w:val="13"/>
          <w:szCs w:val="13"/>
          <w:color w:val="auto"/>
        </w:rPr>
        <w:t>GMP requirements govern manufacturing processes and procedures, including record-keeping, and the</w:t>
      </w:r>
    </w:p>
    <w:p>
      <w:pPr>
        <w:ind w:left="380"/>
        <w:spacing w:after="0" w:line="211" w:lineRule="auto"/>
        <w:rPr>
          <w:sz w:val="20"/>
          <w:szCs w:val="20"/>
          <w:color w:val="auto"/>
        </w:rPr>
      </w:pPr>
      <w:r>
        <w:rPr>
          <w:rFonts w:ascii="Arial" w:cs="Arial" w:eastAsia="Arial" w:hAnsi="Arial"/>
          <w:sz w:val="13"/>
          <w:szCs w:val="13"/>
          <w:color w:val="auto"/>
        </w:rPr>
        <w:t>implementation and operation of quality systems to control and assure the quality of products and materials used</w:t>
      </w:r>
    </w:p>
    <w:p>
      <w:pPr>
        <w:ind w:left="380"/>
        <w:spacing w:after="0" w:line="211" w:lineRule="auto"/>
        <w:rPr>
          <w:sz w:val="20"/>
          <w:szCs w:val="20"/>
          <w:color w:val="auto"/>
        </w:rPr>
      </w:pPr>
      <w:r>
        <w:rPr>
          <w:rFonts w:ascii="Arial" w:cs="Arial" w:eastAsia="Arial" w:hAnsi="Arial"/>
          <w:sz w:val="13"/>
          <w:szCs w:val="13"/>
          <w:color w:val="auto"/>
        </w:rPr>
        <w:t>in our products and product candidates. Poor control of the GMP production processes can lead to product</w:t>
      </w:r>
    </w:p>
    <w:p>
      <w:pPr>
        <w:ind w:left="380"/>
        <w:spacing w:after="0" w:line="211" w:lineRule="auto"/>
        <w:rPr>
          <w:sz w:val="20"/>
          <w:szCs w:val="20"/>
          <w:color w:val="auto"/>
        </w:rPr>
      </w:pPr>
      <w:r>
        <w:rPr>
          <w:rFonts w:ascii="Arial" w:cs="Arial" w:eastAsia="Arial" w:hAnsi="Arial"/>
          <w:sz w:val="13"/>
          <w:szCs w:val="13"/>
          <w:color w:val="auto"/>
        </w:rPr>
        <w:t>quality failures that can impact our ability to supply product, resulting in loss of potential product sales revenue,</w:t>
      </w:r>
    </w:p>
    <w:p>
      <w:pPr>
        <w:ind w:left="380"/>
        <w:spacing w:after="0" w:line="211" w:lineRule="auto"/>
        <w:rPr>
          <w:sz w:val="20"/>
          <w:szCs w:val="20"/>
          <w:color w:val="auto"/>
        </w:rPr>
      </w:pPr>
      <w:r>
        <w:rPr>
          <w:rFonts w:ascii="Arial" w:cs="Arial" w:eastAsia="Arial" w:hAnsi="Arial"/>
          <w:sz w:val="13"/>
          <w:szCs w:val="13"/>
          <w:color w:val="auto"/>
        </w:rPr>
        <w:t>cost overruns and delays to clinical timelines for our clinical programs, which could be extensive. Such</w:t>
      </w:r>
    </w:p>
    <w:p>
      <w:pPr>
        <w:ind w:left="380"/>
        <w:spacing w:after="0" w:line="211" w:lineRule="auto"/>
        <w:rPr>
          <w:sz w:val="20"/>
          <w:szCs w:val="20"/>
          <w:color w:val="auto"/>
        </w:rPr>
      </w:pPr>
      <w:r>
        <w:rPr>
          <w:rFonts w:ascii="Arial" w:cs="Arial" w:eastAsia="Arial" w:hAnsi="Arial"/>
          <w:sz w:val="13"/>
          <w:szCs w:val="13"/>
          <w:color w:val="auto"/>
        </w:rPr>
        <w:t>production process issues include but are not limited to:</w:t>
      </w:r>
    </w:p>
    <w:p>
      <w:pPr>
        <w:ind w:left="380"/>
        <w:spacing w:after="0" w:line="211" w:lineRule="auto"/>
        <w:rPr>
          <w:sz w:val="20"/>
          <w:szCs w:val="20"/>
          <w:color w:val="auto"/>
        </w:rPr>
      </w:pPr>
      <w:r>
        <w:rPr>
          <w:rFonts w:ascii="Arial" w:cs="Arial" w:eastAsia="Arial" w:hAnsi="Arial"/>
          <w:sz w:val="13"/>
          <w:szCs w:val="13"/>
          <w:color w:val="auto"/>
        </w:rPr>
        <w:t>•critical deviations in the manufacturing process;</w:t>
      </w:r>
    </w:p>
    <w:p>
      <w:pPr>
        <w:ind w:left="380"/>
        <w:spacing w:after="0" w:line="211" w:lineRule="auto"/>
        <w:rPr>
          <w:sz w:val="20"/>
          <w:szCs w:val="20"/>
          <w:color w:val="auto"/>
        </w:rPr>
      </w:pPr>
      <w:r>
        <w:rPr>
          <w:rFonts w:ascii="Arial" w:cs="Arial" w:eastAsia="Arial" w:hAnsi="Arial"/>
          <w:sz w:val="13"/>
          <w:szCs w:val="13"/>
          <w:color w:val="auto"/>
        </w:rPr>
        <w:t>•facility and equipment failures;</w:t>
      </w:r>
    </w:p>
    <w:p>
      <w:pPr>
        <w:ind w:left="380"/>
        <w:spacing w:after="0" w:line="211" w:lineRule="auto"/>
        <w:rPr>
          <w:sz w:val="20"/>
          <w:szCs w:val="20"/>
          <w:color w:val="auto"/>
        </w:rPr>
      </w:pPr>
      <w:r>
        <w:rPr>
          <w:rFonts w:ascii="Arial" w:cs="Arial" w:eastAsia="Arial" w:hAnsi="Arial"/>
          <w:sz w:val="13"/>
          <w:szCs w:val="13"/>
          <w:color w:val="auto"/>
        </w:rPr>
        <w:t>•contamination of the product due to an ineffective quality control strategy;</w:t>
      </w:r>
    </w:p>
    <w:p>
      <w:pPr>
        <w:ind w:left="380" w:right="2640"/>
        <w:spacing w:after="0" w:line="210" w:lineRule="auto"/>
        <w:rPr>
          <w:sz w:val="20"/>
          <w:szCs w:val="20"/>
          <w:color w:val="auto"/>
        </w:rPr>
      </w:pPr>
      <w:r>
        <w:rPr>
          <w:rFonts w:ascii="Arial" w:cs="Arial" w:eastAsia="Arial" w:hAnsi="Arial"/>
          <w:sz w:val="13"/>
          <w:szCs w:val="13"/>
          <w:color w:val="auto"/>
        </w:rPr>
        <w:t>•facility contamination as assessed by the facility and utility environmental monitoring program; •ineffective process, equipment or analytical change management, resulting in failed lot release criteria; •raw material failures due to ineffective supplier qualification or regulatory compliance issues at critical suppliers;</w:t>
      </w:r>
    </w:p>
    <w:p>
      <w:pPr>
        <w:ind w:left="380"/>
        <w:spacing w:after="0" w:line="214" w:lineRule="auto"/>
        <w:rPr>
          <w:sz w:val="20"/>
          <w:szCs w:val="20"/>
          <w:color w:val="auto"/>
        </w:rPr>
      </w:pPr>
      <w:r>
        <w:rPr>
          <w:rFonts w:ascii="Arial" w:cs="Arial" w:eastAsia="Arial" w:hAnsi="Arial"/>
          <w:sz w:val="13"/>
          <w:szCs w:val="13"/>
          <w:color w:val="auto"/>
        </w:rPr>
        <w:t>•ineffective product stability;</w:t>
      </w:r>
    </w:p>
    <w:p>
      <w:pPr>
        <w:ind w:left="380"/>
        <w:spacing w:after="0"/>
        <w:rPr>
          <w:sz w:val="20"/>
          <w:szCs w:val="20"/>
          <w:color w:val="auto"/>
        </w:rPr>
      </w:pPr>
      <w:r>
        <w:rPr>
          <w:rFonts w:ascii="Arial" w:cs="Arial" w:eastAsia="Arial" w:hAnsi="Arial"/>
          <w:sz w:val="13"/>
          <w:szCs w:val="13"/>
          <w:color w:val="auto"/>
        </w:rPr>
        <w:t>•failed lot release or facility and utility quality control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53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700"/>
        <w:spacing w:after="0" w:line="217" w:lineRule="auto"/>
        <w:rPr>
          <w:sz w:val="20"/>
          <w:szCs w:val="20"/>
          <w:color w:val="auto"/>
        </w:rPr>
      </w:pPr>
      <w:r>
        <w:rPr>
          <w:rFonts w:ascii="Arial" w:cs="Arial" w:eastAsia="Arial" w:hAnsi="Arial"/>
          <w:sz w:val="13"/>
          <w:szCs w:val="13"/>
          <w:color w:val="auto"/>
        </w:rPr>
        <w:t>•ineffective corrective actions or preventative actions taken to correct or avoid critical deviations due to our developing understanding of the manufacturing process as we scale; and •failed or defective components or consumables.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20"/>
        <w:spacing w:after="0" w:line="210" w:lineRule="auto"/>
        <w:rPr>
          <w:sz w:val="20"/>
          <w:szCs w:val="20"/>
          <w:color w:val="auto"/>
        </w:rPr>
      </w:pPr>
      <w:r>
        <w:rPr>
          <w:rFonts w:ascii="Arial" w:cs="Arial" w:eastAsia="Arial" w:hAnsi="Arial"/>
          <w:sz w:val="13"/>
          <w:szCs w:val="13"/>
          <w:color w:val="auto"/>
        </w:rPr>
        <w:t>We must supply all necessary documentation in support of a BLA or other marketing authorization application on a timely basis and must adhere to the FDA’s, the EMA’s and other countries’ GMP requirements, which are enforced, in the case of the FDA, in part through its facilities inspection program.</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Regulatory authorities typically require representative manufacturing site inspections to assess adequate compliance with GMPs and manufacturing controls as described in the filing. If either we or one of our third-party manufacturing sites fail to provide sufficient quality assurance or control, approval to continue delivery of our commercial product or to commercialize our product candidates may not be granted. Inspections by regulatory authorities may be announced or unannounced and may occur at any time during the development or commercialization phase. The inspections may be product-specific or facility-specific for broader GMP inspections, or as a follow up to market or development issues that the regulatory agency may identify. Deficient inspection outcomes may result in adverse regulatory action, including the issuance of untitled or warning letters, which could influence our ability, or the ability of our third-party manufacturers or suppliers, to fulfill supply obligations, impacting or delaying supply or delaying programs. Our failure, or the failure of our third -party manufacturers, to comply with applicable regulations could result in sanctions being imposed on us, including, but not limited to,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product candidates (including those of our collaborators) and our overall business operations.</w:t>
      </w:r>
    </w:p>
    <w:p>
      <w:pPr>
        <w:spacing w:after="0" w:line="9" w:lineRule="exact"/>
        <w:rPr>
          <w:sz w:val="20"/>
          <w:szCs w:val="20"/>
          <w:color w:val="auto"/>
        </w:rPr>
      </w:pPr>
    </w:p>
    <w:p>
      <w:pPr>
        <w:ind w:left="380" w:right="2200"/>
        <w:spacing w:after="0" w:line="220" w:lineRule="auto"/>
        <w:rPr>
          <w:sz w:val="20"/>
          <w:szCs w:val="20"/>
          <w:color w:val="auto"/>
        </w:rPr>
      </w:pPr>
      <w:r>
        <w:rPr>
          <w:rFonts w:ascii="Arial" w:cs="Arial" w:eastAsia="Arial" w:hAnsi="Arial"/>
          <w:sz w:val="13"/>
          <w:szCs w:val="13"/>
          <w:color w:val="auto"/>
        </w:rPr>
        <w:t>The manufacturing process for any product is subject to the FDA’s, the EMA’s and other regulatory authorities’ approval processes, and we may need to contract with manufacturers whom we believe can meet applicable regulatory authority requirements on an ongoing basis. If we or our third-party manufacturers are unable to reliably manufacture to specifications acceptable to the FDA, the EMA or other regulatory authorities, we or our collaborators may not obtain or maintain the approvals we or they need to release and deliver such products.</w:t>
      </w:r>
    </w:p>
    <w:p>
      <w:pPr>
        <w:sectPr>
          <w:pgSz w:w="11900" w:h="16840" w:orient="portrait"/>
          <w:cols w:equalWidth="0" w:num="1">
            <w:col w:w="9020"/>
          </w:cols>
          <w:pgMar w:left="1440" w:top="1440" w:right="1440" w:bottom="28" w:gutter="0" w:footer="0" w:header="0"/>
        </w:sectPr>
      </w:pPr>
    </w:p>
    <w:bookmarkStart w:id="38" w:name="page39"/>
    <w:bookmarkEnd w:id="38"/>
    <w:p>
      <w:pPr>
        <w:ind w:left="380" w:right="2100"/>
        <w:spacing w:after="0" w:line="213" w:lineRule="auto"/>
        <w:rPr>
          <w:sz w:val="20"/>
          <w:szCs w:val="20"/>
          <w:color w:val="auto"/>
        </w:rPr>
      </w:pPr>
      <w:r>
        <w:rPr>
          <w:rFonts w:ascii="Arial" w:cs="Arial" w:eastAsia="Arial" w:hAnsi="Arial"/>
          <w:sz w:val="13"/>
          <w:szCs w:val="13"/>
          <w:color w:val="auto"/>
        </w:rPr>
        <w:t>Even if we or our collaborators obtain regulatory approval for any of our immunotherapies, there is no assurance that either we or our CMOs will be able to manufacture our product candidates to specifications acceptable to the FDA, the EMA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or increase our cost of goods. The occurrence of any of the foregoing could have an adverse effect on our business, financial condition, results of operations and growth prospects.</w:t>
      </w:r>
    </w:p>
    <w:p>
      <w:pPr>
        <w:spacing w:after="0" w:line="2"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In addition, we may not have direct control over the ability of our CMOs to maintain adequate quality control, quality assurance and qualified personnel. Furthermore, all of our CMOs are engaged with other companies to supply or manufacture materials or products for such companies, which exposes our CMOs to regulatory risks for the production of such materials and products. As a result, failure to meet the regulatory requirements for the production of those materials and products may generally affect the regulatory status of our CMOs’ facilities, and could result in the sanctions and other adverse outcomes described above. Our potential future dependence upon others for the manufacture of our products, product candidates and raw materials may adversely affect our future operating results and our ability to commercialize any products that receive regulatory approval on a timely and competitive basis.</w:t>
      </w:r>
    </w:p>
    <w:p>
      <w:pPr>
        <w:spacing w:after="0" w:line="5" w:lineRule="exact"/>
        <w:rPr>
          <w:sz w:val="20"/>
          <w:szCs w:val="20"/>
          <w:color w:val="auto"/>
        </w:rPr>
      </w:pPr>
    </w:p>
    <w:p>
      <w:pPr>
        <w:ind w:left="380" w:right="2160"/>
        <w:spacing w:after="0" w:line="217" w:lineRule="auto"/>
        <w:rPr>
          <w:sz w:val="20"/>
          <w:szCs w:val="20"/>
          <w:color w:val="auto"/>
        </w:rPr>
      </w:pPr>
      <w:r>
        <w:rPr>
          <w:rFonts w:ascii="Arial" w:cs="Arial" w:eastAsia="Arial" w:hAnsi="Arial"/>
          <w:sz w:val="13"/>
          <w:szCs w:val="13"/>
          <w:color w:val="auto"/>
        </w:rPr>
        <w:t>The FDA, the EMA and other regulatory authorities may require us to submit product samples of any lot of any approved product together with the protocols showing the results of applicable tests at any time. Under some circumstances, the FDA or other regulatory authorities may require that we do not distribute a lot or lots until the relevant agency authorizes such release. Deviations in the manufacturing process, including those affecting quality attributes and stability, may result in unacceptable changes in the product that could result in lot failures or product recalls. Our CMOs have, in the past, experienced lot failures and some may have experienced product recalls. Lot failures or product recalls with respect to product produced by either our own facilities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54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320"/>
        <w:spacing w:after="0" w:line="217" w:lineRule="auto"/>
        <w:rPr>
          <w:sz w:val="20"/>
          <w:szCs w:val="20"/>
          <w:color w:val="auto"/>
        </w:rPr>
      </w:pPr>
      <w:r>
        <w:rPr>
          <w:rFonts w:ascii="Arial" w:cs="Arial" w:eastAsia="Arial" w:hAnsi="Arial"/>
          <w:sz w:val="13"/>
          <w:szCs w:val="13"/>
          <w:color w:val="auto"/>
        </w:rPr>
        <w:t>those of our third-party manufacturers could cause us and our collaborators to delay clinical trials, product launches or product supply, which could be costly to us and otherwise harm our business, financial condition, results of operations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00"/>
        <w:spacing w:after="0" w:line="210" w:lineRule="auto"/>
        <w:rPr>
          <w:sz w:val="20"/>
          <w:szCs w:val="20"/>
          <w:color w:val="auto"/>
        </w:rPr>
      </w:pPr>
      <w:r>
        <w:rPr>
          <w:rFonts w:ascii="Arial" w:cs="Arial" w:eastAsia="Arial" w:hAnsi="Arial"/>
          <w:sz w:val="13"/>
          <w:szCs w:val="13"/>
          <w:color w:val="auto"/>
        </w:rPr>
        <w:t>We also may encounter problems hiring and retaining the experienced scientific, quality-control and manufacturing personnel needed to operate our manufacturing processes and operations, which could result in delays in production or difficulties in maintaining compliance with applicable regulatory requirements. While we train and qualify all personnel around the appropriate handling of our products and materials, we may not be able to control for or ultimately detect intentional sabotage or negligence by any employee or contractor.</w:t>
      </w:r>
    </w:p>
    <w:p>
      <w:pPr>
        <w:ind w:left="380"/>
        <w:spacing w:after="0" w:line="215" w:lineRule="auto"/>
        <w:rPr>
          <w:sz w:val="20"/>
          <w:szCs w:val="20"/>
          <w:color w:val="auto"/>
        </w:rPr>
      </w:pPr>
      <w:r>
        <w:rPr>
          <w:rFonts w:ascii="Arial" w:cs="Arial" w:eastAsia="Arial" w:hAnsi="Arial"/>
          <w:sz w:val="13"/>
          <w:szCs w:val="13"/>
          <w:b w:val="1"/>
          <w:bCs w:val="1"/>
          <w:color w:val="005A64"/>
        </w:rPr>
        <w:t>Risks Related to our Reliance on Third Parties</w:t>
      </w:r>
    </w:p>
    <w:p>
      <w:pPr>
        <w:ind w:left="380" w:right="2160"/>
        <w:spacing w:after="0" w:line="210" w:lineRule="auto"/>
        <w:rPr>
          <w:sz w:val="20"/>
          <w:szCs w:val="20"/>
          <w:color w:val="auto"/>
        </w:rPr>
      </w:pPr>
      <w:r>
        <w:rPr>
          <w:rFonts w:ascii="Arial" w:cs="Arial" w:eastAsia="Arial" w:hAnsi="Arial"/>
          <w:sz w:val="13"/>
          <w:szCs w:val="13"/>
          <w:b w:val="1"/>
          <w:bCs w:val="1"/>
          <w:color w:val="005A64"/>
        </w:rPr>
        <w:t>We rely on third parties in the conduct of significant aspects of our preclinical studies and clinical trials and intend to rely on third parties in the conduct of future clinical trials. If these third parties do not successfully carry out their contractual duties, fail to comply with applicable regulatory requirements or fail to meet expected deadlines, we may be unable to obtain regulatory approval for our product candidates.</w:t>
      </w:r>
    </w:p>
    <w:p>
      <w:pPr>
        <w:spacing w:after="0" w:line="3"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We currently rely, and expect to continue to rely, on third parties, such as CROs, clinical data management organizations, collaborators, medical institutions and clinical investigators, to conduct various and significant elements of our clinical trials. Furthermore, we currently rely, and expect to continue to rely, on third parties to conduct certain research and preclinical testing activities. In some cases, these third parties may terminate their engagements with us. If we need to enter into alternative arrangements, it would delay our discovery or product development activities.</w:t>
      </w:r>
    </w:p>
    <w:p>
      <w:pPr>
        <w:spacing w:after="0" w:line="4" w:lineRule="exact"/>
        <w:rPr>
          <w:sz w:val="20"/>
          <w:szCs w:val="20"/>
          <w:color w:val="auto"/>
        </w:rPr>
      </w:pPr>
    </w:p>
    <w:p>
      <w:pPr>
        <w:ind w:left="380" w:right="2220"/>
        <w:spacing w:after="0" w:line="210" w:lineRule="auto"/>
        <w:rPr>
          <w:sz w:val="20"/>
          <w:szCs w:val="20"/>
          <w:color w:val="auto"/>
        </w:rPr>
      </w:pPr>
      <w:r>
        <w:rPr>
          <w:rFonts w:ascii="Arial" w:cs="Arial" w:eastAsia="Arial" w:hAnsi="Arial"/>
          <w:sz w:val="13"/>
          <w:szCs w:val="13"/>
          <w:color w:val="auto"/>
        </w:rPr>
        <w:t>Our reliance on these third parties for research and development activities will reduce our control over these activities but will not relieve us of our regulatory or contractual responsibilities. We are responsible for ensuring that each of our preclinical studies and clinical trials is conducted in accordance with the applicable protocol, legal and regulatory requirements and scientific standards. For example, we are responsible for ensuring that each of our clinical trials is conducted in accordance with the general investigational plan and protocols for the trial.</w:t>
      </w:r>
    </w:p>
    <w:p>
      <w:pPr>
        <w:spacing w:after="0" w:line="4"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Moreover, the FDA requires us to comply with GCP for conducting, recording and reporting the results of clinical trials to assure that data and reported results are credible and accurate and that the rights, integrity and confidentiality of trial participants are protected. We are also required to register ongoing clinical trials and post the results of completed clinical trials on a U.S. government-sponsored database, ClinicalTrials.gov, within certain timeframes. Failure to do so can result in fines, adverse publicity, and civil and criminal sanctions.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5" w:lineRule="exact"/>
        <w:rPr>
          <w:sz w:val="20"/>
          <w:szCs w:val="20"/>
          <w:color w:val="auto"/>
        </w:rPr>
      </w:pPr>
    </w:p>
    <w:p>
      <w:pPr>
        <w:ind w:left="380" w:right="2080"/>
        <w:spacing w:after="0" w:line="214" w:lineRule="auto"/>
        <w:rPr>
          <w:sz w:val="20"/>
          <w:szCs w:val="20"/>
          <w:color w:val="auto"/>
        </w:rPr>
      </w:pPr>
      <w:r>
        <w:rPr>
          <w:rFonts w:ascii="Arial" w:cs="Arial" w:eastAsia="Arial" w:hAnsi="Arial"/>
          <w:sz w:val="13"/>
          <w:szCs w:val="13"/>
          <w:color w:val="auto"/>
        </w:rPr>
        <w:t>We and our CROs are required to comply with regulations, including GCP, for conducting, monitoring, recording and reporting the results of preclinical studies and clinical trials to ensure that the data and results are scientifically credible and accurate and that the trial participants are adequately informed, among other things, of the potential risks of participating in clinical trials. We are also responsible for ensuring that the rights of our clinical trial participants are protected. These regulations are enforced by the FDA, the regulatory authorities of the EU member states, and comparable regulatory authorities of other jurisdictions for any product candidates in clinical development. The FDA enforces GCP regulations through periodic inspections of clinical trial sponsors, principal investigators and trial sites. If we or our CROs fail to comply with applicable GCP, the clinical data generated in our clinical trials may be deemed unreliable and the FDA or comparable regulatory authorities of other jurisdictions may require us to perform additional clinical trials before approving our marketing applications. We cannot be sure that, upon inspection, the FDA will determine that any of our future clinical trials will comply with GCP. In addition, our clinical trials must be conducted with product candidates produced in accordance with the requirements of GMP regulations. Our failure or the failure of our CROs to comply with these regulations may require us to repeat clinical trials, which would delay the regulatory approval process and could also subject us to enforcement action.</w:t>
      </w:r>
    </w:p>
    <w:p>
      <w:pPr>
        <w:sectPr>
          <w:pgSz w:w="11900" w:h="16840" w:orient="portrait"/>
          <w:cols w:equalWidth="0" w:num="1">
            <w:col w:w="9020"/>
          </w:cols>
          <w:pgMar w:left="1440" w:top="560" w:right="1440"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55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60"/>
        <w:spacing w:after="0" w:line="213" w:lineRule="auto"/>
        <w:rPr>
          <w:sz w:val="20"/>
          <w:szCs w:val="20"/>
          <w:color w:val="auto"/>
        </w:rPr>
      </w:pPr>
      <w:r>
        <w:rPr>
          <w:rFonts w:ascii="Arial" w:cs="Arial" w:eastAsia="Arial" w:hAnsi="Arial"/>
          <w:sz w:val="13"/>
          <w:szCs w:val="13"/>
          <w:color w:val="auto"/>
        </w:rPr>
        <w:t>Although we have designed, and in the future intend to design the clinical trials for certain of our product candidates, our collaborators will design the clinical trials that they are managing (in some cases, with our input) and in the case of clinical trials controlled by us, we expect that CROs will conduct all of the clinical trials. As a result, many important aspects of our development programs, including their conduct and timing, are outside of our direct control. Our reliance on third parties to conduct future preclinical studies and clinical trials results in less direct control over the management of data developed through preclinical studies and clinical trials than would be the case if we were relying entirely upon our own staff. Communicating with outside parties can also potentially lead to mistakes as well as difficulties in coordinating activities. Outside parties may: •have staffing difficulties;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-751205</wp:posOffset>
            </wp:positionV>
            <wp:extent cx="523113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1" w:lineRule="auto"/>
        <w:rPr>
          <w:sz w:val="20"/>
          <w:szCs w:val="20"/>
          <w:color w:val="auto"/>
        </w:rPr>
      </w:pPr>
      <w:r>
        <w:rPr>
          <w:rFonts w:ascii="Arial" w:cs="Arial" w:eastAsia="Arial" w:hAnsi="Arial"/>
          <w:sz w:val="13"/>
          <w:szCs w:val="13"/>
          <w:color w:val="auto"/>
        </w:rPr>
        <w:t>•fail to comply with contractual obligations;</w:t>
      </w:r>
    </w:p>
    <w:p>
      <w:pPr>
        <w:ind w:left="380"/>
        <w:spacing w:after="0" w:line="211" w:lineRule="auto"/>
        <w:rPr>
          <w:sz w:val="20"/>
          <w:szCs w:val="20"/>
          <w:color w:val="auto"/>
        </w:rPr>
      </w:pPr>
      <w:r>
        <w:rPr>
          <w:rFonts w:ascii="Arial" w:cs="Arial" w:eastAsia="Arial" w:hAnsi="Arial"/>
          <w:sz w:val="13"/>
          <w:szCs w:val="13"/>
          <w:color w:val="auto"/>
        </w:rPr>
        <w:t>•experience regulatory compliance issues;</w:t>
      </w:r>
    </w:p>
    <w:p>
      <w:pPr>
        <w:ind w:left="380"/>
        <w:spacing w:after="0" w:line="211" w:lineRule="auto"/>
        <w:rPr>
          <w:sz w:val="20"/>
          <w:szCs w:val="20"/>
          <w:color w:val="auto"/>
        </w:rPr>
      </w:pPr>
      <w:r>
        <w:rPr>
          <w:rFonts w:ascii="Arial" w:cs="Arial" w:eastAsia="Arial" w:hAnsi="Arial"/>
          <w:sz w:val="13"/>
          <w:szCs w:val="13"/>
          <w:color w:val="auto"/>
        </w:rPr>
        <w:t>•undergo changes in priorities or become financially distressed;</w:t>
      </w:r>
    </w:p>
    <w:p>
      <w:pPr>
        <w:ind w:left="380"/>
        <w:spacing w:after="0" w:line="211" w:lineRule="auto"/>
        <w:rPr>
          <w:sz w:val="20"/>
          <w:szCs w:val="20"/>
          <w:color w:val="auto"/>
        </w:rPr>
      </w:pPr>
      <w:r>
        <w:rPr>
          <w:rFonts w:ascii="Arial" w:cs="Arial" w:eastAsia="Arial" w:hAnsi="Arial"/>
          <w:sz w:val="13"/>
          <w:szCs w:val="13"/>
          <w:color w:val="auto"/>
        </w:rPr>
        <w:t>•form relationships with other entities, some of which may be our competitors;</w:t>
      </w:r>
    </w:p>
    <w:p>
      <w:pPr>
        <w:ind w:left="380"/>
        <w:spacing w:after="0" w:line="211" w:lineRule="auto"/>
        <w:rPr>
          <w:sz w:val="20"/>
          <w:szCs w:val="20"/>
          <w:color w:val="auto"/>
        </w:rPr>
      </w:pPr>
      <w:r>
        <w:rPr>
          <w:rFonts w:ascii="Arial" w:cs="Arial" w:eastAsia="Arial" w:hAnsi="Arial"/>
          <w:sz w:val="13"/>
          <w:szCs w:val="13"/>
          <w:color w:val="auto"/>
        </w:rPr>
        <w:t>•make human errors; or</w:t>
      </w:r>
    </w:p>
    <w:p>
      <w:pPr>
        <w:ind w:left="380"/>
        <w:spacing w:after="0" w:line="211" w:lineRule="auto"/>
        <w:rPr>
          <w:sz w:val="20"/>
          <w:szCs w:val="20"/>
          <w:color w:val="auto"/>
        </w:rPr>
      </w:pPr>
      <w:r>
        <w:rPr>
          <w:rFonts w:ascii="Arial" w:cs="Arial" w:eastAsia="Arial" w:hAnsi="Arial"/>
          <w:sz w:val="13"/>
          <w:szCs w:val="13"/>
          <w:color w:val="auto"/>
        </w:rPr>
        <w:t>•be subject to cyberattacks.</w:t>
      </w:r>
    </w:p>
    <w:p>
      <w:pPr>
        <w:ind w:left="380" w:right="2140"/>
        <w:spacing w:after="0" w:line="210" w:lineRule="auto"/>
        <w:rPr>
          <w:sz w:val="20"/>
          <w:szCs w:val="20"/>
          <w:color w:val="auto"/>
        </w:rPr>
      </w:pPr>
      <w:r>
        <w:rPr>
          <w:rFonts w:ascii="Arial" w:cs="Arial" w:eastAsia="Arial" w:hAnsi="Arial"/>
          <w:sz w:val="13"/>
          <w:szCs w:val="13"/>
          <w:color w:val="auto"/>
        </w:rPr>
        <w:t>These factors may materially adversely affect the willingness or ability of third parties to conduct our preclinical studies and clinical trials and may subject us to unexpected cost increases that are beyond our control. If the CROs do not perform preclinical studies and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5"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We also rely on other third parties to transport, store and distribute the required materials for our clinical trials. In the past, certain of our third-party vendors have mishandled our materials, resulting in loss of full or partial lots of material. Any further performance failure on the part of these third parties could result in damaged products and could delay clinical development or marketing approval of any product candidates we may develop or commercialization of our medicines, if approved, producing additional losses and depriving us of potential product sales revenue, causing us to default on our contractual commitments, result in losses that are not covered by insurance, and damage our reputation and overall perception of our products in the marketplace.</w:t>
      </w:r>
    </w:p>
    <w:p>
      <w:pPr>
        <w:spacing w:after="0" w:line="4"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b w:val="1"/>
          <w:bCs w:val="1"/>
          <w:color w:val="005A64"/>
        </w:rPr>
        <w:t>Our existing collaborations, or any future collaboration arrangements that we may enter into, may not be successful, which could significantly limit the likelihood of receiving the potential economic benefits of the collaboration and adversely affect our ability to develop and commercialize our products and product candidates.</w:t>
      </w:r>
    </w:p>
    <w:p>
      <w:pPr>
        <w:spacing w:after="0" w:line="2"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We have entered into collaborations under which our collaborators have provided, and may in the future provide, funding and other resources for developing and commercializing our products and product candidates. We expect to enter into additional collaborations to access additional funding, capabilities and/or expertise in the future. Our existing collaborations, and any future collaborations we enter into, may pose a number of risks, including the following:</w:t>
      </w:r>
    </w:p>
    <w:p>
      <w:pPr>
        <w:ind w:left="380"/>
        <w:spacing w:after="0" w:line="215" w:lineRule="auto"/>
        <w:rPr>
          <w:sz w:val="20"/>
          <w:szCs w:val="20"/>
          <w:color w:val="auto"/>
        </w:rPr>
      </w:pPr>
      <w:r>
        <w:rPr>
          <w:rFonts w:ascii="Arial" w:cs="Arial" w:eastAsia="Arial" w:hAnsi="Arial"/>
          <w:sz w:val="13"/>
          <w:szCs w:val="13"/>
          <w:color w:val="auto"/>
        </w:rPr>
        <w:t>•collaborators may not perform or prioritize their obligations as expected;</w:t>
      </w:r>
    </w:p>
    <w:p>
      <w:pPr>
        <w:ind w:left="380"/>
        <w:spacing w:after="0"/>
        <w:rPr>
          <w:sz w:val="20"/>
          <w:szCs w:val="20"/>
          <w:color w:val="auto"/>
        </w:rPr>
      </w:pPr>
      <w:r>
        <w:rPr>
          <w:rFonts w:ascii="Arial" w:cs="Arial" w:eastAsia="Arial" w:hAnsi="Arial"/>
          <w:sz w:val="13"/>
          <w:szCs w:val="13"/>
          <w:color w:val="auto"/>
        </w:rPr>
        <w:t>•the clinical trials conducted as part of such collaborations may not be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56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700"/>
        <w:spacing w:after="0" w:line="214" w:lineRule="auto"/>
        <w:rPr>
          <w:sz w:val="20"/>
          <w:szCs w:val="20"/>
          <w:color w:val="auto"/>
        </w:rPr>
      </w:pPr>
      <w:r>
        <w:rPr>
          <w:rFonts w:ascii="Arial" w:cs="Arial" w:eastAsia="Arial" w:hAnsi="Arial"/>
          <w:sz w:val="13"/>
          <w:szCs w:val="13"/>
          <w:color w:val="auto"/>
        </w:rPr>
        <w:t>•collaborators may not pursue development and commercialization of any product candidates and products that achieve regulatory approval or may elect not to continue or renew development or commercialization of programs based on clinical trial results, changes in the collaborators’ focus or available funding (for example, we are aware that there have been allegations that Fosun International Ltd., an affiliate of our collaboration partner Fosun Pharma, is facing liquidity risks), or external factors, such as an acquisition, that divert resources or create competing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-501015</wp:posOffset>
            </wp:positionV>
            <wp:extent cx="523113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760"/>
        <w:spacing w:after="0" w:line="210" w:lineRule="auto"/>
        <w:rPr>
          <w:sz w:val="20"/>
          <w:szCs w:val="20"/>
          <w:color w:val="auto"/>
        </w:rPr>
      </w:pPr>
      <w:r>
        <w:rPr>
          <w:rFonts w:ascii="Arial" w:cs="Arial" w:eastAsia="Arial" w:hAnsi="Arial"/>
          <w:sz w:val="13"/>
          <w:szCs w:val="13"/>
          <w:color w:val="auto"/>
        </w:rPr>
        <w:t>•collaborators may delay clinical trials, provide insufficient funding for clinical trials, stop a clinical trial, abandon a product candidate, repeat or conduct new clinical trials, or require a new formulation of a product candidate for clinical testing;</w:t>
      </w:r>
    </w:p>
    <w:p>
      <w:pPr>
        <w:spacing w:after="0" w:line="2" w:lineRule="exact"/>
        <w:rPr>
          <w:sz w:val="20"/>
          <w:szCs w:val="20"/>
          <w:color w:val="auto"/>
        </w:rPr>
      </w:pPr>
    </w:p>
    <w:p>
      <w:pPr>
        <w:ind w:left="380" w:right="2640"/>
        <w:spacing w:after="0" w:line="210" w:lineRule="auto"/>
        <w:rPr>
          <w:sz w:val="20"/>
          <w:szCs w:val="20"/>
          <w:color w:val="auto"/>
        </w:rPr>
      </w:pPr>
      <w:r>
        <w:rPr>
          <w:rFonts w:ascii="Arial" w:cs="Arial" w:eastAsia="Arial" w:hAnsi="Arial"/>
          <w:sz w:val="13"/>
          <w:szCs w:val="13"/>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2" w:lineRule="exact"/>
        <w:rPr>
          <w:sz w:val="20"/>
          <w:szCs w:val="20"/>
          <w:color w:val="auto"/>
        </w:rPr>
      </w:pPr>
    </w:p>
    <w:p>
      <w:pPr>
        <w:ind w:left="380" w:right="2740"/>
        <w:spacing w:after="0" w:line="210" w:lineRule="auto"/>
        <w:rPr>
          <w:sz w:val="20"/>
          <w:szCs w:val="20"/>
          <w:color w:val="auto"/>
        </w:rPr>
      </w:pPr>
      <w:r>
        <w:rPr>
          <w:rFonts w:ascii="Arial" w:cs="Arial" w:eastAsia="Arial" w:hAnsi="Arial"/>
          <w:sz w:val="13"/>
          <w:szCs w:val="13"/>
          <w:color w:val="auto"/>
        </w:rPr>
        <w:t>•product candidates developed in collaborations with us may be viewed by our collaborators as competitive with their own product candidates or products, which may cause collaborators to cease to devote resources to the development or commercialization of our product candidates;</w:t>
      </w:r>
    </w:p>
    <w:p>
      <w:pPr>
        <w:spacing w:after="0" w:line="2" w:lineRule="exact"/>
        <w:rPr>
          <w:sz w:val="20"/>
          <w:szCs w:val="20"/>
          <w:color w:val="auto"/>
        </w:rPr>
      </w:pPr>
    </w:p>
    <w:p>
      <w:pPr>
        <w:ind w:left="380" w:right="2600"/>
        <w:spacing w:after="0" w:line="226" w:lineRule="auto"/>
        <w:rPr>
          <w:sz w:val="20"/>
          <w:szCs w:val="20"/>
          <w:color w:val="auto"/>
        </w:rPr>
      </w:pPr>
      <w:r>
        <w:rPr>
          <w:rFonts w:ascii="Arial" w:cs="Arial" w:eastAsia="Arial" w:hAnsi="Arial"/>
          <w:sz w:val="13"/>
          <w:szCs w:val="13"/>
          <w:color w:val="auto"/>
        </w:rPr>
        <w:t>•a collaborator with marketing and distribution rights to one or more of our product candidates that achieve regulatory approval may not commit sufficient resources to the marketing and distribution of any such product;</w:t>
      </w:r>
    </w:p>
    <w:p>
      <w:pPr>
        <w:sectPr>
          <w:pgSz w:w="11900" w:h="16840" w:orient="portrait"/>
          <w:cols w:equalWidth="0" w:num="1">
            <w:col w:w="9020"/>
          </w:cols>
          <w:pgMar w:left="1440" w:top="1440" w:right="1440" w:bottom="18" w:gutter="0" w:footer="0" w:header="0"/>
        </w:sectPr>
      </w:pPr>
    </w:p>
    <w:bookmarkStart w:id="40" w:name="page41"/>
    <w:bookmarkEnd w:id="40"/>
    <w:p>
      <w:pPr>
        <w:ind w:left="380" w:right="2520"/>
        <w:spacing w:after="0" w:line="214" w:lineRule="auto"/>
        <w:rPr>
          <w:sz w:val="20"/>
          <w:szCs w:val="20"/>
          <w:color w:val="auto"/>
        </w:rPr>
      </w:pPr>
      <w:r>
        <w:rPr>
          <w:rFonts w:ascii="Arial" w:cs="Arial" w:eastAsia="Arial" w:hAnsi="Arial"/>
          <w:sz w:val="13"/>
          <w:szCs w:val="13"/>
          <w:color w:val="auto"/>
        </w:rPr>
        <w:t>•disagreements with collaborators,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w:t>
      </w:r>
    </w:p>
    <w:p>
      <w:pPr>
        <w:spacing w:after="0" w:line="3" w:lineRule="exact"/>
        <w:rPr>
          <w:sz w:val="20"/>
          <w:szCs w:val="20"/>
          <w:color w:val="auto"/>
        </w:rPr>
      </w:pPr>
    </w:p>
    <w:p>
      <w:pPr>
        <w:ind w:left="380" w:right="2520"/>
        <w:spacing w:after="0" w:line="210" w:lineRule="auto"/>
        <w:rPr>
          <w:sz w:val="20"/>
          <w:szCs w:val="20"/>
          <w:color w:val="auto"/>
        </w:rPr>
      </w:pPr>
      <w:r>
        <w:rPr>
          <w:rFonts w:ascii="Arial" w:cs="Arial" w:eastAsia="Arial" w:hAnsi="Arial"/>
          <w:sz w:val="13"/>
          <w:szCs w:val="13"/>
          <w:color w:val="auto"/>
        </w:rPr>
        <w:t>•collaborators may not properly maintain, protect, defend or enforce our intellectual property rights or may use our proprietary information in such a way as to invite litigation that could jeopardize or invalidate our intellectual property or proprietary information or expose us to potential litigation;</w:t>
      </w:r>
    </w:p>
    <w:p>
      <w:pPr>
        <w:spacing w:after="0" w:line="2" w:lineRule="exact"/>
        <w:rPr>
          <w:sz w:val="20"/>
          <w:szCs w:val="20"/>
          <w:color w:val="auto"/>
        </w:rPr>
      </w:pPr>
    </w:p>
    <w:p>
      <w:pPr>
        <w:ind w:left="380" w:right="2880"/>
        <w:spacing w:after="0" w:line="210" w:lineRule="auto"/>
        <w:rPr>
          <w:sz w:val="20"/>
          <w:szCs w:val="20"/>
          <w:color w:val="auto"/>
        </w:rPr>
      </w:pPr>
      <w:r>
        <w:rPr>
          <w:rFonts w:ascii="Arial" w:cs="Arial" w:eastAsia="Arial" w:hAnsi="Arial"/>
          <w:sz w:val="13"/>
          <w:szCs w:val="13"/>
          <w:color w:val="auto"/>
        </w:rPr>
        <w:t>•disputes may arise with respect to the ownership of intellectual property developed pursuant to our collaborations;</w:t>
      </w:r>
    </w:p>
    <w:p>
      <w:pPr>
        <w:spacing w:after="0" w:line="1" w:lineRule="exact"/>
        <w:rPr>
          <w:sz w:val="20"/>
          <w:szCs w:val="20"/>
          <w:color w:val="auto"/>
        </w:rPr>
      </w:pPr>
    </w:p>
    <w:p>
      <w:pPr>
        <w:ind w:left="380" w:right="2780"/>
        <w:spacing w:after="0" w:line="210" w:lineRule="auto"/>
        <w:rPr>
          <w:sz w:val="20"/>
          <w:szCs w:val="20"/>
          <w:color w:val="auto"/>
        </w:rPr>
      </w:pPr>
      <w:r>
        <w:rPr>
          <w:rFonts w:ascii="Arial" w:cs="Arial" w:eastAsia="Arial" w:hAnsi="Arial"/>
          <w:sz w:val="13"/>
          <w:szCs w:val="13"/>
          <w:color w:val="auto"/>
        </w:rPr>
        <w:t>•collaborators may infringe, misappropriate or otherwise violate the intellectual property rights of third parties, which may expose us to litigation and potential liability;</w:t>
      </w:r>
    </w:p>
    <w:p>
      <w:pPr>
        <w:spacing w:after="0" w:line="1" w:lineRule="exact"/>
        <w:rPr>
          <w:sz w:val="20"/>
          <w:szCs w:val="20"/>
          <w:color w:val="auto"/>
        </w:rPr>
      </w:pPr>
    </w:p>
    <w:p>
      <w:pPr>
        <w:ind w:left="380" w:right="2560"/>
        <w:spacing w:after="0" w:line="210" w:lineRule="auto"/>
        <w:rPr>
          <w:sz w:val="20"/>
          <w:szCs w:val="20"/>
          <w:color w:val="auto"/>
        </w:rPr>
      </w:pPr>
      <w:r>
        <w:rPr>
          <w:rFonts w:ascii="Arial" w:cs="Arial" w:eastAsia="Arial" w:hAnsi="Arial"/>
          <w:sz w:val="13"/>
          <w:szCs w:val="13"/>
          <w:color w:val="auto"/>
        </w:rPr>
        <w:t>•collaborations may be terminated for the convenience of the collaborator and, if terminated, the development of our product candidates may be delayed, and we could be required to raise additional capital to pursue further development or commercialization of the applicable product candidates; •future relationships may require us to incur non-recurring and other charges, increase our near- and long -term expenditures, issue securities that dilute our existing shareholders, or disrupt our management and business;</w:t>
      </w:r>
    </w:p>
    <w:p>
      <w:pPr>
        <w:spacing w:after="0" w:line="4" w:lineRule="exact"/>
        <w:rPr>
          <w:sz w:val="20"/>
          <w:szCs w:val="20"/>
          <w:color w:val="auto"/>
        </w:rPr>
      </w:pPr>
    </w:p>
    <w:p>
      <w:pPr>
        <w:ind w:left="380" w:right="2520"/>
        <w:spacing w:after="0" w:line="210" w:lineRule="auto"/>
        <w:rPr>
          <w:sz w:val="20"/>
          <w:szCs w:val="20"/>
          <w:color w:val="auto"/>
        </w:rPr>
      </w:pPr>
      <w:r>
        <w:rPr>
          <w:rFonts w:ascii="Arial" w:cs="Arial" w:eastAsia="Arial" w:hAnsi="Arial"/>
          <w:sz w:val="13"/>
          <w:szCs w:val="13"/>
          <w:color w:val="auto"/>
        </w:rPr>
        <w:t>•we could face significant competition in seeking appropriate collaborators, and the negotiation process is time-consuming and complex; and</w:t>
      </w:r>
    </w:p>
    <w:p>
      <w:pPr>
        <w:spacing w:after="0" w:line="1" w:lineRule="exact"/>
        <w:rPr>
          <w:sz w:val="20"/>
          <w:szCs w:val="20"/>
          <w:color w:val="auto"/>
        </w:rPr>
      </w:pPr>
    </w:p>
    <w:p>
      <w:pPr>
        <w:ind w:left="380" w:right="2580"/>
        <w:spacing w:after="0" w:line="210" w:lineRule="auto"/>
        <w:rPr>
          <w:sz w:val="20"/>
          <w:szCs w:val="20"/>
          <w:color w:val="auto"/>
        </w:rPr>
      </w:pPr>
      <w:r>
        <w:rPr>
          <w:rFonts w:ascii="Arial" w:cs="Arial" w:eastAsia="Arial" w:hAnsi="Arial"/>
          <w:sz w:val="13"/>
          <w:szCs w:val="13"/>
          <w:color w:val="auto"/>
        </w:rPr>
        <w:t>•our international operations through any future collaborations, acquisitions or joint ventures may expose us to certain operating, legal and other risks not encountered in Germany or the United States.</w:t>
      </w:r>
    </w:p>
    <w:p>
      <w:pPr>
        <w:spacing w:after="0" w:line="1" w:lineRule="exact"/>
        <w:rPr>
          <w:sz w:val="20"/>
          <w:szCs w:val="20"/>
          <w:color w:val="auto"/>
        </w:rPr>
      </w:pPr>
    </w:p>
    <w:p>
      <w:pPr>
        <w:ind w:left="380" w:right="2100"/>
        <w:spacing w:after="0" w:line="234" w:lineRule="auto"/>
        <w:rPr>
          <w:sz w:val="20"/>
          <w:szCs w:val="20"/>
          <w:color w:val="auto"/>
        </w:rPr>
      </w:pPr>
      <w:r>
        <w:rPr>
          <w:rFonts w:ascii="Arial" w:cs="Arial" w:eastAsia="Arial" w:hAnsi="Arial"/>
          <w:sz w:val="13"/>
          <w:szCs w:val="13"/>
          <w:color w:val="auto"/>
        </w:rPr>
        <w:t>If our collaborations do not result in the successful development and commercialization of programs, or if one of our collaborators terminates its agreement with us, we may not receive any future research funding or milestone,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57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3" w:lineRule="auto"/>
        <w:rPr>
          <w:sz w:val="20"/>
          <w:szCs w:val="20"/>
          <w:color w:val="auto"/>
        </w:rPr>
      </w:pPr>
      <w:r>
        <w:rPr>
          <w:rFonts w:ascii="Arial" w:cs="Arial" w:eastAsia="Arial" w:hAnsi="Arial"/>
          <w:sz w:val="13"/>
          <w:szCs w:val="13"/>
          <w:color w:val="auto"/>
        </w:rPr>
        <w:t>earn-out, royalty or other contingent payments, or otherwise yield the expected benefits under the collaborations. As a result, our development of product candidates and commercialization efforts could be delayed and we may need additional resources to develop and commercialize our product candidates. If one of our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described in this report apply to the activities of our collaborators.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-582930</wp:posOffset>
            </wp:positionV>
            <wp:extent cx="523113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320"/>
        <w:spacing w:after="0" w:line="210" w:lineRule="auto"/>
        <w:rPr>
          <w:sz w:val="20"/>
          <w:szCs w:val="20"/>
          <w:color w:val="auto"/>
        </w:rPr>
      </w:pPr>
      <w:r>
        <w:rPr>
          <w:rFonts w:ascii="Arial" w:cs="Arial" w:eastAsia="Arial" w:hAnsi="Arial"/>
          <w:sz w:val="13"/>
          <w:szCs w:val="13"/>
          <w:b w:val="1"/>
          <w:bCs w:val="1"/>
          <w:color w:val="005A64"/>
        </w:rPr>
        <w:t>If we are not able to establish collaborations on commercially reasonable terms, we may have to alter our research, development and commercialization plans.</w:t>
      </w:r>
    </w:p>
    <w:p>
      <w:pPr>
        <w:spacing w:after="0" w:line="1"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Our research and product development programs and the potential commercialization of any product candidates we develop alone or with collaborators will require substantial additional cash to fund expenses, and we expect that we will continue to seek collaborative arrangements with others in connection with the development and potential commercialization of current and future product candidates or the development of ancillary technologies. We face significant competition in establishing relationships with appropriate collaborators. In addition, there have been a significant number of recent business combinations among large pharmaceutical companies that have resulted in a reduced number of potential future collaborators. Whether or not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among other things and as applicable for the type of potential product or technology, an assessment of the opportunities and risks of our technology, the design or results of studies or trials, the likelihood of approval, if necessary, of the FDA or comparable regulatory authorities outside the United States, the potential market for the subject product candidate, the costs and complexities of manufacturing and delivering such product candidate to patients, the potential of competing products and technologies and industry and market conditions generally.</w:t>
      </w:r>
    </w:p>
    <w:p>
      <w:pPr>
        <w:spacing w:after="0" w:line="9"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Current or future collaborators may also consider alternative product candidates or technologies for similar indications that may be available to collaborate on and whether such a collaboration could be more attractive than the one with us. Additionally, we may be restricted under existing collaboration agreements from entering into future agreements on certain terms or for certain development activities with potential collaborators. For example, we have granted exclusive rights or options to Pfizer for certain targets, and under the terms of our respective collaboration agreements with them, we will be restricted from granting rights to other parties to use our mRNA technology to pursue potential products that address those targets. Similarly, our collaboration agreements have in the past and may in the future contain non-competition provisions that could limit our ability to enter into collaborations with future collaborators.</w:t>
      </w:r>
    </w:p>
    <w:p>
      <w:pPr>
        <w:spacing w:after="0" w:line="5"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Collaborations are complex and time-consuming to negotiate and document. We may not be able to negotiate collaborations on a timely basis, on acceptable terms, or at all. If we do enter into additional collaboration agreements, the negotiated terms may force us to relinquish rights that diminish our potential profitability from development and commercialization of the subject product candidates or others. If we are unable to enter into additional collaboration agreements, we may have to curtail the research and development of the product candidate or technology for which we are seeking to collaborate, reduce or delay research and development programs, delay potential commercialization timelines, reduce the scope of any sales or marketing activities or undertake research, development or commercialization activities at our own expense. If we elect to increase our expenditures to fund research, development or commercialization activities on our own, we may need to obtain additional capital, which may not be available to us on acceptable terms or at all.</w:t>
      </w:r>
    </w:p>
    <w:p>
      <w:pPr>
        <w:spacing w:after="0" w:line="6"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b w:val="1"/>
          <w:bCs w:val="1"/>
          <w:color w:val="005A64"/>
        </w:rPr>
        <w:t>We have entered into in-licensing arrangements and may form or seek to enter into additional licensing arrangements in the future, and we may not realize the benefits of such licensing arrangements.</w:t>
      </w:r>
    </w:p>
    <w:p>
      <w:pPr>
        <w:spacing w:after="0" w:line="1" w:lineRule="exact"/>
        <w:rPr>
          <w:sz w:val="20"/>
          <w:szCs w:val="20"/>
          <w:color w:val="auto"/>
        </w:rPr>
      </w:pPr>
    </w:p>
    <w:p>
      <w:pPr>
        <w:ind w:left="380" w:right="2100"/>
        <w:spacing w:after="0" w:line="222" w:lineRule="auto"/>
        <w:rPr>
          <w:sz w:val="20"/>
          <w:szCs w:val="20"/>
          <w:color w:val="auto"/>
        </w:rPr>
      </w:pPr>
      <w:r>
        <w:rPr>
          <w:rFonts w:ascii="Arial" w:cs="Arial" w:eastAsia="Arial" w:hAnsi="Arial"/>
          <w:sz w:val="13"/>
          <w:szCs w:val="13"/>
          <w:color w:val="auto"/>
        </w:rPr>
        <w:t>We are a party to licenses that give us rights to third-party intellectual property, including patents and patent applications, that are necessary or useful for our business. For example, we have obtained licenses from Acuitas Therapeutics, Inc., or Acuitas, CellScript LLC, or CellScript, and its affiliate, mRNA RiboTherapeutics, Inc., to patent rights claiming certain uses of modified RNA, as well as licenses from certain other parties for intellectual</w:t>
      </w:r>
    </w:p>
    <w:p>
      <w:pPr>
        <w:sectPr>
          <w:pgSz w:w="11900" w:h="16840" w:orient="portrait"/>
          <w:cols w:equalWidth="0" w:num="1">
            <w:col w:w="9020"/>
          </w:cols>
          <w:pgMar w:left="1440" w:top="560" w:right="1440" w:bottom="999"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58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280"/>
        <w:spacing w:after="0" w:line="220" w:lineRule="auto"/>
        <w:rPr>
          <w:sz w:val="20"/>
          <w:szCs w:val="20"/>
          <w:color w:val="auto"/>
        </w:rPr>
      </w:pPr>
      <w:r>
        <w:rPr>
          <w:rFonts w:ascii="Arial" w:cs="Arial" w:eastAsia="Arial" w:hAnsi="Arial"/>
          <w:sz w:val="13"/>
          <w:szCs w:val="13"/>
          <w:color w:val="auto"/>
        </w:rPr>
        <w:t>property useful in pharmaceutical formulations. We may enter into additional licenses to third-party intellectual property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080"/>
        <w:spacing w:after="0" w:line="210" w:lineRule="auto"/>
        <w:rPr>
          <w:sz w:val="20"/>
          <w:szCs w:val="20"/>
          <w:color w:val="auto"/>
        </w:rPr>
      </w:pPr>
      <w:r>
        <w:rPr>
          <w:rFonts w:ascii="Arial" w:cs="Arial" w:eastAsia="Arial" w:hAnsi="Arial"/>
          <w:sz w:val="13"/>
          <w:szCs w:val="13"/>
          <w:color w:val="auto"/>
        </w:rPr>
        <w:t>The success of products developed based on in- licensed technology will depend in part on the ability of our current and future licensors to prosecute, obtain, maintain, protect, enforce and defend patent protection for our in-licensed intellectual property. Our current and future licensors may not successfully prosecute the patent applications we license. Even if patents were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In addition, we sublicense our rights under various third-party licenses to our collaborators. Any impairment of these sublicensed rights could result in reduced revenues under our collaboration agreements or result in termination of an agreement by one or more of our collaborators.</w:t>
      </w:r>
    </w:p>
    <w:p>
      <w:pPr>
        <w:spacing w:after="0" w:line="7" w:lineRule="exact"/>
        <w:rPr>
          <w:sz w:val="20"/>
          <w:szCs w:val="20"/>
          <w:color w:val="auto"/>
        </w:rPr>
      </w:pPr>
    </w:p>
    <w:p>
      <w:pPr>
        <w:ind w:left="380" w:right="2580"/>
        <w:spacing w:after="0" w:line="210" w:lineRule="auto"/>
        <w:rPr>
          <w:sz w:val="20"/>
          <w:szCs w:val="20"/>
          <w:color w:val="auto"/>
        </w:rPr>
      </w:pPr>
      <w:r>
        <w:rPr>
          <w:rFonts w:ascii="Arial" w:cs="Arial" w:eastAsia="Arial" w:hAnsi="Arial"/>
          <w:sz w:val="13"/>
          <w:szCs w:val="13"/>
          <w:color w:val="auto"/>
        </w:rPr>
        <w:t>Disputes may also arise between us and our licensors regarding intellectual property subject to a license agreement, including:</w:t>
      </w:r>
    </w:p>
    <w:p>
      <w:pPr>
        <w:spacing w:after="0" w:line="1" w:lineRule="exact"/>
        <w:rPr>
          <w:sz w:val="20"/>
          <w:szCs w:val="20"/>
          <w:color w:val="auto"/>
        </w:rPr>
      </w:pPr>
    </w:p>
    <w:p>
      <w:pPr>
        <w:ind w:left="380" w:right="2780"/>
        <w:spacing w:after="0" w:line="210" w:lineRule="auto"/>
        <w:rPr>
          <w:sz w:val="20"/>
          <w:szCs w:val="20"/>
          <w:color w:val="auto"/>
        </w:rPr>
      </w:pPr>
      <w:r>
        <w:rPr>
          <w:rFonts w:ascii="Arial" w:cs="Arial" w:eastAsia="Arial" w:hAnsi="Arial"/>
          <w:sz w:val="13"/>
          <w:szCs w:val="13"/>
          <w:color w:val="auto"/>
        </w:rPr>
        <w:t>•the scope of rights granted under the license agreement and other interpretation-related issues; •whether and the extent to which our technology and processes infringe, misappropriate or otherwise violate the intellectual property of the licensor that is not subject to the licensing agreement;</w:t>
      </w:r>
    </w:p>
    <w:p>
      <w:pPr>
        <w:spacing w:after="0" w:line="2" w:lineRule="exact"/>
        <w:rPr>
          <w:sz w:val="20"/>
          <w:szCs w:val="20"/>
          <w:color w:val="auto"/>
        </w:rPr>
      </w:pPr>
    </w:p>
    <w:p>
      <w:pPr>
        <w:ind w:left="380" w:right="2760"/>
        <w:spacing w:after="0" w:line="210" w:lineRule="auto"/>
        <w:rPr>
          <w:sz w:val="20"/>
          <w:szCs w:val="20"/>
          <w:color w:val="auto"/>
        </w:rPr>
      </w:pPr>
      <w:r>
        <w:rPr>
          <w:rFonts w:ascii="Arial" w:cs="Arial" w:eastAsia="Arial" w:hAnsi="Arial"/>
          <w:sz w:val="13"/>
          <w:szCs w:val="13"/>
          <w:color w:val="auto"/>
        </w:rPr>
        <w:t>•our right to sublicense patent and other intellectual property rights to third parties under collaborative relationships;</w:t>
      </w:r>
    </w:p>
    <w:p>
      <w:pPr>
        <w:spacing w:after="0" w:line="1" w:lineRule="exact"/>
        <w:rPr>
          <w:sz w:val="20"/>
          <w:szCs w:val="20"/>
          <w:color w:val="auto"/>
        </w:rPr>
      </w:pPr>
    </w:p>
    <w:p>
      <w:pPr>
        <w:ind w:left="380" w:right="2640"/>
        <w:spacing w:after="0" w:line="210" w:lineRule="auto"/>
        <w:rPr>
          <w:sz w:val="20"/>
          <w:szCs w:val="20"/>
          <w:color w:val="auto"/>
        </w:rPr>
      </w:pPr>
      <w:r>
        <w:rPr>
          <w:rFonts w:ascii="Arial" w:cs="Arial" w:eastAsia="Arial" w:hAnsi="Arial"/>
          <w:sz w:val="13"/>
          <w:szCs w:val="13"/>
          <w:color w:val="auto"/>
        </w:rPr>
        <w:t>•our diligence obligations with respect to the use of the licensed intellectual property and technology in relation to our development and commercialization of our product candidates, and what activities satisfy those diligence obligations;</w:t>
      </w:r>
    </w:p>
    <w:p>
      <w:pPr>
        <w:spacing w:after="0" w:line="2" w:lineRule="exact"/>
        <w:rPr>
          <w:sz w:val="20"/>
          <w:szCs w:val="20"/>
          <w:color w:val="auto"/>
        </w:rPr>
      </w:pPr>
    </w:p>
    <w:p>
      <w:pPr>
        <w:ind w:left="380" w:right="2680"/>
        <w:spacing w:after="0" w:line="210" w:lineRule="auto"/>
        <w:rPr>
          <w:sz w:val="20"/>
          <w:szCs w:val="20"/>
          <w:color w:val="auto"/>
        </w:rPr>
      </w:pPr>
      <w:r>
        <w:rPr>
          <w:rFonts w:ascii="Arial" w:cs="Arial" w:eastAsia="Arial" w:hAnsi="Arial"/>
          <w:sz w:val="13"/>
          <w:szCs w:val="13"/>
          <w:color w:val="auto"/>
        </w:rPr>
        <w:t>•the ownership of inventions, trade secrets, know- how and other intellectual property resulting from the joint creation or use of intellectual property by our licensors and us and our collaborators; •the priority of invention of patented technology; and</w:t>
      </w:r>
    </w:p>
    <w:p>
      <w:pPr>
        <w:spacing w:after="0" w:line="2" w:lineRule="exact"/>
        <w:rPr>
          <w:sz w:val="20"/>
          <w:szCs w:val="20"/>
          <w:color w:val="auto"/>
        </w:rPr>
      </w:pPr>
    </w:p>
    <w:p>
      <w:pPr>
        <w:ind w:left="380" w:right="2600"/>
        <w:spacing w:after="0" w:line="210" w:lineRule="auto"/>
        <w:rPr>
          <w:sz w:val="20"/>
          <w:szCs w:val="20"/>
          <w:color w:val="auto"/>
        </w:rPr>
      </w:pPr>
      <w:r>
        <w:rPr>
          <w:rFonts w:ascii="Arial" w:cs="Arial" w:eastAsia="Arial" w:hAnsi="Arial"/>
          <w:sz w:val="13"/>
          <w:szCs w:val="13"/>
          <w:color w:val="auto"/>
        </w:rPr>
        <w:t>•the amounts to be paid pursuant to certain program milestones being achieved or to royalty obligations, including the triggering of royalty obligations and amounts to be paid pursuant thereto.</w:t>
      </w:r>
    </w:p>
    <w:p>
      <w:pPr>
        <w:spacing w:after="0" w:line="1" w:lineRule="exact"/>
        <w:rPr>
          <w:sz w:val="20"/>
          <w:szCs w:val="20"/>
          <w:color w:val="auto"/>
        </w:rPr>
      </w:pPr>
    </w:p>
    <w:p>
      <w:pPr>
        <w:jc w:val="both"/>
        <w:ind w:left="380" w:right="2140"/>
        <w:spacing w:after="0" w:line="210" w:lineRule="auto"/>
        <w:rPr>
          <w:sz w:val="20"/>
          <w:szCs w:val="20"/>
          <w:color w:val="auto"/>
        </w:rPr>
      </w:pPr>
      <w:r>
        <w:rPr>
          <w:rFonts w:ascii="Arial" w:cs="Arial" w:eastAsia="Arial" w:hAnsi="Arial"/>
          <w:sz w:val="13"/>
          <w:szCs w:val="13"/>
          <w:color w:val="auto"/>
        </w:rPr>
        <w:t>If disputes over intellectual property that we have in-licensed or other related contractual rights prevent or impair our ability to maintain our current licensing arrangements on favorable terms, we may be unable to successfully develop and commercialize the affected product candidates.</w:t>
      </w:r>
    </w:p>
    <w:p>
      <w:pPr>
        <w:spacing w:after="0" w:line="2"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We are generally also subject to all of the same risks with respect to protection of intellectual property that we license, as we are for intellectual property that we own, which are described below. If we, our co-owners or our licensors fail to adequately protect, defend, maintain or enforce this intellectual property, our ability to commercialize products could suffer.</w:t>
      </w:r>
    </w:p>
    <w:p>
      <w:pPr>
        <w:spacing w:after="0" w:line="2" w:lineRule="exact"/>
        <w:rPr>
          <w:sz w:val="20"/>
          <w:szCs w:val="20"/>
          <w:color w:val="auto"/>
        </w:rPr>
      </w:pPr>
    </w:p>
    <w:p>
      <w:pPr>
        <w:ind w:left="380" w:right="2160"/>
        <w:spacing w:after="0" w:line="220" w:lineRule="auto"/>
        <w:rPr>
          <w:sz w:val="20"/>
          <w:szCs w:val="20"/>
          <w:color w:val="auto"/>
        </w:rPr>
      </w:pPr>
      <w:r>
        <w:rPr>
          <w:rFonts w:ascii="Arial" w:cs="Arial" w:eastAsia="Arial" w:hAnsi="Arial"/>
          <w:sz w:val="13"/>
          <w:szCs w:val="13"/>
          <w:b w:val="1"/>
          <w:bCs w:val="1"/>
          <w:color w:val="005A64"/>
        </w:rPr>
        <w:t xml:space="preserve">We and our collaborators rely on third parties to manufacture certain of our clinical product supplies, and we may have to rely on third parties to produce and process our product candidates, if approved. </w:t>
      </w:r>
      <w:r>
        <w:rPr>
          <w:rFonts w:ascii="Arial" w:cs="Arial" w:eastAsia="Arial" w:hAnsi="Arial"/>
          <w:sz w:val="13"/>
          <w:szCs w:val="13"/>
          <w:color w:val="000000"/>
        </w:rPr>
        <w:t>Although we expect to continue using our own clinical manufacturing facilities where available, we also rely on outside vendors to manufacture supplies and process our product candidates. We only manufacture our COVID-19 vaccine on a commercial scale and may not be able to achieve commercial-scale manufacturing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59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360"/>
        <w:spacing w:after="0" w:line="220" w:lineRule="auto"/>
        <w:rPr>
          <w:sz w:val="20"/>
          <w:szCs w:val="20"/>
          <w:color w:val="auto"/>
        </w:rPr>
      </w:pPr>
      <w:r>
        <w:rPr>
          <w:rFonts w:ascii="Arial" w:cs="Arial" w:eastAsia="Arial" w:hAnsi="Arial"/>
          <w:sz w:val="13"/>
          <w:szCs w:val="13"/>
          <w:color w:val="auto"/>
        </w:rPr>
        <w:t>processing for our other product candidates, if approved, and may be unable to create an inventory of mass-produced, off-the-shelf product to satisfy demands for our product candidates, if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60"/>
        <w:spacing w:after="0" w:line="210" w:lineRule="auto"/>
        <w:rPr>
          <w:sz w:val="20"/>
          <w:szCs w:val="20"/>
          <w:color w:val="auto"/>
        </w:rPr>
      </w:pPr>
      <w:r>
        <w:rPr>
          <w:rFonts w:ascii="Arial" w:cs="Arial" w:eastAsia="Arial" w:hAnsi="Arial"/>
          <w:sz w:val="13"/>
          <w:szCs w:val="13"/>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not be able to develop commercially viable products other than our COVID-19 vaccine.</w:t>
      </w:r>
    </w:p>
    <w:p>
      <w:pPr>
        <w:ind w:left="380"/>
        <w:spacing w:after="0" w:line="214" w:lineRule="auto"/>
        <w:rPr>
          <w:sz w:val="20"/>
          <w:szCs w:val="20"/>
          <w:color w:val="auto"/>
        </w:rPr>
      </w:pPr>
      <w:r>
        <w:rPr>
          <w:rFonts w:ascii="Arial" w:cs="Arial" w:eastAsia="Arial" w:hAnsi="Arial"/>
          <w:sz w:val="13"/>
          <w:szCs w:val="13"/>
          <w:color w:val="auto"/>
        </w:rPr>
        <w:t>In addition, our reliance on a limited number of CMOs exposes us to the following risks:</w:t>
      </w:r>
    </w:p>
    <w:p>
      <w:pPr>
        <w:ind w:left="380" w:right="2940"/>
        <w:spacing w:after="0" w:line="220" w:lineRule="auto"/>
        <w:rPr>
          <w:sz w:val="20"/>
          <w:szCs w:val="20"/>
          <w:color w:val="auto"/>
        </w:rPr>
      </w:pPr>
      <w:r>
        <w:rPr>
          <w:rFonts w:ascii="Arial" w:cs="Arial" w:eastAsia="Arial" w:hAnsi="Arial"/>
          <w:sz w:val="13"/>
          <w:szCs w:val="13"/>
          <w:color w:val="auto"/>
        </w:rPr>
        <w:t>•we may be unable to identify manufacturers on acceptable terms or at all because the number of potential manufacturers is limited and the FDA or other regulatory authorities may have questions regarding any replacement contractor. This may require new testing and regulatory interactions. In addition, a new manufacturer would have to be educated in, or develop substantially equivalent processes for, production of our products after receipt of regulatory authority questions, if any;</w:t>
      </w:r>
    </w:p>
    <w:p>
      <w:pPr>
        <w:sectPr>
          <w:pgSz w:w="11900" w:h="16840" w:orient="portrait"/>
          <w:cols w:equalWidth="0" w:num="1">
            <w:col w:w="9020"/>
          </w:cols>
          <w:pgMar w:left="1440" w:top="1440" w:right="1440" w:bottom="7" w:gutter="0" w:footer="0" w:header="0"/>
        </w:sectPr>
      </w:pPr>
    </w:p>
    <w:bookmarkStart w:id="42" w:name="page43"/>
    <w:bookmarkEnd w:id="42"/>
    <w:p>
      <w:pPr>
        <w:ind w:left="380" w:right="2560"/>
        <w:spacing w:after="0" w:line="220" w:lineRule="auto"/>
        <w:rPr>
          <w:sz w:val="20"/>
          <w:szCs w:val="20"/>
          <w:color w:val="auto"/>
        </w:rPr>
      </w:pPr>
      <w:r>
        <w:rPr>
          <w:rFonts w:ascii="Arial" w:cs="Arial" w:eastAsia="Arial" w:hAnsi="Arial"/>
          <w:sz w:val="13"/>
          <w:szCs w:val="13"/>
          <w:color w:val="auto"/>
        </w:rPr>
        <w:t>•our CMOs might be unable to timely formulate and manufacture our product or produce the quantity and quality required to meet our clinical and commercial needs, if any;</w:t>
      </w:r>
    </w:p>
    <w:p>
      <w:pPr>
        <w:ind w:left="380"/>
        <w:spacing w:after="0" w:line="212" w:lineRule="auto"/>
        <w:rPr>
          <w:sz w:val="20"/>
          <w:szCs w:val="20"/>
          <w:color w:val="auto"/>
        </w:rPr>
      </w:pPr>
      <w:r>
        <w:rPr>
          <w:rFonts w:ascii="Arial" w:cs="Arial" w:eastAsia="Arial" w:hAnsi="Arial"/>
          <w:sz w:val="13"/>
          <w:szCs w:val="13"/>
          <w:color w:val="auto"/>
        </w:rPr>
        <w:t>•CMOs may not be able to execute our manufacturing procedures appropriately;</w:t>
      </w:r>
    </w:p>
    <w:p>
      <w:pPr>
        <w:ind w:left="380" w:right="2620"/>
        <w:spacing w:after="0" w:line="210" w:lineRule="auto"/>
        <w:rPr>
          <w:sz w:val="20"/>
          <w:szCs w:val="20"/>
          <w:color w:val="auto"/>
        </w:rPr>
      </w:pPr>
      <w:r>
        <w:rPr>
          <w:rFonts w:ascii="Arial" w:cs="Arial" w:eastAsia="Arial" w:hAnsi="Arial"/>
          <w:sz w:val="13"/>
          <w:szCs w:val="13"/>
          <w:color w:val="auto"/>
        </w:rPr>
        <w:t>•our future CMOs may not perform as agreed or may not remain in the contract manufacturing business for the time required to supply our clinical trials or to successfully produce, store and distribute our products;</w:t>
      </w:r>
    </w:p>
    <w:p>
      <w:pPr>
        <w:spacing w:after="0" w:line="2"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•manufacturers are subject to ongoing periodic unannounced inspection by the FDA, the U.S. Drug Enforcement Administration and corresponding state agencies and by regulatory authorities in other jurisdictions to ensure strict compliance with GMP and other government regulations and corresponding standards in other jurisdictions. We do not have control over CMOs’ compliance with these regulations and standards;</w:t>
      </w:r>
    </w:p>
    <w:p>
      <w:pPr>
        <w:spacing w:after="0" w:line="3" w:lineRule="exact"/>
        <w:rPr>
          <w:sz w:val="20"/>
          <w:szCs w:val="20"/>
          <w:color w:val="auto"/>
        </w:rPr>
      </w:pPr>
    </w:p>
    <w:p>
      <w:pPr>
        <w:ind w:left="380" w:right="2560"/>
        <w:spacing w:after="0" w:line="210" w:lineRule="auto"/>
        <w:rPr>
          <w:sz w:val="20"/>
          <w:szCs w:val="20"/>
          <w:color w:val="auto"/>
        </w:rPr>
      </w:pPr>
      <w:r>
        <w:rPr>
          <w:rFonts w:ascii="Arial" w:cs="Arial" w:eastAsia="Arial" w:hAnsi="Arial"/>
          <w:sz w:val="13"/>
          <w:szCs w:val="13"/>
          <w:color w:val="auto"/>
        </w:rPr>
        <w:t>•we may not own, or may have to share, the intellectual property rights to any improvements made in the manufacturing process for our products;</w:t>
      </w:r>
    </w:p>
    <w:p>
      <w:pPr>
        <w:ind w:left="380"/>
        <w:spacing w:after="0" w:line="212" w:lineRule="auto"/>
        <w:rPr>
          <w:sz w:val="20"/>
          <w:szCs w:val="20"/>
          <w:color w:val="auto"/>
        </w:rPr>
      </w:pPr>
      <w:r>
        <w:rPr>
          <w:rFonts w:ascii="Arial" w:cs="Arial" w:eastAsia="Arial" w:hAnsi="Arial"/>
          <w:sz w:val="13"/>
          <w:szCs w:val="13"/>
          <w:color w:val="auto"/>
        </w:rPr>
        <w:t>•our CMOs could breach or terminate their agreement with us; and</w:t>
      </w:r>
    </w:p>
    <w:p>
      <w:pPr>
        <w:spacing w:after="0" w:line="1" w:lineRule="exact"/>
        <w:rPr>
          <w:sz w:val="20"/>
          <w:szCs w:val="20"/>
          <w:color w:val="auto"/>
        </w:rPr>
      </w:pPr>
    </w:p>
    <w:p>
      <w:pPr>
        <w:ind w:left="380" w:right="3000"/>
        <w:spacing w:after="0" w:line="210" w:lineRule="auto"/>
        <w:rPr>
          <w:sz w:val="20"/>
          <w:szCs w:val="20"/>
          <w:color w:val="auto"/>
        </w:rPr>
      </w:pPr>
      <w:r>
        <w:rPr>
          <w:rFonts w:ascii="Arial" w:cs="Arial" w:eastAsia="Arial" w:hAnsi="Arial"/>
          <w:sz w:val="13"/>
          <w:szCs w:val="13"/>
          <w:color w:val="auto"/>
        </w:rPr>
        <w:t>•our CMOs would also be subject to the same risks we face in developing our own manufacturing capabilities, as described above.</w:t>
      </w:r>
    </w:p>
    <w:p>
      <w:pPr>
        <w:spacing w:after="0" w:line="1"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Each of these risks could delay our clinical trials, the approval, if any, of our COVID-19 vaccine or product candidates by the FDA or regulatory authorities in other jurisdictions or the commercialization of our COVID-19 vaccine or product candidates, or result in higher costs or deprive us of potential product sales revenue. In addition, we will rely on third parties to perform release tests on our COVID-19 or our product candidates prior to delivery to patients. If these tests are not appropriately done and test data are not reliable, patients could be put at risk of serious harm.</w:t>
      </w:r>
    </w:p>
    <w:p>
      <w:pPr>
        <w:spacing w:after="0" w:line="4" w:lineRule="exact"/>
        <w:rPr>
          <w:sz w:val="20"/>
          <w:szCs w:val="20"/>
          <w:color w:val="auto"/>
        </w:rPr>
      </w:pPr>
    </w:p>
    <w:p>
      <w:pPr>
        <w:ind w:left="380" w:right="2100"/>
        <w:spacing w:after="0" w:line="215" w:lineRule="auto"/>
        <w:rPr>
          <w:sz w:val="20"/>
          <w:szCs w:val="20"/>
          <w:color w:val="auto"/>
        </w:rPr>
      </w:pPr>
      <w:r>
        <w:rPr>
          <w:rFonts w:ascii="Arial" w:cs="Arial" w:eastAsia="Arial" w:hAnsi="Arial"/>
          <w:sz w:val="13"/>
          <w:szCs w:val="13"/>
          <w:color w:val="auto"/>
        </w:rPr>
        <w:t>Certain of our collaborators currently rely on CMOs located outside of the United States to manufacture their clinical materials, and we expect to rely on CMOs located outside of the United States in the future. Such ex-U.S. CMOs may be subject to or affected by U.S. legislation, executive orders, regulations, or investigations, including but not limited to the proposed BIOSECURE Act, the Department of Justice’s Final Rule issued on December 27, 2024 implementing the Executive Order on Preventing Access to Americans’ Bulk Sensitive Personal Data and United States Government-Related Data by Countries of Concern, sanctions, trade restrictions and other U.S. and other regulatory requirements, which could increase the cost or reduce the supply of material available to us, delay the procurement or supply of such material, delay or impact clinical trials, have an adverse effect on our ability to secure significant commitments from governments to purchase our potential therapies and adversely affect our financial condition and business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60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080"/>
        <w:spacing w:after="0" w:line="220" w:lineRule="auto"/>
        <w:rPr>
          <w:sz w:val="20"/>
          <w:szCs w:val="20"/>
          <w:color w:val="auto"/>
        </w:rPr>
      </w:pPr>
      <w:r>
        <w:rPr>
          <w:rFonts w:ascii="Arial" w:cs="Arial" w:eastAsia="Arial" w:hAnsi="Arial"/>
          <w:sz w:val="13"/>
          <w:szCs w:val="13"/>
          <w:b w:val="1"/>
          <w:bCs w:val="1"/>
          <w:color w:val="005A64"/>
        </w:rPr>
        <w:t>We are dependent on single source suppliers for some of the components and materials used in, and the processes required to develop, our COVID-19 vaccine and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20"/>
        <w:spacing w:after="0" w:line="210" w:lineRule="auto"/>
        <w:rPr>
          <w:sz w:val="20"/>
          <w:szCs w:val="20"/>
          <w:color w:val="auto"/>
        </w:rPr>
      </w:pPr>
      <w:r>
        <w:rPr>
          <w:rFonts w:ascii="Arial" w:cs="Arial" w:eastAsia="Arial" w:hAnsi="Arial"/>
          <w:sz w:val="13"/>
          <w:szCs w:val="13"/>
          <w:color w:val="auto"/>
        </w:rPr>
        <w:t>We currently depend on single source suppliers for some of the components and materials used in, and manufacturing processes required to develop, our COVID-19 vaccine and our product candidates. We cannot ensure that these suppliers or service providers will remain in business, or have sufficient capacity or supply to meet our needs, or that they will not be purchased by one of our competitors or another company that is not interested in continuing to work with us. Our use of single source suppliers of raw materials, components, key processes and finished goods exposes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 source supplier or service provider could lead to supply delays or interruptions which would damage our business, financial condition, results of operations and prospects.</w:t>
      </w:r>
    </w:p>
    <w:p>
      <w:pPr>
        <w:spacing w:after="0" w:line="8"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If we have to switch to a replacement supplier, the manufacture and delivery of our product candidates could be interrupted for an extended period, which could adversely affect our business. Establishing additional or replacement suppliers for any of the components or processes used in our COVID-19 vaccine and our product candidates,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COVID-19 vaccine and our product candidates, any interruption or delay in the supply of components or materials, or our inability to obtain components or materials from alternate sources at acceptable prices in a timely manner, could impair our ability to meet the demand for our COVID-19 vaccine and product candidates.</w:t>
      </w:r>
    </w:p>
    <w:p>
      <w:pPr>
        <w:spacing w:after="0" w:line="6" w:lineRule="exact"/>
        <w:rPr>
          <w:sz w:val="20"/>
          <w:szCs w:val="20"/>
          <w:color w:val="auto"/>
        </w:rPr>
      </w:pPr>
    </w:p>
    <w:p>
      <w:pPr>
        <w:ind w:left="380" w:right="2380"/>
        <w:spacing w:after="0" w:line="210" w:lineRule="auto"/>
        <w:rPr>
          <w:sz w:val="20"/>
          <w:szCs w:val="20"/>
          <w:color w:val="auto"/>
        </w:rPr>
      </w:pPr>
      <w:r>
        <w:rPr>
          <w:rFonts w:ascii="Arial" w:cs="Arial" w:eastAsia="Arial" w:hAnsi="Arial"/>
          <w:sz w:val="13"/>
          <w:szCs w:val="13"/>
          <w:color w:val="auto"/>
        </w:rPr>
        <w:t>In addition, as part of the FDA’s approval of our product candidates, we will also require FDA review of the individual components of our process, which include the manufacturing processes and facilities of our single source suppliers.</w:t>
      </w:r>
    </w:p>
    <w:p>
      <w:pPr>
        <w:spacing w:after="0" w:line="2"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Our reliance on these suppliers, service providers and manufacturers subjects us to a number of risks that could harm our reputation, business and financial condition, including, among other things: •delays to the development timelines for our product candidates;</w:t>
      </w:r>
    </w:p>
    <w:p>
      <w:pPr>
        <w:spacing w:after="0" w:line="2" w:lineRule="exact"/>
        <w:rPr>
          <w:sz w:val="20"/>
          <w:szCs w:val="20"/>
          <w:color w:val="auto"/>
        </w:rPr>
      </w:pPr>
    </w:p>
    <w:p>
      <w:pPr>
        <w:ind w:left="380" w:right="2520"/>
        <w:spacing w:after="0" w:line="210" w:lineRule="auto"/>
        <w:rPr>
          <w:sz w:val="20"/>
          <w:szCs w:val="20"/>
          <w:color w:val="auto"/>
        </w:rPr>
      </w:pPr>
      <w:r>
        <w:rPr>
          <w:rFonts w:ascii="Arial" w:cs="Arial" w:eastAsia="Arial" w:hAnsi="Arial"/>
          <w:sz w:val="13"/>
          <w:szCs w:val="13"/>
          <w:color w:val="auto"/>
        </w:rPr>
        <w:t>•interruption of supply resulting from modifications to or discontinuation of a supplier’s operations; •delays in product shipments resulting from uncorrected defects, reliability issues, or a supplier’s variation in a component;</w:t>
      </w:r>
    </w:p>
    <w:p>
      <w:pPr>
        <w:ind w:left="380"/>
        <w:spacing w:after="0" w:line="213" w:lineRule="auto"/>
        <w:rPr>
          <w:sz w:val="20"/>
          <w:szCs w:val="20"/>
          <w:color w:val="auto"/>
        </w:rPr>
      </w:pPr>
      <w:r>
        <w:rPr>
          <w:rFonts w:ascii="Arial" w:cs="Arial" w:eastAsia="Arial" w:hAnsi="Arial"/>
          <w:sz w:val="13"/>
          <w:szCs w:val="13"/>
          <w:color w:val="auto"/>
        </w:rPr>
        <w:t>•a lack of long-term supply arrangements for key components with our suppliers;</w:t>
      </w:r>
    </w:p>
    <w:p>
      <w:pPr>
        <w:spacing w:after="0" w:line="1" w:lineRule="exact"/>
        <w:rPr>
          <w:sz w:val="20"/>
          <w:szCs w:val="20"/>
          <w:color w:val="auto"/>
        </w:rPr>
      </w:pPr>
    </w:p>
    <w:p>
      <w:pPr>
        <w:ind w:left="380" w:right="2780"/>
        <w:spacing w:after="0" w:line="210" w:lineRule="auto"/>
        <w:rPr>
          <w:sz w:val="20"/>
          <w:szCs w:val="20"/>
          <w:color w:val="auto"/>
        </w:rPr>
      </w:pPr>
      <w:r>
        <w:rPr>
          <w:rFonts w:ascii="Arial" w:cs="Arial" w:eastAsia="Arial" w:hAnsi="Arial"/>
          <w:sz w:val="13"/>
          <w:szCs w:val="13"/>
          <w:color w:val="auto"/>
        </w:rPr>
        <w:t>•inability to obtain adequate supply in a timely manner, or to obtain adequate supply on commercially reasonable terms;</w:t>
      </w:r>
    </w:p>
    <w:p>
      <w:pPr>
        <w:spacing w:after="0" w:line="1" w:lineRule="exact"/>
        <w:rPr>
          <w:sz w:val="20"/>
          <w:szCs w:val="20"/>
          <w:color w:val="auto"/>
        </w:rPr>
      </w:pPr>
    </w:p>
    <w:p>
      <w:pPr>
        <w:ind w:left="380" w:right="2700"/>
        <w:spacing w:after="0" w:line="210" w:lineRule="auto"/>
        <w:rPr>
          <w:sz w:val="20"/>
          <w:szCs w:val="20"/>
          <w:color w:val="auto"/>
        </w:rPr>
      </w:pPr>
      <w:r>
        <w:rPr>
          <w:rFonts w:ascii="Arial" w:cs="Arial" w:eastAsia="Arial" w:hAnsi="Arial"/>
          <w:sz w:val="13"/>
          <w:szCs w:val="13"/>
          <w:color w:val="auto"/>
        </w:rPr>
        <w:t>•difficulty and cost associated with locating and qualifying alternative suppliers for our components in a timely manner;</w:t>
      </w:r>
    </w:p>
    <w:p>
      <w:pPr>
        <w:spacing w:after="0" w:line="1" w:lineRule="exact"/>
        <w:rPr>
          <w:sz w:val="20"/>
          <w:szCs w:val="20"/>
          <w:color w:val="auto"/>
        </w:rPr>
      </w:pPr>
    </w:p>
    <w:p>
      <w:pPr>
        <w:ind w:left="380" w:right="2760"/>
        <w:spacing w:after="0" w:line="210" w:lineRule="auto"/>
        <w:rPr>
          <w:sz w:val="20"/>
          <w:szCs w:val="20"/>
          <w:color w:val="auto"/>
        </w:rPr>
      </w:pPr>
      <w:r>
        <w:rPr>
          <w:rFonts w:ascii="Arial" w:cs="Arial" w:eastAsia="Arial" w:hAnsi="Arial"/>
          <w:sz w:val="13"/>
          <w:szCs w:val="13"/>
          <w:color w:val="auto"/>
        </w:rPr>
        <w:t>•production delays related to the evaluation and testing of components from alternative suppliers, and corresponding regulatory qualifications;</w:t>
      </w:r>
    </w:p>
    <w:p>
      <w:pPr>
        <w:spacing w:after="0" w:line="1" w:lineRule="exact"/>
        <w:rPr>
          <w:sz w:val="20"/>
          <w:szCs w:val="20"/>
          <w:color w:val="auto"/>
        </w:rPr>
      </w:pPr>
    </w:p>
    <w:p>
      <w:pPr>
        <w:ind w:left="380" w:right="3340"/>
        <w:spacing w:after="0" w:line="234" w:lineRule="auto"/>
        <w:rPr>
          <w:sz w:val="20"/>
          <w:szCs w:val="20"/>
          <w:color w:val="auto"/>
        </w:rPr>
      </w:pPr>
      <w:r>
        <w:rPr>
          <w:rFonts w:ascii="Arial" w:cs="Arial" w:eastAsia="Arial" w:hAnsi="Arial"/>
          <w:sz w:val="13"/>
          <w:szCs w:val="13"/>
          <w:color w:val="auto"/>
        </w:rPr>
        <w:t>•delay in delivery due to our suppliers’ prioritizing other customer orders over ours; •damage to our reputation caused by defective components produced by our suppliers; and</w:t>
      </w:r>
    </w:p>
    <w:p>
      <w:pPr>
        <w:sectPr>
          <w:pgSz w:w="11900" w:h="16840" w:orient="portrait"/>
          <w:cols w:equalWidth="0" w:num="1">
            <w:col w:w="9020"/>
          </w:cols>
          <w:pgMar w:left="1440" w:top="560" w:right="1440" w:bottom="856"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61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•fluctuation in delivery by our suppliers due to changes in demand from us or their other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600"/>
        <w:spacing w:after="0" w:line="210" w:lineRule="auto"/>
        <w:rPr>
          <w:sz w:val="20"/>
          <w:szCs w:val="20"/>
          <w:color w:val="auto"/>
        </w:rPr>
      </w:pPr>
      <w:r>
        <w:rPr>
          <w:rFonts w:ascii="Arial" w:cs="Arial" w:eastAsia="Arial" w:hAnsi="Arial"/>
          <w:sz w:val="13"/>
          <w:szCs w:val="13"/>
          <w:color w:val="auto"/>
        </w:rPr>
        <w:t>If any of these risks materialize, costs could significantly increase and our ability to meet demand for our products could be impacted.</w:t>
      </w:r>
    </w:p>
    <w:p>
      <w:pPr>
        <w:ind w:left="380"/>
        <w:spacing w:after="0" w:line="212" w:lineRule="auto"/>
        <w:rPr>
          <w:sz w:val="20"/>
          <w:szCs w:val="20"/>
          <w:color w:val="auto"/>
        </w:rPr>
      </w:pPr>
      <w:r>
        <w:rPr>
          <w:rFonts w:ascii="Arial" w:cs="Arial" w:eastAsia="Arial" w:hAnsi="Arial"/>
          <w:sz w:val="13"/>
          <w:szCs w:val="13"/>
          <w:b w:val="1"/>
          <w:bCs w:val="1"/>
          <w:color w:val="005A64"/>
        </w:rPr>
        <w:t>Risks Related to Intellectual Property</w:t>
      </w:r>
    </w:p>
    <w:p>
      <w:pPr>
        <w:spacing w:after="0" w:line="1" w:lineRule="exact"/>
        <w:rPr>
          <w:sz w:val="20"/>
          <w:szCs w:val="20"/>
          <w:color w:val="auto"/>
        </w:rPr>
      </w:pPr>
    </w:p>
    <w:p>
      <w:pPr>
        <w:ind w:left="380" w:right="2220"/>
        <w:spacing w:after="0" w:line="210" w:lineRule="auto"/>
        <w:rPr>
          <w:sz w:val="20"/>
          <w:szCs w:val="20"/>
          <w:color w:val="auto"/>
        </w:rPr>
      </w:pPr>
      <w:r>
        <w:rPr>
          <w:rFonts w:ascii="Arial" w:cs="Arial" w:eastAsia="Arial" w:hAnsi="Arial"/>
          <w:sz w:val="13"/>
          <w:szCs w:val="13"/>
          <w:b w:val="1"/>
          <w:bCs w:val="1"/>
          <w:color w:val="005A64"/>
        </w:rPr>
        <w:t>If our efforts to obtain, maintain, protect, defend and/or enforce the intellectual property related to our COVID-19 vaccine or our product candidates and technologies are not adequate, we may not be able to compete effectively in our market.</w:t>
      </w:r>
    </w:p>
    <w:p>
      <w:pPr>
        <w:spacing w:after="0" w:line="2"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Our commercial success depends in part on our ability to obtain, maintain, protect, defend and enforce patent and other intellectual property, including trade secret and know-how, protection for our COVID-19 vaccine and for our product candidates, proprietary technologies and their uses, as well as our ability to operate, develop, manufacture and commercialize our COVID-19 vaccine or one or more of our product candidates without infringing, misappropriating or otherwise violating the intellectual property or other proprietary rights of our competitors or any other third parties, including any non-practicing entities or patent assertion entities. We generally seek to protect our intellectual property position by filing and/or licensing patent applications in the European Union, the United States and elsewhere related to our product candidates, proprietary technologies (including methods of manufacture) and their uses that are important to our business. Our patent applications cannot be enforced against third parties practicing the technology claimed in such applications unless, and until, patents issue from such applications, and then only to the extent that the issued claims cover third parties’ activities in the countries in which they are performed. We cannot be certain that the claims in any of our patent applications will be considered patentable by the United States Patent and Trademark Office, or the USPTO, courts in the United States or the patent offices and courts in other jurisdictions, including Europe, nor can we be certain that any claim in our issued patents will not be found invalid or unenforceable if challenged. Accordingly, there can be no assurance that our patent applications or those of our licensors will result in additional patents being issued or that issued patents will adequately cover our COVID -19 vaccine or our product candidates, or otherwise afford sufficient protection against competitors with similar technology, nor can there be any assurance that issued patents will not be infringed, designed around, invalidated or held unenforceable. Furthermore, we may not be able to apply for patents on certain aspects of our current or future products or product candidates, proprietary technologies and their uses in a timely fashion, at a reasonable cost, in all jurisdictions, or at all, and any potential patent protection we obtain may not be sufficient to prevent substantial competition.</w:t>
      </w:r>
    </w:p>
    <w:p>
      <w:pPr>
        <w:spacing w:after="0" w:line="13" w:lineRule="exact"/>
        <w:rPr>
          <w:sz w:val="20"/>
          <w:szCs w:val="20"/>
          <w:color w:val="auto"/>
        </w:rPr>
      </w:pPr>
    </w:p>
    <w:p>
      <w:pPr>
        <w:ind w:left="380" w:right="2360"/>
        <w:spacing w:after="0" w:line="210" w:lineRule="auto"/>
        <w:rPr>
          <w:sz w:val="20"/>
          <w:szCs w:val="20"/>
          <w:color w:val="auto"/>
        </w:rPr>
      </w:pPr>
      <w:r>
        <w:rPr>
          <w:rFonts w:ascii="Arial" w:cs="Arial" w:eastAsia="Arial" w:hAnsi="Arial"/>
          <w:sz w:val="13"/>
          <w:szCs w:val="13"/>
          <w:color w:val="auto"/>
        </w:rPr>
        <w:t>Even claims of issued patents may later be found invalid or unenforceable, or may be modified or revoked in proceedings before various patent offices or in courts in the United States, Europe or other jurisdictions. The degree of future protection for our intellectual property and other proprietary rights is uncertain. Only limited protection may be available and may not adequately protect our rights or permit us to gain or keep any competitive advantage. If we do not adequately obtain, maintain, protect, defend and enforce our intellectual property and proprietary technology, competitors may be able to use our products, product candidates and proprietary technologies and erode or negate any competitive advantage we may have, which could have a material adverse effect on our financial condition and results of operations.</w:t>
      </w:r>
    </w:p>
    <w:p>
      <w:pPr>
        <w:spacing w:after="0" w:line="5"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The patent application process is subject to numerous risks and uncertainties, and there can be no assurance that we or any of our current or future licensors or collaborators will be successful in prosecuting, obtaining, protecting, maintaining, enforcing or defending patents and patent applications necessary or useful to protect our products or product candidates, proprietary technologies (including methods of manufacture) and their uses. These risks and uncertainties include, from time to time, the following:</w:t>
      </w:r>
    </w:p>
    <w:p>
      <w:pPr>
        <w:spacing w:after="0" w:line="3" w:lineRule="exact"/>
        <w:rPr>
          <w:sz w:val="20"/>
          <w:szCs w:val="20"/>
          <w:color w:val="auto"/>
        </w:rPr>
      </w:pPr>
    </w:p>
    <w:p>
      <w:pPr>
        <w:ind w:left="380" w:right="2880"/>
        <w:spacing w:after="0" w:line="210" w:lineRule="auto"/>
        <w:rPr>
          <w:sz w:val="20"/>
          <w:szCs w:val="20"/>
          <w:color w:val="auto"/>
        </w:rPr>
      </w:pPr>
      <w:r>
        <w:rPr>
          <w:rFonts w:ascii="Arial" w:cs="Arial" w:eastAsia="Arial" w:hAnsi="Arial"/>
          <w:sz w:val="13"/>
          <w:szCs w:val="13"/>
          <w:color w:val="auto"/>
        </w:rPr>
        <w:t>•the USPTO and various other governmental patent agencies require compliance with a number of procedural, documentary, fee payment and other provisions during the patenting process, the noncompliance with which can result in abandonment or lapse of a patent or patent application or a finding that a patent is unenforceable, and partial or complete loss of patent rights in the relevant jurisdiction;</w:t>
      </w:r>
    </w:p>
    <w:p>
      <w:pPr>
        <w:spacing w:after="0" w:line="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•patent applications may not result in any patents being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62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720"/>
        <w:spacing w:after="0" w:line="217" w:lineRule="auto"/>
        <w:rPr>
          <w:sz w:val="20"/>
          <w:szCs w:val="20"/>
          <w:color w:val="auto"/>
        </w:rPr>
      </w:pPr>
      <w:r>
        <w:rPr>
          <w:rFonts w:ascii="Arial" w:cs="Arial" w:eastAsia="Arial" w:hAnsi="Arial"/>
          <w:sz w:val="13"/>
          <w:szCs w:val="13"/>
          <w:color w:val="auto"/>
        </w:rPr>
        <w:t>•claims of issued patents that we own (solely or jointly) or have in-licensed may be challenged, invalidated, modified, revoked, circumvented, found to be unenforceable or otherwise may not provide any competitive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640"/>
        <w:spacing w:after="0" w:line="234" w:lineRule="auto"/>
        <w:rPr>
          <w:sz w:val="20"/>
          <w:szCs w:val="20"/>
          <w:color w:val="auto"/>
        </w:rPr>
      </w:pPr>
      <w:r>
        <w:rPr>
          <w:rFonts w:ascii="Arial" w:cs="Arial" w:eastAsia="Arial" w:hAnsi="Arial"/>
          <w:sz w:val="13"/>
          <w:szCs w:val="13"/>
          <w:color w:val="auto"/>
        </w:rPr>
        <w:t>•other parties may have designed around our patent claims or developed technologies that may be related or competitive to our COVID-19 vaccine or to our product candidates or other technologies, may</w:t>
      </w:r>
    </w:p>
    <w:p>
      <w:pPr>
        <w:sectPr>
          <w:pgSz w:w="11900" w:h="16840" w:orient="portrait"/>
          <w:cols w:equalWidth="0" w:num="1">
            <w:col w:w="9020"/>
          </w:cols>
          <w:pgMar w:left="1440" w:top="1440" w:right="1440" w:bottom="0" w:gutter="0" w:footer="0" w:header="0"/>
        </w:sectPr>
      </w:pPr>
    </w:p>
    <w:bookmarkStart w:id="44" w:name="page45"/>
    <w:bookmarkEnd w:id="44"/>
    <w:p>
      <w:pPr>
        <w:ind w:left="380" w:right="2660"/>
        <w:spacing w:after="0" w:line="213" w:lineRule="auto"/>
        <w:rPr>
          <w:sz w:val="20"/>
          <w:szCs w:val="20"/>
          <w:color w:val="auto"/>
        </w:rPr>
      </w:pPr>
      <w:r>
        <w:rPr>
          <w:rFonts w:ascii="Arial" w:cs="Arial" w:eastAsia="Arial" w:hAnsi="Arial"/>
          <w:sz w:val="13"/>
          <w:szCs w:val="13"/>
          <w:color w:val="auto"/>
        </w:rPr>
        <w:t>have filed or may file patent applications and may have received or may receive patents that overlap or conflict with our patent filings, either by claiming the same or overlapping methods, products, reagents, tools or devices or by claiming subject matter that could dominate one or more of our patent claims; •any successful opposition to claims of any patents owned by or in-licensed to us could deprive us of rights necessary for the development and exploitation of our COVID-19 vaccine or our product candidates and other technologies, or the successful commercialization of any product candidates and other technologies that we may develop;</w:t>
      </w:r>
    </w:p>
    <w:p>
      <w:pPr>
        <w:spacing w:after="0" w:line="3" w:lineRule="exact"/>
        <w:rPr>
          <w:sz w:val="20"/>
          <w:szCs w:val="20"/>
          <w:color w:val="auto"/>
        </w:rPr>
      </w:pPr>
    </w:p>
    <w:p>
      <w:pPr>
        <w:ind w:left="380" w:right="2520"/>
        <w:spacing w:after="0" w:line="210" w:lineRule="auto"/>
        <w:rPr>
          <w:sz w:val="20"/>
          <w:szCs w:val="20"/>
          <w:color w:val="auto"/>
        </w:rPr>
      </w:pPr>
      <w:r>
        <w:rPr>
          <w:rFonts w:ascii="Arial" w:cs="Arial" w:eastAsia="Arial" w:hAnsi="Arial"/>
          <w:sz w:val="13"/>
          <w:szCs w:val="13"/>
          <w:color w:val="auto"/>
        </w:rPr>
        <w:t>•because patent applications in the United States and most other jurisdictions are confidential for a period of time after filing, we cannot be certain that we, our co-owners or our licensors were the first to file any patent application related to our product candidates, proprietary technologies and their uses;</w:t>
      </w:r>
    </w:p>
    <w:p>
      <w:pPr>
        <w:spacing w:after="0" w:line="2" w:lineRule="exact"/>
        <w:rPr>
          <w:sz w:val="20"/>
          <w:szCs w:val="20"/>
          <w:color w:val="auto"/>
        </w:rPr>
      </w:pPr>
    </w:p>
    <w:p>
      <w:pPr>
        <w:ind w:left="380" w:right="2740"/>
        <w:spacing w:after="0" w:line="210" w:lineRule="auto"/>
        <w:rPr>
          <w:sz w:val="20"/>
          <w:szCs w:val="20"/>
          <w:color w:val="auto"/>
        </w:rPr>
      </w:pPr>
      <w:r>
        <w:rPr>
          <w:rFonts w:ascii="Arial" w:cs="Arial" w:eastAsia="Arial" w:hAnsi="Arial"/>
          <w:sz w:val="13"/>
          <w:szCs w:val="13"/>
          <w:color w:val="auto"/>
        </w:rPr>
        <w:t>•a court or patent office proceeding, such as a derivative action or interference, can be provoked or instituted by a third party or a patent office, and might determine that one or more of the inventions described in our patent filings, or in those we licensed, was first invented by someone else, so that we may lose rights to such invention(s);</w:t>
      </w:r>
    </w:p>
    <w:p>
      <w:pPr>
        <w:spacing w:after="0" w:line="2" w:lineRule="exact"/>
        <w:rPr>
          <w:sz w:val="20"/>
          <w:szCs w:val="20"/>
          <w:color w:val="auto"/>
        </w:rPr>
      </w:pPr>
    </w:p>
    <w:p>
      <w:pPr>
        <w:ind w:left="380" w:right="2640"/>
        <w:spacing w:after="0" w:line="210" w:lineRule="auto"/>
        <w:rPr>
          <w:sz w:val="20"/>
          <w:szCs w:val="20"/>
          <w:color w:val="auto"/>
        </w:rPr>
      </w:pPr>
      <w:r>
        <w:rPr>
          <w:rFonts w:ascii="Arial" w:cs="Arial" w:eastAsia="Arial" w:hAnsi="Arial"/>
          <w:sz w:val="13"/>
          <w:szCs w:val="13"/>
          <w:color w:val="auto"/>
        </w:rPr>
        <w:t>•a court or other patent proceeding, such as an inter partes review, post grant review or opposition, can be instituted by a third party to challenge the inventorship, scope, validity and/or enforceability of our patent claims and might result in invalidation or revision of one or more of our patent claims, or in a determination that such claims are unenforceable;</w:t>
      </w:r>
    </w:p>
    <w:p>
      <w:pPr>
        <w:spacing w:after="0" w:line="2" w:lineRule="exact"/>
        <w:rPr>
          <w:sz w:val="20"/>
          <w:szCs w:val="20"/>
          <w:color w:val="auto"/>
        </w:rPr>
      </w:pPr>
    </w:p>
    <w:p>
      <w:pPr>
        <w:ind w:left="380" w:right="2560"/>
        <w:spacing w:after="0" w:line="237" w:lineRule="auto"/>
        <w:rPr>
          <w:sz w:val="20"/>
          <w:szCs w:val="20"/>
          <w:color w:val="auto"/>
        </w:rPr>
      </w:pPr>
      <w:r>
        <w:rPr>
          <w:rFonts w:ascii="Arial" w:cs="Arial" w:eastAsia="Arial" w:hAnsi="Arial"/>
          <w:sz w:val="13"/>
          <w:szCs w:val="13"/>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existing legislation (for example, in the United States, the Public Readiness and Emergency Preparedness Act, etc.) may be interpreted, and new legislation may be passed, to permit third-party use of patented technologies relating to a public health concern, with little or no compensation to the patent holder(s); and •countries other than the United States may have patent laws less favorable to patentees than those upheld by U.S. courts, allowing competitors a better opportunity to create, develop and market competing product candidates.</w:t>
      </w:r>
    </w:p>
    <w:p>
      <w:pPr>
        <w:spacing w:after="0" w:line="2" w:lineRule="exact"/>
        <w:rPr>
          <w:sz w:val="20"/>
          <w:szCs w:val="20"/>
          <w:color w:val="auto"/>
        </w:rPr>
      </w:pPr>
    </w:p>
    <w:p>
      <w:pPr>
        <w:jc w:val="both"/>
        <w:ind w:left="380" w:right="2300"/>
        <w:spacing w:after="0" w:line="210" w:lineRule="auto"/>
        <w:rPr>
          <w:sz w:val="20"/>
          <w:szCs w:val="20"/>
          <w:color w:val="auto"/>
        </w:rPr>
      </w:pPr>
      <w:r>
        <w:rPr>
          <w:rFonts w:ascii="Arial" w:cs="Arial" w:eastAsia="Arial" w:hAnsi="Arial"/>
          <w:sz w:val="13"/>
          <w:szCs w:val="13"/>
          <w:color w:val="auto"/>
        </w:rPr>
        <w:t>The patent position of biopharmaceutical companies generally is highly uncertain, involves complex legal and factual questions, and has been the subject of much litigation in recent years. The standards that the USPTO and its counterparts use to grant patents are not always applied predictably or uniformly and can change.</w:t>
      </w:r>
    </w:p>
    <w:p>
      <w:pPr>
        <w:spacing w:after="0" w:line="2"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Similarly, the ultimate degree of protection that will be afforded to biotechnology inventions, including ours, in the United States and other countries, remains uncertain and is dependent upon the scope of the protection decided upon by patent offices, courts and lawmakers. Moreover, there are periodic changes in patent law, as well as discussions in the U.S. Congress and in other jurisdictions about modifying various aspects of patent law. There is no uniform, worldwide policy regarding the subject matter and scope of claims granted or allowable in pharmaceutical or biotechnology patents. In certain countries, for example, methods for the medical treatment of humans are not patentable. More generally, the laws of some countries do not protect intellectual property rights to the same extent as U.S. or EU laws, and those countries may lack adequate rules and procedures for granting, maintaining, protecting, defending and enforcing our intellectual property rights.</w:t>
      </w:r>
    </w:p>
    <w:p>
      <w:pPr>
        <w:spacing w:after="0" w:line="5" w:lineRule="exact"/>
        <w:rPr>
          <w:sz w:val="20"/>
          <w:szCs w:val="20"/>
          <w:color w:val="auto"/>
        </w:rPr>
      </w:pPr>
    </w:p>
    <w:p>
      <w:pPr>
        <w:ind w:left="380" w:right="2120"/>
        <w:spacing w:after="0" w:line="226" w:lineRule="auto"/>
        <w:rPr>
          <w:sz w:val="20"/>
          <w:szCs w:val="20"/>
          <w:color w:val="auto"/>
        </w:rPr>
      </w:pPr>
      <w:r>
        <w:rPr>
          <w:rFonts w:ascii="Arial" w:cs="Arial" w:eastAsia="Arial" w:hAnsi="Arial"/>
          <w:sz w:val="13"/>
          <w:szCs w:val="13"/>
          <w:color w:val="auto"/>
        </w:rPr>
        <w:t>Furthermore, the patent prosecution process is expensive and time-consuming, and we may not be able to file, prosecute, maintain, protect, defend, enforce or license all necessary or desirable patents or patent applications, as applicable, at a reasonable cost or in a timely manner. It is possible that we will fail to identify patentable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63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080"/>
        <w:spacing w:after="0" w:line="213" w:lineRule="auto"/>
        <w:rPr>
          <w:sz w:val="20"/>
          <w:szCs w:val="20"/>
          <w:color w:val="auto"/>
        </w:rPr>
      </w:pPr>
      <w:r>
        <w:rPr>
          <w:rFonts w:ascii="Arial" w:cs="Arial" w:eastAsia="Arial" w:hAnsi="Arial"/>
          <w:sz w:val="13"/>
          <w:szCs w:val="13"/>
          <w:color w:val="auto"/>
        </w:rPr>
        <w:t>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if any of these parties were to breach such agreements and improperly disclose such output before a patent application is filed, this could jeopardize our ability to seek patent protection. We also rely to a certain extent on trade secrets, know- how, and technology, which are not protected by patents, to maintain our competitive position. If any trade secret, know-how or other technology not protected by a patent were to be disclosed to or independently developed by a competitor, our business and financial condition could be materially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-751205</wp:posOffset>
            </wp:positionV>
            <wp:extent cx="523113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color w:val="auto"/>
        </w:rPr>
        <w:t>The issuance of a patent is not conclusive as to its inventorship, priority date, scope, term, validity or enforceability so that any patents that may issue or that we may license may be challenged in the courts or patent offices in the United States, Europe and other jurisdictions. Once granted, patents may remain open to a variety of challenges, including opposition, interference, re-examination, post-grant review, inter partes review, nullification or derivation action in court or before patent offices or similar proceedings, and furthermore, may be challenged as a defense in any enforcement action that we might bring. Such challenges may result in loss of exclusivity or in patent claims being narrowed, terminated, disclaimed, invalidated, assigned to others or held unenforceable, any or all of which could limit our ability to stop others from using or commercializing similar or identical products, or limit the scope and/or term of patent protection of our products and product candidates and/ or eliminate it altogether, thus hindering or removing our ability to limit third parties from making, using or selling products or technologies that are similar or identical to ours, and/or reduce or eliminate royalty payments to us from our licensees. Given the amount of time required for the development, testing and regulatory review of new product candidates, patents protecting such candidates might expire before or shortly after such candidates are commercialized. Furthermore, our pending and future patent applications may not result in patents being issued which protect our technology or our product(s) or product candidates, or which effectively prevent others from commercializing competitive technologies and products. As a result, our intellectual property may not provide us with sufficient rights to exclude others from commercializing products similar or identical to ours.</w:t>
      </w:r>
    </w:p>
    <w:p>
      <w:pPr>
        <w:spacing w:after="0" w:line="10"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Our ability to enforce our owned and in-licensed patent and other intellectual property rights depends on our ability to detect infringement, misappropriation and other violation of such patents and other intellectual property. It may be difficult to detect infringers, misappropriators and other violators who do not advertise the components or methods that are used in connection with their products and services. Moreover, it may be difficult or impossible to obtain evidence of infringement, misappropriation or other violation in a competitor’s or potential competitor’s product or service, and in some cases we may not be able to introduce obtained evidence into a proceeding or otherwise utilize it to successfully demonstrate infringement. We may not prevail in any lawsuits that we initiate and the damages or other remedies awarded if we were to prevail may not be commercially meaningful.</w:t>
      </w:r>
    </w:p>
    <w:p>
      <w:pPr>
        <w:spacing w:after="0" w:line="5"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Furthermore, patents or other intellectual property rights that we may be able to secure for our COVID-19 vaccine or our other COVID -19 vaccine candidates could be restricted or preempted if governments determine that they will not enforce, or will require compulsory licensing of, technologies useful to address the spread of COVID-19.</w:t>
      </w:r>
    </w:p>
    <w:p>
      <w:pPr>
        <w:spacing w:after="0" w:line="2" w:lineRule="exact"/>
        <w:rPr>
          <w:sz w:val="20"/>
          <w:szCs w:val="20"/>
          <w:color w:val="auto"/>
        </w:rPr>
      </w:pPr>
    </w:p>
    <w:p>
      <w:pPr>
        <w:ind w:left="380" w:right="2140"/>
        <w:spacing w:after="0" w:line="226" w:lineRule="auto"/>
        <w:rPr>
          <w:sz w:val="20"/>
          <w:szCs w:val="20"/>
          <w:color w:val="auto"/>
        </w:rPr>
      </w:pPr>
      <w:r>
        <w:rPr>
          <w:rFonts w:ascii="Arial" w:cs="Arial" w:eastAsia="Arial" w:hAnsi="Arial"/>
          <w:sz w:val="13"/>
          <w:szCs w:val="13"/>
          <w:color w:val="auto"/>
        </w:rPr>
        <w:t>In addition, proceedings to enforce or defend our owned or in- licensed patents could put our patents at risk of being invalidated, held unenforceable or interpreted narrowly. Such proceedings could also provoke third parties to assert claims against us, including that some or all of the claims in one or more of our patents are invalid or</w:t>
      </w:r>
    </w:p>
    <w:p>
      <w:pPr>
        <w:sectPr>
          <w:pgSz w:w="11900" w:h="16840" w:orient="portrait"/>
          <w:cols w:equalWidth="0" w:num="1">
            <w:col w:w="9020"/>
          </w:cols>
          <w:pgMar w:left="1440" w:top="560" w:right="1440" w:bottom="58" w:gutter="0" w:footer="0" w:header="0"/>
        </w:sectPr>
      </w:pPr>
    </w:p>
    <w:bookmarkStart w:id="45" w:name="page46"/>
    <w:bookmarkEnd w:id="45"/>
    <w:p>
      <w:pPr>
        <w:ind w:left="380" w:right="2160"/>
        <w:spacing w:after="0" w:line="217" w:lineRule="auto"/>
        <w:rPr>
          <w:sz w:val="20"/>
          <w:szCs w:val="20"/>
          <w:color w:val="auto"/>
        </w:rPr>
      </w:pPr>
      <w:r>
        <w:rPr>
          <w:rFonts w:ascii="Arial" w:cs="Arial" w:eastAsia="Arial" w:hAnsi="Arial"/>
          <w:sz w:val="13"/>
          <w:szCs w:val="13"/>
          <w:color w:val="auto"/>
        </w:rPr>
        <w:t>otherwise unenforceable.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If any of our owned or in-licensed patents covering our product candidates or other technologies are narrowed, invalidated or found unenforceable, or if a court found that valid, enforceable patents held by third parties covered one or more of our product candidates or other technologies, our competitive position could be harmed or we could be required to incur significant expenses to protect, enforce or defend our rights. If we initiate lawsuits to protect, defend or enforce our patents, or litigate against third-party claims, such proceedings would be expensive and would divert the attention of our management, technical personnel, and other employees even if the eventual outcome is favorable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64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420"/>
        <w:spacing w:after="0" w:line="220" w:lineRule="auto"/>
        <w:rPr>
          <w:sz w:val="20"/>
          <w:szCs w:val="20"/>
          <w:color w:val="auto"/>
        </w:rPr>
      </w:pPr>
      <w:r>
        <w:rPr>
          <w:rFonts w:ascii="Arial" w:cs="Arial" w:eastAsia="Arial" w:hAnsi="Arial"/>
          <w:sz w:val="13"/>
          <w:szCs w:val="13"/>
          <w:color w:val="auto"/>
        </w:rPr>
        <w:t>The degree of future protection for our intellectual property and other proprietary rights is uncertain, and we cannot ensure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800"/>
        <w:spacing w:after="0" w:line="210" w:lineRule="auto"/>
        <w:rPr>
          <w:sz w:val="20"/>
          <w:szCs w:val="20"/>
          <w:color w:val="auto"/>
        </w:rPr>
      </w:pPr>
      <w:r>
        <w:rPr>
          <w:rFonts w:ascii="Arial" w:cs="Arial" w:eastAsia="Arial" w:hAnsi="Arial"/>
          <w:sz w:val="13"/>
          <w:szCs w:val="13"/>
          <w:color w:val="auto"/>
        </w:rPr>
        <w:t>•any of our patents, or any of our pending patent applications, if issued, or those of our licensors, will include claims having a scope sufficient to protect our product(s), our product candidates and other technologies;</w:t>
      </w:r>
    </w:p>
    <w:p>
      <w:pPr>
        <w:ind w:left="380"/>
        <w:spacing w:after="0" w:line="213" w:lineRule="auto"/>
        <w:rPr>
          <w:sz w:val="20"/>
          <w:szCs w:val="20"/>
          <w:color w:val="auto"/>
        </w:rPr>
      </w:pPr>
      <w:r>
        <w:rPr>
          <w:rFonts w:ascii="Arial" w:cs="Arial" w:eastAsia="Arial" w:hAnsi="Arial"/>
          <w:sz w:val="13"/>
          <w:szCs w:val="13"/>
          <w:color w:val="auto"/>
        </w:rPr>
        <w:t>•any of our pending patent applications or those of our licensors may issue as patents;</w:t>
      </w:r>
    </w:p>
    <w:p>
      <w:pPr>
        <w:spacing w:after="0" w:line="1" w:lineRule="exact"/>
        <w:rPr>
          <w:sz w:val="20"/>
          <w:szCs w:val="20"/>
          <w:color w:val="auto"/>
        </w:rPr>
      </w:pPr>
    </w:p>
    <w:p>
      <w:pPr>
        <w:ind w:left="380" w:right="2840"/>
        <w:spacing w:after="0" w:line="210" w:lineRule="auto"/>
        <w:rPr>
          <w:sz w:val="20"/>
          <w:szCs w:val="20"/>
          <w:color w:val="auto"/>
        </w:rPr>
      </w:pPr>
      <w:r>
        <w:rPr>
          <w:rFonts w:ascii="Arial" w:cs="Arial" w:eastAsia="Arial" w:hAnsi="Arial"/>
          <w:sz w:val="13"/>
          <w:szCs w:val="13"/>
          <w:color w:val="auto"/>
        </w:rPr>
        <w:t>•others will not or may not be able to make, use, offer to sell or sell products that are the same as or similar to our own but that are not covered by the claims of the patents that we own or license;</w:t>
      </w:r>
    </w:p>
    <w:p>
      <w:pPr>
        <w:spacing w:after="0" w:line="1" w:lineRule="exact"/>
        <w:rPr>
          <w:sz w:val="20"/>
          <w:szCs w:val="20"/>
          <w:color w:val="auto"/>
        </w:rPr>
      </w:pPr>
    </w:p>
    <w:p>
      <w:pPr>
        <w:ind w:left="380" w:right="2520"/>
        <w:spacing w:after="0" w:line="210" w:lineRule="auto"/>
        <w:rPr>
          <w:sz w:val="20"/>
          <w:szCs w:val="20"/>
          <w:color w:val="auto"/>
        </w:rPr>
      </w:pPr>
      <w:r>
        <w:rPr>
          <w:rFonts w:ascii="Arial" w:cs="Arial" w:eastAsia="Arial" w:hAnsi="Arial"/>
          <w:sz w:val="13"/>
          <w:szCs w:val="13"/>
          <w:color w:val="auto"/>
        </w:rPr>
        <w:t>•we will be able to successfully commercialize our products on a substantial scale, if approved, before the relevant patents that we own or license expire;</w:t>
      </w:r>
    </w:p>
    <w:p>
      <w:pPr>
        <w:spacing w:after="0" w:line="1" w:lineRule="exact"/>
        <w:rPr>
          <w:sz w:val="20"/>
          <w:szCs w:val="20"/>
          <w:color w:val="auto"/>
        </w:rPr>
      </w:pPr>
    </w:p>
    <w:p>
      <w:pPr>
        <w:ind w:left="380" w:right="2560"/>
        <w:spacing w:after="0" w:line="210" w:lineRule="auto"/>
        <w:rPr>
          <w:sz w:val="20"/>
          <w:szCs w:val="20"/>
          <w:color w:val="auto"/>
        </w:rPr>
      </w:pPr>
      <w:r>
        <w:rPr>
          <w:rFonts w:ascii="Arial" w:cs="Arial" w:eastAsia="Arial" w:hAnsi="Arial"/>
          <w:sz w:val="13"/>
          <w:szCs w:val="13"/>
          <w:color w:val="auto"/>
        </w:rPr>
        <w:t>•we were the first to make the inventions covered by each of the patents and pending patent applications that we own or license;</w:t>
      </w:r>
    </w:p>
    <w:p>
      <w:pPr>
        <w:ind w:left="380"/>
        <w:spacing w:after="0" w:line="212" w:lineRule="auto"/>
        <w:rPr>
          <w:sz w:val="20"/>
          <w:szCs w:val="20"/>
          <w:color w:val="auto"/>
        </w:rPr>
      </w:pPr>
      <w:r>
        <w:rPr>
          <w:rFonts w:ascii="Arial" w:cs="Arial" w:eastAsia="Arial" w:hAnsi="Arial"/>
          <w:sz w:val="13"/>
          <w:szCs w:val="13"/>
          <w:color w:val="auto"/>
        </w:rPr>
        <w:t>•we, our co-owners or our licensors were the first to file patent applications for these inventions;</w:t>
      </w:r>
    </w:p>
    <w:p>
      <w:pPr>
        <w:spacing w:after="0" w:line="1" w:lineRule="exact"/>
        <w:rPr>
          <w:sz w:val="20"/>
          <w:szCs w:val="20"/>
          <w:color w:val="auto"/>
        </w:rPr>
      </w:pPr>
    </w:p>
    <w:p>
      <w:pPr>
        <w:ind w:left="380" w:right="2600"/>
        <w:spacing w:after="0" w:line="210" w:lineRule="auto"/>
        <w:rPr>
          <w:sz w:val="20"/>
          <w:szCs w:val="20"/>
          <w:color w:val="auto"/>
        </w:rPr>
      </w:pPr>
      <w:r>
        <w:rPr>
          <w:rFonts w:ascii="Arial" w:cs="Arial" w:eastAsia="Arial" w:hAnsi="Arial"/>
          <w:sz w:val="13"/>
          <w:szCs w:val="13"/>
          <w:color w:val="auto"/>
        </w:rPr>
        <w:t>•others will not develop similar or alternative products or technologies that do not infringe the patents we own or license;</w:t>
      </w:r>
    </w:p>
    <w:p>
      <w:pPr>
        <w:spacing w:after="0" w:line="1" w:lineRule="exact"/>
        <w:rPr>
          <w:sz w:val="20"/>
          <w:szCs w:val="20"/>
          <w:color w:val="auto"/>
        </w:rPr>
      </w:pPr>
    </w:p>
    <w:p>
      <w:pPr>
        <w:ind w:left="380" w:right="2760"/>
        <w:spacing w:after="0" w:line="210" w:lineRule="auto"/>
        <w:rPr>
          <w:sz w:val="20"/>
          <w:szCs w:val="20"/>
          <w:color w:val="auto"/>
        </w:rPr>
      </w:pPr>
      <w:r>
        <w:rPr>
          <w:rFonts w:ascii="Arial" w:cs="Arial" w:eastAsia="Arial" w:hAnsi="Arial"/>
          <w:sz w:val="13"/>
          <w:szCs w:val="13"/>
          <w:color w:val="auto"/>
        </w:rPr>
        <w:t>•any of the claims of patents we own or license will be found to ultimately be valid and enforceable; •any patents issued to us or our licensors will provide a basis for an exclusive market for our commercially viable product candidates and other technologies or will provide us with any competitive advantages;</w:t>
      </w:r>
    </w:p>
    <w:p>
      <w:pPr>
        <w:spacing w:after="0" w:line="2" w:lineRule="exact"/>
        <w:rPr>
          <w:sz w:val="20"/>
          <w:szCs w:val="20"/>
          <w:color w:val="auto"/>
        </w:rPr>
      </w:pPr>
    </w:p>
    <w:p>
      <w:pPr>
        <w:ind w:left="380" w:right="2560"/>
        <w:spacing w:after="0" w:line="210" w:lineRule="auto"/>
        <w:rPr>
          <w:sz w:val="20"/>
          <w:szCs w:val="20"/>
          <w:color w:val="auto"/>
        </w:rPr>
      </w:pPr>
      <w:r>
        <w:rPr>
          <w:rFonts w:ascii="Arial" w:cs="Arial" w:eastAsia="Arial" w:hAnsi="Arial"/>
          <w:sz w:val="13"/>
          <w:szCs w:val="13"/>
          <w:color w:val="auto"/>
        </w:rPr>
        <w:t>•a third party may not challenge the claims of patents we own or license and, if challenged, a court would hold that such patent claims are valid, enforceable and infringed;</w:t>
      </w:r>
    </w:p>
    <w:p>
      <w:pPr>
        <w:ind w:left="380"/>
        <w:spacing w:after="0" w:line="212" w:lineRule="auto"/>
        <w:rPr>
          <w:sz w:val="20"/>
          <w:szCs w:val="20"/>
          <w:color w:val="auto"/>
        </w:rPr>
      </w:pPr>
      <w:r>
        <w:rPr>
          <w:rFonts w:ascii="Arial" w:cs="Arial" w:eastAsia="Arial" w:hAnsi="Arial"/>
          <w:sz w:val="13"/>
          <w:szCs w:val="13"/>
          <w:color w:val="auto"/>
        </w:rPr>
        <w:t>•we may develop or in-license additional proprietary technologies that are patentable;</w:t>
      </w:r>
    </w:p>
    <w:p>
      <w:pPr>
        <w:spacing w:after="0" w:line="1" w:lineRule="exact"/>
        <w:rPr>
          <w:sz w:val="20"/>
          <w:szCs w:val="20"/>
          <w:color w:val="auto"/>
        </w:rPr>
      </w:pPr>
    </w:p>
    <w:p>
      <w:pPr>
        <w:ind w:left="380" w:right="2660"/>
        <w:spacing w:after="0" w:line="210" w:lineRule="auto"/>
        <w:rPr>
          <w:sz w:val="20"/>
          <w:szCs w:val="20"/>
          <w:color w:val="auto"/>
        </w:rPr>
      </w:pPr>
      <w:r>
        <w:rPr>
          <w:rFonts w:ascii="Arial" w:cs="Arial" w:eastAsia="Arial" w:hAnsi="Arial"/>
          <w:sz w:val="13"/>
          <w:szCs w:val="13"/>
          <w:color w:val="auto"/>
        </w:rPr>
        <w:t>•the patents of others will not have an adverse effect on our ability to issue patents, or otherwise on our business;</w:t>
      </w:r>
    </w:p>
    <w:p>
      <w:pPr>
        <w:spacing w:after="0" w:line="1" w:lineRule="exact"/>
        <w:rPr>
          <w:sz w:val="20"/>
          <w:szCs w:val="20"/>
          <w:color w:val="auto"/>
        </w:rPr>
      </w:pPr>
    </w:p>
    <w:p>
      <w:pPr>
        <w:ind w:left="380" w:right="2840"/>
        <w:spacing w:after="0" w:line="210" w:lineRule="auto"/>
        <w:rPr>
          <w:sz w:val="20"/>
          <w:szCs w:val="20"/>
          <w:color w:val="auto"/>
        </w:rPr>
      </w:pPr>
      <w:r>
        <w:rPr>
          <w:rFonts w:ascii="Arial" w:cs="Arial" w:eastAsia="Arial" w:hAnsi="Arial"/>
          <w:sz w:val="13"/>
          <w:szCs w:val="13"/>
          <w:color w:val="auto"/>
        </w:rPr>
        <w:t>•our competitors do not conduct research, development, testing or commercialization activities in countries where we do not have enforceable patent rights and then use the information learned from such activities to develop competitive products for sale in our major commercial markets;</w:t>
      </w:r>
    </w:p>
    <w:p>
      <w:pPr>
        <w:spacing w:after="0" w:line="2" w:lineRule="exact"/>
        <w:rPr>
          <w:sz w:val="20"/>
          <w:szCs w:val="20"/>
          <w:color w:val="auto"/>
        </w:rPr>
      </w:pPr>
    </w:p>
    <w:p>
      <w:pPr>
        <w:ind w:left="380" w:right="2580"/>
        <w:spacing w:after="0" w:line="210" w:lineRule="auto"/>
        <w:rPr>
          <w:sz w:val="20"/>
          <w:szCs w:val="20"/>
          <w:color w:val="auto"/>
        </w:rPr>
      </w:pPr>
      <w:r>
        <w:rPr>
          <w:rFonts w:ascii="Arial" w:cs="Arial" w:eastAsia="Arial" w:hAnsi="Arial"/>
          <w:sz w:val="13"/>
          <w:szCs w:val="13"/>
          <w:color w:val="auto"/>
        </w:rPr>
        <w:t>•we will develop additional proprietary technologies, product(s) or product candidates that are separately patentable; and</w:t>
      </w:r>
    </w:p>
    <w:p>
      <w:pPr>
        <w:spacing w:after="0" w:line="1" w:lineRule="exact"/>
        <w:rPr>
          <w:sz w:val="20"/>
          <w:szCs w:val="20"/>
          <w:color w:val="auto"/>
        </w:rPr>
      </w:pPr>
    </w:p>
    <w:p>
      <w:pPr>
        <w:jc w:val="both"/>
        <w:ind w:left="380" w:right="2780"/>
        <w:spacing w:after="0" w:line="210" w:lineRule="auto"/>
        <w:rPr>
          <w:sz w:val="20"/>
          <w:szCs w:val="20"/>
          <w:color w:val="auto"/>
        </w:rPr>
      </w:pPr>
      <w:r>
        <w:rPr>
          <w:rFonts w:ascii="Arial" w:cs="Arial" w:eastAsia="Arial" w:hAnsi="Arial"/>
          <w:sz w:val="13"/>
          <w:szCs w:val="13"/>
          <w:color w:val="auto"/>
        </w:rPr>
        <w:t>•our, or our collaborators’, development and commercialization activities, including our manufacturing processes, or products will not infringe patents of our competitors or any other third parties, including any non-practicing entities or patent assertion entities.</w:t>
      </w:r>
    </w:p>
    <w:p>
      <w:pPr>
        <w:spacing w:after="0" w:line="2"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b w:val="1"/>
          <w:bCs w:val="1"/>
          <w:color w:val="005A64"/>
        </w:rPr>
        <w:t>Other companies or organizations may challenge our intellectual property rights or the intellectual property rights of our partners or may assert intellectual property rights that prevent us or our partners from developing and commercializing our COVID-19 vaccine or our product candidates and other technologies.</w:t>
      </w:r>
    </w:p>
    <w:p>
      <w:pPr>
        <w:spacing w:after="0" w:line="2" w:lineRule="exact"/>
        <w:rPr>
          <w:sz w:val="20"/>
          <w:szCs w:val="20"/>
          <w:color w:val="auto"/>
        </w:rPr>
      </w:pPr>
    </w:p>
    <w:p>
      <w:pPr>
        <w:ind w:left="380" w:right="2260"/>
        <w:spacing w:after="0" w:line="226" w:lineRule="auto"/>
        <w:rPr>
          <w:sz w:val="20"/>
          <w:szCs w:val="20"/>
          <w:color w:val="auto"/>
        </w:rPr>
      </w:pPr>
      <w:r>
        <w:rPr>
          <w:rFonts w:ascii="Arial" w:cs="Arial" w:eastAsia="Arial" w:hAnsi="Arial"/>
          <w:sz w:val="13"/>
          <w:szCs w:val="13"/>
          <w:color w:val="auto"/>
        </w:rPr>
        <w:t>We practice in new and evolving scientific fields, the continued development and potential use of which has resulted in many different patents and patent applications from organizations and individuals seeking to obtain intellectual property protection in the fields. We own and in-license patent applications and issued patents that</w:t>
      </w:r>
    </w:p>
    <w:p>
      <w:pPr>
        <w:sectPr>
          <w:pgSz w:w="11900" w:h="16840" w:orient="portrait"/>
          <w:cols w:equalWidth="0" w:num="1">
            <w:col w:w="9020"/>
          </w:cols>
          <w:pgMar w:left="1440" w:top="560" w:right="1440" w:bottom="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80"/>
        <w:spacing w:after="0"/>
        <w:rPr>
          <w:sz w:val="20"/>
          <w:szCs w:val="20"/>
          <w:color w:val="auto"/>
        </w:rPr>
      </w:pPr>
      <w:r>
        <w:rPr>
          <w:rFonts w:ascii="Arial" w:cs="Arial" w:eastAsia="Arial" w:hAnsi="Arial"/>
          <w:sz w:val="12"/>
          <w:szCs w:val="12"/>
          <w:color w:val="auto"/>
        </w:rPr>
        <w:t>65</w:t>
      </w:r>
    </w:p>
    <w:p>
      <w:pPr>
        <w:sectPr>
          <w:pgSz w:w="11900" w:h="16840" w:orient="portrait"/>
          <w:cols w:equalWidth="0" w:num="1">
            <w:col w:w="9020"/>
          </w:cols>
          <w:pgMar w:left="1440" w:top="560" w:right="1440" w:bottom="51" w:gutter="0" w:footer="0" w:header="0"/>
          <w:type w:val="continuous"/>
        </w:sectPr>
      </w:pPr>
    </w:p>
    <w:bookmarkStart w:id="46" w:name="page47"/>
    <w:bookmarkEnd w:id="46"/>
    <w:p>
      <w:pPr>
        <w:ind w:left="380"/>
        <w:spacing w:after="0"/>
        <w:rPr>
          <w:sz w:val="20"/>
          <w:szCs w:val="20"/>
          <w:color w:val="auto"/>
        </w:rPr>
      </w:pPr>
      <w:r>
        <w:rPr>
          <w:rFonts w:ascii="Arial" w:cs="Arial" w:eastAsia="Arial" w:hAnsi="Arial"/>
          <w:sz w:val="12"/>
          <w:szCs w:val="12"/>
          <w:b w:val="1"/>
          <w:bCs w:val="1"/>
          <w:color w:val="3C9673"/>
        </w:rPr>
        <w:t>Annual Report on Form 20-F for the year ended December 31, 2024</w:t>
      </w:r>
    </w:p>
    <w:p>
      <w:pPr>
        <w:spacing w:after="0" w:line="3" w:lineRule="exact"/>
        <w:rPr>
          <w:sz w:val="20"/>
          <w:szCs w:val="20"/>
          <w:color w:val="auto"/>
        </w:rPr>
      </w:pP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line="213" w:lineRule="auto"/>
        <w:rPr>
          <w:sz w:val="20"/>
          <w:szCs w:val="20"/>
          <w:color w:val="auto"/>
        </w:rPr>
      </w:pPr>
      <w:r>
        <w:rPr>
          <w:rFonts w:ascii="Arial" w:cs="Arial" w:eastAsia="Arial" w:hAnsi="Arial"/>
          <w:sz w:val="13"/>
          <w:szCs w:val="13"/>
          <w:color w:val="auto"/>
        </w:rPr>
        <w:t>describe and/or claim certain technologies, including products, reagents, formulations, tools and methods including uses and manufacturing methods, or features or aspects of any of these. These issued patents and pending patent applications claim certain compositions of matter and methods relating to the discovery, development, testing, manufacture and commercialization of therapeutic modalities and our delivery technologies, including lipid nanoparticles, or LNPs. If we, our co-owners or our licensors are unable to obtain, maintain, protect, defend or enforce patent protection with respect to our products, product candidates and other technology and any other products, product candidates and technology that we may develop, our business, financial condition, results of operations and prospects could be materially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-667385</wp:posOffset>
            </wp:positionV>
            <wp:extent cx="523113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34" w:lineRule="auto"/>
        <w:rPr>
          <w:sz w:val="20"/>
          <w:szCs w:val="20"/>
          <w:color w:val="auto"/>
        </w:rPr>
      </w:pPr>
      <w:r>
        <w:rPr>
          <w:rFonts w:ascii="Arial" w:cs="Arial" w:eastAsia="Arial" w:hAnsi="Arial"/>
          <w:sz w:val="13"/>
          <w:szCs w:val="13"/>
          <w:color w:val="auto"/>
        </w:rPr>
        <w:t>As the scientific fields mature, our known competitors and other third parties, many of whom have substantially greater resources than we do and many of whom have made significant investments in competing technologies, may seek or may have already obtained patents, and they have filed and will continue to file patent applications claiming inventions in the fields in the United States and elsewhere. This may limit, interfere with or eliminate our and our partners’ ability to make, use, sell, import or otherwise exploit our COVID-19 vaccine or our product candidates or other technologies. There is uncertainty about which patents will issue, and, if they do, as to when, to whom and with what claims.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We, our co-owners, our partners or our licensors may in the future become a party to patent proceedings or priority disputes in the United States, Europe or other jurisdictions. In the United States, the Leahy-Smith America Invents Act, or the America Invents Act,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w:t>
      </w:r>
    </w:p>
    <w:p>
      <w:pPr>
        <w:spacing w:after="0" w:line="3" w:lineRule="exact"/>
        <w:rPr>
          <w:sz w:val="20"/>
          <w:szCs w:val="20"/>
          <w:color w:val="auto"/>
        </w:rPr>
      </w:pPr>
    </w:p>
    <w:p>
      <w:pPr>
        <w:ind w:left="380" w:right="2060" w:firstLine="3"/>
        <w:spacing w:after="0" w:line="212" w:lineRule="auto"/>
        <w:tabs>
          <w:tab w:leader="none" w:pos="48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patent through USPTO-administered post-grant proceedings, including post-grant review, inter partes review and derivation proceedings. We expect that our competitors and other third parties will institute litigation and other proceedings, such as interference, reexamination and opposition proceedings, as well as inter partes and post-grant review proceedings against us and the patents and patent applications that we own and in-license. Additionally, we face ongoing COVID-19 vaccine-related patent litigation. Alnylam Pharmaceuticals Inc., or Alnylam, has brought litigation against us and Pfizer regarding U.S. Patent Nos. 11,245,933; 11,382,979; 11,633,479; 11,633,480; 11,612,657; and 11,590,229, the latter five of which are continuations of the ‘933 Patent. In addition, CureVac SE, or CureVac, has brought litigation against us in Germany regarding three European patents, 1857122B1, or EP’122, 3708668B1, or EP’668, and 4023755B1, or EP’755, and three German utility models, DE202015009961, DE202015009974, and DE202021004130, or the CureVac IP. BioNTech filed a nullity action in the Federal Patent Court of Germany seeking a declaration that EP’122 is invalid, initiated cancellation actions against the CureVac IP in the German Patent and Trademark Office, and filed opposition proceedings in the European Patent Office, or EPO, seeking the revocation of EP’668 and EP’755. In the United States, CureVac asserts seven U.S. patents against us and Pfizer: U.S. Patent Nos. 11,135,312; 11,149,278; 10,760,070; 11,286,492; 11,345,920; 11,596,686, and 11,667,910. BioNTech and Pfizer also initiated proceedings seeking the revocation of EP’122, EP’668, and EP’755 in the Business and Property Courts of England and Wales. ModernaTX, Inc., or Moderna, has brought litigation against us and Pfizer regarding European patents 3590949B1, or EP’949, and 3718565B1, or EP’565, in Germany, England and Wales, the Netherlands, Ireland, and Belgium, and regarding U.S. Patent Nos. 10,898,574, 10,702,600, and 10,933,127 in the United States. BioNTech and Pfizer also initiated proceedings seeking the revocation of EP’949 and EP’565 in the Business and Property Courts of England and Wales and have filed opposition proceedings in the EPO seeking the revocation of EP’949 and EP’565. BioNTech and Pfizer have filed petitions for </w:t>
      </w:r>
      <w:r>
        <w:rPr>
          <w:rFonts w:ascii="Arial" w:cs="Arial" w:eastAsia="Arial" w:hAnsi="Arial"/>
          <w:sz w:val="13"/>
          <w:szCs w:val="13"/>
          <w:i w:val="1"/>
          <w:iCs w:val="1"/>
          <w:color w:val="auto"/>
        </w:rPr>
        <w:t>inter partes</w:t>
      </w:r>
      <w:r>
        <w:rPr>
          <w:rFonts w:ascii="Arial" w:cs="Arial" w:eastAsia="Arial" w:hAnsi="Arial"/>
          <w:sz w:val="13"/>
          <w:szCs w:val="13"/>
          <w:color w:val="auto"/>
        </w:rPr>
        <w:t xml:space="preserve"> review before the Patent Trial and Appeal Board in the United States with respect to U.S. Patent Nos. 10,702,600 and 10,933,127. Arbutus Biopharma Corp., or Arbutus, and Genevant Sciences GmbH, or Genevant, have brought litigation against us and Pfizer in the United States regarding U.S. Patent Nos. 9,504,651; 8,492,359; 11,141,378; 11,298,320; and 11,318,098. Promosome initiated litigation against us and Pfizer in the United States regarding U.S. Patent No. 8,853,179; it has since been dismissed with prejudice. Promosome LLC, or Promosome, has initiated litigation against us and Pfizer in the Unified Patent Court (Munich Division) regarding one European patent, EP 2 401 365. GlaxoSmithKline Biologicals SA and GlaxoSmithKline LLC, or collectively, GSK, have brought litigation against us and Pfizer in the United States regarding U.S. Patent Nos. 11,638,693;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66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020"/>
        <w:spacing w:after="0" w:line="213" w:lineRule="auto"/>
        <w:rPr>
          <w:sz w:val="20"/>
          <w:szCs w:val="20"/>
          <w:color w:val="auto"/>
        </w:rPr>
      </w:pPr>
      <w:r>
        <w:rPr>
          <w:rFonts w:ascii="Arial" w:cs="Arial" w:eastAsia="Arial" w:hAnsi="Arial"/>
          <w:sz w:val="13"/>
          <w:szCs w:val="13"/>
          <w:color w:val="auto"/>
        </w:rPr>
        <w:t>11,638,694; 11,666,534; 11,766,401; 11,786,467; 11,759,422; 11,655,475; and 11,851,660. We cannot guarantee that we will not become subject to additional COVID-19 vaccine patent infringement lawsuits in the future. In addition, should Pfizer not prevail in any of the ongoing COVID-19 vaccine patent infringement lawsuits to which it is a party, Pfizer may seek to require us to indemnify Pfizer for losses suffered therefrom as well as any losses from future COVID-19 vaccine patent infringement lawsuits in which it does not prevail. We believe we have strong defenses against each of these claims and intend to vigorously defend ourselves in each proceeding, but we can make no assurances regarding the ultimate outcome of any of these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-582930</wp:posOffset>
            </wp:positionV>
            <wp:extent cx="523113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40"/>
        <w:spacing w:after="0" w:line="210" w:lineRule="auto"/>
        <w:rPr>
          <w:sz w:val="20"/>
          <w:szCs w:val="20"/>
          <w:color w:val="auto"/>
        </w:rPr>
      </w:pPr>
      <w:r>
        <w:rPr>
          <w:rFonts w:ascii="Arial" w:cs="Arial" w:eastAsia="Arial" w:hAnsi="Arial"/>
          <w:sz w:val="13"/>
          <w:szCs w:val="13"/>
          <w:color w:val="auto"/>
        </w:rPr>
        <w:t>We expect that we will continue to be subject to similar proceedings or priority disputes, including oppositions, in Europe or other jurisdictions relating to patents and patent applications in our portfolio.</w:t>
      </w:r>
    </w:p>
    <w:p>
      <w:pPr>
        <w:spacing w:after="0" w:line="1"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If we, our co-owners, our partners or our licensors are unsuccessful in any interference proceedings or other priority or validity disputes, including any derivations, post-grant review, inter partes review or oppositions, to which we or they are subject, we may lose valuable intellectual property rights through the narrowing or loss of one or more patents owned or in-licensed, or our owned or in-licensed patent claims may be narrowed, invalidated or held unenforceable. In many cases, the possibility of appeal exists for either us or our opponents, and it may be years before final, unappealable rulings are made with respect to these patents in certain jurisdictions. The timing and outcome of these and other proceedings is uncertain and may adversely affect our business if we are not successful in defending the patentability and scope of our pending and issued patent claims.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technical personnel and other employees and could have a material adverse impact on our business and our ability to successfully compete against our current and future competitors.</w:t>
      </w:r>
    </w:p>
    <w:p>
      <w:pPr>
        <w:spacing w:after="0" w:line="8" w:lineRule="exact"/>
        <w:rPr>
          <w:sz w:val="20"/>
          <w:szCs w:val="20"/>
          <w:color w:val="auto"/>
        </w:rPr>
      </w:pPr>
    </w:p>
    <w:p>
      <w:pPr>
        <w:ind w:left="380" w:right="2100"/>
        <w:spacing w:after="0" w:line="214" w:lineRule="auto"/>
        <w:rPr>
          <w:sz w:val="20"/>
          <w:szCs w:val="20"/>
          <w:color w:val="auto"/>
        </w:rPr>
      </w:pPr>
      <w:r>
        <w:rPr>
          <w:rFonts w:ascii="Arial" w:cs="Arial" w:eastAsia="Arial" w:hAnsi="Arial"/>
          <w:sz w:val="13"/>
          <w:szCs w:val="13"/>
          <w:color w:val="auto"/>
        </w:rPr>
        <w:t>There are many issued and pending patent filings that claim aspects of technologies that we may need for our mRNA products or product candidates, or other product candidates, including patent filings that relate to relevant delivery technologies. There are also many issued patents that claim targeting genes or portions of genes that may be relevant for immunotherapies we wish to develop. In addition, as evidenced by the lawsuits brought against Moderna, Pfizer and us, there may be additional issued and pending patent applications that may be asserted against us in a court proceeding or otherwise based upon the asserting party’s belief that we may need such patents for the development, manufacturing, testing and commercialization of our COVID-19 vaccine or of our product candidates. Thus, it is possible that one or more organizations, ranging from our competitors to non-practicing entities or patent assertion entities, has or will hold patent rights to which we may need a license, or hold patent rights which could be asserted against us. Such licenses may not be available on commercially reasonable terms or at all, or may be non-exclusive. If those organizations refuse to grant us a license to such patent rights on reasonable terms, if we fail to invalidate relevant patents, or if a court or other governing body determines that we need such patent rights that have been asserted against us and we are not able to obtain a</w:t>
      </w:r>
    </w:p>
    <w:p>
      <w:pPr>
        <w:sectPr>
          <w:pgSz w:w="11900" w:h="16840" w:orient="portrait"/>
          <w:cols w:equalWidth="0" w:num="1">
            <w:col w:w="9020"/>
          </w:cols>
          <w:pgMar w:left="1440" w:top="559" w:right="1440" w:bottom="51" w:gutter="0" w:footer="0" w:header="0"/>
        </w:sectPr>
      </w:pPr>
    </w:p>
    <w:bookmarkStart w:id="47" w:name="page48"/>
    <w:bookmarkEnd w:id="47"/>
    <w:p>
      <w:pPr>
        <w:ind w:left="380" w:right="2140"/>
        <w:spacing w:after="0" w:line="215" w:lineRule="auto"/>
        <w:rPr>
          <w:sz w:val="20"/>
          <w:szCs w:val="20"/>
          <w:color w:val="auto"/>
        </w:rPr>
      </w:pPr>
      <w:r>
        <w:rPr>
          <w:rFonts w:ascii="Arial" w:cs="Arial" w:eastAsia="Arial" w:hAnsi="Arial"/>
          <w:sz w:val="13"/>
          <w:szCs w:val="13"/>
          <w:color w:val="auto"/>
        </w:rPr>
        <w:t>license on reasonable terms or at all, we may be unable to perform research and development or other activities or market products covered by such patents, and we may need to cease the development, manufacture, testing and commercialization of one or more of the product candidates we may develop. Any of the foregoing could result in a material adverse effect on our business, financial condition, results of operations or prospects.</w:t>
      </w:r>
    </w:p>
    <w:p>
      <w:pPr>
        <w:spacing w:after="0" w:line="2"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b w:val="1"/>
          <w:bCs w:val="1"/>
          <w:color w:val="005A64"/>
        </w:rPr>
        <w:t>We may not be successful in obtaining, maintaining, protecting or defending the necessary intellectual property rights to allow us to identify and develop product candidates, and test product components and manufacturing processes for our development pipeline.</w:t>
      </w:r>
    </w:p>
    <w:p>
      <w:pPr>
        <w:spacing w:after="0" w:line="2" w:lineRule="exact"/>
        <w:rPr>
          <w:sz w:val="20"/>
          <w:szCs w:val="20"/>
          <w:color w:val="auto"/>
        </w:rPr>
      </w:pPr>
    </w:p>
    <w:p>
      <w:pPr>
        <w:ind w:left="380" w:right="2100"/>
        <w:spacing w:after="0" w:line="215" w:lineRule="auto"/>
        <w:rPr>
          <w:sz w:val="20"/>
          <w:szCs w:val="20"/>
          <w:color w:val="auto"/>
        </w:rPr>
      </w:pPr>
      <w:r>
        <w:rPr>
          <w:rFonts w:ascii="Arial" w:cs="Arial" w:eastAsia="Arial" w:hAnsi="Arial"/>
          <w:sz w:val="13"/>
          <w:szCs w:val="13"/>
          <w:color w:val="auto"/>
        </w:rPr>
        <w:t>We currently have rights to certain intellectual property through our owned and in-licensed patents and other intellectual property rights relating to identification, development and testing of our product candidates or other technologies. As our activities may involve additional product candidates or services that could require the use of intellectual property and other proprietary rights held by third parties, the growth of our business could depend in part on our ability to acquire, in-license or use such intellectual property and proprietary rights. In addition, our product candidates may require specific formulations to work effectively and efficiently and these intellectual property and other proprietary rights may be held by others. We may be unable to secure such licenses or otherwise acquire or in-license any compositions, methods of use, processes or other third-party intellectual property rights from third parties that we identify as necessary, on reasonable terms, or at all, for product candidates and other technologies that we may develop. The licensing and acquisition of third-party intellectual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67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5" w:lineRule="auto"/>
        <w:rPr>
          <w:sz w:val="20"/>
          <w:szCs w:val="20"/>
          <w:color w:val="auto"/>
        </w:rPr>
      </w:pPr>
      <w:r>
        <w:rPr>
          <w:rFonts w:ascii="Arial" w:cs="Arial" w:eastAsia="Arial" w:hAnsi="Arial"/>
          <w:sz w:val="13"/>
          <w:szCs w:val="13"/>
          <w:color w:val="auto"/>
        </w:rPr>
        <w:t>property rights is a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080"/>
        <w:spacing w:after="0" w:line="210" w:lineRule="auto"/>
        <w:rPr>
          <w:sz w:val="20"/>
          <w:szCs w:val="20"/>
          <w:color w:val="auto"/>
        </w:rPr>
      </w:pPr>
      <w:r>
        <w:rPr>
          <w:rFonts w:ascii="Arial" w:cs="Arial" w:eastAsia="Arial" w:hAnsi="Arial"/>
          <w:sz w:val="13"/>
          <w:szCs w:val="13"/>
          <w:color w:val="auto"/>
        </w:rPr>
        <w:t>We sometimes collaborate with academic institutions and/or utilize services of CROs and CMOs in certain aspects of our research or development under written agreements with these parties. These agreements may not ensure protection of intellectual property rights in developed technology, or may fail to provide us with sufficient control of or access to such intellectual property rights. For example, agreements with these academic institutions typically provide us with an option to negotiate a license to any of the institution’s rights in technology resulting from the collaboration. However, these institutions may not honor our option and right of first negotiation for intellectual property rights or we may otherwise be unable to negotiate a license within the specified time frame or under terms that are acceptable to us. If we are unable to do so, the institution may offer the intellectual property rights to other parties, potentially blocking our ability to pursue our program or otherwise continue to develop certain product candidates or other technologies. CROs and/or CMOs may control certain technologies that were utilized in and/or developed through work on our behalf, and may not pursue protection of such technologies, or may provide us with only non- exclusive rights in such technologies, so that relevant technologies may be shared with other parties including our competitors. In any relationship with a third party, there is a risk of disagreement over intellectual property rights (including inventorship or ownership of, rights to protect and/or enforce, and/or rights to use) in utilized or developed technologies.</w:t>
      </w:r>
    </w:p>
    <w:p>
      <w:pPr>
        <w:spacing w:after="0" w:line="9"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Moreover, some of our owned patents and patent applications are, and may in the future be, co-owned with third parties. If we are unable to obtain, or continue to maintain, exclusive rights to any such third-party co-owners’ interest in such patents or patent applications, such co -owners may be able to license their rights to other third parties, including our competitors, and our competitors could market competing products and technologies. In addition, we may need the cooperation of any such co- 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4"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In addition, third parties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or maintain, protect, defend or enforce the existing intellectual property rights we have, we may have to abandon the development and commercialization of the relevant program or product candidate, which could have a material adverse effect on our business, financial condition, results of operations and prospects.</w:t>
      </w:r>
    </w:p>
    <w:p>
      <w:pPr>
        <w:spacing w:after="0" w:line="4" w:lineRule="exact"/>
        <w:rPr>
          <w:sz w:val="20"/>
          <w:szCs w:val="20"/>
          <w:color w:val="auto"/>
        </w:rPr>
      </w:pPr>
    </w:p>
    <w:p>
      <w:pPr>
        <w:ind w:left="380" w:right="2680"/>
        <w:spacing w:after="0" w:line="210" w:lineRule="auto"/>
        <w:rPr>
          <w:sz w:val="20"/>
          <w:szCs w:val="20"/>
          <w:color w:val="auto"/>
        </w:rPr>
      </w:pPr>
      <w:r>
        <w:rPr>
          <w:rFonts w:ascii="Arial" w:cs="Arial" w:eastAsia="Arial" w:hAnsi="Arial"/>
          <w:sz w:val="13"/>
          <w:szCs w:val="13"/>
          <w:b w:val="1"/>
          <w:bCs w:val="1"/>
          <w:color w:val="005A64"/>
        </w:rPr>
        <w:t>The lifespans of our patents may not be sufficient to effectively protect our products or product candidates, technologies and business.</w:t>
      </w:r>
    </w:p>
    <w:p>
      <w:pPr>
        <w:spacing w:after="0" w:line="1" w:lineRule="exact"/>
        <w:rPr>
          <w:sz w:val="20"/>
          <w:szCs w:val="20"/>
          <w:color w:val="auto"/>
        </w:rPr>
      </w:pPr>
    </w:p>
    <w:p>
      <w:pPr>
        <w:ind w:left="380" w:right="2120"/>
        <w:spacing w:after="0" w:line="213" w:lineRule="auto"/>
        <w:rPr>
          <w:sz w:val="20"/>
          <w:szCs w:val="20"/>
          <w:color w:val="auto"/>
        </w:rPr>
      </w:pPr>
      <w:r>
        <w:rPr>
          <w:rFonts w:ascii="Arial" w:cs="Arial" w:eastAsia="Arial" w:hAnsi="Arial"/>
          <w:sz w:val="13"/>
          <w:szCs w:val="13"/>
          <w:color w:val="auto"/>
        </w:rPr>
        <w:t>Patents have a limited lifespan. In the United States, the natural expiration of a patent is generally 20 years after its first effective non-provisional filing date, assuming maintenance fees are timely paid after the patent has issued. Most other jurisdictions also provide a 20-year nominal patent term, though many require payment of regular, often annual, annuities to maintain pendency of an application or viability of an issued patent. In some jurisdictions, one or more options for extension of a patent term may be available, but even with such extensions, the lifespan of a patent, and the protection it affords, is limited. Even if patents covering our product candidates, proprietary technologies and their uses are obtained, once the patent term has expired, we may be subject to competition from third parties that can then use the inventions included in such patents to create competing products and technologies. In addition, although upon issuance in the United States a patent’s life can be increased based on certain delays caused by the USPTO, this increase can be reduced or eliminated based on certain delays caused by the patent applicant during patent prosecution. The USPTO can also require, in certain circumstances, that the expiration date of a subject patent be shortened by the filing of a terminal disclaimer over one or more patents that may expire sooner than the subject patent. Given the amount of time required for the development, testing and regulatory review of new product candidates, patents protecting such product candidates might expire before or shortly after such candidates are commercialized. If any patents that we own or in-license expire, we would not be able to stop others from using or commercializing similar or</w:t>
      </w:r>
    </w:p>
    <w:p>
      <w:pPr>
        <w:sectPr>
          <w:pgSz w:w="11900" w:h="16840" w:orient="portrait"/>
          <w:cols w:equalWidth="0" w:num="1">
            <w:col w:w="9020"/>
          </w:cols>
          <w:pgMar w:left="1440" w:top="560" w:right="1440" w:bottom="1440" w:gutter="0" w:footer="0" w:header="0"/>
        </w:sectPr>
      </w:pPr>
    </w:p>
    <w:bookmarkStart w:id="48" w:name="page49"/>
    <w:bookmarkEnd w:id="48"/>
    <w:p>
      <w:pPr>
        <w:ind w:left="380"/>
        <w:spacing w:after="0"/>
        <w:rPr>
          <w:sz w:val="20"/>
          <w:szCs w:val="20"/>
          <w:color w:val="auto"/>
        </w:rPr>
      </w:pPr>
      <w:r>
        <w:rPr>
          <w:rFonts w:ascii="Arial" w:cs="Arial" w:eastAsia="Arial" w:hAnsi="Arial"/>
          <w:sz w:val="13"/>
          <w:szCs w:val="13"/>
          <w:color w:val="auto"/>
        </w:rPr>
        <w:t>68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line="217" w:lineRule="auto"/>
        <w:rPr>
          <w:sz w:val="20"/>
          <w:szCs w:val="20"/>
          <w:color w:val="auto"/>
        </w:rPr>
      </w:pPr>
      <w:r>
        <w:rPr>
          <w:rFonts w:ascii="Arial" w:cs="Arial" w:eastAsia="Arial" w:hAnsi="Arial"/>
          <w:sz w:val="13"/>
          <w:szCs w:val="13"/>
          <w:color w:val="auto"/>
        </w:rPr>
        <w:t>identical technology and products, and our competitors could market competing products and technology. Any of the foregoing could have a material adverse effect on our competitive position, business, financial conditions, results of operations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560"/>
        <w:spacing w:after="0" w:line="210" w:lineRule="auto"/>
        <w:rPr>
          <w:sz w:val="20"/>
          <w:szCs w:val="20"/>
          <w:color w:val="auto"/>
        </w:rPr>
      </w:pPr>
      <w:r>
        <w:rPr>
          <w:rFonts w:ascii="Arial" w:cs="Arial" w:eastAsia="Arial" w:hAnsi="Arial"/>
          <w:sz w:val="13"/>
          <w:szCs w:val="13"/>
          <w:b w:val="1"/>
          <w:bCs w:val="1"/>
          <w:color w:val="005A64"/>
        </w:rPr>
        <w:t>If we do not obtain patent term extension and data exclusivity for any product candidates we may develop, our business may be materially harmed.</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 Waxman Amendments. The Hatch-Waxman Amendments permit a patent extension term of up to five years as compensation for patent term lost during the FDA regulatory review process for a drug product subject to the provisions of the Hatch-Waxman Act.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did not extend any patent for our COVID-19 vaccine.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9"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b w:val="1"/>
          <w:bCs w:val="1"/>
          <w:color w:val="005A64"/>
        </w:rPr>
        <w:t>If we fail to comply, or are viewed to have failed to comply, with our obligations in the agreements under which we license intellectual property rights from third parties or otherwise experience disruptions to our business relationships with our licensors or other third parties, we could lose license rights that are important to our business or suffer monetary losses.</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We are heavily reliant upon licenses to certain intellectual property and other proprietary rights from third parties that are important or necessary to the development and commercialization of our technology and product(s) or product candidates, and we expect to enter into similar license agreements in the future. Licensing of intellectual property is important to our business and involves complex legal, business and scientific issues and is complicated by the rapid pace of scientific discovery in our industry. Our licenses may not provide exclusive rights to use such intellectual property and technology in all relevant fields of use and in all territories in which we may wish to develop, test, or commercialize our technology and products in the future. As a result, we may not be able to prevent competitors from developing and commercializing competitive products in territories included in any or all of our licenses.</w:t>
      </w:r>
    </w:p>
    <w:p>
      <w:pPr>
        <w:spacing w:after="0" w:line="5" w:lineRule="exact"/>
        <w:rPr>
          <w:sz w:val="20"/>
          <w:szCs w:val="20"/>
          <w:color w:val="auto"/>
        </w:rPr>
      </w:pPr>
    </w:p>
    <w:p>
      <w:pPr>
        <w:ind w:left="380" w:right="2140"/>
        <w:spacing w:after="0" w:line="213" w:lineRule="auto"/>
        <w:rPr>
          <w:sz w:val="20"/>
          <w:szCs w:val="20"/>
          <w:color w:val="auto"/>
        </w:rPr>
      </w:pPr>
      <w:r>
        <w:rPr>
          <w:rFonts w:ascii="Arial" w:cs="Arial" w:eastAsia="Arial" w:hAnsi="Arial"/>
          <w:sz w:val="13"/>
          <w:szCs w:val="13"/>
          <w:color w:val="auto"/>
        </w:rPr>
        <w:t>Where we obtain licenses from, or collaborate with, third parties, in some circumstances we may not have the right to control the preparation, filing, prosecution, maintenance, enforcement and defense of patents and patent applications covering the technology that we license from, or that arises through collaboration with, such third parties, or such activities, if controlled by us, may require the input of such third parties. In some cases, patent prosecution (including preparation and filing) of our in-licensed intellectual property or of intellectual property developed through collaboration, is controlled solely by the licensor or collaborator. We may also require the agreement and/or cooperation of our licensors and collaborators to protect, enforce, utilize, or defend any in-licensed patent rights, and such agreement and/or cooperation may not be provided. Therefore, we cannot be certain that these patents and patent applications will be prepared, filed, prosecuted, maintained, protected, enforced or defended in a manner consistent with the best interests of our business. Any patents or patent applications that we in-license may be challenged, narrowed, circumvented, invalidated or held unenforceable, or our licensors may not properly maintain such patents or patent applications and they may expire. If our licensors fail to obtain, maintain, defend, protect or enforce the intellectual property we license from them, we could lose our rights to the intellectual property and our competitors could market competing products using the inventions in such intellectual property. In certain cases, we control the prosecution of patents included from in-licensed technology. In the event we breach any of our obligations related to such prosecution, we may incur significant liability to our collaborators. If we and our licensors or collaborators disagree over IP protection strategies for relevant technologies, disputes may arise, and we could lose access to or control over protection of technologies important to our business. If so, we may not be able to adequately protect our product(s)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69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400"/>
        <w:spacing w:after="0" w:line="215" w:lineRule="auto"/>
        <w:rPr>
          <w:sz w:val="20"/>
          <w:szCs w:val="20"/>
          <w:color w:val="auto"/>
        </w:rPr>
      </w:pPr>
      <w:r>
        <w:rPr>
          <w:rFonts w:ascii="Arial" w:cs="Arial" w:eastAsia="Arial" w:hAnsi="Arial"/>
          <w:sz w:val="13"/>
          <w:szCs w:val="13"/>
          <w:color w:val="auto"/>
        </w:rPr>
        <w:t>product candidates, including not being able to prevent a competitor or other third party from developing the same product(s) or product candidates for the same or a different use. Any of the foregoing could have a material adverse effect on our competitive position, business, financial conditions, results of operations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00"/>
        <w:spacing w:after="0" w:line="210" w:lineRule="auto"/>
        <w:rPr>
          <w:sz w:val="20"/>
          <w:szCs w:val="20"/>
          <w:color w:val="auto"/>
        </w:rPr>
      </w:pPr>
      <w:r>
        <w:rPr>
          <w:rFonts w:ascii="Arial" w:cs="Arial" w:eastAsia="Arial" w:hAnsi="Arial"/>
          <w:sz w:val="13"/>
          <w:szCs w:val="13"/>
          <w:color w:val="auto"/>
        </w:rPr>
        <w:t>Moreover, we may disagree from time to time with licensors or collaborators regarding, among other things, the interpretation of each party’s obligations or the amounts payable under our agreements. For example, we were in discussions with the University of Pennsylvania, or UPenn, and the National Institutes of Health, or the NIH, concerning royalties and other related amounts allegedly owed on sales of our COVID-19 vaccine since commercialization. UPenn subsequently filed suit against us in the U.S. District Court for the Eastern District of Pennsylvania in connection with this dispute. On December 20, 2024, we entered into a Settlement Agreement with the NIH pursuant to which we agreed, among other things, to pay $791.5 million to the NIH. On December 23, 2024, we entered into a binding Term Sheet with UPenn pursuant to which we agreed to enter into a separate settlement agreement with UPenn, which would provide, among other things, that we pay $400.0 million as royalties for calendar years 2020-2023 to UPenn. For more information regarding our settlement with the NIH and UPenn, see Note 12.2 of our consolidated financial statements included elsewhere in this Annual Report.</w:t>
      </w:r>
    </w:p>
    <w:p>
      <w:pPr>
        <w:spacing w:after="0" w:line="7" w:lineRule="exact"/>
        <w:rPr>
          <w:sz w:val="20"/>
          <w:szCs w:val="20"/>
          <w:color w:val="auto"/>
        </w:rPr>
      </w:pPr>
    </w:p>
    <w:p>
      <w:pPr>
        <w:ind w:left="380" w:right="2180"/>
        <w:spacing w:after="0" w:line="214" w:lineRule="auto"/>
        <w:rPr>
          <w:sz w:val="20"/>
          <w:szCs w:val="20"/>
          <w:color w:val="auto"/>
        </w:rPr>
      </w:pPr>
      <w:r>
        <w:rPr>
          <w:rFonts w:ascii="Arial" w:cs="Arial" w:eastAsia="Arial" w:hAnsi="Arial"/>
          <w:sz w:val="13"/>
          <w:szCs w:val="13"/>
          <w:color w:val="auto"/>
        </w:rPr>
        <w:t>If we are found to have failed to satisfy obligations or materially breached any of our agreements, such as licenses to third-party intellectual or any disagreements between us and our licensors, a licensor could potentially have the right or reason to terminate the license, to exercise the option of a non-exclusive license, which would allow our competitors to have access to the same intellectual property and technology licensed to us. Our existing license agreements impose, and we expect that future license agreements will impose, various diligence, milestone and royalty payment, exclusivity and other obligations on us. If we fail to comply with our obligations under these agreements, including royalty payments, or we are subject to a bankruptcy, the licensor may have the right to terminate the license agreement, in which event we would not be able to develop, market and commercialize product(s) or product candidates covered by the license agreement. In spite of our best efforts and even if we disagree, our licensors might still conclude that we have materially breached our license agreements and might therefore terminate the license agreements, thereby removing our ability to develop, test and commercialize the product(s) or product candidates covered by these license agreements. In the event that</w:t>
      </w:r>
    </w:p>
    <w:p>
      <w:pPr>
        <w:sectPr>
          <w:pgSz w:w="11900" w:h="16840" w:orient="portrait"/>
          <w:cols w:equalWidth="0" w:num="1">
            <w:col w:w="9020"/>
          </w:cols>
          <w:pgMar w:left="1440" w:top="1311" w:right="1440" w:bottom="43" w:gutter="0" w:footer="0" w:header="0"/>
        </w:sectPr>
      </w:pPr>
    </w:p>
    <w:bookmarkStart w:id="49" w:name="page50"/>
    <w:bookmarkEnd w:id="49"/>
    <w:p>
      <w:pPr>
        <w:ind w:left="380" w:right="2120"/>
        <w:spacing w:after="0" w:line="212" w:lineRule="auto"/>
        <w:rPr>
          <w:sz w:val="20"/>
          <w:szCs w:val="20"/>
          <w:color w:val="auto"/>
        </w:rPr>
      </w:pPr>
      <w:r>
        <w:rPr>
          <w:rFonts w:ascii="Arial" w:cs="Arial" w:eastAsia="Arial" w:hAnsi="Arial"/>
          <w:sz w:val="13"/>
          <w:szCs w:val="13"/>
          <w:color w:val="auto"/>
        </w:rPr>
        <w:t>any of our license agreements were to be terminated by the licensor, we may need to negotiate new or reinstated agreements, which may not be available to us on equally favorable terms, or at all. If these license agreements are rightfully terminated, or if the underlying patents or other intellectual property fail to provide the intended exclusivity, competitors would have the freedom to seek regulatory approval of, and to market and commercialize, products similar or identical to ours, and our licensors may be able to seek additional judicial remedies. In addition, we may seek to obtain additional licenses from our licensors and, in connection with obtaining such licenses, we may agree to amend our existing license agreements in a manner that may be more favorable to the licensors, including by agreeing to terms that could enable third parties (potentially including our competitors) to receive licenses to a portion of the intellectual property that is subject to our existing licenses. Failure to prevail with respect to any contractual disagreements could result in a material adverse effect on our competitive position, business, financial conditions, results of operations or prospects, particularly if discussions result in legal or other dispute resolution proceedings.</w:t>
      </w:r>
    </w:p>
    <w:p>
      <w:pPr>
        <w:spacing w:after="0" w:line="4"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We are generally also subject to all of the same risks with respect to protection of intellectual property that we license, as we are for intellectual property that we own, which are described in this section. If we, our co-owners or our licensors fail to adequately protect this intellectual property, our ability to develop, test, market and commercialize our product(s) or product candidates could suffer. Moreover, if disputes over intellectual property that we have in-licensed prevent or impair our ability to maintain our current licensing arrangements on commercially acceptable terms, we may be unable to successfully develop, test, market and commercialize the affected product(s) or product candidates, which could have a material adverse effect on our business, financial condition, results of operations and prospects.</w:t>
      </w:r>
    </w:p>
    <w:p>
      <w:pPr>
        <w:spacing w:after="0" w:line="5" w:lineRule="exact"/>
        <w:rPr>
          <w:sz w:val="20"/>
          <w:szCs w:val="20"/>
          <w:color w:val="auto"/>
        </w:rPr>
      </w:pPr>
    </w:p>
    <w:p>
      <w:pPr>
        <w:ind w:left="380" w:right="2100"/>
        <w:spacing w:after="0" w:line="225" w:lineRule="auto"/>
        <w:rPr>
          <w:sz w:val="20"/>
          <w:szCs w:val="20"/>
          <w:color w:val="auto"/>
        </w:rPr>
      </w:pPr>
      <w:r>
        <w:rPr>
          <w:rFonts w:ascii="Arial" w:cs="Arial" w:eastAsia="Arial" w:hAnsi="Arial"/>
          <w:sz w:val="13"/>
          <w:szCs w:val="13"/>
          <w:b w:val="1"/>
          <w:bCs w:val="1"/>
          <w:color w:val="005A64"/>
        </w:rPr>
        <w:t>Some of our in-licensed intellectual property has been discovered through government- funded programs and thus may be subject to federal regulations such as “march-in” rights and certain reporting requirements, and compliance with such regulations may limit our exclusive rights and our ability to contract with manufacturers.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70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line="212" w:lineRule="auto"/>
        <w:rPr>
          <w:sz w:val="20"/>
          <w:szCs w:val="20"/>
          <w:color w:val="auto"/>
        </w:rPr>
      </w:pPr>
      <w:r>
        <w:rPr>
          <w:rFonts w:ascii="Arial" w:cs="Arial" w:eastAsia="Arial" w:hAnsi="Arial"/>
          <w:sz w:val="13"/>
          <w:szCs w:val="13"/>
          <w:color w:val="auto"/>
        </w:rPr>
        <w:t>Certain intellectual property rights that have been in-licensed, including patent applications and patents that we in-license from the University of Pennsylvania, the Louisiana State University, the Broad Institute, the NIH, Genevant, and CellScript, have been generated through the use of U.S. government funding and are therefore subject to certain federal regulations. The U.S. government may have certain rights to intellectual property embodied in our current or future product candidates pursuant to the Bayh-Dole Act of 1980, or the Bayh -Dole Act. These U.S. government rights may include a non-exclusive, non -transferable, irrevocable worldwide license to use inventions covered by that Act for any governmental purpose. In addition, the U.S. government may have the right, under certain limited circumstances, to require the licensor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collectively referred to as “march-in rights”). The U.S. government may also have the right to take title to these inventions if the licensor fails to disclose the invention to the government or fails to file an application to register the intellectual property within specified time limits. Any exercise by the government of such rights could harm our competitive position, business, financial condition, results of operations and prospects. Intellectual property generated under a government-funded program is also subject to certain reporting requirements, compliance with which may require us to expend substantial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-1418590</wp:posOffset>
            </wp:positionV>
            <wp:extent cx="523113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20"/>
        <w:spacing w:after="0" w:line="210" w:lineRule="auto"/>
        <w:rPr>
          <w:sz w:val="20"/>
          <w:szCs w:val="20"/>
          <w:color w:val="auto"/>
        </w:rPr>
      </w:pPr>
      <w:r>
        <w:rPr>
          <w:rFonts w:ascii="Arial" w:cs="Arial" w:eastAsia="Arial" w:hAnsi="Arial"/>
          <w:sz w:val="13"/>
          <w:szCs w:val="13"/>
          <w:color w:val="auto"/>
        </w:rPr>
        <w:t>In addition, the U.S. government requires that any products embodying any such inventions or produced through the use of any such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We may not be able to obtain a waiver of this preference for U.S. industry, and this preference may limit our ability to contract with non-U.S. product manufacturers for products covered by such intellectual property. To the extent any of our owned or in-licensed future intellectual property is generated through the use of U.S. government funding, the provisions of the Bayh-Dole Act may similarly apply. If we or our licensors are unable to secure an exemption to these manufacturing requirements, if we comply with them, or if we are unable to comply with them, we may experience a material adverse effect on our competitive position, business, financial conditions, results of operations and prospects.</w:t>
      </w:r>
    </w:p>
    <w:p>
      <w:pPr>
        <w:spacing w:after="0" w:line="8"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b w:val="1"/>
          <w:bCs w:val="1"/>
          <w:color w:val="005A64"/>
        </w:rPr>
        <w:t>Our current proprietary position for certain products and product candidates depends upon our owned or in-licensed patent filings covering components, manufacturing-related methods, formulations and/or methods of use, which may not adequately prevent a competitor or other third party from using the same product candidate for the same or a different use.</w:t>
      </w:r>
    </w:p>
    <w:p>
      <w:pPr>
        <w:spacing w:after="0" w:line="2" w:lineRule="exact"/>
        <w:rPr>
          <w:sz w:val="20"/>
          <w:szCs w:val="20"/>
          <w:color w:val="auto"/>
        </w:rPr>
      </w:pPr>
    </w:p>
    <w:p>
      <w:pPr>
        <w:ind w:left="380" w:right="2100"/>
        <w:spacing w:after="0" w:line="213" w:lineRule="auto"/>
        <w:rPr>
          <w:sz w:val="20"/>
          <w:szCs w:val="20"/>
          <w:color w:val="auto"/>
        </w:rPr>
      </w:pPr>
      <w:r>
        <w:rPr>
          <w:rFonts w:ascii="Arial" w:cs="Arial" w:eastAsia="Arial" w:hAnsi="Arial"/>
          <w:sz w:val="13"/>
          <w:szCs w:val="13"/>
          <w:color w:val="auto"/>
        </w:rPr>
        <w:t>Composition of matter patent protection is generally considered to be desirable because it provides protection without regard to any particular method of use or manufacture or formulation. While we have pursued or obtained patent protection covering components of certain product candidates and tests, manufacturing-related methods, formulations and/or methods of use, we have not yet obtained patent protection for all components of certain product candidates and tests, manufacturing -related methods, formulations and/or methods of use. For instance, we do not currently have any claims in our owned or in- licensed issued U.S. patents that cover the overall construct used in our iNeST product candidates. We also cannot be certain that claims in any future patents issuing from our pending owned or in-licensed patent applications or our future owned or in-licensed patent applications will cover the composition of matter, tests, manufacturing- related methods, formulations and/ or methods of use of our current or future product candidates. Method of use patents protect the use of a product for the specified method and formulation patents cover formulations to deliver therapeutics. These types of patents do not prevent a competitor or other third party from developing, testing, marketing or commercializing a similar or identical product for an indication that is outside the scope of the patented method or from developing a different formulation that is outside the scope of the patented formulation. Moreover, with respect to method of use patents, even if competitors or other third parties do not actively promote their product for our targeted indications or uses for which we may obtain patents, physicians may recommend that patients use these products off- label, or patients may do so themselves. Although off-label use may infringe or contribute to the infringement of method of use patents, the practice is common and this type of infringement is difficult to prevent</w:t>
      </w:r>
    </w:p>
    <w:p>
      <w:pPr>
        <w:sectPr>
          <w:pgSz w:w="11900" w:h="16840" w:orient="portrait"/>
          <w:cols w:equalWidth="0" w:num="1">
            <w:col w:w="9020"/>
          </w:cols>
          <w:pgMar w:left="1440" w:top="560" w:right="1440"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71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20" w:lineRule="auto"/>
        <w:rPr>
          <w:sz w:val="20"/>
          <w:szCs w:val="20"/>
          <w:color w:val="auto"/>
        </w:rPr>
      </w:pPr>
      <w:r>
        <w:rPr>
          <w:rFonts w:ascii="Arial" w:cs="Arial" w:eastAsia="Arial" w:hAnsi="Arial"/>
          <w:sz w:val="13"/>
          <w:szCs w:val="13"/>
          <w:color w:val="auto"/>
        </w:rPr>
        <w:t>or enforce. Consequently, we may not be able to prevent third parties from practicing our inventions in the United States or abroad.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380"/>
        <w:spacing w:after="0" w:line="210" w:lineRule="auto"/>
        <w:rPr>
          <w:sz w:val="20"/>
          <w:szCs w:val="20"/>
          <w:color w:val="auto"/>
        </w:rPr>
      </w:pPr>
      <w:r>
        <w:rPr>
          <w:rFonts w:ascii="Arial" w:cs="Arial" w:eastAsia="Arial" w:hAnsi="Arial"/>
          <w:sz w:val="13"/>
          <w:szCs w:val="13"/>
          <w:b w:val="1"/>
          <w:bCs w:val="1"/>
          <w:color w:val="005A64"/>
        </w:rPr>
        <w:t>Intellectual property rights of third parties could adversely affect our ability to commercialize our product(s) and product candidates, and we might be required to litigate or obtain licenses from third parties in order to develop, test or market our product(s) and product candidates.</w:t>
      </w:r>
    </w:p>
    <w:p>
      <w:pPr>
        <w:spacing w:after="0" w:line="2"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Because our products and product candidates are still in early stages of development, testing or commercialization, and one or more features of the products or product candidates, or related technologies such as their manufacture, formulation, testing or use, may still change, we cannot be confident that we are aware of all third-party intellectual property that might be relevant to products that we eventually hope to commercialize. Furthermore, even if all aspects of our product(s) or product candidates, or of other technology, were known, it is possible that third-party intellectual property, which may or may not currently be public, could develop in a manner (for example, through issuance of additional patents) that could impede our ability to make or use relevant products or product candidates, or other technology. Various third- party competitors practice in relevant spaces, and may have issued patents, or patent applications that will issue as patents in the future, that will impede or preclude our ability to commercialize products. Furthermore, while U.S. patent laws provide a “safe harbor” to our clinical product candidates under 35 U.S.C. § 271(e)(1), which exempts from patent infringement activities related to pursuing FDA approval for a drug product, that exemption expires when an NDA or BLA is submitted. Accordingly, after such submission (including for certain formulations of our COVID-19 vaccine), the 271(e)(1) safe harbor may no longer provide the same level of protection from third party patent infringement claims for that product. We may become exposed to lawsuits from third parties who consider our COVID-19 vaccine to infringe their patents. More generally, given the uncertainty of clinical trials, we cannot be certain of the timing of their completion and it is possible that we might want to submit an NDA or BLA at a time when one or more relevant third-party patents is in force. Thus, it is possible that at the time that we commercialize our product candidates, one or more third parties may have issued patent claims that cover such products or critical features of their production, testing or use. We may not be able to commercialize our products if patents issued to third parties or other third-party intellectual property rights cover, or may be alleged to cover, our products or elements thereof, or their methods of manufacture, testing or use at the time that we seek to commercialize them. In such cases, we may not be in a position to develop, test or commercialize product candidates unless we successfully pursue litigation to nullify or invalidate the third -party intellectual property right concerned, successfully design around their claims, or enter into a license agreement with the intellectual property right holder(s) . Such litigation or licenses could be costly, licenses could not be available on commercially reasonable terms or at all, and design-around could be prohibitively expensive or impossible.</w:t>
      </w:r>
    </w:p>
    <w:p>
      <w:pPr>
        <w:spacing w:after="0" w:line="16"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Additionally, with respect to our products, product candidates and related technologies that may play a role in addressing a pandemic or other public health emergency, it is unclear whether governments around the world will protect vaccine manufacturers for liability from infringement of third party intellectual property, at least during the period of such public health emergency. Thus, it is possible that third parties may assert intellectual property rights against us relating to our COVID-19 vaccine, and that we will not be successful in arguing that commercialization of our COVID-19 vaccine is exempted from infringement and/or liability for infringement (for example, under 35 U.S.C. § 271(e)(1), discussed above, or under the Public Readiness and Emergency Preparedness Act, or the PREP Act, etc.). Furthermore, even if such commercialization was deemed protected from infringement during the period of the pandemic crisis, now that various global and U.S. agencies have declared an end to the global COVID-19 public health emergency, any such exemption may be terminated so that continuing commercialization could expose us to liability, and might even be precluded if third party(ies) who hold relevant intellectual property rights are able to secure injunction(s) or are unwilling to license to us on commercially feasible terms.</w:t>
      </w:r>
    </w:p>
    <w:p>
      <w:pPr>
        <w:spacing w:after="0" w:line="8" w:lineRule="exact"/>
        <w:rPr>
          <w:sz w:val="20"/>
          <w:szCs w:val="20"/>
          <w:color w:val="auto"/>
        </w:rPr>
      </w:pPr>
    </w:p>
    <w:p>
      <w:pPr>
        <w:ind w:left="380" w:right="2120"/>
        <w:spacing w:after="0" w:line="218" w:lineRule="auto"/>
        <w:rPr>
          <w:sz w:val="20"/>
          <w:szCs w:val="20"/>
          <w:color w:val="auto"/>
        </w:rPr>
      </w:pPr>
      <w:r>
        <w:rPr>
          <w:rFonts w:ascii="Arial" w:cs="Arial" w:eastAsia="Arial" w:hAnsi="Arial"/>
          <w:sz w:val="13"/>
          <w:szCs w:val="13"/>
          <w:color w:val="auto"/>
        </w:rPr>
        <w:t>It is also possible that we have failed to identify relevant third-party patents that cover, or applications that will mature into patents that cover, one or more aspects of our platform or product(s) and product candidates. Given that, in most jurisdictions, a patent application is confidential when initially filed, and typically remains so until it is published about 18 months after the initial filing, it may not be possible for us to identify certain relevant filings in time to avoid using the technology that they claim. Additionally, the claims of pending patent applications can, subject to certain limitations, be amended over time, so that even patent applications whose claims did not cover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72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380"/>
        <w:spacing w:after="0" w:line="220" w:lineRule="auto"/>
        <w:rPr>
          <w:sz w:val="20"/>
          <w:szCs w:val="20"/>
          <w:color w:val="auto"/>
        </w:rPr>
      </w:pPr>
      <w:r>
        <w:rPr>
          <w:rFonts w:ascii="Arial" w:cs="Arial" w:eastAsia="Arial" w:hAnsi="Arial"/>
          <w:sz w:val="13"/>
          <w:szCs w:val="13"/>
          <w:color w:val="auto"/>
        </w:rPr>
        <w:t>our products or activities when published could be amended to cover one or more aspects of our platform or product candidates over time, and we might not be aware that such amendment had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40"/>
        <w:spacing w:after="0" w:line="210" w:lineRule="auto"/>
        <w:rPr>
          <w:sz w:val="20"/>
          <w:szCs w:val="20"/>
          <w:color w:val="auto"/>
        </w:rPr>
      </w:pPr>
      <w:r>
        <w:rPr>
          <w:rFonts w:ascii="Arial" w:cs="Arial" w:eastAsia="Arial" w:hAnsi="Arial"/>
          <w:sz w:val="13"/>
          <w:szCs w:val="13"/>
          <w:b w:val="1"/>
          <w:bCs w:val="1"/>
          <w:color w:val="005A64"/>
        </w:rPr>
        <w:t>We may be involved in lawsuits or other legal proceedings to protect or enforce our intellectual property or the intellectual property of our licensors, or to defend against third-party claims that we infringe, misappropriate or otherwise violate such third party’s intellectual property, each of which could be expensive, time consuming and unsuccessful.</w:t>
      </w:r>
    </w:p>
    <w:p>
      <w:pPr>
        <w:spacing w:after="0" w:line="2" w:lineRule="exact"/>
        <w:rPr>
          <w:sz w:val="20"/>
          <w:szCs w:val="20"/>
          <w:color w:val="auto"/>
        </w:rPr>
      </w:pPr>
    </w:p>
    <w:p>
      <w:pPr>
        <w:ind w:left="380" w:right="2220"/>
        <w:spacing w:after="0" w:line="210" w:lineRule="auto"/>
        <w:rPr>
          <w:sz w:val="20"/>
          <w:szCs w:val="20"/>
          <w:color w:val="auto"/>
        </w:rPr>
      </w:pPr>
      <w:r>
        <w:rPr>
          <w:rFonts w:ascii="Arial" w:cs="Arial" w:eastAsia="Arial" w:hAnsi="Arial"/>
          <w:sz w:val="13"/>
          <w:szCs w:val="13"/>
          <w:color w:val="auto"/>
        </w:rPr>
        <w:t>There is a substantial amount of litigation, both within and outside the United States, involving patent and other intellectual property rights in the biotechnology and pharmaceutical industries, including patent infringement lawsuits, interferences, oppositions, ex parte reexaminations, post -grant review, and inter partes review proceedings before the USPTO and corresponding European and other non-U.S. patent offices.</w:t>
      </w:r>
    </w:p>
    <w:p>
      <w:pPr>
        <w:spacing w:after="0" w:line="2"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Competitors and other third parties may infringe, misappropriate or otherwise violate our intellectual property rights or those of our licensors. To prevent infringement, misappropriation or other unauthorized use, we may be required to file claims, which can be expensive and time-consuming. In certain instances, we have instituted and may in the future institute inter partes review proceedings against issued U.S. patents and opposition proceedings against European patents owned by third parties. We have a number of opposition proceedings ongoing at the EPO against third-party patents related to mRNA technologies. As the biotechnology and pharmaceutical industries expand and more patents are issued, the risk increases that our products, product candidates and services may be subject to claims of infringement of the patent rights of third parties.</w:t>
      </w:r>
    </w:p>
    <w:p>
      <w:pPr>
        <w:spacing w:after="0" w:line="5" w:lineRule="exact"/>
        <w:rPr>
          <w:sz w:val="20"/>
          <w:szCs w:val="20"/>
          <w:color w:val="auto"/>
        </w:rPr>
      </w:pPr>
    </w:p>
    <w:p>
      <w:pPr>
        <w:ind w:left="380" w:right="2100"/>
        <w:spacing w:after="0" w:line="226" w:lineRule="auto"/>
        <w:rPr>
          <w:sz w:val="20"/>
          <w:szCs w:val="20"/>
          <w:color w:val="auto"/>
        </w:rPr>
      </w:pPr>
      <w:r>
        <w:rPr>
          <w:rFonts w:ascii="Arial" w:cs="Arial" w:eastAsia="Arial" w:hAnsi="Arial"/>
          <w:sz w:val="13"/>
          <w:szCs w:val="13"/>
          <w:color w:val="auto"/>
        </w:rPr>
        <w:t>In addition, in a patent infringement proceeding, our owned or in-licensed patents may be challenged and a court may decide that a patent we own or in-license is not valid, is unenforceable and/or is not infringed. If we or any of our potential future collaborators were to initiate legal proceedings against a third party to enforce a patent</w:t>
      </w:r>
    </w:p>
    <w:p>
      <w:pPr>
        <w:sectPr>
          <w:pgSz w:w="11900" w:h="16840" w:orient="portrait"/>
          <w:cols w:equalWidth="0" w:num="1">
            <w:col w:w="9020"/>
          </w:cols>
          <w:pgMar w:left="1440" w:top="1440" w:right="1440" w:bottom="28" w:gutter="0" w:footer="0" w:header="0"/>
        </w:sectPr>
      </w:pPr>
    </w:p>
    <w:bookmarkStart w:id="51" w:name="page52"/>
    <w:bookmarkEnd w:id="51"/>
    <w:p>
      <w:pPr>
        <w:ind w:left="380" w:right="2100"/>
        <w:spacing w:after="0" w:line="212" w:lineRule="auto"/>
        <w:rPr>
          <w:sz w:val="20"/>
          <w:szCs w:val="20"/>
          <w:color w:val="auto"/>
        </w:rPr>
      </w:pPr>
      <w:r>
        <w:rPr>
          <w:rFonts w:ascii="Arial" w:cs="Arial" w:eastAsia="Arial" w:hAnsi="Arial"/>
          <w:sz w:val="13"/>
          <w:szCs w:val="13"/>
          <w:color w:val="auto"/>
        </w:rPr>
        <w:t>directed at one of our product(s) and/or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novelty, non-obviousness, enablement or written description.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Similar mechanisms for challenging the validity and enforceability of a patent exist in ex- U.S. patent offices and may result in the revocation, cancellation or amendment of any ex-U.S. patents we hold in the future. The outcome following legal assertions of invalidity and unenforceability is unpredictable, and prior art could render our patents or those of our licensors invalid. If a defendant were to prevail on a legal assertion of invalidity and/or unenforceability, we could lose at least part, and perhaps all, of the patent protection on a product and/or product candidate. Such a loss of patent protection would have a material adverse impact on our competitive position, business, financial conditions, results of operations and prospects.</w:t>
      </w:r>
    </w:p>
    <w:p>
      <w:pPr>
        <w:spacing w:after="0" w:line="3" w:lineRule="exact"/>
        <w:rPr>
          <w:sz w:val="20"/>
          <w:szCs w:val="20"/>
          <w:color w:val="auto"/>
        </w:rPr>
      </w:pPr>
    </w:p>
    <w:p>
      <w:pPr>
        <w:ind w:left="380" w:right="2100"/>
        <w:spacing w:after="0" w:line="213" w:lineRule="auto"/>
        <w:rPr>
          <w:sz w:val="20"/>
          <w:szCs w:val="20"/>
          <w:color w:val="auto"/>
        </w:rPr>
      </w:pPr>
      <w:r>
        <w:rPr>
          <w:rFonts w:ascii="Arial" w:cs="Arial" w:eastAsia="Arial" w:hAnsi="Arial"/>
          <w:sz w:val="13"/>
          <w:szCs w:val="13"/>
          <w:color w:val="auto"/>
        </w:rPr>
        <w:t xml:space="preserve">Third parties, including our competitors to non-practicing entities or patent assertion entities, may assert that we are employing their intellectual property and other proprietary technology without authorization. There may be third-party patents or patent applications with claims to materials, formulations, testing, methods of manufacture or methods for treatment related to the use, development, testing, manufacture or commercialization of our COVID-19 vaccine or product candidates. For example, BioNTech SE and certain of our wholly owned subsidiaries are defendants in litigations initiated by CureVac, Alnylam, Moderna, Arbutus, Genevant, GSK, and Promosome regarding </w:t>
      </w:r>
      <w:r>
        <w:rPr>
          <w:rFonts w:ascii="Arial" w:cs="Arial" w:eastAsia="Arial" w:hAnsi="Arial"/>
          <w:sz w:val="13"/>
          <w:szCs w:val="13"/>
          <w:i w:val="1"/>
          <w:iCs w:val="1"/>
          <w:color w:val="auto"/>
        </w:rPr>
        <w:t>Comirnaty</w:t>
      </w:r>
      <w:r>
        <w:rPr>
          <w:rFonts w:ascii="Arial" w:cs="Arial" w:eastAsia="Arial" w:hAnsi="Arial"/>
          <w:sz w:val="13"/>
          <w:szCs w:val="13"/>
          <w:color w:val="auto"/>
        </w:rPr>
        <w:t>. See “Legal Proceedings” in this Annual Report. As patent applications can take many years to issue, there may be currently pending patent applications which may later result in issued patents that our product(s) and/or product candidates may infringe. In addition, third parties may obtain patents in the future and claim that our technologies infringe upon these patents. If any third-party patents were held by a court of competent jurisdiction to cover the testing or manufacturing processes of any of our product(s) and/or product candidates, any molecules formed during the testing and manufacturing processes or any final product itself, the holders of any such patents may obtain injunctive or other equitable relief, which could effectively block our ability to develop, test and commercialize such product and/or product candidate unless we obtained a license under the applicable patents, or until such patents expire. Similarly, if any third- party patents were held by a court of competent jurisdiction to cover aspects of our formulations, processes for testing or manufacture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73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5" w:lineRule="auto"/>
        <w:rPr>
          <w:sz w:val="20"/>
          <w:szCs w:val="20"/>
          <w:color w:val="auto"/>
        </w:rPr>
      </w:pPr>
      <w:r>
        <w:rPr>
          <w:rFonts w:ascii="Arial" w:cs="Arial" w:eastAsia="Arial" w:hAnsi="Arial"/>
          <w:sz w:val="13"/>
          <w:szCs w:val="13"/>
          <w:color w:val="auto"/>
        </w:rPr>
        <w:t>methods of use, including combination therapy, the holders of any such patents may be able to block our ability to develop, test and commercialize the applicable product and/or product candidate unless we obtained a license or until such patent expires. In either case, such a license may not be available on commercially reasonable terms, or at all, or may be non-exclusive.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intellectual property and technology. Our defense of litigation, interference, derivation or similar proceedings may fail and, even if successful, may result in substantial costs and distract our management, technical personnel and other employees. In addition, the uncertainties associated with litigation could have a material adverse effect on our ability to raise the funds we need to continue our clinical trials and research programs, to license necessary technology from third parties or to enter into development or manufacturing collaborations that would help us bring our product(s) and/or product candidates to market.</w:t>
      </w:r>
    </w:p>
    <w:p>
      <w:pPr>
        <w:spacing w:after="0" w:line="7" w:lineRule="exact"/>
        <w:rPr>
          <w:sz w:val="20"/>
          <w:szCs w:val="20"/>
          <w:color w:val="auto"/>
        </w:rPr>
      </w:pPr>
    </w:p>
    <w:p>
      <w:pPr>
        <w:ind w:left="380" w:right="2100"/>
        <w:spacing w:after="0" w:line="237" w:lineRule="auto"/>
        <w:rPr>
          <w:sz w:val="20"/>
          <w:szCs w:val="20"/>
          <w:color w:val="auto"/>
        </w:rPr>
      </w:pPr>
      <w:r>
        <w:rPr>
          <w:rFonts w:ascii="Arial" w:cs="Arial" w:eastAsia="Arial" w:hAnsi="Arial"/>
          <w:sz w:val="13"/>
          <w:szCs w:val="13"/>
          <w:color w:val="auto"/>
        </w:rPr>
        <w:t>Even if resolved in our favor, litigation or other legal proceedings relating to our intellectual property rights may cause us to incur significant expenses, and could distract our management, technical personnel and other employees from their normal responsibilities.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such proceedings more effectively than we can because of their greater resources in one or more aspects, or for other reasons. Uncertainties resulting from the initiation and continuation of patent litigation or other proceedings could compromise our ability to compete in the marketplace.</w:t>
      </w:r>
    </w:p>
    <w:p>
      <w:pPr>
        <w:spacing w:after="0" w:line="2"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In the event of a successful claim of infringement, misappropriation or other violation against us, we may have to pay substantial damages, including treble damages and attorneys’ fees for willful infringement, pay royalties, redesign our infringing products, or obtain one or more licenses from third parties, which may not be made available on commercially favorable terms, if at all, or may require substantial time and expense.</w:t>
      </w:r>
    </w:p>
    <w:p>
      <w:pPr>
        <w:spacing w:after="0" w:line="2" w:lineRule="exact"/>
        <w:rPr>
          <w:sz w:val="20"/>
          <w:szCs w:val="20"/>
          <w:color w:val="auto"/>
        </w:rPr>
      </w:pPr>
    </w:p>
    <w:p>
      <w:pPr>
        <w:ind w:left="380" w:right="2260"/>
        <w:spacing w:after="0" w:line="210" w:lineRule="auto"/>
        <w:rPr>
          <w:sz w:val="20"/>
          <w:szCs w:val="20"/>
          <w:color w:val="auto"/>
        </w:rPr>
      </w:pPr>
      <w:r>
        <w:rPr>
          <w:rFonts w:ascii="Arial" w:cs="Arial" w:eastAsia="Arial" w:hAnsi="Arial"/>
          <w:sz w:val="13"/>
          <w:szCs w:val="13"/>
          <w:color w:val="auto"/>
        </w:rPr>
        <w:t>Such licenses are likely to be non-exclusive and, therefore, our competitors may have access to the same intellectual property and technology licensed to us. If we fail to obtain a required license and are unable to design around a patent, we may be unable to effectively market some of our technology and product(s) and/or product candidates, which could limit our ability to generate revenues or achieve or maintain profitability and possibly prevent us from generating revenue sufficient to sustain our operations. Moreover, certain of our collaborations provide, and we expect additional collaborations to provide, that royalties payable to us for licenses to our intellectual property may be offset by amounts paid by our collaborators to third parties for licenses to such third parties’ intellectual property in the relevant fields, which could result in significant reductions in our revenues from products developed through collaborations.</w:t>
      </w:r>
    </w:p>
    <w:p>
      <w:pPr>
        <w:spacing w:after="0" w:line="5"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In addition, in connection with certain license and collaboration agreements, we have agreed to indemnify certain third parties for certain costs incurred in connection with litigation relating to intellectual property rights or the subject matter of the agreements. The cost to us of any litigation or other proceeding relating to intellectual property rights, even if resolved in our favor, could be substantial.</w:t>
      </w:r>
    </w:p>
    <w:p>
      <w:pPr>
        <w:spacing w:after="0" w:line="2" w:lineRule="exact"/>
        <w:rPr>
          <w:sz w:val="20"/>
          <w:szCs w:val="20"/>
          <w:color w:val="auto"/>
        </w:rPr>
      </w:pPr>
    </w:p>
    <w:p>
      <w:pPr>
        <w:ind w:left="380" w:right="2140"/>
        <w:spacing w:after="0" w:line="218" w:lineRule="auto"/>
        <w:rPr>
          <w:sz w:val="20"/>
          <w:szCs w:val="20"/>
          <w:color w:val="auto"/>
        </w:rPr>
      </w:pPr>
      <w:r>
        <w:rPr>
          <w:rFonts w:ascii="Arial" w:cs="Arial" w:eastAsia="Arial" w:hAnsi="Arial"/>
          <w:sz w:val="13"/>
          <w:szCs w:val="13"/>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in any litigation or other intellectual property proceedings. If securities analysts or investors perceive these results to be negative, the price of the ADSs representing our ordinary shares could decline.</w:t>
      </w:r>
    </w:p>
    <w:p>
      <w:pPr>
        <w:sectPr>
          <w:pgSz w:w="11900" w:h="16840" w:orient="portrait"/>
          <w:cols w:equalWidth="0" w:num="1">
            <w:col w:w="9020"/>
          </w:cols>
          <w:pgMar w:left="1440" w:top="560" w:right="1440"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74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jc w:val="both"/>
        <w:ind w:left="380" w:right="2360"/>
        <w:spacing w:after="0" w:line="217" w:lineRule="auto"/>
        <w:rPr>
          <w:sz w:val="20"/>
          <w:szCs w:val="20"/>
          <w:color w:val="auto"/>
        </w:rPr>
      </w:pPr>
      <w:r>
        <w:rPr>
          <w:rFonts w:ascii="Arial" w:cs="Arial" w:eastAsia="Arial" w:hAnsi="Arial"/>
          <w:sz w:val="13"/>
          <w:szCs w:val="13"/>
          <w:color w:val="auto"/>
        </w:rPr>
        <w:t>Obtaining and maintaining our patent protection depends on compliance with various procedural, document submission, fee payment and other requirements imposed by governmental patent agencies, and our patent protection could be reduced or eliminated for non- compliance with these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80"/>
        <w:spacing w:after="0" w:line="210" w:lineRule="auto"/>
        <w:rPr>
          <w:sz w:val="20"/>
          <w:szCs w:val="20"/>
          <w:color w:val="auto"/>
        </w:rPr>
      </w:pPr>
      <w:r>
        <w:rPr>
          <w:rFonts w:ascii="Arial" w:cs="Arial" w:eastAsia="Arial" w:hAnsi="Arial"/>
          <w:sz w:val="13"/>
          <w:szCs w:val="13"/>
          <w:color w:val="auto"/>
        </w:rPr>
        <w:t>Periodic maintenance fees, renewal fees, annuity fees, and various other governmental fees on patents and applications will be due to be paid to the USPTO and various governmental patent agencies outside of the United States in several stages over the lifetime of the patents or applications. We have systems in place to remind us to pay these fees and we employ an outside firm and rely on our outside counsel to pay these fees due to non-U.S. patent agencies; however, we cannot guarantee that we will successfully pay these fees.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We are also dependent on our licensors to take the necessary action to comply with these requirements with respect to our in-licensed intellectual property, and we cannot guarantee that they will do so. In such an event, our competitors might be able to enter the market with similar or identical products or technology, and this would have a material adverse impact on our business, financial condition, results of operations and prospects.</w:t>
      </w:r>
    </w:p>
    <w:p>
      <w:pPr>
        <w:spacing w:after="0" w:line="9" w:lineRule="exact"/>
        <w:rPr>
          <w:sz w:val="20"/>
          <w:szCs w:val="20"/>
          <w:color w:val="auto"/>
        </w:rPr>
      </w:pPr>
    </w:p>
    <w:p>
      <w:pPr>
        <w:ind w:left="380" w:right="2300"/>
        <w:spacing w:after="0" w:line="210" w:lineRule="auto"/>
        <w:rPr>
          <w:sz w:val="20"/>
          <w:szCs w:val="20"/>
          <w:color w:val="auto"/>
        </w:rPr>
      </w:pPr>
      <w:r>
        <w:rPr>
          <w:rFonts w:ascii="Arial" w:cs="Arial" w:eastAsia="Arial" w:hAnsi="Arial"/>
          <w:sz w:val="13"/>
          <w:szCs w:val="13"/>
          <w:b w:val="1"/>
          <w:bCs w:val="1"/>
          <w:color w:val="005A64"/>
        </w:rPr>
        <w:t>Changes in patent law in the United States or in other countries could diminish the value of patents in general, thereby impairing our ability to protect our products.</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As is the case with other biotechnology companies, our success is heavily dependent on our intellectual property rights, particularly patents that we own and in-license. Obtaining and enforcing patents in the biotechnology industry involve both technological and legal complexity, and therefore obtaining and enforcing biotechnology patents is costly, time-consuming and inherently uncertain. Moreover, there are periodic changes in patent law. For example, after March 2013, under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have affected the way patent applications are prosecuted and also affect patent litigation. Such legislation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7"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In addition, decisions by courts and governmental bodies in the United States and other jurisdictions may affect the value of patent applications, issued patents or other intellectual property that we own or in-license. For example,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the USPTO and other administrative agencies, and their equivalents in other jurisdictions, the laws and regulations governing patents could change in unpredictable ways that could have a material adverse effect on our existing patent portfolio and our ability to obtain, maintain, protect, defend or enforce our intellectual property in the future.</w:t>
      </w:r>
    </w:p>
    <w:p>
      <w:pPr>
        <w:spacing w:after="0" w:line="6"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b w:val="1"/>
          <w:bCs w:val="1"/>
          <w:color w:val="005A64"/>
        </w:rPr>
        <w:t>If we are unable to protect the confidentiality of our trade secrets, our business and competitive position would be harmed.</w:t>
      </w:r>
    </w:p>
    <w:p>
      <w:pPr>
        <w:spacing w:after="0" w:line="1" w:lineRule="exact"/>
        <w:rPr>
          <w:sz w:val="20"/>
          <w:szCs w:val="20"/>
          <w:color w:val="auto"/>
        </w:rPr>
      </w:pPr>
    </w:p>
    <w:p>
      <w:pPr>
        <w:ind w:left="380" w:right="2200"/>
        <w:spacing w:after="0" w:line="222" w:lineRule="auto"/>
        <w:rPr>
          <w:sz w:val="20"/>
          <w:szCs w:val="20"/>
          <w:color w:val="auto"/>
        </w:rPr>
      </w:pPr>
      <w:r>
        <w:rPr>
          <w:rFonts w:ascii="Arial" w:cs="Arial" w:eastAsia="Arial" w:hAnsi="Arial"/>
          <w:sz w:val="13"/>
          <w:szCs w:val="13"/>
          <w:color w:val="auto"/>
        </w:rPr>
        <w:t>In addition to seeking patent protection for some of our technology, product(s) and product candidates, we also seek to rely on trade secret protection and confidentiality agreements to maintain our competitive position and protect proprietary know-how that is not patentable, processes for which patents are difficult to enforce and any other elements of our product discovery development, testing, manufacturing and commercialization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75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420"/>
        <w:spacing w:after="0" w:line="220" w:lineRule="auto"/>
        <w:rPr>
          <w:sz w:val="20"/>
          <w:szCs w:val="20"/>
          <w:color w:val="auto"/>
        </w:rPr>
      </w:pPr>
      <w:r>
        <w:rPr>
          <w:rFonts w:ascii="Arial" w:cs="Arial" w:eastAsia="Arial" w:hAnsi="Arial"/>
          <w:sz w:val="13"/>
          <w:szCs w:val="13"/>
          <w:color w:val="auto"/>
        </w:rPr>
        <w:t>that involve proprietary know-how, information or technology that is not covered by patents. However, trade secrets and know-how may be difficult to protect.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4" w:lineRule="auto"/>
        <w:rPr>
          <w:sz w:val="20"/>
          <w:szCs w:val="20"/>
          <w:color w:val="auto"/>
        </w:rPr>
      </w:pPr>
      <w:r>
        <w:rPr>
          <w:rFonts w:ascii="Arial" w:cs="Arial" w:eastAsia="Arial" w:hAnsi="Arial"/>
          <w:sz w:val="13"/>
          <w:szCs w:val="13"/>
          <w:color w:val="auto"/>
        </w:rPr>
        <w:t>We seek to protect these trade secrets, know-how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and require all of our employees and key consultants who have access to our trade secrets, proprietary know-how, information or technology to enter into confidentiality agreements. We cannot guarantee that we have entered into such agreements with each party that may have or have had access to our trade secrets or proprietary technology and processes. To the extent we become involved in litigation that may require discovery of our trade secrets, know-how and other proprietary technology, we seek to secure protective orders from the court that bind the parties with access to the discovered information. Despite our best efforts, we cannot be certain that our trade secrets and other confidential proprietary information will not be disclosed or that competitors will not otherwise gain access to our trade secrets or independently develop substantially equivalent</w:t>
      </w:r>
    </w:p>
    <w:p>
      <w:pPr>
        <w:sectPr>
          <w:pgSz w:w="11900" w:h="16840" w:orient="portrait"/>
          <w:cols w:equalWidth="0" w:num="1">
            <w:col w:w="9020"/>
          </w:cols>
          <w:pgMar w:left="1440" w:top="1440" w:right="1440" w:bottom="23" w:gutter="0" w:footer="0" w:header="0"/>
        </w:sectPr>
      </w:pPr>
    </w:p>
    <w:bookmarkStart w:id="53" w:name="page54"/>
    <w:bookmarkEnd w:id="53"/>
    <w:p>
      <w:pPr>
        <w:ind w:left="380" w:right="2160"/>
        <w:spacing w:after="0" w:line="212" w:lineRule="auto"/>
        <w:rPr>
          <w:sz w:val="20"/>
          <w:szCs w:val="20"/>
          <w:color w:val="auto"/>
        </w:rPr>
      </w:pPr>
      <w:r>
        <w:rPr>
          <w:rFonts w:ascii="Arial" w:cs="Arial" w:eastAsia="Arial" w:hAnsi="Arial"/>
          <w:sz w:val="13"/>
          <w:szCs w:val="13"/>
          <w:color w:val="auto"/>
        </w:rPr>
        <w:t>information and techniques. Any of these parties who may have access to our trade secrets, know-how and other proprietary technology may breach such agreements or orders. For example, a former employee of our COVID-19 vaccine collaborator, Pfizer, has reportedly misappropriated trade secrets on our COVID -19 vaccine. We may not be able to obtain adequate remedies for such breaches. Enforcing a claim that a party illegally disclosed or misappropriated a trade secret or know-how is difficult, expensive and time -consuming, and the outcome is unpredictable. In addition, some courts inside and outside the United States are less willing or unwilling to protect trade secrets and know-how. In addition, we cannot be certain that our proprietary technical information and related confidential documents that we have shared with our collaborators and/or have submitted to governmental agencies including regulatory agencies for evaluation and supervision of pharmaceutical products will be kept confidential. For example, certain documents relating to our COVID -19 vaccine were unlawfully accessed after a cyberattack on the EMA in December 2020. If any of our trade secrets or know-how were to be lawfully obtained or independently developed by a competitor or other third party, we would have no right to prevent them from using that technology or information to compete with us. If we are unable to prevent unauthorized material disclosure of our intellectual property to third parties, we may not be able to establish or maintain a competitive advantage in our market, which could materially adversely affect our business, operating results, financial condition and prospects.</w:t>
      </w:r>
    </w:p>
    <w:p>
      <w:pPr>
        <w:spacing w:after="0" w:line="2" w:lineRule="exact"/>
        <w:rPr>
          <w:sz w:val="20"/>
          <w:szCs w:val="20"/>
          <w:color w:val="auto"/>
        </w:rPr>
      </w:pPr>
    </w:p>
    <w:p>
      <w:pPr>
        <w:ind w:left="380" w:right="2260"/>
        <w:spacing w:after="0" w:line="210" w:lineRule="auto"/>
        <w:rPr>
          <w:sz w:val="20"/>
          <w:szCs w:val="20"/>
          <w:color w:val="auto"/>
        </w:rPr>
      </w:pPr>
      <w:r>
        <w:rPr>
          <w:rFonts w:ascii="Arial" w:cs="Arial" w:eastAsia="Arial" w:hAnsi="Arial"/>
          <w:sz w:val="13"/>
          <w:szCs w:val="13"/>
          <w:b w:val="1"/>
          <w:bCs w:val="1"/>
          <w:color w:val="005A64"/>
        </w:rPr>
        <w:t>We may be subject to claims that we have wrongfully hired an employee from a competitor, or that our employees, consultants or independent contractors have wrongfully used or disclosed confidential information of third parties, including alleged trade secrets of their former employers.</w:t>
      </w:r>
    </w:p>
    <w:p>
      <w:pPr>
        <w:spacing w:after="0" w:line="2"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We have received confidential and proprietary information from third parties in the course of our research and other collaborations with others in the industry, academic institutions and other third parties. In addition, many of our employees, consultants and advisors are currently or were previously employed at universities or other biotechnology or pharmaceutical companies, including our competitors or potential competitors. Although 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 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technical personnel and other employees. Claims that we or our employees, consultants or advisors have misappropriated the confidential or proprietary information, trade secrets or know-how of third parties could have a material adverse effect on our business, financial condition, results of operations and prospects.</w:t>
      </w:r>
    </w:p>
    <w:p>
      <w:pPr>
        <w:spacing w:after="0" w:line="10" w:lineRule="exact"/>
        <w:rPr>
          <w:sz w:val="20"/>
          <w:szCs w:val="20"/>
          <w:color w:val="auto"/>
        </w:rPr>
      </w:pPr>
    </w:p>
    <w:p>
      <w:pPr>
        <w:ind w:left="380" w:right="2620"/>
        <w:spacing w:after="0" w:line="239" w:lineRule="auto"/>
        <w:rPr>
          <w:sz w:val="20"/>
          <w:szCs w:val="20"/>
          <w:color w:val="auto"/>
        </w:rPr>
      </w:pPr>
      <w:r>
        <w:rPr>
          <w:rFonts w:ascii="Arial" w:cs="Arial" w:eastAsia="Arial" w:hAnsi="Arial"/>
          <w:sz w:val="13"/>
          <w:szCs w:val="13"/>
          <w:b w:val="1"/>
          <w:bCs w:val="1"/>
          <w:color w:val="005A64"/>
        </w:rPr>
        <w:t>We may be subject to claims challenging the inventorship or ownership of our patents and other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76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line="212" w:lineRule="auto"/>
        <w:rPr>
          <w:sz w:val="20"/>
          <w:szCs w:val="20"/>
          <w:color w:val="auto"/>
        </w:rPr>
      </w:pPr>
      <w:r>
        <w:rPr>
          <w:rFonts w:ascii="Arial" w:cs="Arial" w:eastAsia="Arial" w:hAnsi="Arial"/>
          <w:sz w:val="13"/>
          <w:szCs w:val="13"/>
          <w:color w:val="auto"/>
        </w:rPr>
        <w:t>In the future, we may be subject to claims that current or former employees, consultants, independent contractors, collaborators or other third parties have an interest in our patents or other intellectual property as an inventor or co-inventor. While it is our policy to require our employees, consultants, independent contractors, collaborators and other third parties who may be involved in the conception, development or reduction to practice of intellectual property to execute agreements assigning such intellectual property to us, we may be unsuccessful in executing such an agreement with each party who, in fact, conceives, develops or reduces to practice such intellectual property that we regard as our own. In addition, certain such agreements, even if successfully executed may distribute ownership or control of intellectual property rights between or among parties, for example based on subject matter, relationship to other intellectual property, and/or one or more aspects of development of the intellectual property; after the agreements are in place disputes may arise over such distribution principles or over proper treatment of particular developed intellectual property in accordance with them. Disagreements may be difficult or impossible to resolve, may be expensive to address, and may result in our failing to secure or maintain ownership in or control of intellectual property necessary or important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-1167130</wp:posOffset>
            </wp:positionV>
            <wp:extent cx="523113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60"/>
        <w:spacing w:after="0" w:line="210" w:lineRule="auto"/>
        <w:rPr>
          <w:sz w:val="20"/>
          <w:szCs w:val="20"/>
          <w:color w:val="auto"/>
        </w:rPr>
      </w:pPr>
      <w:r>
        <w:rPr>
          <w:rFonts w:ascii="Arial" w:cs="Arial" w:eastAsia="Arial" w:hAnsi="Arial"/>
          <w:sz w:val="13"/>
          <w:szCs w:val="13"/>
          <w:color w:val="auto"/>
        </w:rPr>
        <w:t>The assignment of intellectual property rights may not be self-executing, or the assignment agreements may be breached. For example, we may have inventorship or ownership disputes arise from conflicting obligations of employees, consultants, independent contractors, collaborators or other third parties who are involved in developing and commercializing our product(s) and/or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operating results and financial condition. Even if we are successful in defending against such claims, litigation could result in substantial costs and be a distraction to management, technical personnel and other employees.</w:t>
      </w:r>
    </w:p>
    <w:p>
      <w:pPr>
        <w:spacing w:after="0" w:line="6"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Furthermore, the laws of some other countries do not protect intellectual property and other proprietary rights or establish ownership of inventions to the same extent or in the same manner as the U.S. laws. A majority of our employees work in Germany and are subject to German employment law. Ideas, developments, discoveries and inventions made by such employees are subject to the provisions of the German Act on Employees’ Inventions, which regulates the ownership of, and compensation for, inventions made by employees. We face the risk that disputes can occur between us and our employees or former employees pertaining to alleged non-adherence to the provisions of this act that may be costly to defend and take up our management’s, technical personnel’s and other employees’ time and efforts whether we prevail or fail in any such dispute. There is a risk that the compensation we provided to employees who assign patents to us may be deemed to be insufficient and we may be required under German law to increase the compensation due to such employees for the use of the patents. In those cases, where employees’ rights have not been assigned to us, we may need to pay compensation for the use of those patents. If we are required to pay additional compensation or face other disputes under the German Act on Employees’ Inventions, our business, results of operations and financial condition could be adversely affected.</w:t>
      </w:r>
    </w:p>
    <w:p>
      <w:pPr>
        <w:spacing w:after="0" w:line="8"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b w:val="1"/>
          <w:bCs w:val="1"/>
          <w:color w:val="005A64"/>
        </w:rPr>
        <w:t>We will not seek to protect our intellectual property rights in all jurisdictions throughout the world, and we may not be able to adequately enforce our intellectual property rights even in the jurisdictions where we seek protection.</w:t>
      </w:r>
    </w:p>
    <w:p>
      <w:pPr>
        <w:spacing w:after="0" w:line="2" w:lineRule="exact"/>
        <w:rPr>
          <w:sz w:val="20"/>
          <w:szCs w:val="20"/>
          <w:color w:val="auto"/>
        </w:rPr>
      </w:pPr>
    </w:p>
    <w:p>
      <w:pPr>
        <w:ind w:left="380" w:right="2120"/>
        <w:spacing w:after="0" w:line="215" w:lineRule="auto"/>
        <w:rPr>
          <w:sz w:val="20"/>
          <w:szCs w:val="20"/>
          <w:color w:val="auto"/>
        </w:rPr>
      </w:pPr>
      <w:r>
        <w:rPr>
          <w:rFonts w:ascii="Arial" w:cs="Arial" w:eastAsia="Arial" w:hAnsi="Arial"/>
          <w:sz w:val="13"/>
          <w:szCs w:val="13"/>
          <w:color w:val="auto"/>
        </w:rPr>
        <w:t>Filing, prosecuting and defending patents on product(s) and/or product candidates in all countries throughout the world would be prohibitively expensive, and our intellectual property rights in some countries outside the United States, particularly those in Asia, including China, can be less extensive than those in the United States. In addition, the laws of some countries do not protect intellectual property rights to the same extent as laws in Germany and the United States. Consequently, we may not be able to prevent third parties from practicing our inventions in all countries outside the United States to the same extent as within the United States, or from selling or importing products made using our inventions in and to the United States or other jurisdictions. Competitors may use our technologies in jurisdictions where we have not obtained patent protection to develop their own product candidates and further, may export otherwise infringing products to territories where we have patent protection, but enforcement is not as strong as that in the United States. These products may compete</w:t>
      </w:r>
    </w:p>
    <w:p>
      <w:pPr>
        <w:sectPr>
          <w:pgSz w:w="11900" w:h="16840" w:orient="portrait"/>
          <w:cols w:equalWidth="0" w:num="1">
            <w:col w:w="9020"/>
          </w:cols>
          <w:pgMar w:left="1440" w:top="560" w:right="1440" w:bottom="81"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77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300"/>
        <w:spacing w:after="0" w:line="220" w:lineRule="auto"/>
        <w:rPr>
          <w:sz w:val="20"/>
          <w:szCs w:val="20"/>
          <w:color w:val="auto"/>
        </w:rPr>
      </w:pPr>
      <w:r>
        <w:rPr>
          <w:rFonts w:ascii="Arial" w:cs="Arial" w:eastAsia="Arial" w:hAnsi="Arial"/>
          <w:sz w:val="13"/>
          <w:szCs w:val="13"/>
          <w:color w:val="auto"/>
        </w:rPr>
        <w:t>with our product(s) and/or product candidates, and our patents or other intellectual property rights may not be effective or sufficient to prevent them from competing.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color w:val="auto"/>
        </w:rPr>
        <w:t>Many companies have encountered significant problems in protecting and defending intellectual property rights in certain jurisdictions, particularly outside of Europe and the United States.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 of our patents and other intellectual property or development, testing, marketing and commercialization of competing products in violation of our owned or in-licensed intellectual property and other proprietary rights generally. Proceedings to enforce our intellectual property rights in such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in- license. In particular, the validity, enforceability and scope of protection of intellectual property in China, where we derive net sales and maintain collaboration partnerships including licensing, are still evolving and historically, have not protected and may not protect in the future, intellectual property rights to the same extent as laws developed in Europe, including Germany, and the United States. Consequently, the time required to enforce our intellectual property rights in the legal regime of China may be lengthy and delay our recovery.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4"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If our trademarks and trade names are not adequately protected, we may not be able to build name recognition in our markets of interest and our business may be adversely affected.</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or collaborators may fail to use our trade names or trademarks appropriately or at all,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we may not be able to compete effectively and our business may be adversely affected. We may license our trademarks and trade names to third parties, such as distributors and collaborators. Though these license agreements may provide guidelines for how our trademarks and trade names may be used, a breach of these agreements or misuse or failure to use of our trademarks and trade names by our licensees may jeopardize our rights in or diminish the goodwill associated with our trademarks, and trade names. Our efforts to enforce or protect our proprietary rights related to trademarks, trade names, trade secrets, know-how, domain names, copyrights or other intellectual property may be ineffective and could result in substantial costs and diversion of resources and could adversely affect our business, financial condition, results of operations and prospects.</w:t>
      </w:r>
    </w:p>
    <w:p>
      <w:pPr>
        <w:spacing w:after="0" w:line="10" w:lineRule="exact"/>
        <w:rPr>
          <w:sz w:val="20"/>
          <w:szCs w:val="20"/>
          <w:color w:val="auto"/>
        </w:rPr>
      </w:pPr>
    </w:p>
    <w:p>
      <w:pPr>
        <w:ind w:left="380" w:right="2120"/>
        <w:spacing w:after="0" w:line="222" w:lineRule="auto"/>
        <w:rPr>
          <w:sz w:val="20"/>
          <w:szCs w:val="20"/>
          <w:color w:val="auto"/>
        </w:rPr>
      </w:pPr>
      <w:r>
        <w:rPr>
          <w:rFonts w:ascii="Arial" w:cs="Arial" w:eastAsia="Arial" w:hAnsi="Arial"/>
          <w:sz w:val="13"/>
          <w:szCs w:val="13"/>
          <w:b w:val="1"/>
          <w:bCs w:val="1"/>
          <w:color w:val="005A64"/>
        </w:rPr>
        <w:t xml:space="preserve">Intellectual property rights do not necessarily address all potential threats to our competitive advantage. </w:t>
      </w:r>
      <w:r>
        <w:rPr>
          <w:rFonts w:ascii="Arial" w:cs="Arial" w:eastAsia="Arial" w:hAnsi="Arial"/>
          <w:sz w:val="13"/>
          <w:szCs w:val="13"/>
          <w:color w:val="000000"/>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78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940"/>
        <w:spacing w:after="0" w:line="215" w:lineRule="auto"/>
        <w:rPr>
          <w:sz w:val="20"/>
          <w:szCs w:val="20"/>
          <w:color w:val="auto"/>
        </w:rPr>
      </w:pPr>
      <w:r>
        <w:rPr>
          <w:rFonts w:ascii="Arial" w:cs="Arial" w:eastAsia="Arial" w:hAnsi="Arial"/>
          <w:sz w:val="13"/>
          <w:szCs w:val="13"/>
          <w:color w:val="auto"/>
        </w:rPr>
        <w:t>•others may be able to make COVID-19 vaccines or therapies, and/or individualized cancer immunotherapies that are similar to our COVID-19 vaccine and/or any product candidates we may develop and commercialize or utilize similar technologies that are not covered by the claims of the patents that we now or may in the future own or have exclusively in-licensed;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600"/>
        <w:spacing w:after="0" w:line="226" w:lineRule="auto"/>
        <w:rPr>
          <w:sz w:val="20"/>
          <w:szCs w:val="20"/>
          <w:color w:val="auto"/>
        </w:rPr>
      </w:pPr>
      <w:r>
        <w:rPr>
          <w:rFonts w:ascii="Arial" w:cs="Arial" w:eastAsia="Arial" w:hAnsi="Arial"/>
          <w:sz w:val="13"/>
          <w:szCs w:val="13"/>
          <w:color w:val="auto"/>
        </w:rPr>
        <w:t>•we, our co-owners or our licensors or future collaborators might not have been the first to make the inventions covered by the issued patents or pending patent applications that we own or have exclusively in-licensed;</w:t>
      </w:r>
    </w:p>
    <w:p>
      <w:pPr>
        <w:sectPr>
          <w:pgSz w:w="11900" w:h="16840" w:orient="portrait"/>
          <w:cols w:equalWidth="0" w:num="1">
            <w:col w:w="9020"/>
          </w:cols>
          <w:pgMar w:left="1440" w:top="1440" w:right="1440" w:bottom="7" w:gutter="0" w:footer="0" w:header="0"/>
        </w:sectPr>
      </w:pPr>
    </w:p>
    <w:bookmarkStart w:id="55" w:name="page56"/>
    <w:bookmarkEnd w:id="55"/>
    <w:p>
      <w:pPr>
        <w:ind w:left="380" w:right="2820"/>
        <w:spacing w:after="0" w:line="220" w:lineRule="auto"/>
        <w:rPr>
          <w:sz w:val="20"/>
          <w:szCs w:val="20"/>
          <w:color w:val="auto"/>
        </w:rPr>
      </w:pPr>
      <w:r>
        <w:rPr>
          <w:rFonts w:ascii="Arial" w:cs="Arial" w:eastAsia="Arial" w:hAnsi="Arial"/>
          <w:sz w:val="13"/>
          <w:szCs w:val="13"/>
          <w:color w:val="auto"/>
        </w:rPr>
        <w:t>•we, our co- owners or our licensors or future collaborators might not have been the first to file patent applications covering certain of our or their inventions;</w:t>
      </w:r>
    </w:p>
    <w:p>
      <w:pPr>
        <w:spacing w:after="0" w:line="1" w:lineRule="exact"/>
        <w:rPr>
          <w:sz w:val="20"/>
          <w:szCs w:val="20"/>
          <w:color w:val="auto"/>
        </w:rPr>
      </w:pPr>
    </w:p>
    <w:p>
      <w:pPr>
        <w:ind w:left="380" w:right="3260"/>
        <w:spacing w:after="0" w:line="210" w:lineRule="auto"/>
        <w:rPr>
          <w:sz w:val="20"/>
          <w:szCs w:val="20"/>
          <w:color w:val="auto"/>
        </w:rPr>
      </w:pPr>
      <w:r>
        <w:rPr>
          <w:rFonts w:ascii="Arial" w:cs="Arial" w:eastAsia="Arial" w:hAnsi="Arial"/>
          <w:sz w:val="13"/>
          <w:szCs w:val="13"/>
          <w:color w:val="auto"/>
        </w:rPr>
        <w:t>•others may independently develop similar or alternative technologies or duplicate any of our technologies without infringing our owned or in-licensed intellectual property rights;</w:t>
      </w:r>
    </w:p>
    <w:p>
      <w:pPr>
        <w:spacing w:after="0" w:line="1" w:lineRule="exact"/>
        <w:rPr>
          <w:sz w:val="20"/>
          <w:szCs w:val="20"/>
          <w:color w:val="auto"/>
        </w:rPr>
      </w:pPr>
    </w:p>
    <w:p>
      <w:pPr>
        <w:ind w:left="380" w:right="2540"/>
        <w:spacing w:after="0" w:line="210" w:lineRule="auto"/>
        <w:rPr>
          <w:sz w:val="20"/>
          <w:szCs w:val="20"/>
          <w:color w:val="auto"/>
        </w:rPr>
      </w:pPr>
      <w:r>
        <w:rPr>
          <w:rFonts w:ascii="Arial" w:cs="Arial" w:eastAsia="Arial" w:hAnsi="Arial"/>
          <w:sz w:val="13"/>
          <w:szCs w:val="13"/>
          <w:color w:val="auto"/>
        </w:rPr>
        <w:t>•it is possible that our pending patent applications or those that we may own or in-license in the future will not lead to issued patents;</w:t>
      </w:r>
    </w:p>
    <w:p>
      <w:pPr>
        <w:spacing w:after="0" w:line="1" w:lineRule="exact"/>
        <w:rPr>
          <w:sz w:val="20"/>
          <w:szCs w:val="20"/>
          <w:color w:val="auto"/>
        </w:rPr>
      </w:pPr>
    </w:p>
    <w:p>
      <w:pPr>
        <w:ind w:left="380" w:right="3320"/>
        <w:spacing w:after="0" w:line="210" w:lineRule="auto"/>
        <w:rPr>
          <w:sz w:val="20"/>
          <w:szCs w:val="20"/>
          <w:color w:val="auto"/>
        </w:rPr>
      </w:pPr>
      <w:r>
        <w:rPr>
          <w:rFonts w:ascii="Arial" w:cs="Arial" w:eastAsia="Arial" w:hAnsi="Arial"/>
          <w:sz w:val="13"/>
          <w:szCs w:val="13"/>
          <w:color w:val="auto"/>
        </w:rPr>
        <w:t>•claims of issued patents that we own or have exclusively in-licensed may be held invalid or unenforceable, including as a result of legal challenges by our competitors;</w:t>
      </w:r>
    </w:p>
    <w:p>
      <w:pPr>
        <w:spacing w:after="0" w:line="1" w:lineRule="exact"/>
        <w:rPr>
          <w:sz w:val="20"/>
          <w:szCs w:val="20"/>
          <w:color w:val="auto"/>
        </w:rPr>
      </w:pPr>
    </w:p>
    <w:p>
      <w:pPr>
        <w:ind w:left="380" w:right="2700"/>
        <w:spacing w:after="0" w:line="210" w:lineRule="auto"/>
        <w:rPr>
          <w:sz w:val="20"/>
          <w:szCs w:val="20"/>
          <w:color w:val="auto"/>
        </w:rPr>
      </w:pPr>
      <w:r>
        <w:rPr>
          <w:rFonts w:ascii="Arial" w:cs="Arial" w:eastAsia="Arial" w:hAnsi="Arial"/>
          <w:sz w:val="13"/>
          <w:szCs w:val="13"/>
          <w:color w:val="auto"/>
        </w:rPr>
        <w:t>•our competitors might conduct research, development, testing or commercialization activities in countries where we do not have patent rights and then use the information learned from such activities to develop competitive products for sale in our major commercial markets; •we may not develop additional proprietary technologies that are patentable;</w:t>
      </w:r>
    </w:p>
    <w:p>
      <w:pPr>
        <w:ind w:left="380"/>
        <w:spacing w:after="0" w:line="214" w:lineRule="auto"/>
        <w:rPr>
          <w:sz w:val="20"/>
          <w:szCs w:val="20"/>
          <w:color w:val="auto"/>
        </w:rPr>
      </w:pPr>
      <w:r>
        <w:rPr>
          <w:rFonts w:ascii="Arial" w:cs="Arial" w:eastAsia="Arial" w:hAnsi="Arial"/>
          <w:sz w:val="13"/>
          <w:szCs w:val="13"/>
          <w:color w:val="auto"/>
        </w:rPr>
        <w:t>•the patents of others may have an adverse effect on our business; and</w:t>
      </w:r>
    </w:p>
    <w:p>
      <w:pPr>
        <w:ind w:left="380" w:right="2740"/>
        <w:spacing w:after="0" w:line="210" w:lineRule="auto"/>
        <w:rPr>
          <w:sz w:val="20"/>
          <w:szCs w:val="20"/>
          <w:color w:val="auto"/>
        </w:rPr>
      </w:pPr>
      <w:r>
        <w:rPr>
          <w:rFonts w:ascii="Arial" w:cs="Arial" w:eastAsia="Arial" w:hAnsi="Arial"/>
          <w:sz w:val="13"/>
          <w:szCs w:val="13"/>
          <w:color w:val="auto"/>
        </w:rPr>
        <w:t>•we may choose not to file a patent in order to maintain certain trade secrets or know-how, and a third party may subsequently file a patent covering such intellectual property.</w:t>
      </w:r>
    </w:p>
    <w:p>
      <w:pPr>
        <w:spacing w:after="0" w:line="1"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Should any of these events occur, they could have a material adverse effect on our business, financial condition, results of operations and prospects.</w:t>
      </w:r>
    </w:p>
    <w:p>
      <w:pPr>
        <w:ind w:left="380"/>
        <w:spacing w:after="0" w:line="212" w:lineRule="auto"/>
        <w:rPr>
          <w:sz w:val="20"/>
          <w:szCs w:val="20"/>
          <w:color w:val="auto"/>
        </w:rPr>
      </w:pPr>
      <w:r>
        <w:rPr>
          <w:rFonts w:ascii="Arial" w:cs="Arial" w:eastAsia="Arial" w:hAnsi="Arial"/>
          <w:sz w:val="13"/>
          <w:szCs w:val="13"/>
          <w:b w:val="1"/>
          <w:bCs w:val="1"/>
          <w:color w:val="005A64"/>
        </w:rPr>
        <w:t>Risks Related to Government Regulation</w:t>
      </w:r>
    </w:p>
    <w:p>
      <w:pPr>
        <w:spacing w:after="0" w:line="1" w:lineRule="exact"/>
        <w:rPr>
          <w:sz w:val="20"/>
          <w:szCs w:val="20"/>
          <w:color w:val="auto"/>
        </w:rPr>
      </w:pPr>
    </w:p>
    <w:p>
      <w:pPr>
        <w:ind w:left="380" w:right="3040"/>
        <w:spacing w:after="0" w:line="210" w:lineRule="auto"/>
        <w:rPr>
          <w:sz w:val="20"/>
          <w:szCs w:val="20"/>
          <w:color w:val="auto"/>
        </w:rPr>
      </w:pPr>
      <w:r>
        <w:rPr>
          <w:rFonts w:ascii="Arial" w:cs="Arial" w:eastAsia="Arial" w:hAnsi="Arial"/>
          <w:sz w:val="13"/>
          <w:szCs w:val="13"/>
          <w:b w:val="1"/>
          <w:bCs w:val="1"/>
          <w:color w:val="005A64"/>
        </w:rPr>
        <w:t>We may not be able to develop or obtain approval for companion diagnostics required for commercialization of some of our product candidates.</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Administration of some of our product candidates may require the use of immuno-assays and bioinformatic tools in which patients are screened for optimal target antigens of our product candidates. If safe and effective use of a biologic product depends on an in vitro diagnostic, then the FDA generally requires approval or clearance of the diagnostic, known as a companion diagnostic, concurrently with approval of the therapeutic product. To date, the FDA has generally required in vitro companion diagnostics intended to select the patients who will respond to cancer treatment to obtain a pre-market approval, or PMA, for that diagnostic, which can take up to several years, simultaneously with approval of the biologic product. Similarly, in the European Union, an in vitro companion diagnostic may be placed on the market only if it conforms to certain “essential requirements” and bears the Conformité Européene Mark, or CE Mark. The conformity assessment process to obtain the CE Mark can be lengthy and we may fail to demonstrate such conformity. Further, the applicable regulatory framework for in vitro diagnostics in the EU changed in May 2022 when a new EU regulation with stricter regulatory requirements for in vitro diagnostics became applicable.</w:t>
      </w:r>
    </w:p>
    <w:p>
      <w:pPr>
        <w:spacing w:after="0" w:line="7" w:lineRule="exact"/>
        <w:rPr>
          <w:sz w:val="20"/>
          <w:szCs w:val="20"/>
          <w:color w:val="auto"/>
        </w:rPr>
      </w:pPr>
    </w:p>
    <w:p>
      <w:pPr>
        <w:ind w:left="380" w:right="2160"/>
        <w:spacing w:after="0" w:line="222" w:lineRule="auto"/>
        <w:rPr>
          <w:sz w:val="20"/>
          <w:szCs w:val="20"/>
          <w:color w:val="auto"/>
        </w:rPr>
      </w:pPr>
      <w:r>
        <w:rPr>
          <w:rFonts w:ascii="Arial" w:cs="Arial" w:eastAsia="Arial" w:hAnsi="Arial"/>
          <w:sz w:val="13"/>
          <w:szCs w:val="13"/>
          <w:color w:val="auto"/>
        </w:rPr>
        <w:t>For our individualized immunotherapy candidates, the FDA and comparable regulatory authorities outside of the United States may require the development and regulatory approval of a companion diagnostic assay as a condition to approval. The FDA may require PMA supplemental approvals for use of that same companion diagnostic as a condition of approval of additional individualized therapeutic candidates. We do not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79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2" w:lineRule="auto"/>
        <w:rPr>
          <w:sz w:val="20"/>
          <w:szCs w:val="20"/>
          <w:color w:val="auto"/>
        </w:rPr>
      </w:pPr>
      <w:r>
        <w:rPr>
          <w:rFonts w:ascii="Arial" w:cs="Arial" w:eastAsia="Arial" w:hAnsi="Arial"/>
          <w:sz w:val="13"/>
          <w:szCs w:val="13"/>
          <w:color w:val="auto"/>
        </w:rPr>
        <w:t>experience or capabilities in developing or commercializing companion diagnostics and plan to rely in large part on third parties to perform these functions. Companion diagnostic assays are subject to regulation by the FDA and other comparable regulatory authorities in other jurisdictions as medical devices and require separate regulatory approval prior to the use of such diagnostic assays with our individualized therapeutic candidates. If we, or any third parties that we engage to assist us, are unable to successfully develop companion diagnostic assays for use with our individualized therapeutic candidates, or are unable to obtain regulatory approval or experience delays in either development or obtaining regulatory approval, we may be unable to identify patients with the specific profile targeted by our product candidates for enrollment in our clinical trials. Accordingly, further investment may be required to further develop or obtain the required regulatory approval for the relevant companion diagnostic assay, which would delay or substantially impact our ability to conduct additional clinical trials or obtain regulatory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-915670</wp:posOffset>
            </wp:positionV>
            <wp:extent cx="523113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080"/>
        <w:spacing w:after="0" w:line="210" w:lineRule="auto"/>
        <w:rPr>
          <w:sz w:val="20"/>
          <w:szCs w:val="20"/>
          <w:color w:val="auto"/>
        </w:rPr>
      </w:pPr>
      <w:r>
        <w:rPr>
          <w:rFonts w:ascii="Arial" w:cs="Arial" w:eastAsia="Arial" w:hAnsi="Arial"/>
          <w:sz w:val="13"/>
          <w:szCs w:val="13"/>
          <w:b w:val="1"/>
          <w:bCs w:val="1"/>
          <w:color w:val="005A64"/>
        </w:rPr>
        <w:t>Because we are developing some of our product candidates for the treatment of diseases in which there is little clinical experience and, in some cases, using new endpoints or methodologies, the FDA, the EMA or other regulatory authorities may not consider the endpoints of our clinical trials to provide clinically meaningful results.</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There may not be pharmacologic therapies approved to treat the underlying causes of many diseases that we may address in the future. For instance, we and our collaborators are applying our technology to develop therapeutics in indications such as certain rare diseases, including some for which no or few clinical trials have been attempted. As a result, any future design and conduct of clinical trials of product candidates for the treatment of certain rare diseases may take longer, be more costly, or be less effective as part of the novelty of development in these diseases. Even if we decide to conduct clinical trials and the FDA does find our success criteria to be sufficiently validated and clinically meaningful, we may not achieve the pre-specified endpoint to a degree of statistical significance in any pivotal or other clinical trials we or our collaborators may conduct for our programs.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endpoint, if we do not do so on our secondary efficacy endpoints. The FDA also weighs the benefits of a product against its risks and the FDA may view the efficacy results in the context of safety as not being supportive of licensure. Other regulatory authorities in Europe and other jurisdictions may make similar findings with respect to these endpoints.</w:t>
      </w:r>
    </w:p>
    <w:p>
      <w:pPr>
        <w:spacing w:after="0" w:line="9"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b w:val="1"/>
          <w:bCs w:val="1"/>
          <w:color w:val="005A64"/>
        </w:rPr>
        <w:t>The FDA, the EMA or other comparable regulatory authorities may disagree with our regulatory plan and we may fail to obtain regulatory approval of our product candidates.</w:t>
      </w:r>
    </w:p>
    <w:p>
      <w:pPr>
        <w:spacing w:after="0" w:line="1" w:lineRule="exact"/>
        <w:rPr>
          <w:sz w:val="20"/>
          <w:szCs w:val="20"/>
          <w:color w:val="auto"/>
        </w:rPr>
      </w:pPr>
    </w:p>
    <w:p>
      <w:pPr>
        <w:ind w:left="380" w:right="2100"/>
        <w:spacing w:after="0" w:line="214" w:lineRule="auto"/>
        <w:rPr>
          <w:sz w:val="20"/>
          <w:szCs w:val="20"/>
          <w:color w:val="auto"/>
        </w:rPr>
      </w:pPr>
      <w:r>
        <w:rPr>
          <w:rFonts w:ascii="Arial" w:cs="Arial" w:eastAsia="Arial" w:hAnsi="Arial"/>
          <w:sz w:val="13"/>
          <w:szCs w:val="13"/>
          <w:color w:val="auto"/>
        </w:rPr>
        <w:t>If the results of our clinical trials are sufficiently compelling, we or our collaborators intend to discuss with the FDA and regulatory authorities in other countries the submission of a BLA or respective applications in other countries for our product candidates. However, we do not have any agreement or guidance from the FDA that our regulatory development plans will be sufficient for submission of a BLA for any of our product candidates. The FDA, the EMA or other regulatory agencies may grant accelerated approval for our product candidates and, as a condition for accelerated approval, the FDA, the EMA or other regulatory agencies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the EMA or other regulatory agencies that are more accelerated than those available for regular approvals. In addition, the standard of care may change with the approval of new products in the same indications that we are studying. This may result in the FDA, the EMA or other regulatory agencies requesting additional studies to show that our product candidate is superior to the new products.</w:t>
      </w:r>
    </w:p>
    <w:p>
      <w:pPr>
        <w:sectPr>
          <w:pgSz w:w="11900" w:h="16840" w:orient="portrait"/>
          <w:cols w:equalWidth="0" w:num="1">
            <w:col w:w="9020"/>
          </w:cols>
          <w:pgMar w:left="1440" w:top="560" w:right="1440" w:bottom="74" w:gutter="0" w:footer="0" w:header="0"/>
        </w:sectPr>
      </w:pPr>
    </w:p>
    <w:bookmarkStart w:id="56" w:name="page57"/>
    <w:bookmarkEnd w:id="56"/>
    <w:p>
      <w:pPr>
        <w:ind w:left="380" w:right="2280"/>
        <w:spacing w:after="0" w:line="220" w:lineRule="auto"/>
        <w:rPr>
          <w:sz w:val="20"/>
          <w:szCs w:val="20"/>
          <w:color w:val="auto"/>
        </w:rPr>
      </w:pPr>
      <w:r>
        <w:rPr>
          <w:rFonts w:ascii="Arial" w:cs="Arial" w:eastAsia="Arial" w:hAnsi="Arial"/>
          <w:sz w:val="13"/>
          <w:szCs w:val="13"/>
          <w:color w:val="auto"/>
        </w:rPr>
        <w:t>Our clinical trial results may also not support approval. In addition, our product candidates could fail to receive regulatory approval for many reasons, including the following:</w:t>
      </w:r>
    </w:p>
    <w:p>
      <w:pPr>
        <w:spacing w:after="0" w:line="1" w:lineRule="exact"/>
        <w:rPr>
          <w:sz w:val="20"/>
          <w:szCs w:val="20"/>
          <w:color w:val="auto"/>
        </w:rPr>
      </w:pPr>
    </w:p>
    <w:p>
      <w:pPr>
        <w:ind w:left="380" w:right="2580"/>
        <w:spacing w:after="0" w:line="210" w:lineRule="auto"/>
        <w:rPr>
          <w:sz w:val="20"/>
          <w:szCs w:val="20"/>
          <w:color w:val="auto"/>
        </w:rPr>
      </w:pPr>
      <w:r>
        <w:rPr>
          <w:rFonts w:ascii="Arial" w:cs="Arial" w:eastAsia="Arial" w:hAnsi="Arial"/>
          <w:sz w:val="13"/>
          <w:szCs w:val="13"/>
          <w:color w:val="auto"/>
        </w:rPr>
        <w:t>•the FDA, the EMA or comparable regulatory authorities may disagree with the design or implementation of our clinical trials;</w:t>
      </w:r>
    </w:p>
    <w:p>
      <w:pPr>
        <w:spacing w:after="0" w:line="1" w:lineRule="exact"/>
        <w:rPr>
          <w:sz w:val="20"/>
          <w:szCs w:val="20"/>
          <w:color w:val="auto"/>
        </w:rPr>
      </w:pPr>
    </w:p>
    <w:p>
      <w:pPr>
        <w:ind w:left="380" w:right="2820"/>
        <w:spacing w:after="0" w:line="234" w:lineRule="auto"/>
        <w:rPr>
          <w:sz w:val="20"/>
          <w:szCs w:val="20"/>
          <w:color w:val="auto"/>
        </w:rPr>
      </w:pPr>
      <w:r>
        <w:rPr>
          <w:rFonts w:ascii="Arial" w:cs="Arial" w:eastAsia="Arial" w:hAnsi="Arial"/>
          <w:sz w:val="13"/>
          <w:szCs w:val="13"/>
          <w:color w:val="auto"/>
        </w:rPr>
        <w:t>•we may be unable to demonstrate to the satisfaction of the FDA, the EMA or comparable regulatory authorities that our product candidates are safe and effective for any of their proposed indications;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80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500"/>
        <w:spacing w:after="0"/>
        <w:rPr>
          <w:sz w:val="20"/>
          <w:szCs w:val="20"/>
          <w:color w:val="auto"/>
        </w:rPr>
      </w:pPr>
      <w:r>
        <w:rPr>
          <w:rFonts w:ascii="Arial" w:cs="Arial" w:eastAsia="Arial" w:hAnsi="Arial"/>
          <w:sz w:val="13"/>
          <w:szCs w:val="13"/>
          <w:color w:val="auto"/>
        </w:rPr>
        <w:t>•the results of clinical trials may not meet the level of statistical significance required by the FDA, the EMA or comparable regulatory authorities for approval, including due to the heterogeneity of patient 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-182880</wp:posOffset>
            </wp:positionV>
            <wp:extent cx="523113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pacing w:after="0" w:line="87" w:lineRule="exact"/>
        <w:rPr>
          <w:sz w:val="20"/>
          <w:szCs w:val="20"/>
          <w:color w:val="auto"/>
        </w:rPr>
      </w:pPr>
    </w:p>
    <w:p>
      <w:pPr>
        <w:ind w:left="380" w:right="2580"/>
        <w:spacing w:after="0" w:line="210" w:lineRule="auto"/>
        <w:rPr>
          <w:sz w:val="20"/>
          <w:szCs w:val="20"/>
          <w:color w:val="auto"/>
        </w:rPr>
      </w:pPr>
      <w:r>
        <w:rPr>
          <w:rFonts w:ascii="Arial" w:cs="Arial" w:eastAsia="Arial" w:hAnsi="Arial"/>
          <w:sz w:val="13"/>
          <w:szCs w:val="13"/>
          <w:color w:val="auto"/>
        </w:rPr>
        <w:t>•we may be unable to demonstrate that our product candidates’ clinical and other benefits outweigh their safety risks;</w:t>
      </w:r>
    </w:p>
    <w:p>
      <w:pPr>
        <w:spacing w:after="0" w:line="1" w:lineRule="exact"/>
        <w:rPr>
          <w:sz w:val="20"/>
          <w:szCs w:val="20"/>
          <w:color w:val="auto"/>
        </w:rPr>
      </w:pPr>
    </w:p>
    <w:p>
      <w:pPr>
        <w:ind w:left="380" w:right="2540"/>
        <w:spacing w:after="0" w:line="210" w:lineRule="auto"/>
        <w:rPr>
          <w:sz w:val="20"/>
          <w:szCs w:val="20"/>
          <w:color w:val="auto"/>
        </w:rPr>
      </w:pPr>
      <w:r>
        <w:rPr>
          <w:rFonts w:ascii="Arial" w:cs="Arial" w:eastAsia="Arial" w:hAnsi="Arial"/>
          <w:sz w:val="13"/>
          <w:szCs w:val="13"/>
          <w:color w:val="auto"/>
        </w:rPr>
        <w:t>•the FDA, the EMA or comparable regulatory authorities may disagree with our interpretation of data from preclinical studies or clinical trials;</w:t>
      </w:r>
    </w:p>
    <w:p>
      <w:pPr>
        <w:spacing w:after="0" w:line="1" w:lineRule="exact"/>
        <w:rPr>
          <w:sz w:val="20"/>
          <w:szCs w:val="20"/>
          <w:color w:val="auto"/>
        </w:rPr>
      </w:pPr>
    </w:p>
    <w:p>
      <w:pPr>
        <w:ind w:left="380" w:right="2560"/>
        <w:spacing w:after="0" w:line="210" w:lineRule="auto"/>
        <w:rPr>
          <w:sz w:val="20"/>
          <w:szCs w:val="20"/>
          <w:color w:val="auto"/>
        </w:rPr>
      </w:pPr>
      <w:r>
        <w:rPr>
          <w:rFonts w:ascii="Arial" w:cs="Arial" w:eastAsia="Arial" w:hAnsi="Arial"/>
          <w:sz w:val="13"/>
          <w:szCs w:val="13"/>
          <w:color w:val="auto"/>
        </w:rPr>
        <w:t>•the data collected from clinical trials of our product candidates may not be sufficient to the satisfaction of the FDA, the EMA or comparable regulatory authorities to support the submission of a BLA or other comparable submissions or to obtain regulatory approval in the United States or elsewhere;</w:t>
      </w:r>
    </w:p>
    <w:p>
      <w:pPr>
        <w:spacing w:after="0" w:line="2" w:lineRule="exact"/>
        <w:rPr>
          <w:sz w:val="20"/>
          <w:szCs w:val="20"/>
          <w:color w:val="auto"/>
        </w:rPr>
      </w:pPr>
    </w:p>
    <w:p>
      <w:pPr>
        <w:ind w:left="380" w:right="2580"/>
        <w:spacing w:after="0" w:line="210" w:lineRule="auto"/>
        <w:rPr>
          <w:sz w:val="20"/>
          <w:szCs w:val="20"/>
          <w:color w:val="auto"/>
        </w:rPr>
      </w:pPr>
      <w:r>
        <w:rPr>
          <w:rFonts w:ascii="Arial" w:cs="Arial" w:eastAsia="Arial" w:hAnsi="Arial"/>
          <w:sz w:val="13"/>
          <w:szCs w:val="13"/>
          <w:color w:val="auto"/>
        </w:rPr>
        <w:t>•the FDA, the EMA or comparable regulatory authorities will inspect our manufacturing facilities and may not approve our facilities or our manufacturing processes and controls;</w:t>
      </w:r>
    </w:p>
    <w:p>
      <w:pPr>
        <w:ind w:left="380"/>
        <w:spacing w:after="0" w:line="212" w:lineRule="auto"/>
        <w:rPr>
          <w:sz w:val="20"/>
          <w:szCs w:val="20"/>
          <w:color w:val="auto"/>
        </w:rPr>
      </w:pPr>
      <w:r>
        <w:rPr>
          <w:rFonts w:ascii="Arial" w:cs="Arial" w:eastAsia="Arial" w:hAnsi="Arial"/>
          <w:sz w:val="13"/>
          <w:szCs w:val="13"/>
          <w:color w:val="auto"/>
        </w:rPr>
        <w:t>•the approval policies or regulations of the FDA, the EMA or comparable regulatory authorities may</w:t>
      </w:r>
    </w:p>
    <w:p>
      <w:pPr>
        <w:ind w:left="380"/>
        <w:spacing w:after="0" w:line="211" w:lineRule="auto"/>
        <w:rPr>
          <w:sz w:val="20"/>
          <w:szCs w:val="20"/>
          <w:color w:val="auto"/>
        </w:rPr>
      </w:pPr>
      <w:r>
        <w:rPr>
          <w:rFonts w:ascii="Arial" w:cs="Arial" w:eastAsia="Arial" w:hAnsi="Arial"/>
          <w:sz w:val="13"/>
          <w:szCs w:val="13"/>
          <w:color w:val="auto"/>
        </w:rPr>
        <w:t>significantly change in a manner rendering our clinical data insufficient for approval; and</w:t>
      </w:r>
    </w:p>
    <w:p>
      <w:pPr>
        <w:ind w:left="380"/>
        <w:spacing w:after="0" w:line="211" w:lineRule="auto"/>
        <w:rPr>
          <w:sz w:val="20"/>
          <w:szCs w:val="20"/>
          <w:color w:val="auto"/>
        </w:rPr>
      </w:pPr>
      <w:r>
        <w:rPr>
          <w:rFonts w:ascii="Arial" w:cs="Arial" w:eastAsia="Arial" w:hAnsi="Arial"/>
          <w:sz w:val="13"/>
          <w:szCs w:val="13"/>
          <w:color w:val="auto"/>
        </w:rPr>
        <w:t>•appointees of the new presidential administration in the United States may seek to change regulatory</w:t>
      </w:r>
    </w:p>
    <w:p>
      <w:pPr>
        <w:ind w:left="380"/>
        <w:spacing w:after="0" w:line="211" w:lineRule="auto"/>
        <w:rPr>
          <w:sz w:val="20"/>
          <w:szCs w:val="20"/>
          <w:color w:val="auto"/>
        </w:rPr>
      </w:pPr>
      <w:r>
        <w:rPr>
          <w:rFonts w:ascii="Arial" w:cs="Arial" w:eastAsia="Arial" w:hAnsi="Arial"/>
          <w:sz w:val="13"/>
          <w:szCs w:val="13"/>
          <w:color w:val="auto"/>
        </w:rPr>
        <w:t>requirements for the approval of products or the approach to the review of product applications.</w:t>
      </w:r>
    </w:p>
    <w:p>
      <w:pPr>
        <w:ind w:left="380" w:right="2160"/>
        <w:spacing w:after="0" w:line="210" w:lineRule="auto"/>
        <w:rPr>
          <w:sz w:val="20"/>
          <w:szCs w:val="20"/>
          <w:color w:val="auto"/>
        </w:rPr>
      </w:pPr>
      <w:r>
        <w:rPr>
          <w:rFonts w:ascii="Arial" w:cs="Arial" w:eastAsia="Arial" w:hAnsi="Arial"/>
          <w:sz w:val="13"/>
          <w:szCs w:val="13"/>
          <w:b w:val="1"/>
          <w:bCs w:val="1"/>
          <w:color w:val="005A64"/>
        </w:rPr>
        <w:t>We may not be able to file INDs with the FDA, clinical trial applications with the competent authorities of the member states of the European Union or similar applications with other comparable regulatory authorities to commence additional clinical trials on the timelines we expect, and even if we are able to, one or more of these regulatory authorities may not permit us to proceed.</w:t>
      </w:r>
    </w:p>
    <w:p>
      <w:pPr>
        <w:spacing w:after="0" w:line="2" w:lineRule="exact"/>
        <w:rPr>
          <w:sz w:val="20"/>
          <w:szCs w:val="20"/>
          <w:color w:val="auto"/>
        </w:rPr>
      </w:pPr>
    </w:p>
    <w:p>
      <w:pPr>
        <w:ind w:left="380" w:right="2220"/>
        <w:spacing w:after="0" w:line="210" w:lineRule="auto"/>
        <w:rPr>
          <w:sz w:val="20"/>
          <w:szCs w:val="20"/>
          <w:color w:val="auto"/>
        </w:rPr>
      </w:pPr>
      <w:r>
        <w:rPr>
          <w:rFonts w:ascii="Arial" w:cs="Arial" w:eastAsia="Arial" w:hAnsi="Arial"/>
          <w:sz w:val="13"/>
          <w:szCs w:val="13"/>
          <w:color w:val="auto"/>
        </w:rPr>
        <w:t>The timing of filing on our product candidates is dependent on further preclinical, clinical and manufacturing success. We cannot be sure that submission of an IND or IND amendment with the FDA, a clinical trial application with the regulatory authorities of the EU member states or similar application with other comparable regulatory authorities will result in the FDA, the regulatory authorities of the EU member states or any comparable regulatory authority allowing testing and clinical trials to begin, or that, once begun, issues will not arise that result in the suspension or termination of such clinical trials. Additionally, even if such regulatory authorities agree with the design and implementation of the clinical trials set forth in an IND, clinical trial application or similar applications, we cannot guarantee that such regulatory authorities will not change their requirements in the future.</w:t>
      </w:r>
    </w:p>
    <w:p>
      <w:pPr>
        <w:spacing w:after="0" w:line="5"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b w:val="1"/>
          <w:bCs w:val="1"/>
          <w:color w:val="005A64"/>
        </w:rPr>
        <w:t>We may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spacing w:after="0" w:line="2" w:lineRule="exact"/>
        <w:rPr>
          <w:sz w:val="20"/>
          <w:szCs w:val="20"/>
          <w:color w:val="auto"/>
        </w:rPr>
      </w:pPr>
    </w:p>
    <w:p>
      <w:pPr>
        <w:ind w:left="380" w:right="2100"/>
        <w:spacing w:after="0" w:line="214" w:lineRule="auto"/>
        <w:rPr>
          <w:sz w:val="20"/>
          <w:szCs w:val="20"/>
          <w:color w:val="auto"/>
        </w:rPr>
      </w:pPr>
      <w:r>
        <w:rPr>
          <w:rFonts w:ascii="Arial" w:cs="Arial" w:eastAsia="Arial" w:hAnsi="Arial"/>
          <w:sz w:val="13"/>
          <w:szCs w:val="13"/>
          <w:color w:val="auto"/>
        </w:rPr>
        <w:t>Our strategy includes filing for Orphan Drug Designation where available for our product candidates. Under the U.S. Orphan Drug Act, the FDA may grant Orphan Drug Designation to a drug or biologic intended to treat a rare disease or condition, which is defined as one occurring in a patient population of fewer than 200,000 in the United States, or a patient population of 200,000 or greater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new drug application or a BLA, to market the same drug or biologic for the same indication for seven years, except in limited circumstances, such as a showing of clinical superiority to the product with orphan drug exclusivity or where the original manufacturer is unable to assure sufficient product quantity. Similar rules apply in the European Union with respect to drugs or biologics designated as orphan medicinal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81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sectPr>
          <w:pgSz w:w="11900" w:h="16840" w:orient="portrait"/>
          <w:cols w:equalWidth="0" w:num="1">
            <w:col w:w="9020"/>
          </w:cols>
          <w:pgMar w:left="1440" w:top="560" w:right="1440" w:bottom="87" w:gutter="0" w:footer="0" w:header="0"/>
        </w:sectPr>
      </w:pPr>
    </w:p>
    <w:p>
      <w:pPr>
        <w:ind w:left="1120"/>
        <w:spacing w:after="0"/>
        <w:rPr>
          <w:rFonts w:ascii="Arial" w:cs="Arial" w:eastAsia="Arial" w:hAnsi="Arial"/>
          <w:sz w:val="9"/>
          <w:szCs w:val="9"/>
          <w:b w:val="1"/>
          <w:bCs w:val="1"/>
          <w:color w:val="005A64"/>
        </w:rPr>
      </w:pPr>
      <w:hyperlink w:anchor="page3">
        <w:r>
          <w:rPr>
            <w:rFonts w:ascii="Arial" w:cs="Arial" w:eastAsia="Arial" w:hAnsi="Arial"/>
            <w:sz w:val="9"/>
            <w:szCs w:val="9"/>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37465</wp:posOffset>
            </wp:positionV>
            <wp:extent cx="523113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560" w:right="1440" w:bottom="87" w:gutter="0" w:footer="0" w:header="0"/>
          <w:type w:val="continuous"/>
        </w:sectPr>
      </w:pPr>
    </w:p>
    <w:bookmarkStart w:id="57" w:name="page58"/>
    <w:bookmarkEnd w:id="57"/>
    <w:p>
      <w:pPr>
        <w:ind w:left="380" w:right="2100"/>
        <w:spacing w:after="0" w:line="230" w:lineRule="auto"/>
        <w:rPr>
          <w:sz w:val="20"/>
          <w:szCs w:val="20"/>
          <w:color w:val="auto"/>
        </w:rPr>
      </w:pPr>
      <w:r>
        <w:rPr>
          <w:rFonts w:ascii="Arial" w:cs="Arial" w:eastAsia="Arial" w:hAnsi="Arial"/>
          <w:sz w:val="13"/>
          <w:szCs w:val="13"/>
          <w:color w:val="auto"/>
        </w:rPr>
        <w:t>In addition, exclusive marketing rights in the United States may be limited if we seek approval for an indication broader than the orphan-designated indication or may be lost if the FDA later determines that the request for designation was materially defective. Further, even if we obtain orphan drug exclusivity for a product, that exclusivity may not protect the product effectively from competition because different drugs with different active moieties may receive and be approved for the same condition, and only the first applicant to receive approval will receive the benefits of marketing exclusivity. Even after an orphan -designated product is approved, the FDA can subsequently approve a later drug with the same active moiety for the same condition if the FDA concludes that the later drug is clinically superior if it is shown to be safer, more effective, or makes a major contribution to patient care. Similar considerations apply in the European Union with respect to drugs or biologics designated as orphan medicinal products.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spacing w:after="0" w:line="1" w:lineRule="exact"/>
        <w:rPr>
          <w:sz w:val="20"/>
          <w:szCs w:val="20"/>
          <w:color w:val="auto"/>
        </w:rPr>
      </w:pPr>
    </w:p>
    <w:p>
      <w:pPr>
        <w:ind w:left="380" w:right="2220"/>
        <w:spacing w:after="0" w:line="210" w:lineRule="auto"/>
        <w:rPr>
          <w:sz w:val="20"/>
          <w:szCs w:val="20"/>
          <w:color w:val="auto"/>
        </w:rPr>
      </w:pPr>
      <w:r>
        <w:rPr>
          <w:rFonts w:ascii="Arial" w:cs="Arial" w:eastAsia="Arial" w:hAnsi="Arial"/>
          <w:sz w:val="13"/>
          <w:szCs w:val="13"/>
          <w:b w:val="1"/>
          <w:bCs w:val="1"/>
          <w:color w:val="005A64"/>
        </w:rPr>
        <w:t>We may seek Breakthrough Therapy or Fast Track designation for one or more of our product candidates, but we may not receive such designations. Even if we do, it may not lead to a faster development or regulatory review or approval process, and it may not increase the likelihood that such product candidates will receive marketing approval.</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We may seek a Breakthrough Therapy Designation in the United States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BLA. 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10"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We may also seek Fast Track Designation in the United States for some of our product candidates. If a therapy is intended for the treatment of a serious or life-threatening condition and the therapy demonstrates the potential to address significant unmet medical needs for this condition, the drug sponsor may apply for Fast Track Designation. The FDA has broad discretion whether or not to grant this designation, and even if we believe a particular product candidate is eligible for this designation, we cannot be sure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5"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b w:val="1"/>
          <w:bCs w:val="1"/>
          <w:color w:val="005A64"/>
        </w:rPr>
        <w:t>We expect some of the product candidates we develop will be regulated as biologics in the United States and therefore they may be subject to competition from biosimilars approved through an abbreviated regulatory pathway.</w:t>
      </w:r>
    </w:p>
    <w:p>
      <w:pPr>
        <w:spacing w:after="0" w:line="2" w:lineRule="exact"/>
        <w:rPr>
          <w:sz w:val="20"/>
          <w:szCs w:val="20"/>
          <w:color w:val="auto"/>
        </w:rPr>
      </w:pPr>
    </w:p>
    <w:p>
      <w:pPr>
        <w:ind w:left="380" w:right="2120"/>
        <w:spacing w:after="0" w:line="222" w:lineRule="auto"/>
        <w:rPr>
          <w:sz w:val="20"/>
          <w:szCs w:val="20"/>
          <w:color w:val="auto"/>
        </w:rPr>
      </w:pPr>
      <w:r>
        <w:rPr>
          <w:rFonts w:ascii="Arial" w:cs="Arial" w:eastAsia="Arial" w:hAnsi="Arial"/>
          <w:sz w:val="13"/>
          <w:szCs w:val="13"/>
          <w:color w:val="auto"/>
        </w:rPr>
        <w:t>The ACA includes a subtitle called the Biologics Price Competition and Innovation Act of 2009, or the BPCIA, which created an abbreviated approval pathway for biological products that are biosimilar to or interchangeable with an FDA-approved reference biological product. Under the BPCIA, an application for a biosimilar product may not be submitted to the FDA until four years following the date that the reference product was first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82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20" w:lineRule="auto"/>
        <w:rPr>
          <w:sz w:val="20"/>
          <w:szCs w:val="20"/>
          <w:color w:val="auto"/>
        </w:rPr>
      </w:pPr>
      <w:r>
        <w:rPr>
          <w:rFonts w:ascii="Arial" w:cs="Arial" w:eastAsia="Arial" w:hAnsi="Arial"/>
          <w:sz w:val="13"/>
          <w:szCs w:val="13"/>
          <w:color w:val="auto"/>
        </w:rPr>
        <w:t>by the FDA. In addition, the approval of a biosimilar product may not be made effective by the FDA until 12 years from the date on which the reference product was first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080"/>
        <w:spacing w:after="0" w:line="210" w:lineRule="auto"/>
        <w:rPr>
          <w:sz w:val="20"/>
          <w:szCs w:val="20"/>
          <w:color w:val="auto"/>
        </w:rPr>
      </w:pPr>
      <w:r>
        <w:rPr>
          <w:rFonts w:ascii="Arial" w:cs="Arial" w:eastAsia="Arial" w:hAnsi="Arial"/>
          <w:sz w:val="13"/>
          <w:szCs w:val="13"/>
          <w:color w:val="auto"/>
        </w:rPr>
        <w:t>During this 12-year period of exclusivity, another company may still market a competing version of the reference product if the FDA approves a BLA for the competing product containing the sponsor’s own preclinical data and data from adequate and well -controlled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3"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We believe that any of our product candidates approved as a biological product under a BLA should qualify for a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 -biological products is not yet clear, and will depend on a number of marketplace and regulatory factors that are still developing.</w:t>
      </w:r>
    </w:p>
    <w:p>
      <w:pPr>
        <w:spacing w:after="0" w:line="5"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b w:val="1"/>
          <w:bCs w:val="1"/>
          <w:color w:val="005A64"/>
        </w:rPr>
        <w:t>Some of our product candidates are classified as gene therapies by the FDA and the EMA, and the FDA has indicated that our product candidates will be reviewed within its Center for Biologics Evaluation and Research, or CBER.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spacing w:after="0" w:line="4"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There have been few approvals of gene therapy products in the United States and other jurisdictions, and there have been well-reported significant adverse events associated with their testing and use. Gene therapy products have the effect of introducing new DNA and potentially irreversibly changing the DNA in a cell. In contrast, mRNA is highly unlikely to localize to the nucleus, be reverse transcribed or integrated into the genome. Consequently, we expect that our products or product candidates will have a different potential side effect profile from gene therapies because they lack risks associated with altering cell DNA irreversibly. Further, we may avail ourselves of ways of mitigating side effects in developing our products and product candidates to address safety concerns that are not available to other products or product candidates classified as gene therapies, such as lowering the dose of our products or product candidates during repeat dosing or stopping treatment to potentially ameliorate undesirable side effects.</w:t>
      </w:r>
    </w:p>
    <w:p>
      <w:pPr>
        <w:spacing w:after="0" w:line="6" w:lineRule="exact"/>
        <w:rPr>
          <w:sz w:val="20"/>
          <w:szCs w:val="20"/>
          <w:color w:val="auto"/>
        </w:rPr>
      </w:pPr>
    </w:p>
    <w:p>
      <w:pPr>
        <w:ind w:left="380" w:right="2120"/>
        <w:spacing w:after="0" w:line="220" w:lineRule="auto"/>
        <w:rPr>
          <w:sz w:val="20"/>
          <w:szCs w:val="20"/>
          <w:color w:val="auto"/>
        </w:rPr>
      </w:pPr>
      <w:r>
        <w:rPr>
          <w:rFonts w:ascii="Arial" w:cs="Arial" w:eastAsia="Arial" w:hAnsi="Arial"/>
          <w:sz w:val="13"/>
          <w:szCs w:val="13"/>
          <w:color w:val="auto"/>
        </w:rPr>
        <w:t>Regulatory requirements governing gene and cell therapy products have evolved and may continue to change in the future, and the implications for mRNA-based therapies is unknown. For example, the FDA has established the Office of Tissues and Advanced Therapies within CBER to consolidate the review of gene therapy and related products, and convenes the Cellular, Tissue and Gene Therapies Advisory Committee to advise CBER on its review. In the European Union, mRNA has been characterized as a gene therapy medicinal product. In</w:t>
      </w:r>
    </w:p>
    <w:p>
      <w:pPr>
        <w:sectPr>
          <w:pgSz w:w="11900" w:h="16840" w:orient="portrait"/>
          <w:cols w:equalWidth="0" w:num="1">
            <w:col w:w="9020"/>
          </w:cols>
          <w:pgMar w:left="1440" w:top="560" w:right="1440" w:bottom="58" w:gutter="0" w:footer="0" w:header="0"/>
        </w:sectPr>
      </w:pPr>
    </w:p>
    <w:bookmarkStart w:id="58" w:name="page59"/>
    <w:bookmarkEnd w:id="58"/>
    <w:p>
      <w:pPr>
        <w:ind w:left="380" w:right="2140"/>
        <w:spacing w:after="0" w:line="213" w:lineRule="auto"/>
        <w:rPr>
          <w:sz w:val="20"/>
          <w:szCs w:val="20"/>
          <w:color w:val="auto"/>
        </w:rPr>
      </w:pPr>
      <w:r>
        <w:rPr>
          <w:rFonts w:ascii="Arial" w:cs="Arial" w:eastAsia="Arial" w:hAnsi="Arial"/>
          <w:sz w:val="13"/>
          <w:szCs w:val="13"/>
          <w:color w:val="auto"/>
        </w:rPr>
        <w:t>certain countries, mRNA therapies have not yet been classified or any such classification is not known to us. Notwithstanding the differences between our mRNA product candidates and gene therapies, the classification of some of our mRNA product candidates as gene therapies in the United States, the European Union and potentially other counties could adversely impact our ability to develop our product candidates, and could negatively impact our platform and our business. For instance, a potential future clinical hold on gene therapy products across the field due to risks associated with altering cell DNA irreversibly could apply to our mRNA product candidates irrespective of the mechanistic differences between gene therapies and mRNA.</w:t>
      </w:r>
    </w:p>
    <w:p>
      <w:pPr>
        <w:spacing w:after="0" w:line="3" w:lineRule="exact"/>
        <w:rPr>
          <w:sz w:val="20"/>
          <w:szCs w:val="20"/>
          <w:color w:val="auto"/>
        </w:rPr>
      </w:pPr>
    </w:p>
    <w:p>
      <w:pPr>
        <w:ind w:left="380" w:right="2100"/>
        <w:spacing w:after="0" w:line="218" w:lineRule="auto"/>
        <w:rPr>
          <w:sz w:val="20"/>
          <w:szCs w:val="20"/>
          <w:color w:val="auto"/>
        </w:rPr>
      </w:pPr>
      <w:r>
        <w:rPr>
          <w:rFonts w:ascii="Arial" w:cs="Arial" w:eastAsia="Arial" w:hAnsi="Arial"/>
          <w:sz w:val="13"/>
          <w:szCs w:val="13"/>
          <w:color w:val="auto"/>
        </w:rPr>
        <w:t>Adverse events reported with respect to gene therapies or genome editing therapies could adversely impact one or more of our programs. Although our mRNA product candidates are designed not to make any permanent changes to cell DNA, regulatory agencies or others could believe that adverse effects of gene therapy products caused by introducing new DNA and irreversibly changing the DNA in a cell could also be a risk for our approved mRNA products or investigational therapies, and as a result may delay one or more of our trials or impose additional testing for long-term side effects. Any new requirements and guidelines promulgated by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83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3" w:lineRule="auto"/>
        <w:rPr>
          <w:sz w:val="20"/>
          <w:szCs w:val="20"/>
          <w:color w:val="auto"/>
        </w:rPr>
      </w:pPr>
      <w:r>
        <w:rPr>
          <w:rFonts w:ascii="Arial" w:cs="Arial" w:eastAsia="Arial" w:hAnsi="Arial"/>
          <w:sz w:val="13"/>
          <w:szCs w:val="13"/>
          <w:color w:val="auto"/>
        </w:rPr>
        <w:t>review agencies may have a negative effect on our business by lengthening the regulatory review process, requiring us to perform additional or larger studies, or increasing our development costs, any of which could lead to changes in regulatory positions and interpretations, delay or prevent advancement or approval and commercialization of our product candidates or lead to significant post-approval studies, limitations or restrictions. As we advance our product candidates, we will be required to consult with these regulatory agencies and advisory committees and comply with applicable requirements and guidelines. If we fail to do so, we may be required to delay or discontinue development of some or all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-582930</wp:posOffset>
            </wp:positionV>
            <wp:extent cx="523113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40"/>
        <w:spacing w:after="0" w:line="210" w:lineRule="auto"/>
        <w:rPr>
          <w:sz w:val="20"/>
          <w:szCs w:val="20"/>
          <w:color w:val="auto"/>
        </w:rPr>
      </w:pPr>
      <w:r>
        <w:rPr>
          <w:rFonts w:ascii="Arial" w:cs="Arial" w:eastAsia="Arial" w:hAnsi="Arial"/>
          <w:sz w:val="13"/>
          <w:szCs w:val="13"/>
          <w:b w:val="1"/>
          <w:bCs w:val="1"/>
          <w:color w:val="005A64"/>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regulatory approval.</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The regulatory requirements to which our product candidates will be subject are not entirely clear. Even with respect to more established products that fit into the categories of gene therapies or cell therapies, the regulatory landscape is still developing. For example, regulatory requirements governing gene therapy products and cell therapy products have changed frequently and may continue to change in the future. Moreover, there is substantial, and sometimes uncoordinated, overlap in those responsible for regulation of existing gene therapy products and cell therapy products. Although the FDA decides whether individual gene therapy protocols may proceed, the review process and determinations of other reviewing bodies can impede or delay the initiation of a clinical study, even if the FDA has reviewed the study and approved its initiation. Conversely, the FDA can place an IND application on clinical hold even if such other entities have provided a favorable review. Furthermore, gene therapy clinical trials are also subject to review and oversight by an institutional biosafety committee, a local institutional committee that reviews and oversees basic and clinical research conducted at the institution participating in the clinical trial. In addition, adverse developments in clinical trials of gene therapy products conducted by others may cause the FDA or other regulatory bodies to change the requirements for approval of any of our product candidates.</w:t>
      </w:r>
    </w:p>
    <w:p>
      <w:pPr>
        <w:spacing w:after="0" w:line="8"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Complex regulatory environments exist in other jurisdictions in which we might consider seeking regulatory approvals for our product candidates, further complicating the regulatory landscape. For example, in the European Union, a special committee called the Committee for Advanced Therapies was established within the EMA in accordance with Regulation (EC) No 1394/2007 on advanced-therapy medicinal products, or ATMPs, to assess the quality, safety and efficacy of ATMPs, and to follow scientific developments in the field. ATMPs include gene therapy products as well as somatic cell therapy products and tissue engineered products.</w:t>
      </w:r>
    </w:p>
    <w:p>
      <w:pPr>
        <w:spacing w:after="0" w:line="4"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the regulatory landscape for our CAR-T-cell immunotherapy product candidates is new, we may face even more cumbersome and complex regulations than those emerging for gene therapy products and cell therapy products. Furthermore, even if our product candidates obtain required regulatory approvals, such approvals may later be withdrawn as a result of changes in regulations or the interpretation of regulations by applicable regulatory agencies.</w:t>
      </w:r>
    </w:p>
    <w:p>
      <w:pPr>
        <w:spacing w:after="0" w:line="5"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Delay or failure to obtain, or unexpected costs in obtaining, the regulatory approval necessary to bring a potential product to market could decrease our ability to generate sufficient product sales revenue to maintain our business.</w:t>
      </w:r>
    </w:p>
    <w:p>
      <w:pPr>
        <w:spacing w:after="0" w:line="2" w:lineRule="exact"/>
        <w:rPr>
          <w:sz w:val="20"/>
          <w:szCs w:val="20"/>
          <w:color w:val="auto"/>
        </w:rPr>
      </w:pPr>
    </w:p>
    <w:p>
      <w:pPr>
        <w:ind w:left="380" w:right="2860"/>
        <w:spacing w:after="0" w:line="210" w:lineRule="auto"/>
        <w:rPr>
          <w:sz w:val="20"/>
          <w:szCs w:val="20"/>
          <w:color w:val="auto"/>
        </w:rPr>
      </w:pPr>
      <w:r>
        <w:rPr>
          <w:rFonts w:ascii="Arial" w:cs="Arial" w:eastAsia="Arial" w:hAnsi="Arial"/>
          <w:sz w:val="13"/>
          <w:szCs w:val="13"/>
          <w:b w:val="1"/>
          <w:bCs w:val="1"/>
          <w:color w:val="005A64"/>
        </w:rPr>
        <w:t>We may be unable to obtain regulatory approval for our product candidates under applicable international regulatory requirements.</w:t>
      </w:r>
    </w:p>
    <w:p>
      <w:pPr>
        <w:spacing w:after="0" w:line="1" w:lineRule="exact"/>
        <w:rPr>
          <w:sz w:val="20"/>
          <w:szCs w:val="20"/>
          <w:color w:val="auto"/>
        </w:rPr>
      </w:pPr>
    </w:p>
    <w:p>
      <w:pPr>
        <w:ind w:left="380" w:right="2340"/>
        <w:spacing w:after="0" w:line="210" w:lineRule="auto"/>
        <w:rPr>
          <w:sz w:val="20"/>
          <w:szCs w:val="20"/>
          <w:color w:val="auto"/>
        </w:rPr>
      </w:pPr>
      <w:r>
        <w:rPr>
          <w:rFonts w:ascii="Arial" w:cs="Arial" w:eastAsia="Arial" w:hAnsi="Arial"/>
          <w:sz w:val="13"/>
          <w:szCs w:val="13"/>
          <w:color w:val="auto"/>
        </w:rPr>
        <w:t>The denial or delay of such approval would delay commercialization of our product candidates and adversely impact our potential to generate revenue, our business and our results of operations.</w:t>
      </w:r>
    </w:p>
    <w:p>
      <w:pPr>
        <w:spacing w:after="0" w:line="1" w:lineRule="exact"/>
        <w:rPr>
          <w:sz w:val="20"/>
          <w:szCs w:val="20"/>
          <w:color w:val="auto"/>
        </w:rPr>
      </w:pPr>
    </w:p>
    <w:p>
      <w:pPr>
        <w:ind w:left="380" w:right="2100"/>
        <w:spacing w:after="0" w:line="234" w:lineRule="auto"/>
        <w:rPr>
          <w:sz w:val="20"/>
          <w:szCs w:val="20"/>
          <w:color w:val="auto"/>
        </w:rPr>
      </w:pPr>
      <w:r>
        <w:rPr>
          <w:rFonts w:ascii="Arial" w:cs="Arial" w:eastAsia="Arial" w:hAnsi="Arial"/>
          <w:sz w:val="13"/>
          <w:szCs w:val="13"/>
          <w:color w:val="auto"/>
        </w:rPr>
        <w:t>Approval by the FDA in the United States, if obtained, does not ensure approval by regulatory authorities in other countries or jurisdictions. In order to market our products or product candidates in any other jurisdiction, we must</w:t>
      </w:r>
    </w:p>
    <w:p>
      <w:pPr>
        <w:sectPr>
          <w:pgSz w:w="11900" w:h="16840" w:orient="portrait"/>
          <w:cols w:equalWidth="0" w:num="1">
            <w:col w:w="9020"/>
          </w:cols>
          <w:pgMar w:left="1440" w:top="560" w:right="1440" w:bottom="1440" w:gutter="0" w:footer="0" w:header="0"/>
        </w:sectPr>
      </w:pPr>
    </w:p>
    <w:bookmarkStart w:id="59" w:name="page60"/>
    <w:bookmarkEnd w:id="59"/>
    <w:p>
      <w:pPr>
        <w:ind w:left="380"/>
        <w:spacing w:after="0"/>
        <w:rPr>
          <w:sz w:val="20"/>
          <w:szCs w:val="20"/>
          <w:color w:val="auto"/>
        </w:rPr>
      </w:pPr>
      <w:r>
        <w:rPr>
          <w:rFonts w:ascii="Arial" w:cs="Arial" w:eastAsia="Arial" w:hAnsi="Arial"/>
          <w:sz w:val="13"/>
          <w:szCs w:val="13"/>
          <w:color w:val="auto"/>
        </w:rPr>
        <w:t>84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240"/>
        <w:spacing w:after="0" w:line="214" w:lineRule="auto"/>
        <w:rPr>
          <w:sz w:val="20"/>
          <w:szCs w:val="20"/>
          <w:color w:val="auto"/>
        </w:rPr>
      </w:pPr>
      <w:r>
        <w:rPr>
          <w:rFonts w:ascii="Arial" w:cs="Arial" w:eastAsia="Arial" w:hAnsi="Arial"/>
          <w:sz w:val="13"/>
          <w:szCs w:val="13"/>
          <w:color w:val="auto"/>
        </w:rPr>
        <w:t>establish and comply with numerous and varying regulatory requirements on a jurisdiction-by-jurisdiction basis regarding safety and efficacy.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testing and validation and additional administrative review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-416560</wp:posOffset>
            </wp:positionV>
            <wp:extent cx="523113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color w:val="auto"/>
        </w:rPr>
        <w:t>Seeking regulatory approval in other jurisdictions could result in difficulties and costs for us and require additional preclinical studies or clinical trials which could be costly and time-consuming. Regulatory requirements can vary widely from country to country and could delay or prevent the introduction of our products in those countries. The European Union and other jurisdictions’ regulatory approval processes involve all of the risks associated with the FDA approval. If we fail to comply with regulatory requirements in certain markets or to obtain and maintain required approvals, or if regulatory approvals in certain markets are delayed, our target market will be reduced and our ability to realize the full market potential of our products will be unrealized. Certain jurisdictions may have submission requirements for drug clinical trial and marketing applications that require us or our partners to submit substantial detailed materials related to non -clinical and clinical development and manufacturing and quality control to drug regulators or testing laboratories. This can include confidential standard operating procedures or executed batch records for the production of biological products or other records or documents that set forth detailed information about the manufacturing process. If these materials are disclosed, lost, or diverted to third parties or competitors during the application preparation process, this could negatively affect our ability to protect our intellectual property.</w:t>
      </w:r>
    </w:p>
    <w:p>
      <w:pPr>
        <w:spacing w:after="0" w:line="8"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Our partners in different countries are subject to local regulatory requirements on the manufacturing and distribution of drugs and the implementation of clinical and non-clinical research. These include but are not limited to good manufacturing, distribution, laboratory, clinical practice, and pharmacovigilance rules. If these companies do not comply with applicable standards, they could become the subjects of investigations and enforcement, including orders to cease the activities pending remediation that is acceptable to the government. Such an order or other similar enforcement could interfere with our clinical development activities both in that jurisdiction and others, if it impacts supply or the quality and transfer of data.</w:t>
      </w:r>
    </w:p>
    <w:p>
      <w:pPr>
        <w:spacing w:after="0" w:line="4"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b w:val="1"/>
          <w:bCs w:val="1"/>
          <w:color w:val="005A64"/>
        </w:rPr>
        <w:t xml:space="preserve">A third-party investigational product candidate used in combination with our product candidates may be unable to obtain regulatory approval, which may delay commercialization of our product candidates. </w:t>
      </w:r>
      <w:r>
        <w:rPr>
          <w:rFonts w:ascii="Arial" w:cs="Arial" w:eastAsia="Arial" w:hAnsi="Arial"/>
          <w:sz w:val="13"/>
          <w:szCs w:val="13"/>
          <w:color w:val="000000"/>
        </w:rPr>
        <w:t>We are developing several of our product candidates to be used in combination with our and third-party product candidates. Even if any product candidate we develop were to receive marketing approval or be commercialized for use in combination with other existing products, we would continue to be subject to the risks that the FDA, the EMA or comparable regulatory authorities in other jurisdictions could revoke approval of the product used in combination with our product or that safety, efficacy, manufacturing or supply issues could arise with any of those existing products. If the products or product candidates we use in combination with our product candidates are replaced as the standard of care for the indications we choose for any of our product candidates, the FDA, the EMA or comparable regulatory authorities in other jurisdictions may require us to conduct additional clinical trials. The occurrence of any of these risks could result in our own products, if approved, being removed from the market or being less successful commercially. We also plan to evaluate current and future product candidates in combination with one or more product candidates that have not yet been approved for marketing by the FDA, the EMA or comparable regulatory authorities in other jurisdictions. We will not be able to market any product candidate we develop in combination with an unapproved product candidate if that unapproved product candidate does not ultimately obtain marketing approval. In addition, unapproved product candidates face the same risks described with respect to our product candidates currently in development and clinical trials, including the potential for serious adverse effects, delay in their clinical trials and lack of FDA, EMA or comparable regulatory authority approval.</w:t>
      </w:r>
    </w:p>
    <w:p>
      <w:pPr>
        <w:spacing w:after="0" w:line="11" w:lineRule="exact"/>
        <w:rPr>
          <w:sz w:val="20"/>
          <w:szCs w:val="20"/>
          <w:color w:val="auto"/>
        </w:rPr>
      </w:pPr>
    </w:p>
    <w:p>
      <w:pPr>
        <w:ind w:left="380" w:right="2260"/>
        <w:spacing w:after="0" w:line="222" w:lineRule="auto"/>
        <w:rPr>
          <w:sz w:val="20"/>
          <w:szCs w:val="20"/>
          <w:color w:val="auto"/>
        </w:rPr>
      </w:pPr>
      <w:r>
        <w:rPr>
          <w:rFonts w:ascii="Arial" w:cs="Arial" w:eastAsia="Arial" w:hAnsi="Arial"/>
          <w:sz w:val="13"/>
          <w:szCs w:val="13"/>
          <w:color w:val="auto"/>
        </w:rPr>
        <w:t>If the FDA, the EMA or comparable regulatory authorities in other jurisdictions do not approve these other product candidates or revoke their approval of, or if safety, efficacy, manufacturing or supply issues arise with, the products or product candidates we choose to evaluate in combination with any product candidate we develop, we may be unable to obtain approval of or market any product candidate we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85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40"/>
        <w:spacing w:after="0" w:line="214" w:lineRule="auto"/>
        <w:rPr>
          <w:sz w:val="20"/>
          <w:szCs w:val="20"/>
          <w:color w:val="auto"/>
        </w:rPr>
      </w:pPr>
      <w:r>
        <w:rPr>
          <w:rFonts w:ascii="Arial" w:cs="Arial" w:eastAsia="Arial" w:hAnsi="Arial"/>
          <w:sz w:val="13"/>
          <w:szCs w:val="13"/>
          <w:b w:val="1"/>
          <w:bCs w:val="1"/>
          <w:color w:val="005A64"/>
        </w:rPr>
        <w:t>Our COVID-19 vaccine and any other product candidates for which we receive approval or emergency use authorization are subject to continuing regulatory oversight, and we will be subject to ongoing regulatory obligations and continued regulatory review, which may result in significant additional expense. We may be subject to penalties if we fail to comply with regulatory requirements or experience unanticipated problems with our products or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-416560</wp:posOffset>
            </wp:positionV>
            <wp:extent cx="523113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color w:val="auto"/>
        </w:rPr>
        <w:t>Our COVID-19 vaccine and any other product candidates for which we receive approval or emergency use authorization are subject to continuing regulatory oversight, including the review of additional safety information, and the applicable regulatory authority may still impose significant restrictions on the indicated uses or marketing of our product or impose ongoing requirements for potentially costly post -approval studies or post-market surveillance. For example, the holder of an approved BLA is obligated to monitor and report adverse events and any failure of a product to meet the specifications in the BLA. The holder of an approved BLA must also submit new or supplemental applications and obtain FDA approval for certain changes to the approved product, product labeling or manufacturing process. Similar requirements apply to holders of (conditional) approvals in other countries. Advertising and promotional materials must comply with FDA rules and are subject to FDA review, in addition to other potentially applicable federal and state laws. In other countries, advertising and promotional material may be subject to similar rules.</w:t>
      </w:r>
    </w:p>
    <w:p>
      <w:pPr>
        <w:spacing w:after="0" w:line="7"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If we fail to comply with applicable regulatory requirements following approval of any of our product candidates, a regulatory agency may:</w:t>
      </w:r>
    </w:p>
    <w:p>
      <w:pPr>
        <w:ind w:left="380"/>
        <w:spacing w:after="0" w:line="212" w:lineRule="auto"/>
        <w:rPr>
          <w:sz w:val="20"/>
          <w:szCs w:val="20"/>
          <w:color w:val="auto"/>
        </w:rPr>
      </w:pPr>
      <w:r>
        <w:rPr>
          <w:rFonts w:ascii="Arial" w:cs="Arial" w:eastAsia="Arial" w:hAnsi="Arial"/>
          <w:sz w:val="13"/>
          <w:szCs w:val="13"/>
          <w:color w:val="auto"/>
        </w:rPr>
        <w:t>•issue adverse public statements about our business or products;</w:t>
      </w:r>
    </w:p>
    <w:p>
      <w:pPr>
        <w:ind w:left="380"/>
        <w:spacing w:after="0" w:line="211" w:lineRule="auto"/>
        <w:rPr>
          <w:sz w:val="20"/>
          <w:szCs w:val="20"/>
          <w:color w:val="auto"/>
        </w:rPr>
      </w:pPr>
      <w:r>
        <w:rPr>
          <w:rFonts w:ascii="Arial" w:cs="Arial" w:eastAsia="Arial" w:hAnsi="Arial"/>
          <w:sz w:val="13"/>
          <w:szCs w:val="13"/>
          <w:color w:val="auto"/>
        </w:rPr>
        <w:t>•issue a warning letter asserting that we are in violation of the law;</w:t>
      </w:r>
    </w:p>
    <w:p>
      <w:pPr>
        <w:ind w:left="380"/>
        <w:spacing w:after="0" w:line="211" w:lineRule="auto"/>
        <w:rPr>
          <w:sz w:val="20"/>
          <w:szCs w:val="20"/>
          <w:color w:val="auto"/>
        </w:rPr>
      </w:pPr>
      <w:r>
        <w:rPr>
          <w:rFonts w:ascii="Arial" w:cs="Arial" w:eastAsia="Arial" w:hAnsi="Arial"/>
          <w:sz w:val="13"/>
          <w:szCs w:val="13"/>
          <w:color w:val="auto"/>
        </w:rPr>
        <w:t>•seek an injunction or impose civil or criminal penalties or monetary fines;</w:t>
      </w:r>
    </w:p>
    <w:p>
      <w:pPr>
        <w:ind w:left="380"/>
        <w:spacing w:after="0" w:line="211" w:lineRule="auto"/>
        <w:rPr>
          <w:sz w:val="20"/>
          <w:szCs w:val="20"/>
          <w:color w:val="auto"/>
        </w:rPr>
      </w:pPr>
      <w:r>
        <w:rPr>
          <w:rFonts w:ascii="Arial" w:cs="Arial" w:eastAsia="Arial" w:hAnsi="Arial"/>
          <w:sz w:val="13"/>
          <w:szCs w:val="13"/>
          <w:color w:val="auto"/>
        </w:rPr>
        <w:t>•suspend or withdraw regulatory approval or revoke a license;</w:t>
      </w:r>
    </w:p>
    <w:p>
      <w:pPr>
        <w:ind w:left="380"/>
        <w:spacing w:after="0" w:line="211" w:lineRule="auto"/>
        <w:rPr>
          <w:sz w:val="20"/>
          <w:szCs w:val="20"/>
          <w:color w:val="auto"/>
        </w:rPr>
      </w:pPr>
      <w:r>
        <w:rPr>
          <w:rFonts w:ascii="Arial" w:cs="Arial" w:eastAsia="Arial" w:hAnsi="Arial"/>
          <w:sz w:val="13"/>
          <w:szCs w:val="13"/>
          <w:color w:val="auto"/>
        </w:rPr>
        <w:t>•suspend any ongoing clinical studies;</w:t>
      </w:r>
    </w:p>
    <w:p>
      <w:pPr>
        <w:ind w:left="380"/>
        <w:spacing w:after="0" w:line="211" w:lineRule="auto"/>
        <w:rPr>
          <w:sz w:val="20"/>
          <w:szCs w:val="20"/>
          <w:color w:val="auto"/>
        </w:rPr>
      </w:pPr>
      <w:r>
        <w:rPr>
          <w:rFonts w:ascii="Arial" w:cs="Arial" w:eastAsia="Arial" w:hAnsi="Arial"/>
          <w:sz w:val="13"/>
          <w:szCs w:val="13"/>
          <w:color w:val="auto"/>
        </w:rPr>
        <w:t>•refuse to approve a pending BLA (or comparable approval) or supplements to a BLA (or comparable</w:t>
      </w:r>
    </w:p>
    <w:p>
      <w:pPr>
        <w:ind w:left="380"/>
        <w:spacing w:after="0" w:line="211" w:lineRule="auto"/>
        <w:rPr>
          <w:sz w:val="20"/>
          <w:szCs w:val="20"/>
          <w:color w:val="auto"/>
        </w:rPr>
      </w:pPr>
      <w:r>
        <w:rPr>
          <w:rFonts w:ascii="Arial" w:cs="Arial" w:eastAsia="Arial" w:hAnsi="Arial"/>
          <w:sz w:val="13"/>
          <w:szCs w:val="13"/>
          <w:color w:val="auto"/>
        </w:rPr>
        <w:t>approval) submitted by us;</w:t>
      </w:r>
    </w:p>
    <w:p>
      <w:pPr>
        <w:ind w:left="380"/>
        <w:spacing w:after="0" w:line="211" w:lineRule="auto"/>
        <w:rPr>
          <w:sz w:val="20"/>
          <w:szCs w:val="20"/>
          <w:color w:val="auto"/>
        </w:rPr>
      </w:pPr>
      <w:r>
        <w:rPr>
          <w:rFonts w:ascii="Arial" w:cs="Arial" w:eastAsia="Arial" w:hAnsi="Arial"/>
          <w:sz w:val="13"/>
          <w:szCs w:val="13"/>
          <w:color w:val="auto"/>
        </w:rPr>
        <w:t>•seize product; or</w:t>
      </w:r>
    </w:p>
    <w:p>
      <w:pPr>
        <w:ind w:left="380"/>
        <w:spacing w:after="0" w:line="211" w:lineRule="auto"/>
        <w:rPr>
          <w:sz w:val="20"/>
          <w:szCs w:val="20"/>
          <w:color w:val="auto"/>
        </w:rPr>
      </w:pPr>
      <w:r>
        <w:rPr>
          <w:rFonts w:ascii="Arial" w:cs="Arial" w:eastAsia="Arial" w:hAnsi="Arial"/>
          <w:sz w:val="13"/>
          <w:szCs w:val="13"/>
          <w:color w:val="auto"/>
        </w:rPr>
        <w:t>•refuse to allow us to enter into supply contracts, including government contracts.</w:t>
      </w:r>
    </w:p>
    <w:p>
      <w:pPr>
        <w:ind w:left="380" w:right="2180"/>
        <w:spacing w:after="0" w:line="226" w:lineRule="auto"/>
        <w:rPr>
          <w:sz w:val="20"/>
          <w:szCs w:val="20"/>
          <w:color w:val="auto"/>
        </w:rPr>
      </w:pPr>
      <w:r>
        <w:rPr>
          <w:rFonts w:ascii="Arial" w:cs="Arial" w:eastAsia="Arial" w:hAnsi="Arial"/>
          <w:sz w:val="13"/>
          <w:szCs w:val="13"/>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approved products and generate revenues.</w:t>
      </w:r>
    </w:p>
    <w:p>
      <w:pPr>
        <w:sectPr>
          <w:pgSz w:w="11900" w:h="16840" w:orient="portrait"/>
          <w:cols w:equalWidth="0" w:num="1">
            <w:col w:w="9020"/>
          </w:cols>
          <w:pgMar w:left="1440" w:top="1038" w:right="1440" w:bottom="48" w:gutter="0" w:footer="0" w:header="0"/>
        </w:sectPr>
      </w:pPr>
    </w:p>
    <w:bookmarkStart w:id="60" w:name="page61"/>
    <w:bookmarkEnd w:id="60"/>
    <w:p>
      <w:pPr>
        <w:ind w:left="380" w:right="2160"/>
        <w:spacing w:after="0" w:line="213" w:lineRule="auto"/>
        <w:rPr>
          <w:sz w:val="20"/>
          <w:szCs w:val="20"/>
          <w:color w:val="auto"/>
        </w:rPr>
      </w:pPr>
      <w:r>
        <w:rPr>
          <w:rFonts w:ascii="Arial" w:cs="Arial" w:eastAsia="Arial" w:hAnsi="Arial"/>
          <w:sz w:val="13"/>
          <w:szCs w:val="13"/>
          <w:color w:val="auto"/>
        </w:rPr>
        <w:t>If any of our products or product candidates cause undesirable side effects, it could delay or prevent their regulatory approval, limit their commercial potential, or result in significant negative consequences following any potential marketing approval. Products or product candidates we may develop may be associated with an adverse immune response or other serious adverse events, undesirable side effects or unexpected characteristics. In addition to serious adverse events or side effects caused by any of our products or product candidates, the administration process or related procedures also can cause undesirable side effects. If any such events occur, the clinical trials of any of our product candidates could be suspended or terminated.</w:t>
      </w:r>
    </w:p>
    <w:p>
      <w:pPr>
        <w:spacing w:after="0" w:line="3" w:lineRule="exact"/>
        <w:rPr>
          <w:sz w:val="20"/>
          <w:szCs w:val="20"/>
          <w:color w:val="auto"/>
        </w:rPr>
      </w:pPr>
    </w:p>
    <w:p>
      <w:pPr>
        <w:ind w:left="380" w:right="2100"/>
        <w:spacing w:after="0" w:line="218" w:lineRule="auto"/>
        <w:rPr>
          <w:sz w:val="20"/>
          <w:szCs w:val="20"/>
          <w:color w:val="auto"/>
        </w:rPr>
      </w:pPr>
      <w:r>
        <w:rPr>
          <w:rFonts w:ascii="Arial" w:cs="Arial" w:eastAsia="Arial" w:hAnsi="Arial"/>
          <w:sz w:val="13"/>
          <w:szCs w:val="13"/>
          <w:color w:val="auto"/>
        </w:rPr>
        <w:t>If in the future we are unable to demonstrate that such adverse events were caused by factors other than our product candidate, the FDA, the EMA or other regulatory authorities could order us to cease further development of, or deny approval of, any of our product candidates for any or all targeted indications. Even if we are able to demonstrate that all future serious adverse events are not product-related, such occurrences could affect patient recruitment or the ability of enrolled trial participants to complete the trial. Moreover, if we elect, or are required, to delay, suspend or terminate any clinical trial of any of our product candidates, the commercial prospects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86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5" w:lineRule="auto"/>
        <w:rPr>
          <w:sz w:val="20"/>
          <w:szCs w:val="20"/>
          <w:color w:val="auto"/>
        </w:rPr>
      </w:pPr>
      <w:r>
        <w:rPr>
          <w:rFonts w:ascii="Arial" w:cs="Arial" w:eastAsia="Arial" w:hAnsi="Arial"/>
          <w:sz w:val="13"/>
          <w:szCs w:val="13"/>
          <w:color w:val="auto"/>
        </w:rPr>
        <w:t>such product candidates, if approved, may be harmed and our ability to generate product sale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60"/>
        <w:spacing w:after="0" w:line="210" w:lineRule="auto"/>
        <w:rPr>
          <w:sz w:val="20"/>
          <w:szCs w:val="20"/>
          <w:color w:val="auto"/>
        </w:rPr>
      </w:pPr>
      <w:r>
        <w:rPr>
          <w:rFonts w:ascii="Arial" w:cs="Arial" w:eastAsia="Arial" w:hAnsi="Arial"/>
          <w:sz w:val="13"/>
          <w:szCs w:val="13"/>
          <w:color w:val="auto"/>
        </w:rPr>
        <w:t>Additionally, following regulatory approval of a product candidate, the FDA or other regulatory authority could require us to adopt a REMS or a risk management plan to ensure that the benefits of treatment with such product candidate outweigh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w:t>
      </w:r>
    </w:p>
    <w:p>
      <w:pPr>
        <w:spacing w:after="0" w:line="4" w:lineRule="exact"/>
        <w:rPr>
          <w:sz w:val="20"/>
          <w:szCs w:val="20"/>
          <w:color w:val="auto"/>
        </w:rPr>
      </w:pPr>
    </w:p>
    <w:p>
      <w:pPr>
        <w:ind w:left="380" w:right="2500"/>
        <w:spacing w:after="0" w:line="210" w:lineRule="auto"/>
        <w:rPr>
          <w:sz w:val="20"/>
          <w:szCs w:val="20"/>
          <w:color w:val="auto"/>
        </w:rPr>
      </w:pPr>
      <w:r>
        <w:rPr>
          <w:rFonts w:ascii="Arial" w:cs="Arial" w:eastAsia="Arial" w:hAnsi="Arial"/>
          <w:sz w:val="13"/>
          <w:szCs w:val="13"/>
          <w:color w:val="auto"/>
        </w:rPr>
        <w:t>Furthermore, if we or others later identify undesirable side effects caused by any product that we develop, several potentially significant negative consequences could result, including:</w:t>
      </w:r>
    </w:p>
    <w:p>
      <w:pPr>
        <w:spacing w:after="0" w:line="1" w:lineRule="exact"/>
        <w:rPr>
          <w:sz w:val="20"/>
          <w:szCs w:val="20"/>
          <w:color w:val="auto"/>
        </w:rPr>
      </w:pPr>
    </w:p>
    <w:p>
      <w:pPr>
        <w:ind w:left="380" w:right="3160"/>
        <w:spacing w:after="0" w:line="210" w:lineRule="auto"/>
        <w:rPr>
          <w:sz w:val="20"/>
          <w:szCs w:val="20"/>
          <w:color w:val="auto"/>
        </w:rPr>
      </w:pPr>
      <w:r>
        <w:rPr>
          <w:rFonts w:ascii="Arial" w:cs="Arial" w:eastAsia="Arial" w:hAnsi="Arial"/>
          <w:sz w:val="13"/>
          <w:szCs w:val="13"/>
          <w:color w:val="auto"/>
        </w:rPr>
        <w:t>•regulatory authorities may suspend or withdraw approvals or revoke licenses of such product; •regulatory authorities may require additional warnings on the label;</w:t>
      </w:r>
    </w:p>
    <w:p>
      <w:pPr>
        <w:ind w:left="380"/>
        <w:spacing w:after="0" w:line="212" w:lineRule="auto"/>
        <w:rPr>
          <w:sz w:val="20"/>
          <w:szCs w:val="20"/>
          <w:color w:val="auto"/>
        </w:rPr>
      </w:pPr>
      <w:r>
        <w:rPr>
          <w:rFonts w:ascii="Arial" w:cs="Arial" w:eastAsia="Arial" w:hAnsi="Arial"/>
          <w:sz w:val="13"/>
          <w:szCs w:val="13"/>
          <w:color w:val="auto"/>
        </w:rPr>
        <w:t>•regulatory authorities may make unfavorable statements about the safety of our products;</w:t>
      </w:r>
    </w:p>
    <w:p>
      <w:pPr>
        <w:spacing w:after="0" w:line="1" w:lineRule="exact"/>
        <w:rPr>
          <w:sz w:val="20"/>
          <w:szCs w:val="20"/>
          <w:color w:val="auto"/>
        </w:rPr>
      </w:pPr>
    </w:p>
    <w:p>
      <w:pPr>
        <w:ind w:left="380" w:right="2800"/>
        <w:spacing w:after="0" w:line="210" w:lineRule="auto"/>
        <w:rPr>
          <w:sz w:val="20"/>
          <w:szCs w:val="20"/>
          <w:color w:val="auto"/>
        </w:rPr>
      </w:pPr>
      <w:r>
        <w:rPr>
          <w:rFonts w:ascii="Arial" w:cs="Arial" w:eastAsia="Arial" w:hAnsi="Arial"/>
          <w:sz w:val="13"/>
          <w:szCs w:val="13"/>
          <w:color w:val="auto"/>
        </w:rPr>
        <w:t>•we may be required to change the way a product is administered or conduct additional clinical trials; •we could be sued and held liable for harm caused to patients and their children; and •our reputation may suffer.</w:t>
      </w:r>
    </w:p>
    <w:p>
      <w:pPr>
        <w:spacing w:after="0" w:line="2"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Any of these events could prevent us from achieving or maintaining market acceptance of any products we may identify and develop and could have a material adverse effect on our business, financial condition, results of operations and prospects.</w:t>
      </w:r>
    </w:p>
    <w:p>
      <w:pPr>
        <w:spacing w:after="0" w:line="2"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Upon the successful approval of a product candidate, we will continue to face significant regulatory oversight of its manufacturing and distribution. Product manufacturers and their facilities are subject to payment of user fees and continual review and periodic inspections by the FDA and other regulatory authorities for compliance with GMP and adherence to commitments made in the BLA or comparable approval. If we or a regulatory agency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5"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b w:val="1"/>
          <w:bCs w:val="1"/>
          <w:color w:val="005A64"/>
        </w:rPr>
        <w:t>We may be subject, directly or indirectly, to federal and state healthcare fraud and abuse laws, false claims laws, and other healthcare laws. If we are unable to comply, or have not fully complied, with such laws, we could face substantial penalties.</w:t>
      </w:r>
    </w:p>
    <w:p>
      <w:pPr>
        <w:spacing w:after="0" w:line="2" w:lineRule="exact"/>
        <w:rPr>
          <w:sz w:val="20"/>
          <w:szCs w:val="20"/>
          <w:color w:val="auto"/>
        </w:rPr>
      </w:pPr>
    </w:p>
    <w:p>
      <w:pPr>
        <w:ind w:left="380" w:right="2080"/>
        <w:spacing w:after="0" w:line="215" w:lineRule="auto"/>
        <w:rPr>
          <w:sz w:val="20"/>
          <w:szCs w:val="20"/>
          <w:color w:val="auto"/>
        </w:rPr>
      </w:pPr>
      <w:r>
        <w:rPr>
          <w:rFonts w:ascii="Arial" w:cs="Arial" w:eastAsia="Arial" w:hAnsi="Arial"/>
          <w:sz w:val="13"/>
          <w:szCs w:val="13"/>
          <w:color w:val="auto"/>
        </w:rPr>
        <w:t>We may be subject to additional healthcare regulation and enforcement by the U.S. federal government and by authorities in the United States, the European Union and other jurisdictions in which we conduct our business. Our operations may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the Physician Payments Sunshine Act and regulations. Many states and other jurisdictions have similar laws and regulations, some of which may be broader in scope. These laws will impact, among other things, our proposed sales, marketing and educational programs. In addition, we may be subject to patient privacy laws enacted by both the federal government and the states in which we conduct our business. The laws that will affect our operations include, but are not limited to the following:</w:t>
      </w:r>
    </w:p>
    <w:p>
      <w:pPr>
        <w:sectPr>
          <w:pgSz w:w="11900" w:h="16840" w:orient="portrait"/>
          <w:cols w:equalWidth="0" w:num="1">
            <w:col w:w="9020"/>
          </w:cols>
          <w:pgMar w:left="1440" w:top="560" w:right="1440" w:bottom="1440" w:gutter="0" w:footer="0" w:header="0"/>
        </w:sectPr>
      </w:pPr>
    </w:p>
    <w:bookmarkStart w:id="61" w:name="page62"/>
    <w:bookmarkEnd w:id="61"/>
    <w:p>
      <w:pPr>
        <w:spacing w:after="0" w:line="200" w:lineRule="exact"/>
        <w:rPr>
          <w:sz w:val="20"/>
          <w:szCs w:val="20"/>
          <w:color w:val="auto"/>
        </w:rPr>
      </w:pPr>
    </w:p>
    <w:p>
      <w:pPr>
        <w:spacing w:after="0" w:line="32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87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640"/>
        <w:spacing w:after="0" w:line="213" w:lineRule="auto"/>
        <w:rPr>
          <w:sz w:val="20"/>
          <w:szCs w:val="20"/>
          <w:color w:val="auto"/>
        </w:rPr>
      </w:pPr>
      <w:r>
        <w:rPr>
          <w:rFonts w:ascii="Arial" w:cs="Arial" w:eastAsia="Arial" w:hAnsi="Arial"/>
          <w:sz w:val="13"/>
          <w:szCs w:val="13"/>
          <w:color w:val="auto"/>
        </w:rPr>
        <w:t>•The U.S. federal Anti- 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ACA amends the intent requirement of the federal Anti-Kickback Statute to provide that a person or entity no longer needs to have actual knowledge of this statute or specific intent to violate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-751205</wp:posOffset>
            </wp:positionV>
            <wp:extent cx="523113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620"/>
        <w:spacing w:after="0" w:line="210" w:lineRule="auto"/>
        <w:rPr>
          <w:sz w:val="20"/>
          <w:szCs w:val="20"/>
          <w:color w:val="auto"/>
        </w:rPr>
      </w:pPr>
      <w:r>
        <w:rPr>
          <w:rFonts w:ascii="Arial" w:cs="Arial" w:eastAsia="Arial" w:hAnsi="Arial"/>
          <w:sz w:val="13"/>
          <w:szCs w:val="13"/>
          <w:color w:val="auto"/>
        </w:rPr>
        <w:t>•The U.S. federal civil and criminal false claims laws and civil monetary penalty laws, which prohibit, among other things, individuals or entities from knowingly presenting, or causing to be presented, false or fraudulent claims for payment or approval from Medicare, Medicaid or other government payors. The ACA provides, and recent government cases against pharmaceutical and medical device manufacturers support, the view that federal Anti- Kickback Statute violations and certain marketing practices, including off-label promotion, may implicate the False Claims Act;</w:t>
      </w:r>
    </w:p>
    <w:p>
      <w:pPr>
        <w:spacing w:after="0" w:line="4" w:lineRule="exact"/>
        <w:rPr>
          <w:sz w:val="20"/>
          <w:szCs w:val="20"/>
          <w:color w:val="auto"/>
        </w:rPr>
      </w:pPr>
    </w:p>
    <w:p>
      <w:pPr>
        <w:ind w:left="380" w:right="2680"/>
        <w:spacing w:after="0" w:line="210" w:lineRule="auto"/>
        <w:rPr>
          <w:sz w:val="20"/>
          <w:szCs w:val="20"/>
          <w:color w:val="auto"/>
        </w:rPr>
      </w:pPr>
      <w:r>
        <w:rPr>
          <w:rFonts w:ascii="Arial" w:cs="Arial" w:eastAsia="Arial" w:hAnsi="Arial"/>
          <w:sz w:val="13"/>
          <w:szCs w:val="13"/>
          <w:color w:val="auto"/>
        </w:rPr>
        <w:t>•The U.S. federal Health Insurance Portability and Accountability Act of 1996, or HIPAA, which created new federal criminal statutes that prohibit a person from knowingly and willfully executing a scheme or making false or fraudulent statements to defraud any healthcare benefit program, regardless of the payor (e.g., public or private);</w:t>
      </w:r>
    </w:p>
    <w:p>
      <w:pPr>
        <w:spacing w:after="0" w:line="2" w:lineRule="exact"/>
        <w:rPr>
          <w:sz w:val="20"/>
          <w:szCs w:val="20"/>
          <w:color w:val="auto"/>
        </w:rPr>
      </w:pPr>
    </w:p>
    <w:p>
      <w:pPr>
        <w:ind w:left="380" w:right="2660"/>
        <w:spacing w:after="0" w:line="210" w:lineRule="auto"/>
        <w:rPr>
          <w:sz w:val="20"/>
          <w:szCs w:val="20"/>
          <w:color w:val="auto"/>
        </w:rPr>
      </w:pPr>
      <w:r>
        <w:rPr>
          <w:rFonts w:ascii="Arial" w:cs="Arial" w:eastAsia="Arial" w:hAnsi="Arial"/>
          <w:sz w:val="13"/>
          <w:szCs w:val="13"/>
          <w:color w:val="auto"/>
        </w:rPr>
        <w:t>•HIPAA, as amended by the Health Information Technology for Economic and Clinical Health Act and their implementing regulations,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2" w:lineRule="exact"/>
        <w:rPr>
          <w:sz w:val="20"/>
          <w:szCs w:val="20"/>
          <w:color w:val="auto"/>
        </w:rPr>
      </w:pPr>
    </w:p>
    <w:p>
      <w:pPr>
        <w:ind w:left="380" w:right="2520"/>
        <w:spacing w:after="0" w:line="210" w:lineRule="auto"/>
        <w:rPr>
          <w:sz w:val="20"/>
          <w:szCs w:val="20"/>
          <w:color w:val="auto"/>
        </w:rPr>
      </w:pPr>
      <w:r>
        <w:rPr>
          <w:rFonts w:ascii="Arial" w:cs="Arial" w:eastAsia="Arial" w:hAnsi="Arial"/>
          <w:sz w:val="13"/>
          <w:szCs w:val="13"/>
          <w:color w:val="auto"/>
        </w:rPr>
        <w:t>•The U.S. Federal Food, Drug, and Cosmetic Act, which prohibits, among other things, the adulteration or misbranding of drugs, biologics and medical devices;</w:t>
      </w:r>
    </w:p>
    <w:p>
      <w:pPr>
        <w:spacing w:after="0" w:line="1"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•The U.S. Public Health Service Act, which prohibits, among other things, the introduction into interstate commerce of a biological product unless a biologics license is in effect for that product;</w:t>
      </w:r>
    </w:p>
    <w:p>
      <w:pPr>
        <w:spacing w:after="0" w:line="1" w:lineRule="exact"/>
        <w:rPr>
          <w:sz w:val="20"/>
          <w:szCs w:val="20"/>
          <w:color w:val="auto"/>
        </w:rPr>
      </w:pPr>
    </w:p>
    <w:p>
      <w:pPr>
        <w:ind w:left="380" w:right="2700"/>
        <w:spacing w:after="0" w:line="210" w:lineRule="auto"/>
        <w:rPr>
          <w:sz w:val="20"/>
          <w:szCs w:val="20"/>
          <w:color w:val="auto"/>
        </w:rPr>
      </w:pPr>
      <w:r>
        <w:rPr>
          <w:rFonts w:ascii="Arial" w:cs="Arial" w:eastAsia="Arial" w:hAnsi="Arial"/>
          <w:sz w:val="13"/>
          <w:szCs w:val="13"/>
          <w:color w:val="auto"/>
        </w:rPr>
        <w:t>•Federal transparency laws, including the federal Physician Payment Sunshine Act, which require disclosure of payments and other transfers of value provided to physicians and teaching hospitals, and ownership and investment interests held by physicians and other healthcare providers and their immediate family members and applicable group purchasing organizations;</w:t>
      </w:r>
    </w:p>
    <w:p>
      <w:pPr>
        <w:spacing w:after="0" w:line="2" w:lineRule="exact"/>
        <w:rPr>
          <w:sz w:val="20"/>
          <w:szCs w:val="20"/>
          <w:color w:val="auto"/>
        </w:rPr>
      </w:pPr>
    </w:p>
    <w:p>
      <w:pPr>
        <w:ind w:left="380" w:right="2580"/>
        <w:spacing w:after="0" w:line="210" w:lineRule="auto"/>
        <w:rPr>
          <w:sz w:val="20"/>
          <w:szCs w:val="20"/>
          <w:color w:val="auto"/>
        </w:rPr>
      </w:pPr>
      <w:r>
        <w:rPr>
          <w:rFonts w:ascii="Arial" w:cs="Arial" w:eastAsia="Arial" w:hAnsi="Arial"/>
          <w:sz w:val="13"/>
          <w:szCs w:val="13"/>
          <w:color w:val="auto"/>
        </w:rPr>
        <w:t>•U.S. state law equivalents of each of the above federal laws,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which are also applicable to us, and many of them differ from each other in significant ways and may not have the same effect, thus complicating compliance efforts in certain circumstances;</w:t>
      </w:r>
    </w:p>
    <w:p>
      <w:pPr>
        <w:spacing w:after="0" w:line="4" w:lineRule="exact"/>
        <w:rPr>
          <w:sz w:val="20"/>
          <w:szCs w:val="20"/>
          <w:color w:val="auto"/>
        </w:rPr>
      </w:pPr>
    </w:p>
    <w:p>
      <w:pPr>
        <w:ind w:left="380" w:right="2580"/>
        <w:spacing w:after="0" w:line="210" w:lineRule="auto"/>
        <w:rPr>
          <w:sz w:val="20"/>
          <w:szCs w:val="20"/>
          <w:color w:val="auto"/>
        </w:rPr>
      </w:pPr>
      <w:r>
        <w:rPr>
          <w:rFonts w:ascii="Arial" w:cs="Arial" w:eastAsia="Arial" w:hAnsi="Arial"/>
          <w:sz w:val="13"/>
          <w:szCs w:val="13"/>
          <w:color w:val="auto"/>
        </w:rPr>
        <w:t>•The U.S. Foreign Corrupt Practices Act of 1977, as amended, which prohibits, among other things, U.S. companies and their employees and agents, as well as non-U.S. companies that are registered with the SEC,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4" w:lineRule="exact"/>
        <w:rPr>
          <w:sz w:val="20"/>
          <w:szCs w:val="20"/>
          <w:color w:val="auto"/>
        </w:rPr>
      </w:pPr>
    </w:p>
    <w:p>
      <w:pPr>
        <w:ind w:left="380" w:right="2520"/>
        <w:spacing w:after="0" w:line="234" w:lineRule="auto"/>
        <w:rPr>
          <w:sz w:val="20"/>
          <w:szCs w:val="20"/>
          <w:color w:val="auto"/>
        </w:rPr>
      </w:pPr>
      <w:r>
        <w:rPr>
          <w:rFonts w:ascii="Arial" w:cs="Arial" w:eastAsia="Arial" w:hAnsi="Arial"/>
          <w:sz w:val="13"/>
          <w:szCs w:val="13"/>
          <w:color w:val="auto"/>
        </w:rPr>
        <w:t>•Similar statutes, healthcare laws and regulations in the European Union and other jurisdictions, including reporting requirements detailing interactions with and payments to healthcare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88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3" w:lineRule="auto"/>
        <w:rPr>
          <w:sz w:val="20"/>
          <w:szCs w:val="20"/>
          <w:color w:val="auto"/>
        </w:rPr>
      </w:pPr>
      <w:r>
        <w:rPr>
          <w:rFonts w:ascii="Arial" w:cs="Arial" w:eastAsia="Arial" w:hAnsi="Arial"/>
          <w:sz w:val="13"/>
          <w:szCs w:val="13"/>
          <w:color w:val="auto"/>
        </w:rPr>
        <w:t>Due to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-582930</wp:posOffset>
            </wp:positionV>
            <wp:extent cx="523113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40"/>
        <w:spacing w:after="0" w:line="210" w:lineRule="auto"/>
        <w:rPr>
          <w:sz w:val="20"/>
          <w:szCs w:val="20"/>
          <w:color w:val="auto"/>
        </w:rPr>
      </w:pPr>
      <w:r>
        <w:rPr>
          <w:rFonts w:ascii="Arial" w:cs="Arial" w:eastAsia="Arial" w:hAnsi="Arial"/>
          <w:sz w:val="13"/>
          <w:szCs w:val="13"/>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and other jurisdictions, such as the U.K. Bribery Act 2010. Infringement of these laws could result in substantial fines and imprisonment.</w:t>
      </w:r>
    </w:p>
    <w:p>
      <w:pPr>
        <w:spacing w:after="0" w:line="3"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Payments made to physicians in certain EU member states must be publicly disclosed. Moreover, agreements with physicians often must be the subject of prior notification and approval by the physician’s employer, his or her competent professional organization 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4" w:lineRule="exact"/>
        <w:rPr>
          <w:sz w:val="20"/>
          <w:szCs w:val="20"/>
          <w:color w:val="auto"/>
        </w:rPr>
      </w:pPr>
    </w:p>
    <w:p>
      <w:pPr>
        <w:ind w:left="380" w:right="2320"/>
        <w:spacing w:after="0" w:line="210" w:lineRule="auto"/>
        <w:rPr>
          <w:sz w:val="20"/>
          <w:szCs w:val="20"/>
          <w:color w:val="auto"/>
        </w:rPr>
      </w:pPr>
      <w:r>
        <w:rPr>
          <w:rFonts w:ascii="Arial" w:cs="Arial" w:eastAsia="Arial" w:hAnsi="Arial"/>
          <w:sz w:val="13"/>
          <w:szCs w:val="13"/>
          <w:b w:val="1"/>
          <w:bCs w:val="1"/>
          <w:color w:val="005A64"/>
        </w:rPr>
        <w:t>We are subject to certain anti-corruption, anti-money laundering, export control, sanctions, and other trade laws and regulations. We can face serious consequences for violations.</w:t>
      </w:r>
    </w:p>
    <w:p>
      <w:pPr>
        <w:spacing w:after="0" w:line="1" w:lineRule="exact"/>
        <w:rPr>
          <w:sz w:val="20"/>
          <w:szCs w:val="20"/>
          <w:color w:val="auto"/>
        </w:rPr>
      </w:pPr>
    </w:p>
    <w:p>
      <w:pPr>
        <w:ind w:left="380" w:right="2120"/>
        <w:spacing w:after="0" w:line="226" w:lineRule="auto"/>
        <w:rPr>
          <w:sz w:val="20"/>
          <w:szCs w:val="20"/>
          <w:color w:val="auto"/>
        </w:rPr>
      </w:pPr>
      <w:r>
        <w:rPr>
          <w:rFonts w:ascii="Arial" w:cs="Arial" w:eastAsia="Arial" w:hAnsi="Arial"/>
          <w:sz w:val="13"/>
          <w:szCs w:val="13"/>
          <w:color w:val="auto"/>
        </w:rPr>
        <w:t>Among other matters, anti-corruption, anti- money laundering, export control, sanctions, and other trade laws and regulations, which are collectively referred to as “trade laws,” prohibit companies and their employees, agents, CROs, legal counsel, accountants, consultants, contractors and other collaborators from authorizing, promising,</w:t>
      </w:r>
    </w:p>
    <w:p>
      <w:pPr>
        <w:sectPr>
          <w:pgSz w:w="11900" w:h="16840" w:orient="portrait"/>
          <w:cols w:equalWidth="0" w:num="1">
            <w:col w:w="9020"/>
          </w:cols>
          <w:pgMar w:left="1440" w:top="1440" w:right="1440" w:bottom="38" w:gutter="0" w:footer="0" w:header="0"/>
        </w:sectPr>
      </w:pPr>
    </w:p>
    <w:bookmarkStart w:id="62" w:name="page63"/>
    <w:bookmarkEnd w:id="62"/>
    <w:p>
      <w:pPr>
        <w:ind w:left="380" w:right="2100"/>
        <w:spacing w:after="0" w:line="213" w:lineRule="auto"/>
        <w:rPr>
          <w:sz w:val="20"/>
          <w:szCs w:val="20"/>
          <w:color w:val="auto"/>
        </w:rPr>
      </w:pPr>
      <w:r>
        <w:rPr>
          <w:rFonts w:ascii="Arial" w:cs="Arial" w:eastAsia="Arial" w:hAnsi="Arial"/>
          <w:sz w:val="13"/>
          <w:szCs w:val="13"/>
          <w:color w:val="auto"/>
        </w:rPr>
        <w:t>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plan to engage third parties for clinical trials and/or to obtain necessary permits, licenses, intellectual property (including patents) and other regulatory approvals, and we can be held liable for the corrupt or other illegal activities of our personnel, agents or collaborators, even if we do not explicitly authorize or have prior knowledge of such activities.</w:t>
      </w:r>
    </w:p>
    <w:p>
      <w:pPr>
        <w:spacing w:after="0" w:line="1"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b w:val="1"/>
          <w:bCs w:val="1"/>
          <w:color w:val="005A64"/>
        </w:rPr>
        <w:t>We are subject to stringent privacy laws, information security policies and contractual obligations governing the use, processing, and cross-border transfer of personal information and our data privacy and security practices.</w:t>
      </w:r>
    </w:p>
    <w:p>
      <w:pPr>
        <w:spacing w:after="0" w:line="2" w:lineRule="exact"/>
        <w:rPr>
          <w:sz w:val="20"/>
          <w:szCs w:val="20"/>
          <w:color w:val="auto"/>
        </w:rPr>
      </w:pPr>
    </w:p>
    <w:p>
      <w:pPr>
        <w:ind w:left="380" w:right="2220"/>
        <w:spacing w:after="0" w:line="210" w:lineRule="auto"/>
        <w:rPr>
          <w:sz w:val="20"/>
          <w:szCs w:val="20"/>
          <w:color w:val="auto"/>
        </w:rPr>
      </w:pPr>
      <w:r>
        <w:rPr>
          <w:rFonts w:ascii="Arial" w:cs="Arial" w:eastAsia="Arial" w:hAnsi="Arial"/>
          <w:sz w:val="13"/>
          <w:szCs w:val="13"/>
          <w:color w:val="auto"/>
        </w:rPr>
        <w:t>We receive, generate and store significant and increasing volumes of sensitive information, such as employee, personal and patient data.</w:t>
      </w:r>
    </w:p>
    <w:p>
      <w:pPr>
        <w:spacing w:after="0" w:line="1"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We are subject to a variety of local, state, national and international laws, directives and regulations that apply to the collection, use, storage, retention, protection, disclosure, transfer and other processing of personal data, collectively referred to as “data processing”, in the different jurisdictions in which we operate, including comprehensive regulatory systems in the United States and Europe. Legal requirements relating to data processing continue to evolve and may result in ever-increasing public scrutiny and escalating levels of enforcement, sanctions and increased costs of compliance.</w:t>
      </w:r>
    </w:p>
    <w:p>
      <w:pPr>
        <w:spacing w:after="0" w:line="4" w:lineRule="exact"/>
        <w:rPr>
          <w:sz w:val="20"/>
          <w:szCs w:val="20"/>
          <w:color w:val="auto"/>
        </w:rPr>
      </w:pPr>
    </w:p>
    <w:p>
      <w:pPr>
        <w:ind w:left="380" w:right="2120"/>
        <w:spacing w:after="0" w:line="218" w:lineRule="auto"/>
        <w:rPr>
          <w:sz w:val="20"/>
          <w:szCs w:val="20"/>
          <w:color w:val="auto"/>
        </w:rPr>
      </w:pPr>
      <w:r>
        <w:rPr>
          <w:rFonts w:ascii="Arial" w:cs="Arial" w:eastAsia="Arial" w:hAnsi="Arial"/>
          <w:sz w:val="13"/>
          <w:szCs w:val="13"/>
          <w:color w:val="auto"/>
        </w:rPr>
        <w:t>Compliance with U.S. and international data protection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89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line="212" w:lineRule="auto"/>
        <w:rPr>
          <w:sz w:val="20"/>
          <w:szCs w:val="20"/>
          <w:color w:val="auto"/>
        </w:rPr>
      </w:pPr>
      <w:r>
        <w:rPr>
          <w:rFonts w:ascii="Arial" w:cs="Arial" w:eastAsia="Arial" w:hAnsi="Arial"/>
          <w:sz w:val="13"/>
          <w:szCs w:val="13"/>
          <w:color w:val="auto"/>
        </w:rPr>
        <w:t>adverse publicity and could negatively affect our operating results and business.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and results of operations. The collection and use of personal data in the European Union had previously been governed by the provisions of the EU Data Protection Directive, which EU member states were required to implement. While the Data Protection Directive did not apply to organizations based outside the European Union, the GDPR has expanded its reach to include any business, regardless of its location, that targets goods or services to residents in the European Union or that “monitors” their behavior in the European Union. The GDPR imposes strict requirements on controllers and processors of personal data, including special protections for “sensitive information” which includes health and genetic information of patients residing in the European Union. The GDPR also imposes strict rules on the transfer of personal data out of the European Union to the United States and other countries. In addition, the GDPR provides that EU member states may make their own further laws and regulations limiting the processing of personal data, including genetic, biometric or health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-1167130</wp:posOffset>
            </wp:positionV>
            <wp:extent cx="523113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20"/>
        <w:spacing w:after="0" w:line="210" w:lineRule="auto"/>
        <w:rPr>
          <w:sz w:val="20"/>
          <w:szCs w:val="20"/>
          <w:color w:val="auto"/>
        </w:rPr>
      </w:pPr>
      <w:r>
        <w:rPr>
          <w:rFonts w:ascii="Arial" w:cs="Arial" w:eastAsia="Arial" w:hAnsi="Arial"/>
          <w:sz w:val="13"/>
          <w:szCs w:val="13"/>
          <w:color w:val="auto"/>
        </w:rPr>
        <w:t>Since we are located in the European Union, we are subject to the GDPR. Additionally, as the GDPR applies extraterritorially, we are also subject to the GDPR even where our data processing activities occur outside of the European Union if such activities involve the personal data of individuals located in the European Union and the above- mentioned applicable law triggers apply. GDPR regulations have imposed additional responsibility and liability in relation to the personal data that we process and we may be required to put in place additional mechanisms to ensure compliance with the new data protection rules. This may be onerous and may interrupt or delay our development activities, and adversely affect our business, financial condition, results of operations and prospects.</w:t>
      </w:r>
    </w:p>
    <w:p>
      <w:pPr>
        <w:spacing w:after="0" w:line="5"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Other jurisdictions outside the European Union are similarly introducing or enhancing privacy and data security laws, rules and regulations, which could increase our compliance costs and the risks associated with non-compliance. In particular, in China, where some of our clinical data are originated, the cybersecurity, data privacy, data protection, or other data-related laws and regulations, including the Human Genetic Resources Regulation (which regulates transfer human genetic data generated in clinical research to foreign or foreign controlled parties), may require approvals or filings prior to transferring those data to foreign-owned entities or overseas, and these regimes are continually evolving, meaning their interpretation and application may be uncertain. In the United States, we may be subject to restrictions and requirements under the Department of Justice’s Final Rule issued on December 27, 2024 implementing the Executive Order on Preventing Access to Americans’ Bulk Sensitive Personal Data and United States Government-Related Data by Countries of Concern, signed on February 28, 2024. Practices regarding the collection, use, storage, transmission and security of personal information by companies have also been subject to increasing regulatory focus. As such, we cannot assure you that we will be compliant with such new regulations in all respects, and we may be ordered to rectify and terminate any actions that are deemed illegal by the government authorities and become subject to fines and other government sanctions, which may materially and adversely affect our business, financial condition, and results of operations. In addition, the uncertainties regarding further interpretation and implementation of these laws and regulations may adversely affect the secure storage of documented work as well as the cross-border transfer of important data and personal information originated from our clinical trial activities, which are critical to the development of our pipelines.</w:t>
      </w:r>
    </w:p>
    <w:p>
      <w:pPr>
        <w:spacing w:after="0" w:line="11" w:lineRule="exact"/>
        <w:rPr>
          <w:sz w:val="20"/>
          <w:szCs w:val="20"/>
          <w:color w:val="auto"/>
        </w:rPr>
      </w:pPr>
    </w:p>
    <w:p>
      <w:pPr>
        <w:ind w:left="380" w:right="2100"/>
        <w:spacing w:after="0" w:line="215" w:lineRule="auto"/>
        <w:rPr>
          <w:sz w:val="20"/>
          <w:szCs w:val="20"/>
          <w:color w:val="auto"/>
        </w:rPr>
      </w:pPr>
      <w:r>
        <w:rPr>
          <w:rFonts w:ascii="Arial" w:cs="Arial" w:eastAsia="Arial" w:hAnsi="Arial"/>
          <w:sz w:val="13"/>
          <w:szCs w:val="13"/>
          <w:color w:val="auto"/>
        </w:rPr>
        <w:t>We cannot guarantee that we are, or will be, in compliance with all applicable international regulations as they are enforced now or as they evolve. For example, our privacy policies may be insufficient to protect any personal information we collect, or may not comply with applicable laws, in which case we may be subject to regulatory enforcement actions, lawsuits or reputational damage, all of which may adversely affect our business. There is significant uncertainty related to the manner in which data protection authorities will seek to enforce compliance with the GDPR and other international data protection regulations, especially with regard to clinical trial activities. For example, it is not clear if the authorities will conduct random audits of companies doing business in the European Union, or if the authorities will wait for complaints to be filed by individuals who claim their rights have been violated, as enforcement practices vary from country to country. Enforcement uncertainty and the costs associated with ensuring GDPR compliance may be onerous and adversely affect our business, financial condition, results of operations and prospects. If we fail to comply with the GDPR and the applicable national</w:t>
      </w:r>
    </w:p>
    <w:p>
      <w:pPr>
        <w:sectPr>
          <w:pgSz w:w="11900" w:h="16840" w:orient="portrait"/>
          <w:cols w:equalWidth="0" w:num="1">
            <w:col w:w="9020"/>
          </w:cols>
          <w:pgMar w:left="1440" w:top="560" w:right="1440" w:bottom="115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90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4" w:lineRule="auto"/>
        <w:rPr>
          <w:sz w:val="20"/>
          <w:szCs w:val="20"/>
          <w:color w:val="auto"/>
        </w:rPr>
      </w:pPr>
      <w:r>
        <w:rPr>
          <w:rFonts w:ascii="Arial" w:cs="Arial" w:eastAsia="Arial" w:hAnsi="Arial"/>
          <w:sz w:val="13"/>
          <w:szCs w:val="13"/>
          <w:color w:val="auto"/>
        </w:rPr>
        <w:t>data protection laws of the EU member states, or if regulators assert we have failed to comply with these laws, it may lead to regulatory enforcement actions, which can result in monetary penalties of up to €20,000,000 or up to 4% of the total worldwide annual turnover of the preceding financial year, whichever is higher, and other administrative penalties. If any of these events were to occur, our business and financial results could be significantly disrupted and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-416560</wp:posOffset>
            </wp:positionV>
            <wp:extent cx="523113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color w:val="auto"/>
        </w:rPr>
        <w:t>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as well as regulatory penalties. In many jurisdictions, there are legal requirements to provide notice of breaches to affected individuals and/or regulators in certain circumstances. Such a notice could harm our reputation and our ability to compete. Regulators may also have the discretion to impose penalties without attempting to resolve violations through informal means. Although we have implemented security measures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10"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b w:val="1"/>
          <w:bCs w:val="1"/>
          <w:color w:val="005A64"/>
        </w:rPr>
        <w:t xml:space="preserve">If we or our third-party suppliers fail to comply with environmental, health and safety laws and regulations, we could become subject to fines or penalties or incur costs that could harm our business. </w:t>
      </w:r>
      <w:r>
        <w:rPr>
          <w:rFonts w:ascii="Arial" w:cs="Arial" w:eastAsia="Arial" w:hAnsi="Arial"/>
          <w:sz w:val="13"/>
          <w:szCs w:val="13"/>
          <w:color w:val="00000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w:t>
      </w:r>
    </w:p>
    <w:p>
      <w:pPr>
        <w:spacing w:after="0" w:line="2"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 w:lineRule="exact"/>
        <w:rPr>
          <w:sz w:val="20"/>
          <w:szCs w:val="20"/>
          <w:color w:val="auto"/>
        </w:rPr>
      </w:pPr>
    </w:p>
    <w:p>
      <w:pPr>
        <w:ind w:left="380" w:right="2320"/>
        <w:spacing w:after="0" w:line="210" w:lineRule="auto"/>
        <w:rPr>
          <w:sz w:val="20"/>
          <w:szCs w:val="20"/>
          <w:color w:val="auto"/>
        </w:rPr>
      </w:pPr>
      <w:r>
        <w:rPr>
          <w:rFonts w:ascii="Arial" w:cs="Arial" w:eastAsia="Arial" w:hAnsi="Arial"/>
          <w:sz w:val="13"/>
          <w:szCs w:val="13"/>
          <w:b w:val="1"/>
          <w:bCs w:val="1"/>
          <w:color w:val="005A64"/>
        </w:rPr>
        <w:t>Our business operations and current and future relationships with investigators, healthcare professionals, consultants, third -party payors, patient organizations and customers will be subject to applicable healthcare regulatory laws, which could expose us to penalties.</w:t>
      </w:r>
    </w:p>
    <w:p>
      <w:pPr>
        <w:spacing w:after="0" w:line="2" w:lineRule="exact"/>
        <w:rPr>
          <w:sz w:val="20"/>
          <w:szCs w:val="20"/>
          <w:color w:val="auto"/>
        </w:rPr>
      </w:pPr>
    </w:p>
    <w:p>
      <w:pPr>
        <w:ind w:left="380" w:right="2160"/>
        <w:spacing w:after="0" w:line="220" w:lineRule="auto"/>
        <w:rPr>
          <w:sz w:val="20"/>
          <w:szCs w:val="20"/>
          <w:color w:val="auto"/>
        </w:rPr>
      </w:pPr>
      <w:r>
        <w:rPr>
          <w:rFonts w:ascii="Arial" w:cs="Arial" w:eastAsia="Arial" w:hAnsi="Arial"/>
          <w:sz w:val="13"/>
          <w:szCs w:val="13"/>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91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40"/>
        <w:spacing w:after="0" w:line="215" w:lineRule="auto"/>
        <w:rPr>
          <w:sz w:val="20"/>
          <w:szCs w:val="20"/>
          <w:color w:val="auto"/>
        </w:rPr>
      </w:pPr>
      <w:r>
        <w:rPr>
          <w:rFonts w:ascii="Arial" w:cs="Arial" w:eastAsia="Arial" w:hAnsi="Arial"/>
          <w:sz w:val="13"/>
          <w:szCs w:val="13"/>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80"/>
        <w:spacing w:after="0" w:line="210" w:lineRule="auto"/>
        <w:rPr>
          <w:sz w:val="20"/>
          <w:szCs w:val="20"/>
          <w:color w:val="auto"/>
        </w:rPr>
      </w:pPr>
      <w:r>
        <w:rPr>
          <w:rFonts w:ascii="Arial" w:cs="Arial" w:eastAsia="Arial" w:hAnsi="Arial"/>
          <w:sz w:val="13"/>
          <w:szCs w:val="13"/>
          <w:color w:val="auto"/>
        </w:rPr>
        <w:t>If any of the physicians or other providers or entities with whom we expect to do business are found to not be in compliance with applicable laws, they may be subject to criminal, civil or administrative sanctions, including exclusions from government-funded healthcare programs and imprisonment, which could affect our ability to operate our business. Further, defending against any such actions can be costly and time -consuming and may require significant personnel resources. Therefore, even if we are successful in defending against any such actions that may be brought against us, our business may be impaired.</w:t>
      </w:r>
    </w:p>
    <w:p>
      <w:pPr>
        <w:ind w:left="380"/>
        <w:spacing w:after="0" w:line="216" w:lineRule="auto"/>
        <w:rPr>
          <w:sz w:val="20"/>
          <w:szCs w:val="20"/>
          <w:color w:val="auto"/>
        </w:rPr>
      </w:pPr>
      <w:r>
        <w:rPr>
          <w:rFonts w:ascii="Arial" w:cs="Arial" w:eastAsia="Arial" w:hAnsi="Arial"/>
          <w:sz w:val="13"/>
          <w:szCs w:val="13"/>
          <w:b w:val="1"/>
          <w:bCs w:val="1"/>
          <w:color w:val="005A64"/>
        </w:rPr>
        <w:t>Risks Related to Ownership of the ADSs</w:t>
      </w:r>
    </w:p>
    <w:p>
      <w:pPr>
        <w:ind w:left="380" w:right="2400"/>
        <w:spacing w:after="0" w:line="210" w:lineRule="auto"/>
        <w:rPr>
          <w:sz w:val="20"/>
          <w:szCs w:val="20"/>
          <w:color w:val="auto"/>
        </w:rPr>
      </w:pPr>
      <w:r>
        <w:rPr>
          <w:rFonts w:ascii="Arial" w:cs="Arial" w:eastAsia="Arial" w:hAnsi="Arial"/>
          <w:sz w:val="13"/>
          <w:szCs w:val="13"/>
          <w:b w:val="1"/>
          <w:bCs w:val="1"/>
          <w:color w:val="005A64"/>
        </w:rPr>
        <w:t>We have experienced and may continue to experience significant volatility in the market price of the ADSs representing our ordinary shares.</w:t>
      </w:r>
    </w:p>
    <w:p>
      <w:pPr>
        <w:spacing w:after="0" w:line="1" w:lineRule="exact"/>
        <w:rPr>
          <w:sz w:val="20"/>
          <w:szCs w:val="20"/>
          <w:color w:val="auto"/>
        </w:rPr>
      </w:pPr>
    </w:p>
    <w:p>
      <w:pPr>
        <w:ind w:left="380" w:right="2160"/>
        <w:spacing w:after="0" w:line="226" w:lineRule="auto"/>
        <w:rPr>
          <w:sz w:val="20"/>
          <w:szCs w:val="20"/>
          <w:color w:val="auto"/>
        </w:rPr>
      </w:pPr>
      <w:r>
        <w:rPr>
          <w:rFonts w:ascii="Arial" w:cs="Arial" w:eastAsia="Arial" w:hAnsi="Arial"/>
          <w:sz w:val="13"/>
          <w:szCs w:val="13"/>
          <w:color w:val="auto"/>
        </w:rPr>
        <w:t>Biopharmaceutical companies such as BioNTech SE that are developing potential therapeutics and vaccines to combat COVID- 19, as well as conducting mRNA-based research in oncology and infectious disease more generally, have experienced significant volatility in the price of their securities upon publication of preclinical and</w:t>
      </w:r>
    </w:p>
    <w:p>
      <w:pPr>
        <w:sectPr>
          <w:pgSz w:w="11900" w:h="16840" w:orient="portrait"/>
          <w:cols w:equalWidth="0" w:num="1">
            <w:col w:w="9020"/>
          </w:cols>
          <w:pgMar w:left="1440" w:top="1440" w:right="1440" w:bottom="28" w:gutter="0" w:footer="0" w:header="0"/>
        </w:sectPr>
      </w:pPr>
    </w:p>
    <w:bookmarkStart w:id="64" w:name="page65"/>
    <w:bookmarkEnd w:id="64"/>
    <w:p>
      <w:pPr>
        <w:ind w:left="380" w:right="2120"/>
        <w:spacing w:after="0" w:line="212" w:lineRule="auto"/>
        <w:rPr>
          <w:sz w:val="20"/>
          <w:szCs w:val="20"/>
          <w:color w:val="auto"/>
        </w:rPr>
      </w:pPr>
      <w:r>
        <w:rPr>
          <w:rFonts w:ascii="Arial" w:cs="Arial" w:eastAsia="Arial" w:hAnsi="Arial"/>
          <w:sz w:val="13"/>
          <w:szCs w:val="13"/>
          <w:color w:val="auto"/>
        </w:rPr>
        <w:t>clinical data as well as news about their development programs and commercialization activities. For example, during 2024, the closing sales price of the ADSs representing our ordinary shares on the Nasdaq Global Select Market ranged from $78.36 to $124.71, with significant volatility occurring, for example, shortly after announcements by us or others related to regulatory matters, to our COVID-19 vaccine, to other COVID-19 vaccines, to development and commercialization pipelines in oncology and infectious disease, and to our transactions with third parties. Additionally, we have observed the trading price of the ADSs respond significantly to news and statements by us, government agencies, other vaccine developers, financial analysts or others relating to our business as well as to other COVID-19 vaccines and COVID -19 therapeutics and the spread of COVID-19 generally, even in cases in which we believe the news does not affect our business or vaccine specifically. Given the attention being paid to COVID-19 worldwide and the public scrutiny of COVID-19 development and commercialization announcements, and given that our COVID -19 vaccine is currently among the primary vaccines being used worldwide, any news regarding manufacturing, supply and distribution of our COVID-19 vaccine or unanticipated side effects of our COVID-19 vaccine, whether or not accurate, will attract significant attention and scrutiny and, as a result, the price of the ADSs representing our ordinary shares likely will continue to be volatile. In addition, volatility in the overall market and in the market price of a particular company’s securities can result in securities litigation, including shareholder class action lawsuits. Any securities litigation can result in substantial costs and a diversion of our management’s attention and resources.</w:t>
      </w:r>
    </w:p>
    <w:p>
      <w:pPr>
        <w:spacing w:after="0" w:line="1" w:lineRule="exact"/>
        <w:rPr>
          <w:sz w:val="20"/>
          <w:szCs w:val="20"/>
          <w:color w:val="auto"/>
        </w:rPr>
      </w:pPr>
    </w:p>
    <w:p>
      <w:pPr>
        <w:ind w:left="380" w:right="2220"/>
        <w:spacing w:after="0" w:line="210" w:lineRule="auto"/>
        <w:rPr>
          <w:sz w:val="20"/>
          <w:szCs w:val="20"/>
          <w:color w:val="auto"/>
        </w:rPr>
      </w:pPr>
      <w:r>
        <w:rPr>
          <w:rFonts w:ascii="Arial" w:cs="Arial" w:eastAsia="Arial" w:hAnsi="Arial"/>
          <w:sz w:val="13"/>
          <w:szCs w:val="13"/>
          <w:b w:val="1"/>
          <w:bCs w:val="1"/>
          <w:color w:val="005A64"/>
        </w:rPr>
        <w:t>Acquisitions, joint ventures and collaborations may increase our capital requirements, dilute our shareholders, cause us to incur debt or assume contingent liabilities, and subject us to other risks. We may not realize the benefits of these acquisitions, joint ventures or collaborations.</w:t>
      </w:r>
    </w:p>
    <w:p>
      <w:pPr>
        <w:ind w:left="380"/>
        <w:spacing w:after="0" w:line="213" w:lineRule="auto"/>
        <w:rPr>
          <w:sz w:val="20"/>
          <w:szCs w:val="20"/>
          <w:color w:val="auto"/>
        </w:rPr>
      </w:pPr>
      <w:r>
        <w:rPr>
          <w:rFonts w:ascii="Arial" w:cs="Arial" w:eastAsia="Arial" w:hAnsi="Arial"/>
          <w:sz w:val="13"/>
          <w:szCs w:val="13"/>
          <w:color w:val="auto"/>
        </w:rPr>
        <w:t>We may evaluate various acquisitions and collaborations, including licensing or acquiring complementary</w:t>
      </w:r>
    </w:p>
    <w:p>
      <w:pPr>
        <w:ind w:left="380"/>
        <w:spacing w:after="0" w:line="211" w:lineRule="auto"/>
        <w:rPr>
          <w:sz w:val="20"/>
          <w:szCs w:val="20"/>
          <w:color w:val="auto"/>
        </w:rPr>
      </w:pPr>
      <w:r>
        <w:rPr>
          <w:rFonts w:ascii="Arial" w:cs="Arial" w:eastAsia="Arial" w:hAnsi="Arial"/>
          <w:sz w:val="13"/>
          <w:szCs w:val="13"/>
          <w:color w:val="auto"/>
        </w:rPr>
        <w:t>products, intellectual property rights, technologies or businesses. Any potential acquisition, joint venture or</w:t>
      </w:r>
    </w:p>
    <w:p>
      <w:pPr>
        <w:ind w:left="380"/>
        <w:spacing w:after="0" w:line="211" w:lineRule="auto"/>
        <w:rPr>
          <w:sz w:val="20"/>
          <w:szCs w:val="20"/>
          <w:color w:val="auto"/>
        </w:rPr>
      </w:pPr>
      <w:r>
        <w:rPr>
          <w:rFonts w:ascii="Arial" w:cs="Arial" w:eastAsia="Arial" w:hAnsi="Arial"/>
          <w:sz w:val="13"/>
          <w:szCs w:val="13"/>
          <w:color w:val="auto"/>
        </w:rPr>
        <w:t>collaboration may entail numerous risks, including:</w:t>
      </w:r>
    </w:p>
    <w:p>
      <w:pPr>
        <w:ind w:left="380"/>
        <w:spacing w:after="0" w:line="211" w:lineRule="auto"/>
        <w:rPr>
          <w:sz w:val="20"/>
          <w:szCs w:val="20"/>
          <w:color w:val="auto"/>
        </w:rPr>
      </w:pPr>
      <w:r>
        <w:rPr>
          <w:rFonts w:ascii="Arial" w:cs="Arial" w:eastAsia="Arial" w:hAnsi="Arial"/>
          <w:sz w:val="13"/>
          <w:szCs w:val="13"/>
          <w:color w:val="auto"/>
        </w:rPr>
        <w:t>•increased operating expenses and cash requirements;</w:t>
      </w:r>
    </w:p>
    <w:p>
      <w:pPr>
        <w:ind w:left="380"/>
        <w:spacing w:after="0" w:line="211" w:lineRule="auto"/>
        <w:rPr>
          <w:sz w:val="20"/>
          <w:szCs w:val="20"/>
          <w:color w:val="auto"/>
        </w:rPr>
      </w:pPr>
      <w:r>
        <w:rPr>
          <w:rFonts w:ascii="Arial" w:cs="Arial" w:eastAsia="Arial" w:hAnsi="Arial"/>
          <w:sz w:val="13"/>
          <w:szCs w:val="13"/>
          <w:color w:val="auto"/>
        </w:rPr>
        <w:t>•the assumption of additional indebtedness or contingent liabilities;</w:t>
      </w:r>
    </w:p>
    <w:p>
      <w:pPr>
        <w:ind w:left="380" w:right="3080"/>
        <w:spacing w:after="0" w:line="210" w:lineRule="auto"/>
        <w:rPr>
          <w:sz w:val="20"/>
          <w:szCs w:val="20"/>
          <w:color w:val="auto"/>
        </w:rPr>
      </w:pPr>
      <w:r>
        <w:rPr>
          <w:rFonts w:ascii="Arial" w:cs="Arial" w:eastAsia="Arial" w:hAnsi="Arial"/>
          <w:sz w:val="13"/>
          <w:szCs w:val="13"/>
          <w:color w:val="auto"/>
        </w:rPr>
        <w:t>•assimilation of operations, intellectual property and products of an acquired company, including difficulties associated with integrating new personnel;</w:t>
      </w:r>
    </w:p>
    <w:p>
      <w:pPr>
        <w:spacing w:after="0" w:line="1" w:lineRule="exact"/>
        <w:rPr>
          <w:sz w:val="20"/>
          <w:szCs w:val="20"/>
          <w:color w:val="auto"/>
        </w:rPr>
      </w:pPr>
    </w:p>
    <w:p>
      <w:pPr>
        <w:ind w:left="380" w:right="3000"/>
        <w:spacing w:after="0" w:line="234" w:lineRule="auto"/>
        <w:rPr>
          <w:sz w:val="20"/>
          <w:szCs w:val="20"/>
          <w:color w:val="auto"/>
        </w:rPr>
      </w:pPr>
      <w:r>
        <w:rPr>
          <w:rFonts w:ascii="Arial" w:cs="Arial" w:eastAsia="Arial" w:hAnsi="Arial"/>
          <w:sz w:val="13"/>
          <w:szCs w:val="13"/>
          <w:color w:val="auto"/>
        </w:rPr>
        <w:t>•the diversion of our management’s attention from our existing product programs and initiatives in pursuing such a strategic merger or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92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760"/>
        <w:spacing w:after="0" w:line="220" w:lineRule="auto"/>
        <w:rPr>
          <w:sz w:val="20"/>
          <w:szCs w:val="20"/>
          <w:color w:val="auto"/>
        </w:rPr>
      </w:pPr>
      <w:r>
        <w:rPr>
          <w:rFonts w:ascii="Arial" w:cs="Arial" w:eastAsia="Arial" w:hAnsi="Arial"/>
          <w:sz w:val="13"/>
          <w:szCs w:val="13"/>
          <w:color w:val="auto"/>
        </w:rPr>
        <w:t>•retention of key employees, the loss of key personnel, and uncertainties in our ability to maintain key business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660"/>
        <w:spacing w:after="0" w:line="210" w:lineRule="auto"/>
        <w:rPr>
          <w:sz w:val="20"/>
          <w:szCs w:val="20"/>
          <w:color w:val="auto"/>
        </w:rPr>
      </w:pPr>
      <w:r>
        <w:rPr>
          <w:rFonts w:ascii="Arial" w:cs="Arial" w:eastAsia="Arial" w:hAnsi="Arial"/>
          <w:sz w:val="13"/>
          <w:szCs w:val="13"/>
          <w:color w:val="auto"/>
        </w:rPr>
        <w:t>•risks and uncertainties associated with the other party to such a transaction, including the prospects of that party and their existing products or product candidates and regulatory approvals; and</w:t>
      </w:r>
    </w:p>
    <w:p>
      <w:pPr>
        <w:spacing w:after="0" w:line="1" w:lineRule="exact"/>
        <w:rPr>
          <w:sz w:val="20"/>
          <w:szCs w:val="20"/>
          <w:color w:val="auto"/>
        </w:rPr>
      </w:pPr>
    </w:p>
    <w:p>
      <w:pPr>
        <w:ind w:left="380" w:right="2640"/>
        <w:spacing w:after="0" w:line="210" w:lineRule="auto"/>
        <w:rPr>
          <w:sz w:val="20"/>
          <w:szCs w:val="20"/>
          <w:color w:val="auto"/>
        </w:rPr>
      </w:pPr>
      <w:r>
        <w:rPr>
          <w:rFonts w:ascii="Arial" w:cs="Arial" w:eastAsia="Arial" w:hAnsi="Arial"/>
          <w:sz w:val="13"/>
          <w:szCs w:val="13"/>
          <w:color w:val="auto"/>
        </w:rPr>
        <w:t>•our inability to generate revenue from acquired technology or products sufficient to meet our objectives in undertaking the acquisition or even to offset the associated acquisition and maintenance costs.</w:t>
      </w:r>
    </w:p>
    <w:p>
      <w:pPr>
        <w:spacing w:after="0" w:line="1"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In addition, if we undertake acquisitions, we may utilize our cash, issue dilutive securities, assume or incur debt obligations, incur large one-time expenses and acquire intangible assets that could result in significant future amortization expense. For example, in July 2023, we acquired InstaDeep, a leading global technology company in the field of AI and machine learning, for upfront consideration of cash and BioNTech shares, and potential future milestone payments. Although we believe that AI and machine learning technology has the potential to accelerate the development of therapeutic programs and further optimize manufacturing and supply chain processes, it is possible that our use of the acquired technology will not achieve the desired results, and that we will not be able to retain and grow InstaDeep’s business around the world. If demand for the services developed by InstaDeep does not continue, or if we are unable to improve our AI and machine learning technology in a timely, effective and competitive manner, we may not be able realize the expected outcomes from the InstaDeep acquisition. In January 2025, we acquired Biotheus, a clinical-stage biotechnology company, for upfront consideration predominantly of cash, with a small portion in our ADSs, and potential future milestone payments. Although the Biotheus acquisition expands our operations in China, our expectations regarding the creation of long- term value for shareholders and potential future commercialization in oncology may not be realized. There is no guarantee that we will realize any anticipated benefits of these or future acquisitions, or that the diversification of our business through acquired technology or products will be successful.</w:t>
      </w:r>
    </w:p>
    <w:p>
      <w:pPr>
        <w:spacing w:after="0" w:line="10" w:lineRule="exact"/>
        <w:rPr>
          <w:sz w:val="20"/>
          <w:szCs w:val="20"/>
          <w:color w:val="auto"/>
        </w:rPr>
      </w:pPr>
    </w:p>
    <w:p>
      <w:pPr>
        <w:jc w:val="both"/>
        <w:ind w:left="380" w:right="2100"/>
        <w:spacing w:after="0" w:line="210" w:lineRule="auto"/>
        <w:rPr>
          <w:sz w:val="20"/>
          <w:szCs w:val="20"/>
          <w:color w:val="auto"/>
        </w:rPr>
      </w:pPr>
      <w:r>
        <w:rPr>
          <w:rFonts w:ascii="Arial" w:cs="Arial" w:eastAsia="Arial" w:hAnsi="Arial"/>
          <w:sz w:val="13"/>
          <w:szCs w:val="13"/>
          <w:color w:val="auto"/>
        </w:rPr>
        <w:t>Moreover, we may not be able to locate suitable acquisition or collaboration opportunities and this inability could impair our ability to grow or obtain access to technology or products that may be important to the development of our business.</w:t>
      </w:r>
    </w:p>
    <w:p>
      <w:pPr>
        <w:spacing w:after="0" w:line="2" w:lineRule="exact"/>
        <w:rPr>
          <w:sz w:val="20"/>
          <w:szCs w:val="20"/>
          <w:color w:val="auto"/>
        </w:rPr>
      </w:pPr>
    </w:p>
    <w:p>
      <w:pPr>
        <w:jc w:val="both"/>
        <w:ind w:left="380" w:right="2400"/>
        <w:spacing w:after="0" w:line="210" w:lineRule="auto"/>
        <w:rPr>
          <w:sz w:val="20"/>
          <w:szCs w:val="20"/>
          <w:color w:val="auto"/>
        </w:rPr>
      </w:pPr>
      <w:r>
        <w:rPr>
          <w:rFonts w:ascii="Arial" w:cs="Arial" w:eastAsia="Arial" w:hAnsi="Arial"/>
          <w:sz w:val="13"/>
          <w:szCs w:val="13"/>
          <w:b w:val="1"/>
          <w:bCs w:val="1"/>
          <w:color w:val="005A64"/>
        </w:rPr>
        <w:t>Our Articles of Association designate specific courts in the United States as the exclusive forum for certain U.S. litigation that may be initiated by our shareholders, which could limit our shareholders’ ability to obtain a favorable judicial forum for disputes with us.</w:t>
      </w:r>
    </w:p>
    <w:p>
      <w:pPr>
        <w:spacing w:after="0" w:line="2" w:lineRule="exact"/>
        <w:rPr>
          <w:sz w:val="20"/>
          <w:szCs w:val="20"/>
          <w:color w:val="auto"/>
        </w:rPr>
      </w:pPr>
    </w:p>
    <w:p>
      <w:pPr>
        <w:ind w:left="380" w:right="2060"/>
        <w:spacing w:after="0" w:line="210" w:lineRule="auto"/>
        <w:rPr>
          <w:sz w:val="20"/>
          <w:szCs w:val="20"/>
          <w:color w:val="auto"/>
        </w:rPr>
      </w:pPr>
      <w:r>
        <w:rPr>
          <w:rFonts w:ascii="Arial" w:cs="Arial" w:eastAsia="Arial" w:hAnsi="Arial"/>
          <w:sz w:val="13"/>
          <w:szCs w:val="13"/>
          <w:color w:val="auto"/>
        </w:rPr>
        <w:t>Our Articles of Association provide that the United States District Court for the Southern District of New York shall be the competent court of jurisdiction for the resolution of any litigation on the grounds of or in connection with U.S. federal or state capital market laws. In the absence of these provisions, under the Securities Act of 1933, as amended, or the Securities Act, U.S. federal and state courts have been found to have concurrent jurisdiction over suits brought to enforce duties or liabilities created by the Securities Act.</w:t>
      </w:r>
    </w:p>
    <w:p>
      <w:pPr>
        <w:spacing w:after="0" w:line="3" w:lineRule="exact"/>
        <w:rPr>
          <w:sz w:val="20"/>
          <w:szCs w:val="20"/>
          <w:color w:val="auto"/>
        </w:rPr>
      </w:pPr>
    </w:p>
    <w:p>
      <w:pPr>
        <w:ind w:left="380" w:right="2100"/>
        <w:spacing w:after="0" w:line="213" w:lineRule="auto"/>
        <w:rPr>
          <w:sz w:val="20"/>
          <w:szCs w:val="20"/>
          <w:color w:val="auto"/>
        </w:rPr>
      </w:pPr>
      <w:r>
        <w:rPr>
          <w:rFonts w:ascii="Arial" w:cs="Arial" w:eastAsia="Arial" w:hAnsi="Arial"/>
          <w:sz w:val="13"/>
          <w:szCs w:val="13"/>
          <w:color w:val="auto"/>
        </w:rPr>
        <w:t>The choice of forum provision contained in our Articles of Association may limit a shareholder’s ability to bring a claim in a judicial forum that it finds favorable for disputes with us or our executive officers, directors, or other employees, or impose additional litigation costs on shareholders in pursuing any such claims, particularly if the shareholders do not reside in or near the state of New York, which may discourage such lawsuits. In addition, while the Delaware Supreme Court ruled in March 2020 that federal forum selection provisions purporting to require claims under the Securities Act be brought in federal court are “facially valid” under Delaware law, there is uncertainty as to whether other U.S. or German courts will enforce our choice of forum provision. The enforceability of similar choice of forum provisions in other companies’ governing documents has been challenged in recent legal proceedings, and it is possible that a court in the relevant jurisdictions with respect to us could find the choice of forum provision contained our Articles of Association to be inapplicable or unenforceable. If the relevant court were to find the choice of forum provision contained in our articles of association to be inapplicable or unenforceable, we may incur additional costs associated with resolving such matters in other jurisdictions, which could adversely affect our business, financial condition and operating results. The choice of forum provision may also impose additional litigation costs on shareholders who assert that the provision is not enforceable or invalid. The United States District Court for the Southern District of New York may also reach different judgments or results than would other courts, including courts where a shareholder</w:t>
      </w:r>
    </w:p>
    <w:p>
      <w:pPr>
        <w:sectPr>
          <w:pgSz w:w="11900" w:h="16840" w:orient="portrait"/>
          <w:cols w:equalWidth="0" w:num="1">
            <w:col w:w="9020"/>
          </w:cols>
          <w:pgMar w:left="1440" w:top="560" w:right="1440" w:bottom="622"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93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580"/>
        <w:spacing w:after="0" w:line="220" w:lineRule="auto"/>
        <w:rPr>
          <w:sz w:val="20"/>
          <w:szCs w:val="20"/>
          <w:color w:val="auto"/>
        </w:rPr>
      </w:pPr>
      <w:r>
        <w:rPr>
          <w:rFonts w:ascii="Arial" w:cs="Arial" w:eastAsia="Arial" w:hAnsi="Arial"/>
          <w:sz w:val="13"/>
          <w:szCs w:val="13"/>
          <w:color w:val="auto"/>
        </w:rPr>
        <w:t>considering a U.S.-based action may be located or would otherwise choose to bring the action, and such judgments may be more or less favorable to us than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40"/>
        <w:spacing w:after="0" w:line="210" w:lineRule="auto"/>
        <w:rPr>
          <w:sz w:val="20"/>
          <w:szCs w:val="20"/>
          <w:color w:val="auto"/>
        </w:rPr>
      </w:pPr>
      <w:r>
        <w:rPr>
          <w:rFonts w:ascii="Arial" w:cs="Arial" w:eastAsia="Arial" w:hAnsi="Arial"/>
          <w:sz w:val="13"/>
          <w:szCs w:val="13"/>
          <w:b w:val="1"/>
          <w:bCs w:val="1"/>
          <w:color w:val="005A64"/>
        </w:rPr>
        <w:t>Holders of the ADSs may not be able to participate in any future preemptive subscription rights issues or elect to receive dividends in shares, which may cause additional dilution to their holdings.</w:t>
      </w:r>
    </w:p>
    <w:p>
      <w:pPr>
        <w:spacing w:after="0" w:line="1" w:lineRule="exact"/>
        <w:rPr>
          <w:sz w:val="20"/>
          <w:szCs w:val="20"/>
          <w:color w:val="auto"/>
        </w:rPr>
      </w:pPr>
    </w:p>
    <w:p>
      <w:pPr>
        <w:ind w:left="380" w:right="2280"/>
        <w:spacing w:after="0" w:line="210" w:lineRule="auto"/>
        <w:rPr>
          <w:sz w:val="20"/>
          <w:szCs w:val="20"/>
          <w:color w:val="auto"/>
        </w:rPr>
      </w:pPr>
      <w:r>
        <w:rPr>
          <w:rFonts w:ascii="Arial" w:cs="Arial" w:eastAsia="Arial" w:hAnsi="Arial"/>
          <w:sz w:val="13"/>
          <w:szCs w:val="13"/>
          <w:color w:val="auto"/>
        </w:rPr>
        <w:t>Under German law, the existing shareholders of a company generally have a preemptive right in proportion to the amount of shares they hold in connection with any issuance of ordinary shares, convertible bonds, bonds with warrants, profit participation rights and participating bonds. However, our shareholders in a shareholders’ meeting may vote, by a majority representing at least three-quarters of the share capital represented at the meeting, to waive this preemptive right provided that, from the company’s perspective, there exists good and objective cause for such waiver.</w:t>
      </w:r>
    </w:p>
    <w:p>
      <w:pPr>
        <w:spacing w:after="0" w:line="4"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future rights offerings and may experience dilution in their holdings. For example, ADS holders were unable to participate in our summer 2020 rights offering. In addition, if the depositary is unable to sell rights that are not exercised or not distributed or if the sale is not lawful or reasonably practicable, it will allow the rights to lapse, in which case you will receive no value for these rights.</w:t>
      </w:r>
    </w:p>
    <w:p>
      <w:pPr>
        <w:ind w:left="380"/>
        <w:spacing w:after="0" w:line="219" w:lineRule="auto"/>
        <w:rPr>
          <w:sz w:val="20"/>
          <w:szCs w:val="20"/>
          <w:color w:val="auto"/>
        </w:rPr>
      </w:pPr>
      <w:r>
        <w:rPr>
          <w:rFonts w:ascii="Arial" w:cs="Arial" w:eastAsia="Arial" w:hAnsi="Arial"/>
          <w:sz w:val="13"/>
          <w:szCs w:val="13"/>
          <w:b w:val="1"/>
          <w:bCs w:val="1"/>
          <w:color w:val="005A64"/>
        </w:rPr>
        <w:t>The amount and frequency of our dividends and ADS repurchases may fluctuate.</w:t>
      </w:r>
    </w:p>
    <w:p>
      <w:pPr>
        <w:ind w:left="380" w:right="2100"/>
        <w:spacing w:after="0" w:line="210" w:lineRule="auto"/>
        <w:rPr>
          <w:sz w:val="20"/>
          <w:szCs w:val="20"/>
          <w:color w:val="auto"/>
        </w:rPr>
      </w:pPr>
      <w:r>
        <w:rPr>
          <w:rFonts w:ascii="Arial" w:cs="Arial" w:eastAsia="Arial" w:hAnsi="Arial"/>
          <w:sz w:val="13"/>
          <w:szCs w:val="13"/>
          <w:color w:val="auto"/>
        </w:rPr>
        <w:t>The amount, timing and execution of any ADS repurchase program we conduct in the future and the amount and timing of any dividends we pay may fluctuate based on our priorities for the use of cash for other purposes, and any ADS repurchases would be subject to the parameters contained in the applicable repurchase plan. These purposes may include operational spending, capital spending, acquisitions and repayment of debt. Additionally, we may choose to repurchase ADSs so that such ADSs may be used to settle outstanding and future equity awards granted to our employees. Changes in cash flows, tax laws and the price of the ADSs could also impact any ADS repurchase program. Additionally, we may enter into a Rule 10b5 -1 trading plan governing the repurchases, and if we do, we would have no discretion over the particular purchases made and would only be able to set minimum price floors and maximum ADS count ceilings.</w:t>
      </w:r>
    </w:p>
    <w:p>
      <w:pPr>
        <w:spacing w:after="0" w:line="5" w:lineRule="exact"/>
        <w:rPr>
          <w:sz w:val="20"/>
          <w:szCs w:val="20"/>
          <w:color w:val="auto"/>
        </w:rPr>
      </w:pPr>
    </w:p>
    <w:p>
      <w:pPr>
        <w:ind w:left="380" w:right="2300"/>
        <w:spacing w:after="0" w:line="210" w:lineRule="auto"/>
        <w:rPr>
          <w:sz w:val="20"/>
          <w:szCs w:val="20"/>
          <w:color w:val="auto"/>
        </w:rPr>
      </w:pPr>
      <w:r>
        <w:rPr>
          <w:rFonts w:ascii="Arial" w:cs="Arial" w:eastAsia="Arial" w:hAnsi="Arial"/>
          <w:sz w:val="13"/>
          <w:szCs w:val="13"/>
          <w:b w:val="1"/>
          <w:bCs w:val="1"/>
          <w:color w:val="005A64"/>
        </w:rPr>
        <w:t>Our principal shareholders and management own a significant percentage of our ordinary shares and will be able to exert significant control over matters subject to shareholder approval.</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Our executive officers, directors, five percent shareholders, and their affiliates beneficially own a majority of our ordinary shares (including ordinary shares represented by ADSs) as of December 31, 2024, and will have the ability to influence us through their ownership positions. For example, these shareholders, acting together, may be able to exert significant influence over matters such as elections of directors, amendments of our organizational documents, or approval of any merger, sale of assets or other major corporate transaction. This may prevent or discourage unsolicited acquisition proposals or offers for our ordinary shares that shareholders may believe are in their best interest. Such insiders may also act in concert to waive rights to participate in rights offerings, as was done in our summer 2020 rights offering, which would have the effect of permitting the ADSs or shares underlying such waived rights to be offered to the public in an underwritten offering without contravening German law pricing requirements.</w:t>
      </w:r>
    </w:p>
    <w:p>
      <w:pPr>
        <w:spacing w:after="0" w:line="6" w:lineRule="exact"/>
        <w:rPr>
          <w:sz w:val="20"/>
          <w:szCs w:val="20"/>
          <w:color w:val="auto"/>
        </w:rPr>
      </w:pPr>
    </w:p>
    <w:p>
      <w:pPr>
        <w:ind w:left="380" w:right="2140"/>
        <w:spacing w:after="0" w:line="218" w:lineRule="auto"/>
        <w:rPr>
          <w:sz w:val="20"/>
          <w:szCs w:val="20"/>
          <w:color w:val="auto"/>
        </w:rPr>
      </w:pPr>
      <w:r>
        <w:rPr>
          <w:rFonts w:ascii="Arial" w:cs="Arial" w:eastAsia="Arial" w:hAnsi="Arial"/>
          <w:sz w:val="13"/>
          <w:szCs w:val="13"/>
          <w:b w:val="1"/>
          <w:bCs w:val="1"/>
          <w:color w:val="005A64"/>
        </w:rPr>
        <w:t xml:space="preserve">The large number of shares eligible for sale or subject to rights requiring us to register them for sale could cause the market price of the ADSs to drop significantly, even if our business is performing well. </w:t>
      </w:r>
      <w:r>
        <w:rPr>
          <w:rFonts w:ascii="Arial" w:cs="Arial" w:eastAsia="Arial" w:hAnsi="Arial"/>
          <w:sz w:val="13"/>
          <w:szCs w:val="13"/>
          <w:color w:val="000000"/>
        </w:rPr>
        <w:t>We have filed registration statements on Form S-8 under the Securities Act to register all ordinary shares issued or issuable under our equity plans. Such Form S-8 registration statements have become, and any other registration statements on Form S -8 we file in the future will become, effective upon filing, upon which shares registered under such registration statements become available for sale in the open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94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80"/>
        <w:spacing w:after="0" w:line="214" w:lineRule="auto"/>
        <w:rPr>
          <w:sz w:val="20"/>
          <w:szCs w:val="20"/>
          <w:color w:val="auto"/>
        </w:rPr>
      </w:pPr>
      <w:r>
        <w:rPr>
          <w:rFonts w:ascii="Arial" w:cs="Arial" w:eastAsia="Arial" w:hAnsi="Arial"/>
          <w:sz w:val="13"/>
          <w:szCs w:val="13"/>
          <w:color w:val="auto"/>
        </w:rPr>
        <w:t>Additionally, certain sales of ADSs or our ordinary shares that we have made have included, and we may in the future make sales including, holding period restrictions or registration rights. Sales of ADSs or our ordinary shares as restrictions end or pursuant to registration rights may make it more difficult for us to finance our operations through the sale of equity securities in the future at a time and at a price that we deem appropriate. These sales also could cause the trading price of the ADSs to fall and make it more difficult to sell the ADSs on favorable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-501015</wp:posOffset>
            </wp:positionV>
            <wp:extent cx="523113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320"/>
        <w:spacing w:after="0" w:line="210" w:lineRule="auto"/>
        <w:rPr>
          <w:sz w:val="20"/>
          <w:szCs w:val="20"/>
          <w:color w:val="auto"/>
        </w:rPr>
      </w:pPr>
      <w:r>
        <w:rPr>
          <w:rFonts w:ascii="Arial" w:cs="Arial" w:eastAsia="Arial" w:hAnsi="Arial"/>
          <w:sz w:val="13"/>
          <w:szCs w:val="13"/>
          <w:b w:val="1"/>
          <w:bCs w:val="1"/>
          <w:color w:val="005A64"/>
        </w:rPr>
        <w:t>If we are a “passive foreign investment company” for U.S. federal income tax purposes, there may be adverse U.S. federal income tax consequences to U.S. investors.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Based on our income and assets, we believe that we should be treated as a “passive foreign investment</w:t>
      </w:r>
    </w:p>
    <w:p>
      <w:pPr>
        <w:sectPr>
          <w:pgSz w:w="11900" w:h="16840" w:orient="portrait"/>
          <w:cols w:equalWidth="0" w:num="1">
            <w:col w:w="9020"/>
          </w:cols>
          <w:pgMar w:left="1440" w:top="1440" w:right="1440" w:bottom="28" w:gutter="0" w:footer="0" w:header="0"/>
        </w:sectPr>
      </w:pPr>
    </w:p>
    <w:bookmarkStart w:id="66" w:name="page67"/>
    <w:bookmarkEnd w:id="66"/>
    <w:p>
      <w:pPr>
        <w:ind w:left="380" w:right="2100"/>
        <w:spacing w:after="0" w:line="221" w:lineRule="auto"/>
        <w:rPr>
          <w:sz w:val="20"/>
          <w:szCs w:val="20"/>
          <w:color w:val="auto"/>
        </w:rPr>
      </w:pPr>
      <w:r>
        <w:rPr>
          <w:rFonts w:ascii="Arial" w:cs="Arial" w:eastAsia="Arial" w:hAnsi="Arial"/>
          <w:sz w:val="13"/>
          <w:szCs w:val="13"/>
          <w:color w:val="auto"/>
        </w:rPr>
        <w:t>company,” or PFIC, for the preceding taxable year. However, the determination of our PFIC status is made annually based on the factual tests described below. Consequently, while we may be a PFIC in future years, we cannot estimate with certainty at this stage whether or not we are likely to be treated as a PFIC in the current taxable year or any future taxable years. Generally, if, for any taxable year, at least 75 percent of our gross income is “passive income” or at least 50 percent of our gross assets during the taxable year (based on the average of the fair market values of the assets determined at the end of each quarterly period) are assets that produce or are held for the production of passive income, we will be characterized as a PFIC for U.S. federal income tax purposes. Passive income for this purpose generally includes, among other things, dividends, interest, rents, royalties, gains from commodities and securities transactions, and gains from assets that produce passive income. However, rents and royalties received from unrelated parties in connection with the active conduct of a trade or business should not be considered passive income for purposes of the PFIC test. For example, if we were to be characterized as a PFIC for U.S. federal income tax purposes in any taxable year during which a U.S. Holder (as defined in “Taxation —Material United States federal income tax considerations” in this Annual Report) holds ordinary shares or ADSs, such U.S. Holder could be subject to additional taxes and interest charges upon certain distributions by us and any gain recognized on a sale, exchange or other disposition of our shares, whether or not we continue to be characterized as a PFIC. Certain adverse consequences of PFIC status can be mitigated if a U.S. Holder makes a “mark to market” election or a “Qualified Electing Fund,” or QEF, election. We have made available to U.S. Holders the information necessary to make and maintain a QEF election for the year ended December 31, 2024, and intend to provide U.S. holders with the necessary information for any taxable year in which we are treated as a PFIC. See “Taxation —Material United States federal income tax considerations —Passive foreign investment company considerations” in this Annual Report.</w:t>
      </w:r>
    </w:p>
    <w:p>
      <w:pPr>
        <w:spacing w:after="0" w:line="12" w:lineRule="exact"/>
        <w:rPr>
          <w:sz w:val="20"/>
          <w:szCs w:val="20"/>
          <w:color w:val="auto"/>
        </w:rPr>
      </w:pPr>
    </w:p>
    <w:p>
      <w:pPr>
        <w:jc w:val="both"/>
        <w:ind w:left="380" w:right="2160"/>
        <w:spacing w:after="0" w:line="212" w:lineRule="auto"/>
        <w:rPr>
          <w:sz w:val="20"/>
          <w:szCs w:val="20"/>
          <w:color w:val="auto"/>
        </w:rPr>
      </w:pPr>
      <w:r>
        <w:rPr>
          <w:rFonts w:ascii="Arial" w:cs="Arial" w:eastAsia="Arial" w:hAnsi="Arial"/>
          <w:sz w:val="13"/>
          <w:szCs w:val="13"/>
          <w:color w:val="auto"/>
        </w:rPr>
        <w:t>Whether we are a PFIC for any taxable year will depend on the composition of our income and the composition and value of our assets from time to time. Each U.S. Holder is strongly urged to consult its tax advisor regarding these issues and any available elections to mitigate such tax consequences.</w:t>
      </w:r>
    </w:p>
    <w:p>
      <w:pPr>
        <w:ind w:left="380"/>
        <w:spacing w:after="0" w:line="208" w:lineRule="auto"/>
        <w:rPr>
          <w:sz w:val="20"/>
          <w:szCs w:val="20"/>
          <w:color w:val="auto"/>
        </w:rPr>
      </w:pPr>
      <w:r>
        <w:rPr>
          <w:rFonts w:ascii="Arial" w:cs="Arial" w:eastAsia="Arial" w:hAnsi="Arial"/>
          <w:sz w:val="16"/>
          <w:szCs w:val="16"/>
          <w:b w:val="1"/>
          <w:bCs w:val="1"/>
          <w:color w:val="005A64"/>
        </w:rPr>
        <w:t>Item 4. Information on the Company</w:t>
      </w:r>
    </w:p>
    <w:p>
      <w:pPr>
        <w:ind w:left="380"/>
        <w:spacing w:after="0" w:line="211" w:lineRule="auto"/>
        <w:rPr>
          <w:sz w:val="20"/>
          <w:szCs w:val="20"/>
          <w:color w:val="auto"/>
        </w:rPr>
      </w:pPr>
      <w:r>
        <w:rPr>
          <w:rFonts w:ascii="Arial" w:cs="Arial" w:eastAsia="Arial" w:hAnsi="Arial"/>
          <w:sz w:val="13"/>
          <w:szCs w:val="13"/>
          <w:b w:val="1"/>
          <w:bCs w:val="1"/>
          <w:color w:val="005A64"/>
        </w:rPr>
        <w:t>A. History and Development of the Company</w:t>
      </w:r>
    </w:p>
    <w:p>
      <w:pPr>
        <w:ind w:left="380" w:right="2160"/>
        <w:spacing w:after="0" w:line="210" w:lineRule="auto"/>
        <w:rPr>
          <w:sz w:val="20"/>
          <w:szCs w:val="20"/>
          <w:color w:val="auto"/>
        </w:rPr>
      </w:pPr>
      <w:r>
        <w:rPr>
          <w:rFonts w:ascii="Arial" w:cs="Arial" w:eastAsia="Arial" w:hAnsi="Arial"/>
          <w:sz w:val="13"/>
          <w:szCs w:val="13"/>
          <w:color w:val="auto"/>
        </w:rPr>
        <w:t>We are committed to improving the health of people worldwide with our fundamental research and development of immunotherapies. Scientific rigor, innovation and passion are our driving forces. BioNTech was founded by scientists and physicians to translate science into survival by combining fundamental research and operational excellence.</w:t>
      </w:r>
    </w:p>
    <w:p>
      <w:pPr>
        <w:spacing w:after="0" w:line="2" w:lineRule="exact"/>
        <w:rPr>
          <w:sz w:val="20"/>
          <w:szCs w:val="20"/>
          <w:color w:val="auto"/>
        </w:rPr>
      </w:pPr>
    </w:p>
    <w:p>
      <w:pPr>
        <w:ind w:left="380" w:right="2360"/>
        <w:spacing w:after="0" w:line="210" w:lineRule="auto"/>
        <w:rPr>
          <w:sz w:val="20"/>
          <w:szCs w:val="20"/>
          <w:color w:val="auto"/>
        </w:rPr>
      </w:pPr>
      <w:r>
        <w:rPr>
          <w:rFonts w:ascii="Arial" w:cs="Arial" w:eastAsia="Arial" w:hAnsi="Arial"/>
          <w:sz w:val="13"/>
          <w:szCs w:val="13"/>
          <w:color w:val="auto"/>
        </w:rPr>
        <w:t>We were founded and incorporated on June 2, 2008 as Petersberg 91, V AG, a German stock corporation (Aktiengesellschaft). We changed our name to BioNTech AG on December 11, 2008. On March 8, 2019, we converted to a European stock corporation (Societas Europaea, or SE) under the laws of Germany and the European Union called BioNTech SE. We completed our initial public offering in October 2019. ADSs representing our ordinary shares are currently listed on the Nasdaq Global Select Market under the symbol “BNTX”.</w:t>
      </w:r>
    </w:p>
    <w:p>
      <w:pPr>
        <w:spacing w:after="0" w:line="4" w:lineRule="exact"/>
        <w:rPr>
          <w:sz w:val="20"/>
          <w:szCs w:val="20"/>
          <w:color w:val="auto"/>
        </w:rPr>
      </w:pPr>
    </w:p>
    <w:p>
      <w:pPr>
        <w:ind w:left="380" w:right="2100"/>
        <w:spacing w:after="0" w:line="226" w:lineRule="auto"/>
        <w:rPr>
          <w:sz w:val="20"/>
          <w:szCs w:val="20"/>
          <w:color w:val="auto"/>
        </w:rPr>
      </w:pPr>
      <w:r>
        <w:rPr>
          <w:rFonts w:ascii="Arial" w:cs="Arial" w:eastAsia="Arial" w:hAnsi="Arial"/>
          <w:sz w:val="13"/>
          <w:szCs w:val="13"/>
          <w:color w:val="auto"/>
        </w:rPr>
        <w:t>Our principal executive offices are located at An der Goldgrube 12, D-55131 Mainz, Germany. Our telephone number is +49 6131-9084-0. Our website address is www.biontech.com. The information contained on, or that can be accessed through, our website is not part of this document. Our agent for service of process solely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95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400"/>
        <w:spacing w:after="0" w:line="248" w:lineRule="auto"/>
        <w:rPr>
          <w:sz w:val="20"/>
          <w:szCs w:val="20"/>
          <w:color w:val="auto"/>
        </w:rPr>
      </w:pPr>
      <w:r>
        <w:rPr>
          <w:rFonts w:ascii="Arial" w:cs="Arial" w:eastAsia="Arial" w:hAnsi="Arial"/>
          <w:sz w:val="13"/>
          <w:szCs w:val="13"/>
          <w:color w:val="auto"/>
        </w:rPr>
        <w:t>purpose of notices and communications from the SEC in the United States is c/o BioNTech US Inc., 40 Erie Street, Suite 110, Cambridge, Massachusetts 02139, +1 (617) 337-4701.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-189230</wp:posOffset>
            </wp:positionV>
            <wp:extent cx="523113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560" w:right="1440"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96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005A64"/>
        </w:rPr>
        <w:t>B. 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0" w:lineRule="auto"/>
        <w:rPr>
          <w:sz w:val="20"/>
          <w:szCs w:val="20"/>
          <w:color w:val="auto"/>
        </w:rPr>
      </w:pPr>
      <w:r>
        <w:rPr>
          <w:rFonts w:ascii="Arial" w:cs="Arial" w:eastAsia="Arial" w:hAnsi="Arial"/>
          <w:sz w:val="13"/>
          <w:szCs w:val="13"/>
          <w:color w:val="005A64"/>
        </w:rPr>
        <w:t>I. Overview</w:t>
      </w:r>
    </w:p>
    <w:p>
      <w:pPr>
        <w:spacing w:after="0" w:line="1"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We are a global next-generation immunotherapy company pioneering novel medicines against cancer, infectious diseases and other serious diseases. Since our founding in 2008, we have focused on harnessing the power of the immune system to address human diseases with unmet medical needs and major global health burdens. Our fully integrated model combines decades of research in immunology with a multi-technology innovation engine, GMP manufacturing, translational drug discovery, clinical development, commercial capabilities, computational medicine, data science, artificial intelligence, or AI, and machine learning, or ML, capabilities to discover, develop and commercialize our marketed products and product candidates.</w:t>
      </w:r>
    </w:p>
    <w:p>
      <w:pPr>
        <w:spacing w:after="0" w:line="4"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We have built a broad toolkit across multiple technology platforms, including a diverse range of potentially first-in-class therapeutic approaches. This includes investigational messenger ribonucleic acid, or mRNA immunotherapies, protein- based therapeutics (including targeted antibodies such as monoclonal, bispecific and antibody-drug conjugates, or ADCs) and cell therapies.</w:t>
      </w:r>
    </w:p>
    <w:p>
      <w:pPr>
        <w:spacing w:after="0" w:line="2" w:lineRule="exact"/>
        <w:rPr>
          <w:sz w:val="20"/>
          <w:szCs w:val="20"/>
          <w:color w:val="auto"/>
        </w:rPr>
      </w:pPr>
    </w:p>
    <w:p>
      <w:pPr>
        <w:ind w:left="380" w:right="2340"/>
        <w:spacing w:after="0" w:line="210" w:lineRule="auto"/>
        <w:rPr>
          <w:sz w:val="20"/>
          <w:szCs w:val="20"/>
          <w:color w:val="auto"/>
        </w:rPr>
      </w:pPr>
      <w:r>
        <w:rPr>
          <w:rFonts w:ascii="Arial" w:cs="Arial" w:eastAsia="Arial" w:hAnsi="Arial"/>
          <w:sz w:val="13"/>
          <w:szCs w:val="13"/>
          <w:color w:val="auto"/>
        </w:rPr>
        <w:t>Our multi-technology combination of platforms and product candidates positions us as pioneers in the field of individualized, patient-centric therapeutic approaches in oncology and infectious diseases.</w:t>
      </w:r>
    </w:p>
    <w:p>
      <w:pPr>
        <w:spacing w:after="0" w:line="1"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Our primary focus is oncology, where we endeavor to address the full continuum of cancer from early to late disease stages. The root causes of cancer treatment failure are cancer heterogeneity and interindividual variability. Driven by random sequential mutations, every patient’s cancer is different and within one patient’s tumor, every cell is different. Addressing these two challenges is the core of our strategy. To augment anti-tumor activity and to counteract resistance mechanisms, we seek to combine compounds with non-overlapping, synergistic mechanisms of action.</w:t>
      </w:r>
    </w:p>
    <w:p>
      <w:pPr>
        <w:spacing w:after="0" w:line="4"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 xml:space="preserve">In infectious disease, we aim to develop new prophylactic vaccines as well as therapeutics, as there are substantial unmet medical and global health needs. Our approach has generated a robust product pipeline, and has led to the approval of our first marketed product, </w:t>
      </w:r>
      <w:r>
        <w:rPr>
          <w:rFonts w:ascii="Arial" w:cs="Arial" w:eastAsia="Arial" w:hAnsi="Arial"/>
          <w:sz w:val="13"/>
          <w:szCs w:val="13"/>
          <w:i w:val="1"/>
          <w:iCs w:val="1"/>
          <w:color w:val="auto"/>
        </w:rPr>
        <w:t>Comirnaty</w:t>
      </w:r>
      <w:r>
        <w:rPr>
          <w:rFonts w:ascii="Arial" w:cs="Arial" w:eastAsia="Arial" w:hAnsi="Arial"/>
          <w:sz w:val="13"/>
          <w:szCs w:val="13"/>
          <w:color w:val="auto"/>
        </w:rPr>
        <w:t>.</w:t>
      </w:r>
    </w:p>
    <w:p>
      <w:pPr>
        <w:ind w:left="380"/>
        <w:spacing w:after="0" w:line="213" w:lineRule="auto"/>
        <w:rPr>
          <w:sz w:val="20"/>
          <w:szCs w:val="20"/>
          <w:color w:val="auto"/>
        </w:rPr>
      </w:pPr>
      <w:r>
        <w:rPr>
          <w:rFonts w:ascii="Arial" w:cs="Arial" w:eastAsia="Arial" w:hAnsi="Arial"/>
          <w:sz w:val="13"/>
          <w:szCs w:val="13"/>
          <w:color w:val="005A64"/>
        </w:rPr>
        <w:t>II. The BioNTech Approach</w:t>
      </w:r>
    </w:p>
    <w:p>
      <w:pPr>
        <w:spacing w:after="0" w:line="1"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 xml:space="preserve">Our key objectives are to develop an innovative immunotherapy pipeline in oncology targeting multiple product approvals in the coming years and to build a sustainable respiratory infectious disease vaccine business based on the BioNTech-Pfizer </w:t>
      </w:r>
      <w:r>
        <w:rPr>
          <w:rFonts w:ascii="Arial" w:cs="Arial" w:eastAsia="Arial" w:hAnsi="Arial"/>
          <w:sz w:val="13"/>
          <w:szCs w:val="13"/>
          <w:i w:val="1"/>
          <w:iCs w:val="1"/>
          <w:color w:val="auto"/>
        </w:rPr>
        <w:t>Comirnaty</w:t>
      </w:r>
      <w:r>
        <w:rPr>
          <w:rFonts w:ascii="Arial" w:cs="Arial" w:eastAsia="Arial" w:hAnsi="Arial"/>
          <w:sz w:val="13"/>
          <w:szCs w:val="13"/>
          <w:color w:val="auto"/>
        </w:rPr>
        <w:t xml:space="preserve"> franchise. We are uniquely positioned to pursue our objectives by leveraging our technology agnostic approach rooted in decades of research in immunology coupled with expertise in emerging mRNA technologies. Our vision is to establish a multi-product company based on our pioneering technologies and science to contribute to improving the health of people worldwide.</w:t>
      </w:r>
    </w:p>
    <w:p>
      <w:pPr>
        <w:ind w:left="380"/>
        <w:spacing w:after="0" w:line="216" w:lineRule="auto"/>
        <w:rPr>
          <w:sz w:val="20"/>
          <w:szCs w:val="20"/>
          <w:color w:val="auto"/>
        </w:rPr>
      </w:pPr>
      <w:r>
        <w:rPr>
          <w:rFonts w:ascii="Arial" w:cs="Arial" w:eastAsia="Arial" w:hAnsi="Arial"/>
          <w:sz w:val="13"/>
          <w:szCs w:val="13"/>
          <w:b w:val="1"/>
          <w:bCs w:val="1"/>
          <w:color w:val="auto"/>
        </w:rPr>
        <w:t>Oncology Pipeline Strategy</w:t>
      </w:r>
    </w:p>
    <w:p>
      <w:pPr>
        <w:ind w:left="380" w:right="2180"/>
        <w:spacing w:after="0" w:line="210" w:lineRule="auto"/>
        <w:rPr>
          <w:sz w:val="20"/>
          <w:szCs w:val="20"/>
          <w:color w:val="auto"/>
        </w:rPr>
      </w:pPr>
      <w:r>
        <w:rPr>
          <w:rFonts w:ascii="Arial" w:cs="Arial" w:eastAsia="Arial" w:hAnsi="Arial"/>
          <w:sz w:val="13"/>
          <w:szCs w:val="13"/>
          <w:color w:val="auto"/>
        </w:rPr>
        <w:t>Cancer is one of the most profound medical challenges of humankind. Genetic and phenotypic heterogeneity, the tumor microenvironment and immune diversity make cancer a complex and heterogeneous disease. Our long-term oncology vision is to expand the number of available treatment options for cancer patients. We aim to address the full continuum of cancer treatment by developing novel therapies to best serve the needs of cancer patients from adjuvant to late-stage settings.</w:t>
      </w:r>
    </w:p>
    <w:p>
      <w:pPr>
        <w:spacing w:after="0" w:line="3" w:lineRule="exact"/>
        <w:rPr>
          <w:sz w:val="20"/>
          <w:szCs w:val="20"/>
          <w:color w:val="auto"/>
        </w:rPr>
      </w:pPr>
    </w:p>
    <w:p>
      <w:pPr>
        <w:ind w:left="380" w:right="2260"/>
        <w:spacing w:after="0" w:line="210" w:lineRule="auto"/>
        <w:rPr>
          <w:sz w:val="20"/>
          <w:szCs w:val="20"/>
          <w:color w:val="auto"/>
        </w:rPr>
      </w:pPr>
      <w:r>
        <w:rPr>
          <w:rFonts w:ascii="Arial" w:cs="Arial" w:eastAsia="Arial" w:hAnsi="Arial"/>
          <w:sz w:val="13"/>
          <w:szCs w:val="13"/>
          <w:color w:val="auto"/>
        </w:rPr>
        <w:t>Since our founding, we have been a multi-technology company. We believe that by combining complementary treatment modalities, we can leverage the potential of each technology to provide precise and personalized treatments to patients. Such treatments, if approved, could both increase the likelihood of therapeutic success and reduce the risk of therapeutic resistance. By building a diverse toolkit and clinical portfolio with synergistic mechanisms of action, we aim to exploit the potential of our technologies:</w:t>
      </w:r>
    </w:p>
    <w:p>
      <w:pPr>
        <w:spacing w:after="0" w:line="3" w:lineRule="exact"/>
        <w:rPr>
          <w:sz w:val="20"/>
          <w:szCs w:val="20"/>
          <w:color w:val="auto"/>
        </w:rPr>
      </w:pPr>
    </w:p>
    <w:p>
      <w:pPr>
        <w:ind w:left="380" w:right="2580"/>
        <w:spacing w:after="0" w:line="22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mRNA Cancer Immunotherapies</w:t>
      </w:r>
      <w:r>
        <w:rPr>
          <w:rFonts w:ascii="Arial" w:cs="Arial" w:eastAsia="Arial" w:hAnsi="Arial"/>
          <w:sz w:val="13"/>
          <w:szCs w:val="13"/>
          <w:color w:val="auto"/>
        </w:rPr>
        <w:t xml:space="preserve">. We are developing a portfolio of mRNA-based therapeutic candidates to treat cancer: cancer immunotherapies, including </w:t>
      </w:r>
      <w:r>
        <w:rPr>
          <w:rFonts w:ascii="Arial" w:cs="Arial" w:eastAsia="Arial" w:hAnsi="Arial"/>
          <w:sz w:val="13"/>
          <w:szCs w:val="13"/>
          <w:i w:val="1"/>
          <w:iCs w:val="1"/>
          <w:color w:val="auto"/>
        </w:rPr>
        <w:t>FixVac</w:t>
      </w:r>
      <w:r>
        <w:rPr>
          <w:rFonts w:ascii="Arial" w:cs="Arial" w:eastAsia="Arial" w:hAnsi="Arial"/>
          <w:sz w:val="13"/>
          <w:szCs w:val="13"/>
          <w:color w:val="auto"/>
        </w:rPr>
        <w:t xml:space="preserve"> (fully owned) and iNeST (in collaboration with Genentech, Inc., a member of the Roche Group, or Genentech), and mRNA-encoded cytokines and antibodies. We believe that mRNA cancer immunotherapy candidates, if successful,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97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ectPr>
          <w:pgSz w:w="11900" w:h="16840" w:orient="portrait"/>
          <w:cols w:equalWidth="0" w:num="1">
            <w:col w:w="9020"/>
          </w:cols>
          <w:pgMar w:left="1440" w:top="1440" w:right="1440" w:bottom="1" w:gutter="0" w:footer="0" w:header="0"/>
        </w:sectPr>
      </w:pPr>
    </w:p>
    <w:p>
      <w:pPr>
        <w:spacing w:after="0" w:line="38" w:lineRule="exact"/>
        <w:rPr>
          <w:sz w:val="20"/>
          <w:szCs w:val="20"/>
          <w:color w:val="auto"/>
        </w:rPr>
      </w:pPr>
    </w:p>
    <w:p>
      <w:pPr>
        <w:ind w:left="380" w:right="2880"/>
        <w:spacing w:after="0" w:line="248" w:lineRule="auto"/>
        <w:rPr>
          <w:sz w:val="20"/>
          <w:szCs w:val="20"/>
          <w:color w:val="auto"/>
        </w:rPr>
      </w:pPr>
      <w:r>
        <w:rPr>
          <w:rFonts w:ascii="Arial" w:cs="Arial" w:eastAsia="Arial" w:hAnsi="Arial"/>
          <w:sz w:val="13"/>
          <w:szCs w:val="13"/>
          <w:color w:val="auto"/>
        </w:rPr>
        <w:t>have the potential to eliminate polyclonal residual disease by targeting multiple antigens at once for potential long-term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-189230</wp:posOffset>
            </wp:positionV>
            <wp:extent cx="523113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1440" w:right="1440" w:bottom="1" w:gutter="0" w:footer="0" w:header="0"/>
          <w:type w:val="continuous"/>
        </w:sectPr>
      </w:pPr>
    </w:p>
    <w:bookmarkStart w:id="68" w:name="page69"/>
    <w:bookmarkEnd w:id="68"/>
    <w:p>
      <w:pPr>
        <w:ind w:left="380" w:right="2580"/>
        <w:spacing w:after="0" w:line="214" w:lineRule="auto"/>
        <w:rPr>
          <w:sz w:val="20"/>
          <w:szCs w:val="20"/>
          <w:color w:val="auto"/>
        </w:rPr>
      </w:pPr>
      <w:r>
        <w:rPr>
          <w:rFonts w:ascii="Arial" w:cs="Arial" w:eastAsia="Arial" w:hAnsi="Arial"/>
          <w:sz w:val="13"/>
          <w:szCs w:val="13"/>
          <w:b w:val="1"/>
          <w:bCs w:val="1"/>
          <w:color w:val="auto"/>
        </w:rPr>
        <w:t>•Immunomodulators</w:t>
      </w:r>
      <w:r>
        <w:rPr>
          <w:rFonts w:ascii="Arial" w:cs="Arial" w:eastAsia="Arial" w:hAnsi="Arial"/>
          <w:sz w:val="13"/>
          <w:szCs w:val="13"/>
          <w:color w:val="auto"/>
        </w:rPr>
        <w:t>. We are building a modality agnostic toolkit to focus on crucial immuno-oncology</w:t>
      </w:r>
      <w:r>
        <w:rPr>
          <w:rFonts w:ascii="Arial" w:cs="Arial" w:eastAsia="Arial" w:hAnsi="Arial"/>
          <w:sz w:val="13"/>
          <w:szCs w:val="13"/>
          <w:b w:val="1"/>
          <w:bCs w:val="1"/>
          <w:color w:val="auto"/>
        </w:rPr>
        <w:t xml:space="preserve"> </w:t>
      </w:r>
      <w:r>
        <w:rPr>
          <w:rFonts w:ascii="Arial" w:cs="Arial" w:eastAsia="Arial" w:hAnsi="Arial"/>
          <w:sz w:val="13"/>
          <w:szCs w:val="13"/>
          <w:color w:val="auto"/>
        </w:rPr>
        <w:t>pathways. We target different but complementary players in the complex cancer immunity cycle to promote a thorough and durable antitumor effect. We use our in-house capabilities and collaborate with Genmab A/S, or Genmab, and OncoC4, Inc., or OncoC4, to develop next-generation immunomodulators that are designed to modulate the patient’s immune response to cancer.</w:t>
      </w:r>
    </w:p>
    <w:p>
      <w:pPr>
        <w:spacing w:after="0" w:line="3" w:lineRule="exact"/>
        <w:rPr>
          <w:sz w:val="20"/>
          <w:szCs w:val="20"/>
          <w:color w:val="auto"/>
        </w:rPr>
      </w:pPr>
    </w:p>
    <w:p>
      <w:pPr>
        <w:ind w:left="380" w:right="2560"/>
        <w:spacing w:after="0" w:line="21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Targeted Therapies</w:t>
      </w:r>
      <w:r>
        <w:rPr>
          <w:rFonts w:ascii="Arial" w:cs="Arial" w:eastAsia="Arial" w:hAnsi="Arial"/>
          <w:sz w:val="13"/>
          <w:szCs w:val="13"/>
          <w:color w:val="auto"/>
        </w:rPr>
        <w:t>. We aim to develop potent and precise therapies that could reduce tumor burden across the entire disease continuum, including late lines. We collaborate with Duality Biologics (Suzhou) Co. Ltd., or DualityBio, and MediLink Therapeutics (Suzhou) Co., Ltd., or MediLink Therapeutics, to develop next-generation ADCs. ADCs will transform cancer care. We believe they have the potential to supplement or replace chemotherapy in the future. We believe that a differentiated ADC linker technology could improve efficacy and safety compared to currently approved ADCs, and novel mechanisms of action may be able to improve tumor specific activation. We are also developing a range of cell therapies against solid tumors, including chimeric antigen receptor, or CAR -T,- cell therapies, neoantigen-based T-cell therapies and T-cell receptor, or TCR therapies in which the patient’s T cells are modified or primed to target cancer-specific antigens.</w:t>
      </w:r>
    </w:p>
    <w:p>
      <w:pPr>
        <w:spacing w:after="0" w:line="6"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 xml:space="preserve">From our diverse clinical portfolio, we have identified two high- priority assets with pan-tumor potential and programs that we believe will enable us to realize our vision of addressing the full continuum of cancer: first, our mRNA cancer immunotherapy programs, </w:t>
      </w:r>
      <w:r>
        <w:rPr>
          <w:rFonts w:ascii="Arial" w:cs="Arial" w:eastAsia="Arial" w:hAnsi="Arial"/>
          <w:sz w:val="13"/>
          <w:szCs w:val="13"/>
          <w:i w:val="1"/>
          <w:iCs w:val="1"/>
          <w:color w:val="auto"/>
        </w:rPr>
        <w:t>FixVac</w:t>
      </w:r>
      <w:r>
        <w:rPr>
          <w:rFonts w:ascii="Arial" w:cs="Arial" w:eastAsia="Arial" w:hAnsi="Arial"/>
          <w:sz w:val="13"/>
          <w:szCs w:val="13"/>
          <w:color w:val="auto"/>
        </w:rPr>
        <w:t xml:space="preserve"> and iNeST, which we believe are particularly suited for early-stage or low tumor burden cancers; and second, our late-stage clinical asset BNT327, formerly also known as PM8002, an investigational bispecific antibody targeting PD-L1 and VEGF-A, and for which we obtained full global rights with the acquisition of Biotheus Inc., or Biotheus. We believe that BNT327 has the potential to become a next-generation immuno-oncology backbone suitable for a broad range of cancers.</w:t>
      </w:r>
    </w:p>
    <w:p>
      <w:pPr>
        <w:spacing w:after="0" w:line="4"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We plan to continue building our oncology pipeline and commercial capabilities in 2025 in anticipation of potential commercial oncology launches as soon as 2026, if approved.</w:t>
      </w:r>
    </w:p>
    <w:p>
      <w:pPr>
        <w:ind w:left="380"/>
        <w:spacing w:after="0" w:line="212" w:lineRule="auto"/>
        <w:rPr>
          <w:sz w:val="20"/>
          <w:szCs w:val="20"/>
          <w:color w:val="auto"/>
        </w:rPr>
      </w:pPr>
      <w:r>
        <w:rPr>
          <w:rFonts w:ascii="Arial" w:cs="Arial" w:eastAsia="Arial" w:hAnsi="Arial"/>
          <w:sz w:val="13"/>
          <w:szCs w:val="13"/>
          <w:b w:val="1"/>
          <w:bCs w:val="1"/>
          <w:color w:val="auto"/>
        </w:rPr>
        <w:t>Infectious Disease Pipeline Strategy</w:t>
      </w:r>
    </w:p>
    <w:p>
      <w:pPr>
        <w:spacing w:after="0" w:line="1" w:lineRule="exact"/>
        <w:rPr>
          <w:sz w:val="20"/>
          <w:szCs w:val="20"/>
          <w:color w:val="auto"/>
        </w:rPr>
      </w:pPr>
    </w:p>
    <w:p>
      <w:pPr>
        <w:ind w:left="380" w:right="2280"/>
        <w:spacing w:after="0" w:line="210" w:lineRule="auto"/>
        <w:rPr>
          <w:sz w:val="20"/>
          <w:szCs w:val="20"/>
          <w:color w:val="auto"/>
        </w:rPr>
      </w:pPr>
      <w:r>
        <w:rPr>
          <w:rFonts w:ascii="Arial" w:cs="Arial" w:eastAsia="Arial" w:hAnsi="Arial"/>
          <w:sz w:val="13"/>
          <w:szCs w:val="13"/>
          <w:color w:val="auto"/>
        </w:rPr>
        <w:t>Infectious diseases remain among the leading causes of death and disability worldwide. Low- and middle-income countries continue to bear much of the burden of communicable diseases, which include tuberculosis, human immunodeficiency virus, or HIV, malaria, neglected tropical diseases and hepatitis B. Climate change, rising population numbers and global travel may all contribute to an increased risk of global infectious disease outbreaks.</w:t>
      </w:r>
    </w:p>
    <w:p>
      <w:pPr>
        <w:spacing w:after="0" w:line="3"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Our goal is to advance our infectious disease programs by developing vaccines and therapeutics for infectious diseases caused by respiratory viruses, latent viruses, bacteria and parasites. We believe our scientific approach and our mRNA technology have the potential to significantly contribute to the fight against global health threats caused by infectious diseases. We have pursued both strategic partnerships and corporate collaborations to partially fund our infectious disease global health programs and aim to continue to do so. Our infectious disease programs aim to contribute to equitable access to effective and well tolerated vaccines for high medical need indications.</w:t>
      </w:r>
    </w:p>
    <w:p>
      <w:pPr>
        <w:spacing w:after="0" w:line="4"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Together with our collaborator Pfizer Inc., or Pfizer, we plan to continue to invest into the research and development of next-generation COVID -19 vaccines and COVID-19 / influenza combination vaccines. We expect seasonal COVID-19 vaccination to continue, driven by the continuous evolution of the virus. We aim to maintain COVID-19 vaccine market leadership and expect continued revenues from COVID-19 vaccine sales in the near term.</w:t>
      </w:r>
    </w:p>
    <w:p>
      <w:pPr>
        <w:spacing w:after="0" w:line="3" w:lineRule="exact"/>
        <w:rPr>
          <w:sz w:val="20"/>
          <w:szCs w:val="20"/>
          <w:color w:val="auto"/>
        </w:rPr>
      </w:pPr>
    </w:p>
    <w:p>
      <w:pPr>
        <w:ind w:left="380" w:right="2160"/>
        <w:spacing w:after="0" w:line="226" w:lineRule="auto"/>
        <w:rPr>
          <w:sz w:val="20"/>
          <w:szCs w:val="20"/>
          <w:color w:val="auto"/>
        </w:rPr>
      </w:pPr>
      <w:r>
        <w:rPr>
          <w:rFonts w:ascii="Arial" w:cs="Arial" w:eastAsia="Arial" w:hAnsi="Arial"/>
          <w:sz w:val="13"/>
          <w:szCs w:val="13"/>
          <w:color w:val="auto"/>
        </w:rPr>
        <w:t>We and our partners are also committed to researching and developing product candidates against latent viruses, including herpes-simplex virus, or HSV, varicella-zoster virus, or shingles and mpox (formerly known as monkeypox). Latent viruses remain in the body after an infection and can lead to lifelong medical complications.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98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300"/>
        <w:spacing w:after="0" w:line="220" w:lineRule="auto"/>
        <w:rPr>
          <w:sz w:val="20"/>
          <w:szCs w:val="20"/>
          <w:color w:val="auto"/>
        </w:rPr>
      </w:pPr>
      <w:r>
        <w:rPr>
          <w:rFonts w:ascii="Arial" w:cs="Arial" w:eastAsia="Arial" w:hAnsi="Arial"/>
          <w:sz w:val="13"/>
          <w:szCs w:val="13"/>
          <w:color w:val="auto"/>
        </w:rPr>
        <w:t>In addition, we have ongoing trials evaluating mRNA vaccine candidates against diseases caused by bacteria (tuberculosis) and parasites (malaria).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420"/>
        <w:spacing w:after="0" w:line="210" w:lineRule="auto"/>
        <w:rPr>
          <w:sz w:val="20"/>
          <w:szCs w:val="20"/>
          <w:color w:val="auto"/>
        </w:rPr>
      </w:pPr>
      <w:r>
        <w:rPr>
          <w:rFonts w:ascii="Arial" w:cs="Arial" w:eastAsia="Arial" w:hAnsi="Arial"/>
          <w:sz w:val="13"/>
          <w:szCs w:val="13"/>
          <w:color w:val="auto"/>
        </w:rPr>
        <w:t>We see the potential for applications of our technologies beyond oncology and infectious disease, including autoimmune diseases, inflammatory diseases, cardiovascular diseases, neurodegenerative diseases and regenerative medicines.</w:t>
      </w:r>
    </w:p>
    <w:p>
      <w:pPr>
        <w:ind w:left="380"/>
        <w:spacing w:after="0" w:line="213" w:lineRule="auto"/>
        <w:rPr>
          <w:sz w:val="20"/>
          <w:szCs w:val="20"/>
          <w:color w:val="auto"/>
        </w:rPr>
      </w:pPr>
      <w:r>
        <w:rPr>
          <w:rFonts w:ascii="Arial" w:cs="Arial" w:eastAsia="Arial" w:hAnsi="Arial"/>
          <w:sz w:val="13"/>
          <w:szCs w:val="13"/>
          <w:color w:val="005A64"/>
        </w:rPr>
        <w:t>III. Strategic Outlook</w:t>
      </w:r>
    </w:p>
    <w:p>
      <w:pPr>
        <w:spacing w:after="0" w:line="1" w:lineRule="exact"/>
        <w:rPr>
          <w:sz w:val="20"/>
          <w:szCs w:val="20"/>
          <w:color w:val="auto"/>
        </w:rPr>
      </w:pPr>
    </w:p>
    <w:p>
      <w:pPr>
        <w:ind w:left="380" w:right="2480"/>
        <w:spacing w:after="0" w:line="210" w:lineRule="auto"/>
        <w:rPr>
          <w:sz w:val="20"/>
          <w:szCs w:val="20"/>
          <w:color w:val="auto"/>
        </w:rPr>
      </w:pPr>
      <w:r>
        <w:rPr>
          <w:rFonts w:ascii="Arial" w:cs="Arial" w:eastAsia="Arial" w:hAnsi="Arial"/>
          <w:sz w:val="13"/>
          <w:szCs w:val="13"/>
          <w:color w:val="auto"/>
        </w:rPr>
        <w:t>We are committed to translating science into survival for patients by advancing BioNTech’s strategy and executing it to become a global immunotherapy powerhouse with multiple approved products and revenue streams.</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As part of this continued approach, we have built a unique pipeline by targeting technologies and candidates with disruptive potential. In oncology, we focus on therapeutic approaches with pan- tumor potential, including our personalized mRNA cancer immunotherapies and our bispecific antibody candidate BNT327. We plan to significantly invest in their broad clinical evaluation across multiple cancer indications with significant (unmet) medical needs, as well as their commercialization in key markets. We aim to further enhance the therapeutic profile of our investigational therapies through the evaluation of novel combinations, including our differentiated portfolio of ADCs and targeted therapy candidates.</w:t>
      </w:r>
    </w:p>
    <w:p>
      <w:pPr>
        <w:spacing w:after="0" w:line="4"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As we continue to invest in executing our vision, we remain committed to cost-effective value generation. We actively manage our pipeline and assess our sites according to key criteria: strategic alignment, operational efficiency, and sustainable value creation. Consequently, we plan to significantly invest in essential areas while optimizing capacities in others. While capacities may shift in accordance with our strategic criteria, we expect our overall headcount to remain relatively stable over the next three years.</w:t>
      </w:r>
    </w:p>
    <w:p>
      <w:pPr>
        <w:spacing w:after="0" w:line="3"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We have implemented, or expect to start implementing in 2025, measures aimed at expanding our research, development, manufacturing and commercialization capabilities, which we currently anticipate may result in the creation of up to between 800 and 1,200 FTE positions over the period of 2025 to 2027, including:</w:t>
      </w:r>
    </w:p>
    <w:p>
      <w:pPr>
        <w:spacing w:after="0" w:line="2" w:lineRule="exact"/>
        <w:rPr>
          <w:sz w:val="20"/>
          <w:szCs w:val="20"/>
          <w:color w:val="auto"/>
        </w:rPr>
      </w:pPr>
    </w:p>
    <w:p>
      <w:pPr>
        <w:ind w:left="380" w:right="2500"/>
        <w:spacing w:after="0" w:line="210" w:lineRule="auto"/>
        <w:rPr>
          <w:sz w:val="20"/>
          <w:szCs w:val="20"/>
          <w:color w:val="auto"/>
        </w:rPr>
      </w:pPr>
      <w:r>
        <w:rPr>
          <w:rFonts w:ascii="Arial" w:cs="Arial" w:eastAsia="Arial" w:hAnsi="Arial"/>
          <w:sz w:val="13"/>
          <w:szCs w:val="13"/>
          <w:color w:val="auto"/>
        </w:rPr>
        <w:t>•The construction of our first large-scale mRNA immunotherapy manufacturing facility in Mainz, Germany, which we started in 2019 and for which we plan to initially fill approximately 350 FTE positions in 2025. •The completion of the acquisition of Biotheus in February 2025, through which we obtained full global rights to BNT327 as well as rights to all other candidates and have increased our presence in mainland China by approximately 325 FTE positions.</w:t>
      </w:r>
    </w:p>
    <w:p>
      <w:pPr>
        <w:spacing w:after="0" w:line="3" w:lineRule="exact"/>
        <w:rPr>
          <w:sz w:val="20"/>
          <w:szCs w:val="20"/>
          <w:color w:val="auto"/>
        </w:rPr>
      </w:pPr>
    </w:p>
    <w:p>
      <w:pPr>
        <w:ind w:left="380" w:right="2880"/>
        <w:spacing w:after="0" w:line="210" w:lineRule="auto"/>
        <w:rPr>
          <w:sz w:val="20"/>
          <w:szCs w:val="20"/>
          <w:color w:val="auto"/>
        </w:rPr>
      </w:pPr>
      <w:r>
        <w:rPr>
          <w:rFonts w:ascii="Arial" w:cs="Arial" w:eastAsia="Arial" w:hAnsi="Arial"/>
          <w:sz w:val="13"/>
          <w:szCs w:val="13"/>
          <w:color w:val="auto"/>
        </w:rPr>
        <w:t>•The strategic expansion of workforce in selected areas across our sites worldwide, such as clinical development and commercial operations.</w:t>
      </w:r>
    </w:p>
    <w:p>
      <w:pPr>
        <w:spacing w:after="0" w:line="1" w:lineRule="exact"/>
        <w:rPr>
          <w:sz w:val="20"/>
          <w:szCs w:val="20"/>
          <w:color w:val="auto"/>
        </w:rPr>
      </w:pPr>
    </w:p>
    <w:p>
      <w:pPr>
        <w:ind w:left="380" w:right="2220"/>
        <w:spacing w:after="0" w:line="210" w:lineRule="auto"/>
        <w:rPr>
          <w:sz w:val="20"/>
          <w:szCs w:val="20"/>
          <w:color w:val="auto"/>
        </w:rPr>
      </w:pPr>
      <w:r>
        <w:rPr>
          <w:rFonts w:ascii="Arial" w:cs="Arial" w:eastAsia="Arial" w:hAnsi="Arial"/>
          <w:sz w:val="13"/>
          <w:szCs w:val="13"/>
          <w:color w:val="auto"/>
        </w:rPr>
        <w:t>We intend to implement measures between 2025 and 2027 to adjust capacities in some areas by between 950 and 1,350 FTE positions, including:</w:t>
      </w:r>
    </w:p>
    <w:p>
      <w:pPr>
        <w:spacing w:after="0" w:line="1" w:lineRule="exact"/>
        <w:rPr>
          <w:sz w:val="20"/>
          <w:szCs w:val="20"/>
          <w:color w:val="auto"/>
        </w:rPr>
      </w:pPr>
    </w:p>
    <w:p>
      <w:pPr>
        <w:ind w:left="380" w:right="2580"/>
        <w:spacing w:after="0" w:line="218" w:lineRule="auto"/>
        <w:rPr>
          <w:sz w:val="20"/>
          <w:szCs w:val="20"/>
          <w:color w:val="auto"/>
        </w:rPr>
      </w:pPr>
      <w:r>
        <w:rPr>
          <w:rFonts w:ascii="Arial" w:cs="Arial" w:eastAsia="Arial" w:hAnsi="Arial"/>
          <w:sz w:val="13"/>
          <w:szCs w:val="13"/>
          <w:color w:val="auto"/>
        </w:rPr>
        <w:t>•An optimization of our manufacturing network by (i) establishing focused centers of excellence for early-stage mRNA manufacturing in Idar-Oberstein and Cell &amp; Gene manufacturing in Gaithersburg, while (ii) right -sizing our center of excellence for late-stage mRNA manufacturing in Marburg. We currently expect that this will involve consolidating and adjusting capacities within our manufacturing network, which could lead to an estimated reduction of the workforce in Marburg of between 250 and 350 FTE positions and in Idar-Oberstein (Germany) of between 100 and 200 FTE positions over this time period.</w:t>
      </w:r>
    </w:p>
    <w:p>
      <w:pPr>
        <w:sectPr>
          <w:pgSz w:w="11900" w:h="16840" w:orient="portrait"/>
          <w:cols w:equalWidth="0" w:num="1">
            <w:col w:w="9020"/>
          </w:cols>
          <w:pgMar w:left="1440" w:top="560" w:right="1440" w:bottom="70" w:gutter="0" w:footer="0" w:header="0"/>
        </w:sectPr>
      </w:pPr>
    </w:p>
    <w:bookmarkStart w:id="69" w:name="page70"/>
    <w:bookmarkEnd w:id="69"/>
    <w:p>
      <w:pPr>
        <w:ind w:left="380" w:right="2600"/>
        <w:spacing w:after="0" w:line="224" w:lineRule="auto"/>
        <w:rPr>
          <w:sz w:val="20"/>
          <w:szCs w:val="20"/>
          <w:color w:val="auto"/>
        </w:rPr>
      </w:pPr>
      <w:r>
        <w:rPr>
          <w:rFonts w:ascii="Arial" w:cs="Arial" w:eastAsia="Arial" w:hAnsi="Arial"/>
          <w:sz w:val="13"/>
          <w:szCs w:val="13"/>
          <w:color w:val="auto"/>
        </w:rPr>
        <w:t>•The consolidation and adjustment of capacities across administrative functions and preclinical research in Europe and North America, resulting in an estimated workforce reduction of between 550 and 700 FTE positions over this time period.We will continue to drive progress with a focus on our highest potential opportunities and we believe we are well-positioned to continue advancing our strategic vision. We look forward to another year of meaningful progress building on our achievements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99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005A64"/>
        </w:rPr>
        <w:t>IV. Execution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400"/>
        <w:spacing w:after="0" w:line="210" w:lineRule="auto"/>
        <w:rPr>
          <w:sz w:val="20"/>
          <w:szCs w:val="20"/>
          <w:color w:val="auto"/>
        </w:rPr>
      </w:pPr>
      <w:r>
        <w:rPr>
          <w:rFonts w:ascii="Arial" w:cs="Arial" w:eastAsia="Arial" w:hAnsi="Arial"/>
          <w:sz w:val="13"/>
          <w:szCs w:val="13"/>
          <w:color w:val="auto"/>
        </w:rPr>
        <w:t>In 2024, we executed across our four key strategic pillars to strengthen our technology platforms, digital capabilities and infrastructure, through strategic investments, acquisitions, licensing agreements and public-private partnerships impacting patients, shareholders and other stakeholders.</w:t>
      </w:r>
    </w:p>
    <w:p>
      <w:pPr>
        <w:ind w:left="380"/>
        <w:spacing w:after="0" w:line="213" w:lineRule="auto"/>
        <w:rPr>
          <w:sz w:val="20"/>
          <w:szCs w:val="20"/>
          <w:color w:val="auto"/>
        </w:rPr>
      </w:pPr>
      <w:r>
        <w:rPr>
          <w:rFonts w:ascii="Arial" w:cs="Arial" w:eastAsia="Arial" w:hAnsi="Arial"/>
          <w:sz w:val="13"/>
          <w:szCs w:val="13"/>
          <w:b w:val="1"/>
          <w:bCs w:val="1"/>
          <w:color w:val="auto"/>
        </w:rPr>
        <w:t>1. Innovative and Diversified Pipeline</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We continued to develop our innovative oncology and infectious disease pipeline. Today, our pipeline consists of 18 clinical programs in oncology, with more than 20 Phase 2 and Phase 3 clinical trials, and seven clinical programs in infectious disease. In 2024, we and our partners reported data across our portfolio at multiple medical meetings and published manuscripts in peer reviewed journals.</w:t>
      </w:r>
    </w:p>
    <w:p>
      <w:pPr>
        <w:spacing w:after="0" w:line="2" w:lineRule="exact"/>
        <w:rPr>
          <w:sz w:val="20"/>
          <w:szCs w:val="20"/>
          <w:color w:val="auto"/>
        </w:rPr>
      </w:pPr>
    </w:p>
    <w:p>
      <w:pPr>
        <w:ind w:left="380" w:right="2220"/>
        <w:spacing w:after="0" w:line="210" w:lineRule="auto"/>
        <w:rPr>
          <w:sz w:val="20"/>
          <w:szCs w:val="20"/>
          <w:color w:val="auto"/>
        </w:rPr>
      </w:pPr>
      <w:r>
        <w:rPr>
          <w:rFonts w:ascii="Arial" w:cs="Arial" w:eastAsia="Arial" w:hAnsi="Arial"/>
          <w:sz w:val="13"/>
          <w:szCs w:val="13"/>
          <w:color w:val="auto"/>
        </w:rPr>
        <w:t>In oncology, we started multiple clinical trials and brought several assets into mid- and late-stage development, namely Phase 2 and Phase 3 clinical trials, across a range of technologies, including our bispecific antibody BNT327, mRNA cancer immunotherapies and ADCs.</w:t>
      </w:r>
    </w:p>
    <w:p>
      <w:pPr>
        <w:spacing w:after="0" w:line="2"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Over the next year, we aim to advance additional product candidates to late-stage development, and we expect to continue building our pipeline towards our potential first oncology launch in 2026.</w:t>
      </w:r>
    </w:p>
    <w:p>
      <w:pPr>
        <w:ind w:left="380"/>
        <w:spacing w:after="0" w:line="212" w:lineRule="auto"/>
        <w:rPr>
          <w:sz w:val="20"/>
          <w:szCs w:val="20"/>
          <w:color w:val="auto"/>
        </w:rPr>
      </w:pPr>
      <w:r>
        <w:rPr>
          <w:rFonts w:ascii="Arial" w:cs="Arial" w:eastAsia="Arial" w:hAnsi="Arial"/>
          <w:sz w:val="13"/>
          <w:szCs w:val="13"/>
          <w:b w:val="1"/>
          <w:bCs w:val="1"/>
          <w:color w:val="auto"/>
        </w:rPr>
        <w:t>2. Leadership in COVID-19 Vaccine Development</w:t>
      </w:r>
    </w:p>
    <w:p>
      <w:pPr>
        <w:spacing w:after="0" w:line="1"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We continued to build our COVID-19 vaccine franchise and maintained market leadership in multiple key geographies. In 2024, we and Pfizer distributed approximately 180 million COVID-19 vaccine doses to more than 40 countries and regions globally. In 2024, we also increased our supply of prefilled syringes in several markets.</w:t>
      </w:r>
    </w:p>
    <w:p>
      <w:pPr>
        <w:ind w:left="380"/>
        <w:spacing w:after="0" w:line="213" w:lineRule="auto"/>
        <w:rPr>
          <w:sz w:val="20"/>
          <w:szCs w:val="20"/>
          <w:color w:val="auto"/>
        </w:rPr>
      </w:pPr>
      <w:r>
        <w:rPr>
          <w:rFonts w:ascii="Arial" w:cs="Arial" w:eastAsia="Arial" w:hAnsi="Arial"/>
          <w:sz w:val="13"/>
          <w:szCs w:val="13"/>
          <w:b w:val="1"/>
          <w:bCs w:val="1"/>
          <w:color w:val="auto"/>
        </w:rPr>
        <w:t>3. Healthcare and Social Responsibility</w:t>
      </w:r>
    </w:p>
    <w:p>
      <w:pPr>
        <w:spacing w:after="0" w:line="1" w:lineRule="exact"/>
        <w:rPr>
          <w:sz w:val="20"/>
          <w:szCs w:val="20"/>
          <w:color w:val="auto"/>
        </w:rPr>
      </w:pPr>
    </w:p>
    <w:p>
      <w:pPr>
        <w:ind w:left="380" w:right="2340"/>
        <w:spacing w:after="0" w:line="210" w:lineRule="auto"/>
        <w:rPr>
          <w:sz w:val="20"/>
          <w:szCs w:val="20"/>
          <w:color w:val="auto"/>
        </w:rPr>
      </w:pPr>
      <w:r>
        <w:rPr>
          <w:rFonts w:ascii="Arial" w:cs="Arial" w:eastAsia="Arial" w:hAnsi="Arial"/>
          <w:sz w:val="13"/>
          <w:szCs w:val="13"/>
          <w:color w:val="auto"/>
        </w:rPr>
        <w:t xml:space="preserve">We advanced our goal of contributing to equitable access to medicine around the globe, with over 30% of </w:t>
      </w:r>
      <w:r>
        <w:rPr>
          <w:rFonts w:ascii="Arial" w:cs="Arial" w:eastAsia="Arial" w:hAnsi="Arial"/>
          <w:sz w:val="13"/>
          <w:szCs w:val="13"/>
          <w:i w:val="1"/>
          <w:iCs w:val="1"/>
          <w:color w:val="auto"/>
        </w:rPr>
        <w:t xml:space="preserve">Comirnaty </w:t>
      </w:r>
      <w:r>
        <w:rPr>
          <w:rFonts w:ascii="Arial" w:cs="Arial" w:eastAsia="Arial" w:hAnsi="Arial"/>
          <w:sz w:val="13"/>
          <w:szCs w:val="13"/>
          <w:color w:val="auto"/>
        </w:rPr>
        <w:t>doses delivered to low- and middle-income countries in 2024, in line with demand. We continue to</w:t>
      </w:r>
      <w:r>
        <w:rPr>
          <w:rFonts w:ascii="Arial" w:cs="Arial" w:eastAsia="Arial" w:hAnsi="Arial"/>
          <w:sz w:val="13"/>
          <w:szCs w:val="13"/>
          <w:i w:val="1"/>
          <w:iCs w:val="1"/>
          <w:color w:val="auto"/>
        </w:rPr>
        <w:t xml:space="preserve"> </w:t>
      </w:r>
      <w:r>
        <w:rPr>
          <w:rFonts w:ascii="Arial" w:cs="Arial" w:eastAsia="Arial" w:hAnsi="Arial"/>
          <w:sz w:val="13"/>
          <w:szCs w:val="13"/>
          <w:color w:val="auto"/>
        </w:rPr>
        <w:t>work with non-governmental organizations, institutes and governments to plan for equitable access to novel medicines, especially in low- and middle-income countries and regions.</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We are developing mRNA vaccine candidates for infectious diseases with high medical need, including vaccine candidates against tuberculosis, malaria and HIV, as well as against infectious diseases with pandemic potential, such as mpox. In May 2024, we and the Coalition for Epidemic Preparedness Innovations, or CEPI, announced the expansion of our strategic partnership to support the establishment of RNA vaccine R&amp;D, clinical and commercial-scale manufacturing capabilities at our facility in Kigali, Rwanda. These capabilities will contribute to develop potential mRNA vaccines in Africa, for Africa, and better prepare for potential future epidemic and pandemic threats in Africa. CEPI will provide funding of up to $145 million.</w:t>
      </w:r>
    </w:p>
    <w:p>
      <w:pPr>
        <w:spacing w:after="0" w:line="4"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In 2024, our near- term science-based emission reduction targets were approved by the Science Based Targets Initiative, or SBTi, a climate action organization which develops methods and criteria for effective corporate climate action and validates corporate targets. This validation underlines that our scope 1 and scope 2 climate targets are ambitious and in line with the United Nations’ Paris Climate Agreement to limit global warming to 1.5 degrees Celsius above pre-industrial levels. The SBTi has validated our near-term emission reduction targets in the following form:</w:t>
      </w:r>
    </w:p>
    <w:p>
      <w:pPr>
        <w:spacing w:after="0" w:line="4" w:lineRule="exact"/>
        <w:rPr>
          <w:sz w:val="20"/>
          <w:szCs w:val="20"/>
          <w:color w:val="auto"/>
        </w:rPr>
      </w:pPr>
    </w:p>
    <w:p>
      <w:pPr>
        <w:ind w:left="380" w:right="2780"/>
        <w:spacing w:after="0" w:line="210" w:lineRule="auto"/>
        <w:rPr>
          <w:sz w:val="20"/>
          <w:szCs w:val="20"/>
          <w:color w:val="auto"/>
        </w:rPr>
      </w:pPr>
      <w:r>
        <w:rPr>
          <w:rFonts w:ascii="Arial" w:cs="Arial" w:eastAsia="Arial" w:hAnsi="Arial"/>
          <w:sz w:val="13"/>
          <w:szCs w:val="13"/>
          <w:color w:val="auto"/>
        </w:rPr>
        <w:t>•BioNTech commits to reducing absolute scope 1 and scope 2 greenhouse gas emissions by 42% by 2030 from a 2021 base year.</w:t>
      </w:r>
    </w:p>
    <w:p>
      <w:pPr>
        <w:spacing w:after="0" w:line="1" w:lineRule="exact"/>
        <w:rPr>
          <w:sz w:val="20"/>
          <w:szCs w:val="20"/>
          <w:color w:val="auto"/>
        </w:rPr>
      </w:pPr>
    </w:p>
    <w:p>
      <w:pPr>
        <w:ind w:left="380" w:right="2820"/>
        <w:spacing w:after="0" w:line="210" w:lineRule="auto"/>
        <w:rPr>
          <w:sz w:val="20"/>
          <w:szCs w:val="20"/>
          <w:color w:val="auto"/>
        </w:rPr>
      </w:pPr>
      <w:r>
        <w:rPr>
          <w:rFonts w:ascii="Arial" w:cs="Arial" w:eastAsia="Arial" w:hAnsi="Arial"/>
          <w:sz w:val="13"/>
          <w:szCs w:val="13"/>
          <w:color w:val="auto"/>
        </w:rPr>
        <w:t>•BioNTech commits that 72% of its suppliers by emissions covering purchased goods and services, capital goods and upstream transportation and distribution, will have science-based targets by 2027.</w:t>
      </w:r>
    </w:p>
    <w:p>
      <w:pPr>
        <w:ind w:left="380"/>
        <w:spacing w:after="0" w:line="212" w:lineRule="auto"/>
        <w:rPr>
          <w:sz w:val="20"/>
          <w:szCs w:val="20"/>
          <w:color w:val="auto"/>
        </w:rPr>
      </w:pPr>
      <w:r>
        <w:rPr>
          <w:rFonts w:ascii="Arial" w:cs="Arial" w:eastAsia="Arial" w:hAnsi="Arial"/>
          <w:sz w:val="13"/>
          <w:szCs w:val="13"/>
          <w:b w:val="1"/>
          <w:bCs w:val="1"/>
          <w:color w:val="auto"/>
        </w:rPr>
        <w:t>4. Innovation at Scale</w:t>
      </w:r>
    </w:p>
    <w:p>
      <w:pPr>
        <w:spacing w:after="0" w:line="1" w:lineRule="exact"/>
        <w:rPr>
          <w:sz w:val="20"/>
          <w:szCs w:val="20"/>
          <w:color w:val="auto"/>
        </w:rPr>
      </w:pPr>
    </w:p>
    <w:p>
      <w:pPr>
        <w:ind w:left="380" w:right="2480"/>
        <w:spacing w:after="0" w:line="234" w:lineRule="auto"/>
        <w:rPr>
          <w:sz w:val="20"/>
          <w:szCs w:val="20"/>
          <w:color w:val="auto"/>
        </w:rPr>
      </w:pPr>
      <w:r>
        <w:rPr>
          <w:rFonts w:ascii="Arial" w:cs="Arial" w:eastAsia="Arial" w:hAnsi="Arial"/>
          <w:sz w:val="13"/>
          <w:szCs w:val="13"/>
          <w:color w:val="auto"/>
        </w:rPr>
        <w:t>We are building and scaling biotech innovation with the aim of becoming a patient- centric, AI-driven, multi-product immunotherapy company. Our diverse workforce consists of almost 6,772 employees (full-time</w:t>
      </w:r>
    </w:p>
    <w:p>
      <w:pPr>
        <w:sectPr>
          <w:pgSz w:w="11900" w:h="16840" w:orient="portrait"/>
          <w:cols w:equalWidth="0" w:num="1">
            <w:col w:w="9020"/>
          </w:cols>
          <w:pgMar w:left="1440" w:top="560" w:right="1440" w:bottom="1440" w:gutter="0" w:footer="0" w:header="0"/>
        </w:sectPr>
      </w:pPr>
    </w:p>
    <w:bookmarkStart w:id="70" w:name="page71"/>
    <w:bookmarkEnd w:id="70"/>
    <w:p>
      <w:pPr>
        <w:ind w:left="380"/>
        <w:spacing w:after="0"/>
        <w:rPr>
          <w:sz w:val="20"/>
          <w:szCs w:val="20"/>
          <w:color w:val="auto"/>
        </w:rPr>
      </w:pPr>
      <w:r>
        <w:rPr>
          <w:rFonts w:ascii="Arial" w:cs="Arial" w:eastAsia="Arial" w:hAnsi="Arial"/>
          <w:sz w:val="13"/>
          <w:szCs w:val="13"/>
          <w:color w:val="auto"/>
        </w:rPr>
        <w:t>100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440"/>
        <w:spacing w:after="0" w:line="220" w:lineRule="auto"/>
        <w:rPr>
          <w:sz w:val="20"/>
          <w:szCs w:val="20"/>
          <w:color w:val="auto"/>
        </w:rPr>
      </w:pPr>
      <w:r>
        <w:rPr>
          <w:rFonts w:ascii="Arial" w:cs="Arial" w:eastAsia="Arial" w:hAnsi="Arial"/>
          <w:sz w:val="13"/>
          <w:szCs w:val="13"/>
          <w:color w:val="auto"/>
        </w:rPr>
        <w:t>equivalents) as of 31 December 2024, and we have subsidiaries in countries across five continents, having further expanded our organization in Asia, Africa, North America, Australia and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60"/>
        <w:spacing w:after="0" w:line="210" w:lineRule="auto"/>
        <w:rPr>
          <w:sz w:val="20"/>
          <w:szCs w:val="20"/>
          <w:color w:val="auto"/>
        </w:rPr>
      </w:pPr>
      <w:r>
        <w:rPr>
          <w:rFonts w:ascii="Arial" w:cs="Arial" w:eastAsia="Arial" w:hAnsi="Arial"/>
          <w:sz w:val="13"/>
          <w:szCs w:val="13"/>
          <w:color w:val="auto"/>
        </w:rPr>
        <w:t>In February 2024, we entered into a strategic collaboration with Autolus Therapeutics plc, or Autolus, aimed at advancing both companies’ autologous CAR-T programs towards commercialization, pending regulatory authorizations. As part of the strategic collaboration, we have the option to access Autolus’ commercial and clinical site network, manufacturing capacities in the United Kingdom, or UK, and commercial supply infrastructure in a cost-efficient set-up allowing for the accelerated development of our product candidate BNT211.</w:t>
      </w:r>
    </w:p>
    <w:p>
      <w:pPr>
        <w:spacing w:after="0" w:line="4"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Effective as of July 1, 2024, and with a view to BioNTech’s first oncology product launch anticipated for 2026, our Supervisory Board appointed Annemarie Hanekamp to the Management Board as Chief Commercial Officer. Annemarie Hanekamp is a seasoned pharmaceutical executive, experienced in developing patient-focused commercial strategies for innovative oncology products encompassing sales, marketing and market access. In her role, she is driving and executing our global commercialization strategy to leverage BioNTech’s full potential as a vertically integrated biopharmaceutical company.</w:t>
      </w:r>
    </w:p>
    <w:p>
      <w:pPr>
        <w:spacing w:after="0" w:line="4"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In February 2025, we announced the completion of the acquisition of Biotheus. With the acquisition, we obtained full global rights to the bispecific antibody clinical asset BNT327, an investigational bispecific antibody targeting PD-L1 and VEGF-A, formerly also known as PM8002, and Biotheus’ pipeline candidates. This follows an initial exclusive global license and collaboration agreement with Biotheus in 2023 to develop, manufacture and commercialize BNT327 globally, ex-Greater China. The transaction is part of our oncology strategy, aimed at enhancing the Company’s capabilities to research, develop and commercialize combination therapies using BNT327. Clinical trials with BNT327 have demonstrated encouraging clinical activity in various tumor types including in patients with PD-L1-low and -negative tumors who have typically been less responsive to current checkpoint inhibitor treatments.</w:t>
      </w:r>
    </w:p>
    <w:p>
      <w:pPr>
        <w:spacing w:after="0" w:line="5"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In 2024, we maintained a strong balance sheet through disciplined financial performance, ending the year with approximately €17.4 billion in total cash, cash equivalents and security investments. With a strong financial position, leading COVID-19 vaccine franchise and innovative oncology and infectious disease pipeline, we believe we are well positioned to continue executing our vision of pioneering novel medicines against cancer, infectious diseases and other serious diseases.</w:t>
      </w:r>
    </w:p>
    <w:p>
      <w:pPr>
        <w:ind w:left="380"/>
        <w:spacing w:after="0" w:line="215" w:lineRule="auto"/>
        <w:rPr>
          <w:sz w:val="20"/>
          <w:szCs w:val="20"/>
          <w:color w:val="auto"/>
        </w:rPr>
      </w:pPr>
      <w:r>
        <w:rPr>
          <w:rFonts w:ascii="Arial" w:cs="Arial" w:eastAsia="Arial" w:hAnsi="Arial"/>
          <w:sz w:val="13"/>
          <w:szCs w:val="13"/>
          <w:color w:val="005A64"/>
        </w:rPr>
        <w:t xml:space="preserve">V. Marketed Products: </w:t>
      </w:r>
      <w:r>
        <w:rPr>
          <w:rFonts w:ascii="Arial" w:cs="Arial" w:eastAsia="Arial" w:hAnsi="Arial"/>
          <w:sz w:val="13"/>
          <w:szCs w:val="13"/>
          <w:i w:val="1"/>
          <w:iCs w:val="1"/>
          <w:color w:val="005A64"/>
        </w:rPr>
        <w:t>Comirnaty</w:t>
      </w:r>
      <w:r>
        <w:rPr>
          <w:rFonts w:ascii="Arial" w:cs="Arial" w:eastAsia="Arial" w:hAnsi="Arial"/>
          <w:sz w:val="13"/>
          <w:szCs w:val="13"/>
          <w:color w:val="005A64"/>
        </w:rPr>
        <w:t>, our COVID-19 Vaccine Program (BNT162)</w:t>
      </w:r>
    </w:p>
    <w:p>
      <w:pPr>
        <w:ind w:left="380" w:right="2200"/>
        <w:spacing w:after="0" w:line="210" w:lineRule="auto"/>
        <w:rPr>
          <w:sz w:val="20"/>
          <w:szCs w:val="20"/>
          <w:color w:val="auto"/>
        </w:rPr>
      </w:pPr>
      <w:r>
        <w:rPr>
          <w:rFonts w:ascii="Arial" w:cs="Arial" w:eastAsia="Arial" w:hAnsi="Arial"/>
          <w:sz w:val="13"/>
          <w:szCs w:val="13"/>
          <w:color w:val="auto"/>
        </w:rPr>
        <w:t xml:space="preserve">Our commercial product, </w:t>
      </w:r>
      <w:r>
        <w:rPr>
          <w:rFonts w:ascii="Arial" w:cs="Arial" w:eastAsia="Arial" w:hAnsi="Arial"/>
          <w:sz w:val="13"/>
          <w:szCs w:val="13"/>
          <w:i w:val="1"/>
          <w:iCs w:val="1"/>
          <w:color w:val="auto"/>
        </w:rPr>
        <w:t>Comirnaty</w:t>
      </w:r>
      <w:r>
        <w:rPr>
          <w:rFonts w:ascii="Arial" w:cs="Arial" w:eastAsia="Arial" w:hAnsi="Arial"/>
          <w:sz w:val="13"/>
          <w:szCs w:val="13"/>
          <w:color w:val="auto"/>
        </w:rPr>
        <w:t>, was the first-ever approved mRNA-based product, and, to our knowledge, represents the fastest ever developed prophylactic vaccine from viral sampling to approval. As of December 2024, our COVID-19 vaccine products have been authorized or approved for emergency or temporary use or granted marketing authorization in more than 180 countries and regions worldwide. Our efforts have resulted in more than 4.9 billion doses shipped globally.</w:t>
      </w:r>
    </w:p>
    <w:p>
      <w:pPr>
        <w:spacing w:after="0" w:line="3"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 xml:space="preserve">Under our collaboration with Pfizer, we are the Marketing Authorization Holder in the United States, the European Union, or EU, the UK, Canada and other countries. Additionally, we are the holder of emergency use authorizations, or EUAs, or equivalents in the United States (jointly with Pfizer) and other countries for the COVID-19 vaccine program. Pfizer has marketing and distribution rights worldwide apart from Greater China, Germany, and Türkiye. We have the marketing and distribution rights to </w:t>
      </w:r>
      <w:r>
        <w:rPr>
          <w:rFonts w:ascii="Arial" w:cs="Arial" w:eastAsia="Arial" w:hAnsi="Arial"/>
          <w:sz w:val="13"/>
          <w:szCs w:val="13"/>
          <w:i w:val="1"/>
          <w:iCs w:val="1"/>
          <w:color w:val="auto"/>
        </w:rPr>
        <w:t>Comirnaty</w:t>
      </w:r>
      <w:r>
        <w:rPr>
          <w:rFonts w:ascii="Arial" w:cs="Arial" w:eastAsia="Arial" w:hAnsi="Arial"/>
          <w:sz w:val="13"/>
          <w:szCs w:val="13"/>
          <w:color w:val="auto"/>
        </w:rPr>
        <w:t xml:space="preserve"> in Germany and Türkiye. Under our collaboration with Fosun Pharma, Fosun Pharma has marketing and distribution rights in Mainland China, Hong Kong Special Administrative Region, or SAR, Macau SAR and Taiwan.</w:t>
      </w:r>
    </w:p>
    <w:p>
      <w:pPr>
        <w:ind w:left="380"/>
        <w:spacing w:after="0" w:line="217" w:lineRule="auto"/>
        <w:rPr>
          <w:sz w:val="20"/>
          <w:szCs w:val="20"/>
          <w:color w:val="auto"/>
        </w:rPr>
      </w:pPr>
      <w:r>
        <w:rPr>
          <w:rFonts w:ascii="Arial" w:cs="Arial" w:eastAsia="Arial" w:hAnsi="Arial"/>
          <w:sz w:val="13"/>
          <w:szCs w:val="13"/>
          <w:b w:val="1"/>
          <w:bCs w:val="1"/>
          <w:color w:val="auto"/>
        </w:rPr>
        <w:t>1. Commercial Update</w:t>
      </w:r>
    </w:p>
    <w:p>
      <w:pPr>
        <w:ind w:left="380" w:right="2220"/>
        <w:spacing w:after="0" w:line="220" w:lineRule="auto"/>
        <w:rPr>
          <w:sz w:val="20"/>
          <w:szCs w:val="20"/>
          <w:color w:val="auto"/>
        </w:rPr>
      </w:pPr>
      <w:r>
        <w:rPr>
          <w:rFonts w:ascii="Arial" w:cs="Arial" w:eastAsia="Arial" w:hAnsi="Arial"/>
          <w:sz w:val="13"/>
          <w:szCs w:val="13"/>
          <w:color w:val="auto"/>
        </w:rPr>
        <w:t>In 2024, we and Pfizer continued our global COVID-19 vaccine leadership with our Omicron JN.1 and Omicron KP.2-adapted monovalent COVID- 19 vaccines directed against the Omicron JN.1 and Omicron KP.2 variants respectively. Since the declaration of the pandemic, we have developed and commercialized six COVID-19 vaccine products: the original COVID-19 vaccine, two Original/Omicron-adapted bivalent vaccines (Original/ BA.1- and Original/Omicron BA.4-5-adapted bivalent vaccines), the Omicron XBB.1.5-adapted monovalent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101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60"/>
        <w:spacing w:after="0" w:line="214" w:lineRule="auto"/>
        <w:rPr>
          <w:sz w:val="20"/>
          <w:szCs w:val="20"/>
          <w:color w:val="auto"/>
        </w:rPr>
      </w:pPr>
      <w:r>
        <w:rPr>
          <w:rFonts w:ascii="Arial" w:cs="Arial" w:eastAsia="Arial" w:hAnsi="Arial"/>
          <w:sz w:val="13"/>
          <w:szCs w:val="13"/>
          <w:color w:val="auto"/>
        </w:rPr>
        <w:t xml:space="preserve">COVID-19 vaccine, and the Omicron JN.1 and Omicron KP.2 monovalent COVID-19 vaccines. Each is referred to as </w:t>
      </w:r>
      <w:r>
        <w:rPr>
          <w:rFonts w:ascii="Arial" w:cs="Arial" w:eastAsia="Arial" w:hAnsi="Arial"/>
          <w:sz w:val="13"/>
          <w:szCs w:val="13"/>
          <w:i w:val="1"/>
          <w:iCs w:val="1"/>
          <w:color w:val="auto"/>
        </w:rPr>
        <w:t>Comirnaty</w:t>
      </w:r>
      <w:r>
        <w:rPr>
          <w:rFonts w:ascii="Arial" w:cs="Arial" w:eastAsia="Arial" w:hAnsi="Arial"/>
          <w:sz w:val="13"/>
          <w:szCs w:val="13"/>
          <w:color w:val="auto"/>
        </w:rPr>
        <w:t>. Between December 2020 and March 2023, COVID-19 vaccination programs across 34 World Health Organization, or WHO, European Region countries prevented an estimated 1.6 million deaths. In the first two years of the COVID-19 vaccine being available in the United States, the country’s vaccination program is estimated to have prevented more than 18 million additional hospitalizations and more than 3 million additional deaths.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-501015</wp:posOffset>
            </wp:positionV>
            <wp:extent cx="523113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60"/>
        <w:spacing w:after="0" w:line="210" w:lineRule="auto"/>
        <w:rPr>
          <w:sz w:val="20"/>
          <w:szCs w:val="20"/>
          <w:color w:val="auto"/>
        </w:rPr>
      </w:pPr>
      <w:r>
        <w:rPr>
          <w:rFonts w:ascii="Arial" w:cs="Arial" w:eastAsia="Arial" w:hAnsi="Arial"/>
          <w:sz w:val="13"/>
          <w:szCs w:val="13"/>
          <w:color w:val="auto"/>
        </w:rPr>
        <w:t>In August 2024, following regulatory approvals, we and Pfizer began distribution of our Omicron KP.2 variant-adapted vaccine in the United States. The KP.2 adaptation is based on guidance from the U.S. Food and Drug Administration, or FDA, which stated that KP.2 is the preferred strain of the JN.1 lineage for COVID-19 vaccines for use in the United States during the 2024-2025 fall and winter season, if feasible.</w:t>
      </w:r>
    </w:p>
    <w:p>
      <w:pPr>
        <w:spacing w:after="0" w:line="2" w:lineRule="exact"/>
        <w:rPr>
          <w:sz w:val="20"/>
          <w:szCs w:val="20"/>
          <w:color w:val="auto"/>
        </w:rPr>
      </w:pPr>
    </w:p>
    <w:p>
      <w:pPr>
        <w:ind w:left="380" w:right="2100"/>
        <w:spacing w:after="0"/>
        <w:rPr>
          <w:sz w:val="20"/>
          <w:szCs w:val="20"/>
          <w:color w:val="auto"/>
        </w:rPr>
      </w:pPr>
      <w:r>
        <w:rPr>
          <w:rFonts w:ascii="Arial" w:cs="Arial" w:eastAsia="Arial" w:hAnsi="Arial"/>
          <w:sz w:val="13"/>
          <w:szCs w:val="13"/>
          <w:color w:val="auto"/>
        </w:rPr>
        <w:t>In September 2024, following regulatory approvals, we and Pfizer began distribution of our Omicron KP.2 variant-adapted vaccine in Europe following the initial rollout of our Omicron JN.1 variant-adapted vaccine in July 2024.</w:t>
      </w:r>
    </w:p>
    <w:p>
      <w:pPr>
        <w:spacing w:after="0" w:line="95"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We believe that we and Pfizer are well positioned for the future as leading COVID-19 vaccine providers. We expect that as the market dynamics evolve across different geographies in 2025, there will be continued demand for vaccine boosting and primary vaccinations of immunologically naïve individuals, especially amongst older and immunocompromised populations. Studies have demonstrated that natural immunity acquired by SARS-CoV-2 infection is variable across individuals and that the protection it offers wanes over time. A booster vaccination can restore and enhance infection-acquired immune protection and further reduce the risk of reinfection. The risk of severe COVID -19 disease remains high in vulnerable populations. Vaccination not only reduces the risk of severe COVID-19 but can also mitigate the risk of health impairments related to long COVID. Given this, and our current understanding of COVID-19’s seasonality and its burden on healthcare systems during the autumn/winter season, we anticipate the need for annual adapted vaccines to be a long-term component of COVID-19 vaccination practices.</w:t>
      </w:r>
    </w:p>
    <w:p>
      <w:pPr>
        <w:ind w:left="380"/>
        <w:spacing w:after="0" w:line="221" w:lineRule="auto"/>
        <w:rPr>
          <w:sz w:val="20"/>
          <w:szCs w:val="20"/>
          <w:color w:val="auto"/>
        </w:rPr>
      </w:pPr>
      <w:r>
        <w:rPr>
          <w:rFonts w:ascii="Arial" w:cs="Arial" w:eastAsia="Arial" w:hAnsi="Arial"/>
          <w:sz w:val="13"/>
          <w:szCs w:val="13"/>
          <w:b w:val="1"/>
          <w:bCs w:val="1"/>
          <w:color w:val="auto"/>
        </w:rPr>
        <w:t>2. Manufacturing and Distribution</w:t>
      </w:r>
    </w:p>
    <w:p>
      <w:pPr>
        <w:ind w:left="380" w:right="2200"/>
        <w:spacing w:after="0" w:line="210" w:lineRule="auto"/>
        <w:rPr>
          <w:sz w:val="20"/>
          <w:szCs w:val="20"/>
          <w:color w:val="auto"/>
        </w:rPr>
      </w:pPr>
      <w:r>
        <w:rPr>
          <w:rFonts w:ascii="Arial" w:cs="Arial" w:eastAsia="Arial" w:hAnsi="Arial"/>
          <w:sz w:val="13"/>
          <w:szCs w:val="13"/>
          <w:color w:val="auto"/>
        </w:rPr>
        <w:t>We and Pfizer have established an efficient and robust global vaccine supply chain and manufacturing network capable of meeting global demand.</w:t>
      </w:r>
    </w:p>
    <w:p>
      <w:pPr>
        <w:spacing w:after="0" w:line="1" w:lineRule="exact"/>
        <w:rPr>
          <w:sz w:val="20"/>
          <w:szCs w:val="20"/>
          <w:color w:val="auto"/>
        </w:rPr>
      </w:pPr>
    </w:p>
    <w:p>
      <w:pPr>
        <w:jc w:val="both"/>
        <w:ind w:left="380" w:right="2340"/>
        <w:spacing w:after="0" w:line="210" w:lineRule="auto"/>
        <w:rPr>
          <w:sz w:val="20"/>
          <w:szCs w:val="20"/>
          <w:color w:val="auto"/>
        </w:rPr>
      </w:pPr>
      <w:r>
        <w:rPr>
          <w:rFonts w:ascii="Arial" w:cs="Arial" w:eastAsia="Arial" w:hAnsi="Arial"/>
          <w:sz w:val="13"/>
          <w:szCs w:val="13"/>
          <w:color w:val="auto"/>
        </w:rPr>
        <w:t>In 2024, we continued transitioning from an advanced purchase agreement framework to commercial market ordering in some geographies, including the UK, Japan, Switzerland, Australia, South Korea, Singapore and Brazil.</w:t>
      </w:r>
    </w:p>
    <w:p>
      <w:pPr>
        <w:spacing w:after="0" w:line="2" w:lineRule="exact"/>
        <w:rPr>
          <w:sz w:val="20"/>
          <w:szCs w:val="20"/>
          <w:color w:val="auto"/>
        </w:rPr>
      </w:pPr>
    </w:p>
    <w:p>
      <w:pPr>
        <w:ind w:left="380" w:right="2140"/>
        <w:spacing w:after="0" w:line="234" w:lineRule="auto"/>
        <w:rPr>
          <w:sz w:val="20"/>
          <w:szCs w:val="20"/>
          <w:color w:val="auto"/>
        </w:rPr>
      </w:pPr>
      <w:r>
        <w:rPr>
          <w:rFonts w:ascii="Arial" w:cs="Arial" w:eastAsia="Arial" w:hAnsi="Arial"/>
          <w:sz w:val="13"/>
          <w:szCs w:val="13"/>
          <w:color w:val="auto"/>
        </w:rPr>
        <w:t>We and Pfizer have an ongoing COVID-19 Vaccine Purchase Agreement with the European Commission, or the EC, to deliver COVID-19 vaccines to the EU. The agreement reflects our and Pfizer’s commitment to working</w:t>
      </w:r>
    </w:p>
    <w:p>
      <w:pPr>
        <w:sectPr>
          <w:pgSz w:w="11900" w:h="16840" w:orient="portrait"/>
          <w:cols w:equalWidth="0" w:num="1">
            <w:col w:w="9020"/>
          </w:cols>
          <w:pgMar w:left="1440" w:top="765" w:right="1440" w:bottom="57" w:gutter="0" w:footer="0" w:header="0"/>
        </w:sectPr>
      </w:pPr>
    </w:p>
    <w:bookmarkStart w:id="71" w:name="page72"/>
    <w:bookmarkEnd w:id="71"/>
    <w:p>
      <w:pPr>
        <w:ind w:left="380" w:right="2180"/>
        <w:spacing w:after="0" w:line="215" w:lineRule="auto"/>
        <w:rPr>
          <w:sz w:val="20"/>
          <w:szCs w:val="20"/>
          <w:color w:val="auto"/>
        </w:rPr>
      </w:pPr>
      <w:r>
        <w:rPr>
          <w:rFonts w:ascii="Arial" w:cs="Arial" w:eastAsia="Arial" w:hAnsi="Arial"/>
          <w:sz w:val="13"/>
          <w:szCs w:val="13"/>
          <w:color w:val="auto"/>
        </w:rPr>
        <w:t>collaboratively to help address ongoing public health needs. The 2023 agreement rephased delivery of doses annually through 2026. In addition, the agreement includes an aggregate volume reduction, providing additional flexibility for EU Member States. The EC will maintain access to future adapted COVID-19 vaccines and the ability to donate doses.</w:t>
      </w:r>
    </w:p>
    <w:p>
      <w:pPr>
        <w:ind w:left="380"/>
        <w:spacing w:after="0" w:line="214" w:lineRule="auto"/>
        <w:rPr>
          <w:sz w:val="20"/>
          <w:szCs w:val="20"/>
          <w:color w:val="auto"/>
        </w:rPr>
      </w:pPr>
      <w:r>
        <w:rPr>
          <w:rFonts w:ascii="Arial" w:cs="Arial" w:eastAsia="Arial" w:hAnsi="Arial"/>
          <w:sz w:val="13"/>
          <w:szCs w:val="13"/>
          <w:color w:val="auto"/>
        </w:rPr>
        <w:t>More details on our manufacturing operations and facilities can be found in “IX. Manufacturing.”</w:t>
      </w:r>
    </w:p>
    <w:p>
      <w:pPr>
        <w:ind w:left="380"/>
        <w:spacing w:after="0" w:line="211" w:lineRule="auto"/>
        <w:rPr>
          <w:sz w:val="20"/>
          <w:szCs w:val="20"/>
          <w:color w:val="auto"/>
        </w:rPr>
      </w:pPr>
      <w:r>
        <w:rPr>
          <w:rFonts w:ascii="Arial" w:cs="Arial" w:eastAsia="Arial" w:hAnsi="Arial"/>
          <w:sz w:val="13"/>
          <w:szCs w:val="13"/>
          <w:b w:val="1"/>
          <w:bCs w:val="1"/>
          <w:color w:val="auto"/>
        </w:rPr>
        <w:t>3. Clinical Development</w:t>
      </w:r>
    </w:p>
    <w:p>
      <w:pPr>
        <w:ind w:left="380"/>
        <w:spacing w:after="0" w:line="210" w:lineRule="auto"/>
        <w:rPr>
          <w:sz w:val="20"/>
          <w:szCs w:val="20"/>
          <w:color w:val="auto"/>
        </w:rPr>
      </w:pPr>
      <w:r>
        <w:rPr>
          <w:rFonts w:ascii="Arial" w:cs="Arial" w:eastAsia="Arial" w:hAnsi="Arial"/>
          <w:sz w:val="13"/>
          <w:szCs w:val="13"/>
          <w:i w:val="1"/>
          <w:iCs w:val="1"/>
          <w:color w:val="auto"/>
        </w:rPr>
        <w:t>Omicron JN.1 and Omicron KP.2-adapted monovalent COVID-19 Vaccines</w:t>
      </w:r>
    </w:p>
    <w:p>
      <w:pPr>
        <w:spacing w:after="0" w:line="1" w:lineRule="exact"/>
        <w:rPr>
          <w:sz w:val="20"/>
          <w:szCs w:val="20"/>
          <w:color w:val="auto"/>
        </w:rPr>
      </w:pPr>
    </w:p>
    <w:p>
      <w:pPr>
        <w:ind w:left="380" w:right="2180"/>
        <w:spacing w:after="0" w:line="218" w:lineRule="auto"/>
        <w:rPr>
          <w:sz w:val="20"/>
          <w:szCs w:val="20"/>
          <w:color w:val="auto"/>
        </w:rPr>
      </w:pPr>
      <w:r>
        <w:rPr>
          <w:rFonts w:ascii="Arial" w:cs="Arial" w:eastAsia="Arial" w:hAnsi="Arial"/>
          <w:sz w:val="13"/>
          <w:szCs w:val="13"/>
          <w:color w:val="auto"/>
        </w:rPr>
        <w:t>The Omicron JN.1 sublineages currently account for the majority of COVID-19 cases globally and are antigenically distant from previously circulating SARS-CoV-2 lineages, including Omicron XBB.1.5, Omicron BA.4- 5 and the original SARS-CoV -2 strain. Although Omicron XBB.1.5-adapted monovalent vaccines provided some protection against a range of outcomes from JN.1-related COVID-19 disease, evidence suggests that vaccines better matched to currently circulating sublineages would provide improved protection against symptomatic and severe COVID-19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102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line="214" w:lineRule="auto"/>
        <w:rPr>
          <w:sz w:val="20"/>
          <w:szCs w:val="20"/>
          <w:color w:val="auto"/>
        </w:rPr>
      </w:pPr>
      <w:r>
        <w:rPr>
          <w:rFonts w:ascii="Arial" w:cs="Arial" w:eastAsia="Arial" w:hAnsi="Arial"/>
          <w:sz w:val="13"/>
          <w:szCs w:val="13"/>
          <w:color w:val="auto"/>
        </w:rPr>
        <w:t>Our and Pfizer’s regulatory filings have been based on the full body of previous clinical, non-clinical and real-world evidence supporting the safety and efficacy of the Pfizer -BioNTech COVID-19 vaccines. The submissions included manufacturing and non-clinical data showing that the JN.1- and KP.2- adapted monovalent vaccines elicited a markedly improved immune response against multiple Omicron JN.1 sublineages, such as KP.3.1.1, or LB.1 and other currently circulating variants, when compared with the Omicron XBB.1.5-adapted monovalent vaccine.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-501015</wp:posOffset>
            </wp:positionV>
            <wp:extent cx="523113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00"/>
        <w:spacing w:after="0" w:line="210" w:lineRule="auto"/>
        <w:rPr>
          <w:sz w:val="20"/>
          <w:szCs w:val="20"/>
          <w:color w:val="auto"/>
        </w:rPr>
      </w:pPr>
      <w:r>
        <w:rPr>
          <w:rFonts w:ascii="Arial" w:cs="Arial" w:eastAsia="Arial" w:hAnsi="Arial"/>
          <w:sz w:val="13"/>
          <w:szCs w:val="13"/>
          <w:color w:val="auto"/>
        </w:rPr>
        <w:t>Clinical immunogenicity data demonstrated that the Omicron JN.1-adapted vaccine induces a strong and broad neutralizing antibody response across multiple JN.1 sublineages including XEC.</w:t>
      </w:r>
    </w:p>
    <w:p>
      <w:pPr>
        <w:spacing w:after="0" w:line="1"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Early vaccine effectiveness data from a nationwide test-negative case-control study involving U.S. Veterans Affairs Healthcare System patients indicate that the Omicron KP.2-adapted vaccine was 56-68% effective in preventing various COVID-19 outcomes during the early 2024-2025 respiratory virus season. A second study of U.S. adults aged 18 and older who visited CVS MinuteClinics found that those who received the vaccine were 48% less likely to have COVID-19-related clinic visits.</w:t>
      </w:r>
    </w:p>
    <w:p>
      <w:pPr>
        <w:spacing w:after="0" w:line="3"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Although the COVID-19 outbreak has moved from a pandemic to an endemic stage, new SARS-CoV-2 infections, hospitalization and deaths continue to be reported. However, trends in these figures should be interpreted with caution, as testing and sequencing have decreased, and many countries face reporting delays. Wastewater surveillance, an important component of SARS-CoV-2 monitoring, plays a crucial role in early warning and tracking of the circulation of variants. Estimates from wastewater surveillance suggest that SARS-CoV-2 circulation is approximately 2 to 19 times higher than what is identified and reported through clinical testing.</w:t>
      </w:r>
    </w:p>
    <w:p>
      <w:pPr>
        <w:spacing w:after="0" w:line="4" w:lineRule="exact"/>
        <w:rPr>
          <w:sz w:val="20"/>
          <w:szCs w:val="20"/>
          <w:color w:val="auto"/>
        </w:rPr>
      </w:pPr>
    </w:p>
    <w:p>
      <w:pPr>
        <w:ind w:left="380" w:right="2220"/>
        <w:spacing w:after="0" w:line="210" w:lineRule="auto"/>
        <w:rPr>
          <w:sz w:val="20"/>
          <w:szCs w:val="20"/>
          <w:color w:val="auto"/>
        </w:rPr>
      </w:pPr>
      <w:r>
        <w:rPr>
          <w:rFonts w:ascii="Arial" w:cs="Arial" w:eastAsia="Arial" w:hAnsi="Arial"/>
          <w:sz w:val="13"/>
          <w:szCs w:val="13"/>
          <w:color w:val="auto"/>
        </w:rPr>
        <w:t>Older adults (aged 65 and above), comorbid or immunocompromised individuals continue to face a heightened risk of severe disease, hospitalization, and death from SARS-CoV-2.</w:t>
      </w:r>
    </w:p>
    <w:p>
      <w:pPr>
        <w:ind w:left="380"/>
        <w:spacing w:after="0" w:line="212" w:lineRule="auto"/>
        <w:rPr>
          <w:sz w:val="20"/>
          <w:szCs w:val="20"/>
          <w:color w:val="auto"/>
        </w:rPr>
      </w:pPr>
      <w:r>
        <w:rPr>
          <w:rFonts w:ascii="Arial" w:cs="Arial" w:eastAsia="Arial" w:hAnsi="Arial"/>
          <w:sz w:val="13"/>
          <w:szCs w:val="13"/>
          <w:b w:val="1"/>
          <w:bCs w:val="1"/>
          <w:color w:val="auto"/>
        </w:rPr>
        <w:t>4. Regulatory Updates</w:t>
      </w:r>
    </w:p>
    <w:p>
      <w:pPr>
        <w:spacing w:after="0" w:line="1" w:lineRule="exact"/>
        <w:rPr>
          <w:sz w:val="20"/>
          <w:szCs w:val="20"/>
          <w:color w:val="auto"/>
        </w:rPr>
      </w:pPr>
    </w:p>
    <w:p>
      <w:pPr>
        <w:ind w:left="380" w:right="2300"/>
        <w:spacing w:after="0" w:line="210" w:lineRule="auto"/>
        <w:rPr>
          <w:sz w:val="20"/>
          <w:szCs w:val="20"/>
          <w:color w:val="auto"/>
        </w:rPr>
      </w:pPr>
      <w:r>
        <w:rPr>
          <w:rFonts w:ascii="Arial" w:cs="Arial" w:eastAsia="Arial" w:hAnsi="Arial"/>
          <w:sz w:val="13"/>
          <w:szCs w:val="13"/>
          <w:color w:val="auto"/>
        </w:rPr>
        <w:t>Our and Pfizer’s Omicron JN.1 and Omicron KP.2-adapted monovalent COVID-19 vaccines received multiple regulatory approvals and authorizations in more than 40 countries and regions in 2024.</w:t>
      </w:r>
    </w:p>
    <w:p>
      <w:pPr>
        <w:spacing w:after="0" w:line="1"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In April 2024, the WHO and the European Medicines Agency, or EMA, followed in later months by other health authorities, provided guidance highlighting evidence that updated vaccines targeting Omicron JN.1 or JN.1 sublineages may contribute to maintaining protection against COVID-19 during the upcoming fall and winter seasons.</w:t>
      </w:r>
    </w:p>
    <w:p>
      <w:pPr>
        <w:spacing w:after="0" w:line="2"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In June 2024, the FDA’s Vaccines and Related Biological Products Advisory Committee, or VRBPAC, issued guidance recommending the manufacturing of a JN.1-adapted monovalent COVID -19 vaccine for the 2024/2025 fall and winter seasons. Also in June 2024, the FDA announced the KP.2 strain as the preferred JN.1-lineage for COVID-19 vaccines, if feasible.</w:t>
      </w:r>
    </w:p>
    <w:p>
      <w:pPr>
        <w:ind w:left="380"/>
        <w:spacing w:after="0" w:line="214" w:lineRule="auto"/>
        <w:rPr>
          <w:sz w:val="20"/>
          <w:szCs w:val="20"/>
          <w:color w:val="auto"/>
        </w:rPr>
      </w:pPr>
      <w:r>
        <w:rPr>
          <w:rFonts w:ascii="Arial" w:cs="Arial" w:eastAsia="Arial" w:hAnsi="Arial"/>
          <w:sz w:val="13"/>
          <w:szCs w:val="13"/>
          <w:i w:val="1"/>
          <w:iCs w:val="1"/>
          <w:color w:val="auto"/>
        </w:rPr>
        <w:t>Omicron JN.1-adapted monovalent COVID-19 vaccine</w:t>
      </w:r>
    </w:p>
    <w:p>
      <w:pPr>
        <w:ind w:left="380" w:right="2300"/>
        <w:spacing w:after="0" w:line="210" w:lineRule="auto"/>
        <w:rPr>
          <w:sz w:val="20"/>
          <w:szCs w:val="20"/>
          <w:color w:val="auto"/>
        </w:rPr>
      </w:pPr>
      <w:r>
        <w:rPr>
          <w:rFonts w:ascii="Arial" w:cs="Arial" w:eastAsia="Arial" w:hAnsi="Arial"/>
          <w:sz w:val="13"/>
          <w:szCs w:val="13"/>
          <w:color w:val="auto"/>
        </w:rPr>
        <w:t>In 2024, we and Pfizer received the following approvals for our Omicron JN.1-adapted monovalent COVID-19 vaccine:</w:t>
      </w:r>
    </w:p>
    <w:p>
      <w:pPr>
        <w:spacing w:after="0" w:line="1" w:lineRule="exact"/>
        <w:rPr>
          <w:sz w:val="20"/>
          <w:szCs w:val="20"/>
          <w:color w:val="auto"/>
        </w:rPr>
      </w:pPr>
    </w:p>
    <w:p>
      <w:pPr>
        <w:ind w:left="380" w:right="2580"/>
        <w:spacing w:after="0" w:line="210" w:lineRule="auto"/>
        <w:rPr>
          <w:sz w:val="20"/>
          <w:szCs w:val="20"/>
          <w:color w:val="auto"/>
        </w:rPr>
      </w:pPr>
      <w:r>
        <w:rPr>
          <w:rFonts w:ascii="Arial" w:cs="Arial" w:eastAsia="Arial" w:hAnsi="Arial"/>
          <w:sz w:val="13"/>
          <w:szCs w:val="13"/>
          <w:color w:val="auto"/>
        </w:rPr>
        <w:t>•June 2024: the Committee for Medicinal Products for Human Use, or CHMP, of the EMA recommended marketing authorization for our and Pfizer’s Omicron JN.1-adapted monovalent COVID-19 vaccine for active immunization to prevent COVID-19 caused by SARS-CoV-2 in individuals six months of age and older. The adaptation was based on the recommendation from the WHO Technical Advisory Group on COVID-19 Vaccine Composition and the EMA’s Emergency Task Force, or ETF, to update COVID-19 vaccines to target the SARS-CoV-2 variant JN.1 for the 2024/2025 fall and winter vaccination campaign. In July 2024, the EC adopted an EC Decision in accordance with the CHMP’s recommendation.</w:t>
      </w:r>
    </w:p>
    <w:p>
      <w:pPr>
        <w:spacing w:after="0" w:line="4" w:lineRule="exact"/>
        <w:rPr>
          <w:sz w:val="20"/>
          <w:szCs w:val="20"/>
          <w:color w:val="auto"/>
        </w:rPr>
      </w:pPr>
    </w:p>
    <w:p>
      <w:pPr>
        <w:ind w:left="380" w:right="2620"/>
        <w:spacing w:after="0" w:line="234" w:lineRule="auto"/>
        <w:rPr>
          <w:sz w:val="20"/>
          <w:szCs w:val="20"/>
          <w:color w:val="auto"/>
        </w:rPr>
      </w:pPr>
      <w:r>
        <w:rPr>
          <w:rFonts w:ascii="Arial" w:cs="Arial" w:eastAsia="Arial" w:hAnsi="Arial"/>
          <w:sz w:val="13"/>
          <w:szCs w:val="13"/>
          <w:color w:val="auto"/>
        </w:rPr>
        <w:t>•July 2024: the respective EC Decision also covered that Comirnaty may be administered concomitantly with seasonal influenza vaccine in individuals 12 years of age and older and authorized a new</w:t>
      </w:r>
    </w:p>
    <w:p>
      <w:pPr>
        <w:sectPr>
          <w:pgSz w:w="11900" w:h="16840" w:orient="portrait"/>
          <w:cols w:equalWidth="0" w:num="1">
            <w:col w:w="9020"/>
          </w:cols>
          <w:pgMar w:left="1440" w:top="560" w:right="1440" w:bottom="1440" w:gutter="0" w:footer="0" w:header="0"/>
        </w:sectPr>
      </w:pPr>
    </w:p>
    <w:bookmarkStart w:id="72" w:name="page73"/>
    <w:bookmarkEnd w:id="72"/>
    <w:p>
      <w:pPr>
        <w:spacing w:after="0" w:line="25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103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980"/>
        <w:spacing w:after="0" w:line="220" w:lineRule="auto"/>
        <w:rPr>
          <w:sz w:val="20"/>
          <w:szCs w:val="20"/>
          <w:color w:val="auto"/>
        </w:rPr>
      </w:pPr>
      <w:r>
        <w:rPr>
          <w:rFonts w:ascii="Arial" w:cs="Arial" w:eastAsia="Arial" w:hAnsi="Arial"/>
          <w:sz w:val="13"/>
          <w:szCs w:val="13"/>
          <w:color w:val="auto"/>
        </w:rPr>
        <w:t>presentation for the 30-mcg adapted vaccine, namely glass pre-filled syringe (refrigerated storage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500"/>
        <w:spacing w:after="0" w:line="210" w:lineRule="auto"/>
        <w:rPr>
          <w:sz w:val="20"/>
          <w:szCs w:val="20"/>
          <w:color w:val="auto"/>
        </w:rPr>
      </w:pPr>
      <w:r>
        <w:rPr>
          <w:rFonts w:ascii="Arial" w:cs="Arial" w:eastAsia="Arial" w:hAnsi="Arial"/>
          <w:sz w:val="13"/>
          <w:szCs w:val="13"/>
          <w:color w:val="auto"/>
        </w:rPr>
        <w:t>•July 2024: the UK’s Medicines and Healthcare products Regulatory Agency, or MHRA, approved our and Pfizer’s Omicron JN.1-adapted vaccine.</w:t>
      </w:r>
    </w:p>
    <w:p>
      <w:pPr>
        <w:ind w:left="380"/>
        <w:spacing w:after="0" w:line="212" w:lineRule="auto"/>
        <w:rPr>
          <w:sz w:val="20"/>
          <w:szCs w:val="20"/>
          <w:color w:val="auto"/>
        </w:rPr>
      </w:pPr>
      <w:r>
        <w:rPr>
          <w:rFonts w:ascii="Arial" w:cs="Arial" w:eastAsia="Arial" w:hAnsi="Arial"/>
          <w:sz w:val="13"/>
          <w:szCs w:val="13"/>
          <w:i w:val="1"/>
          <w:iCs w:val="1"/>
          <w:color w:val="auto"/>
        </w:rPr>
        <w:t>Omicron KP.2-adapted monovalent COVID-19 vaccine</w:t>
      </w:r>
    </w:p>
    <w:p>
      <w:pPr>
        <w:spacing w:after="0" w:line="1" w:lineRule="exact"/>
        <w:rPr>
          <w:sz w:val="20"/>
          <w:szCs w:val="20"/>
          <w:color w:val="auto"/>
        </w:rPr>
      </w:pPr>
    </w:p>
    <w:p>
      <w:pPr>
        <w:ind w:left="380" w:right="2280"/>
        <w:spacing w:after="0" w:line="210" w:lineRule="auto"/>
        <w:rPr>
          <w:sz w:val="20"/>
          <w:szCs w:val="20"/>
          <w:color w:val="auto"/>
        </w:rPr>
      </w:pPr>
      <w:r>
        <w:rPr>
          <w:rFonts w:ascii="Arial" w:cs="Arial" w:eastAsia="Arial" w:hAnsi="Arial"/>
          <w:sz w:val="13"/>
          <w:szCs w:val="13"/>
          <w:color w:val="auto"/>
        </w:rPr>
        <w:t>In 2024, we and Pfizer received the following approvals for our Omicron KP.2-adapted monovalent COVID-19 vaccine:</w:t>
      </w:r>
    </w:p>
    <w:p>
      <w:pPr>
        <w:spacing w:after="0" w:line="1" w:lineRule="exact"/>
        <w:rPr>
          <w:sz w:val="20"/>
          <w:szCs w:val="20"/>
          <w:color w:val="auto"/>
        </w:rPr>
      </w:pPr>
    </w:p>
    <w:p>
      <w:pPr>
        <w:ind w:left="380" w:right="2640"/>
        <w:spacing w:after="0" w:line="210" w:lineRule="auto"/>
        <w:rPr>
          <w:sz w:val="20"/>
          <w:szCs w:val="20"/>
          <w:color w:val="auto"/>
        </w:rPr>
      </w:pPr>
      <w:r>
        <w:rPr>
          <w:rFonts w:ascii="Arial" w:cs="Arial" w:eastAsia="Arial" w:hAnsi="Arial"/>
          <w:sz w:val="13"/>
          <w:szCs w:val="13"/>
          <w:color w:val="auto"/>
        </w:rPr>
        <w:t>•June 2024: we and Pfizer submitted a regulatory application to the FDA for an Omicron JN.1-adapted monovalent vaccine and initiated a rolling supplemental Biologics Licensing Application, or sBLA, for an Omicron KP.2-adapted monovalent vaccine. In August 2024, the FDA approved the sBLA for our Omicron KP.2-adapted 2024-2025 formula COVID-19 vaccine for individuals 12 years of age and older and granted EUA for individuals six months through 11 years of age.</w:t>
      </w:r>
    </w:p>
    <w:p>
      <w:pPr>
        <w:spacing w:after="0" w:line="3" w:lineRule="exact"/>
        <w:rPr>
          <w:sz w:val="20"/>
          <w:szCs w:val="20"/>
          <w:color w:val="auto"/>
        </w:rPr>
      </w:pPr>
    </w:p>
    <w:p>
      <w:pPr>
        <w:ind w:left="380" w:right="2560"/>
        <w:spacing w:after="0" w:line="210" w:lineRule="auto"/>
        <w:rPr>
          <w:sz w:val="20"/>
          <w:szCs w:val="20"/>
          <w:color w:val="auto"/>
        </w:rPr>
      </w:pPr>
      <w:r>
        <w:rPr>
          <w:rFonts w:ascii="Arial" w:cs="Arial" w:eastAsia="Arial" w:hAnsi="Arial"/>
          <w:sz w:val="13"/>
          <w:szCs w:val="13"/>
          <w:color w:val="auto"/>
        </w:rPr>
        <w:t>•September 2024: the CHMP of the EMA also recommended marketing authorization for our and Pfizer’s Omicron KP.2 -adapted monovalent COVID-19 vaccine for active immunization to prevent COVID-19 in individuals six months of age and older. The EC adopted an EC Decision in accordance with the CHMP recommendation one week later.</w:t>
      </w:r>
    </w:p>
    <w:p>
      <w:pPr>
        <w:spacing w:after="0" w:line="2" w:lineRule="exact"/>
        <w:rPr>
          <w:sz w:val="20"/>
          <w:szCs w:val="20"/>
          <w:color w:val="auto"/>
        </w:rPr>
      </w:pPr>
    </w:p>
    <w:p>
      <w:pPr>
        <w:ind w:left="380" w:right="2700"/>
        <w:spacing w:after="0" w:line="210" w:lineRule="auto"/>
        <w:rPr>
          <w:sz w:val="20"/>
          <w:szCs w:val="20"/>
          <w:color w:val="auto"/>
        </w:rPr>
      </w:pPr>
      <w:r>
        <w:rPr>
          <w:rFonts w:ascii="Arial" w:cs="Arial" w:eastAsia="Arial" w:hAnsi="Arial"/>
          <w:sz w:val="13"/>
          <w:szCs w:val="13"/>
          <w:color w:val="auto"/>
        </w:rPr>
        <w:t xml:space="preserve">•October 2024: the FDA approved the sBLA to include safety and immunogenicity data from a study in which individuals 18 through 64 years of age received </w:t>
      </w:r>
      <w:r>
        <w:rPr>
          <w:rFonts w:ascii="Arial" w:cs="Arial" w:eastAsia="Arial" w:hAnsi="Arial"/>
          <w:sz w:val="13"/>
          <w:szCs w:val="13"/>
          <w:i w:val="1"/>
          <w:iCs w:val="1"/>
          <w:color w:val="auto"/>
        </w:rPr>
        <w:t>Comirnaty</w:t>
      </w:r>
      <w:r>
        <w:rPr>
          <w:rFonts w:ascii="Arial" w:cs="Arial" w:eastAsia="Arial" w:hAnsi="Arial"/>
          <w:sz w:val="13"/>
          <w:szCs w:val="13"/>
          <w:color w:val="auto"/>
        </w:rPr>
        <w:t xml:space="preserve"> concomitantly with a seasonal influenza vaccine.</w:t>
      </w:r>
    </w:p>
    <w:p>
      <w:pPr>
        <w:ind w:left="380"/>
        <w:spacing w:after="0" w:line="213" w:lineRule="auto"/>
        <w:rPr>
          <w:sz w:val="20"/>
          <w:szCs w:val="20"/>
          <w:color w:val="auto"/>
        </w:rPr>
      </w:pPr>
      <w:r>
        <w:rPr>
          <w:rFonts w:ascii="Arial" w:cs="Arial" w:eastAsia="Arial" w:hAnsi="Arial"/>
          <w:sz w:val="13"/>
          <w:szCs w:val="13"/>
          <w:color w:val="auto"/>
        </w:rPr>
        <w:t>•October 2024: the UK’s MHRA approved our Omicron KP.2-adapted vaccine.</w:t>
      </w:r>
    </w:p>
    <w:p>
      <w:pPr>
        <w:spacing w:after="0" w:line="1" w:lineRule="exact"/>
        <w:rPr>
          <w:sz w:val="20"/>
          <w:szCs w:val="20"/>
          <w:color w:val="auto"/>
        </w:rPr>
      </w:pPr>
    </w:p>
    <w:p>
      <w:pPr>
        <w:ind w:left="380" w:right="2380"/>
        <w:spacing w:after="0" w:line="210" w:lineRule="auto"/>
        <w:rPr>
          <w:sz w:val="20"/>
          <w:szCs w:val="20"/>
          <w:color w:val="auto"/>
        </w:rPr>
      </w:pPr>
      <w:r>
        <w:rPr>
          <w:rFonts w:ascii="Arial" w:cs="Arial" w:eastAsia="Arial" w:hAnsi="Arial"/>
          <w:sz w:val="13"/>
          <w:szCs w:val="13"/>
          <w:color w:val="auto"/>
        </w:rPr>
        <w:t>We and Pfizer intend to continue to monitor the evolving epidemiology of COVID-19 and remain prepared to develop modified vaccine formulas as the data support and as regulatory agencies recommend.</w:t>
      </w:r>
    </w:p>
    <w:p>
      <w:pPr>
        <w:ind w:left="380"/>
        <w:spacing w:after="0" w:line="212" w:lineRule="auto"/>
        <w:rPr>
          <w:sz w:val="20"/>
          <w:szCs w:val="20"/>
          <w:color w:val="auto"/>
        </w:rPr>
      </w:pPr>
      <w:r>
        <w:rPr>
          <w:rFonts w:ascii="Arial" w:cs="Arial" w:eastAsia="Arial" w:hAnsi="Arial"/>
          <w:sz w:val="13"/>
          <w:szCs w:val="13"/>
          <w:color w:val="005A64"/>
        </w:rPr>
        <w:t>VI. Pipeline of Product Candidates</w:t>
      </w:r>
    </w:p>
    <w:p>
      <w:pPr>
        <w:spacing w:after="0" w:line="1" w:lineRule="exact"/>
        <w:rPr>
          <w:sz w:val="20"/>
          <w:szCs w:val="20"/>
          <w:color w:val="auto"/>
        </w:rPr>
      </w:pPr>
    </w:p>
    <w:p>
      <w:pPr>
        <w:ind w:left="380" w:right="2320"/>
        <w:spacing w:after="0" w:line="226" w:lineRule="auto"/>
        <w:rPr>
          <w:sz w:val="20"/>
          <w:szCs w:val="20"/>
          <w:color w:val="auto"/>
        </w:rPr>
      </w:pPr>
      <w:r>
        <w:rPr>
          <w:rFonts w:ascii="Arial" w:cs="Arial" w:eastAsia="Arial" w:hAnsi="Arial"/>
          <w:sz w:val="13"/>
          <w:szCs w:val="13"/>
          <w:color w:val="auto"/>
        </w:rPr>
        <w:t>We are advancing a broad portfolio of product candidates derived from multiple platforms and are focused on immunotherapies for the potential treatment of cancer and mRNA vaccines to potentially prevent or treat infectious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104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29845</wp:posOffset>
            </wp:positionV>
            <wp:extent cx="523113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73" w:name="page74"/>
    <w:bookmarkEnd w:id="73"/>
    <w:p>
      <w:pPr>
        <w:ind w:left="400"/>
        <w:spacing w:after="0"/>
        <w:rPr>
          <w:sz w:val="20"/>
          <w:szCs w:val="20"/>
          <w:color w:val="auto"/>
        </w:rPr>
      </w:pPr>
      <w:r>
        <w:rPr>
          <w:rFonts w:ascii="Arial" w:cs="Arial" w:eastAsia="Arial" w:hAnsi="Arial"/>
          <w:sz w:val="13"/>
          <w:szCs w:val="13"/>
          <w:b w:val="1"/>
          <w:bCs w:val="1"/>
          <w:color w:val="005A64"/>
        </w:rPr>
        <w:t>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26670</wp:posOffset>
            </wp:positionV>
            <wp:extent cx="4249420"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49420" cy="12700"/>
                    </a:xfrm>
                    <a:prstGeom prst="rect">
                      <a:avLst/>
                    </a:prstGeom>
                    <a:noFill/>
                  </pic:spPr>
                </pic:pic>
              </a:graphicData>
            </a:graphic>
          </wp:anchor>
        </w:drawing>
      </w:r>
    </w:p>
    <w:p>
      <w:pPr>
        <w:spacing w:after="0" w:line="93" w:lineRule="exact"/>
        <w:rPr>
          <w:sz w:val="20"/>
          <w:szCs w:val="20"/>
          <w:color w:val="auto"/>
        </w:rPr>
      </w:pPr>
    </w:p>
    <w:tbl>
      <w:tblPr>
        <w:tblLayout w:type="fixed"/>
        <w:tblInd w:w="380" w:type="dxa"/>
        <w:tblCellMar>
          <w:top w:w="0" w:type="dxa"/>
          <w:left w:w="0" w:type="dxa"/>
          <w:bottom w:w="0" w:type="dxa"/>
          <w:right w:w="0" w:type="dxa"/>
        </w:tblCellMar>
      </w:tblPr>
      <w:tr>
        <w:trPr>
          <w:trHeight w:val="80"/>
        </w:trPr>
        <w:tc>
          <w:tcPr>
            <w:tcW w:w="500" w:type="dxa"/>
            <w:vAlign w:val="bottom"/>
          </w:tcPr>
          <w:p>
            <w:pPr>
              <w:ind w:left="20"/>
              <w:spacing w:after="0"/>
              <w:rPr>
                <w:sz w:val="20"/>
                <w:szCs w:val="20"/>
                <w:color w:val="auto"/>
              </w:rPr>
            </w:pPr>
            <w:r>
              <w:rPr>
                <w:rFonts w:ascii="Arial" w:cs="Arial" w:eastAsia="Arial" w:hAnsi="Arial"/>
                <w:sz w:val="7"/>
                <w:szCs w:val="7"/>
                <w:b w:val="1"/>
                <w:bCs w:val="1"/>
                <w:color w:val="0F7F40"/>
              </w:rPr>
              <w:t>Drug class</w:t>
            </w:r>
          </w:p>
        </w:tc>
        <w:tc>
          <w:tcPr>
            <w:tcW w:w="80" w:type="dxa"/>
            <w:vAlign w:val="bottom"/>
          </w:tcPr>
          <w:p>
            <w:pPr>
              <w:spacing w:after="0"/>
              <w:rPr>
                <w:sz w:val="7"/>
                <w:szCs w:val="7"/>
                <w:color w:val="auto"/>
              </w:rPr>
            </w:pPr>
          </w:p>
        </w:tc>
        <w:tc>
          <w:tcPr>
            <w:tcW w:w="900" w:type="dxa"/>
            <w:vAlign w:val="bottom"/>
          </w:tcPr>
          <w:p>
            <w:pPr>
              <w:spacing w:after="0"/>
              <w:rPr>
                <w:sz w:val="20"/>
                <w:szCs w:val="20"/>
                <w:color w:val="auto"/>
              </w:rPr>
            </w:pPr>
            <w:r>
              <w:rPr>
                <w:rFonts w:ascii="Arial" w:cs="Arial" w:eastAsia="Arial" w:hAnsi="Arial"/>
                <w:sz w:val="7"/>
                <w:szCs w:val="7"/>
                <w:b w:val="1"/>
                <w:bCs w:val="1"/>
                <w:color w:val="0F7F40"/>
              </w:rPr>
              <w:t>Platform</w:t>
            </w:r>
          </w:p>
        </w:tc>
        <w:tc>
          <w:tcPr>
            <w:tcW w:w="100" w:type="dxa"/>
            <w:vAlign w:val="bottom"/>
          </w:tcPr>
          <w:p>
            <w:pPr>
              <w:spacing w:after="0"/>
              <w:rPr>
                <w:sz w:val="7"/>
                <w:szCs w:val="7"/>
                <w:color w:val="auto"/>
              </w:rPr>
            </w:pPr>
          </w:p>
        </w:tc>
        <w:tc>
          <w:tcPr>
            <w:tcW w:w="780" w:type="dxa"/>
            <w:vAlign w:val="bottom"/>
          </w:tcPr>
          <w:p>
            <w:pPr>
              <w:spacing w:after="0"/>
              <w:rPr>
                <w:sz w:val="20"/>
                <w:szCs w:val="20"/>
                <w:color w:val="auto"/>
              </w:rPr>
            </w:pPr>
            <w:r>
              <w:rPr>
                <w:rFonts w:ascii="Arial" w:cs="Arial" w:eastAsia="Arial" w:hAnsi="Arial"/>
                <w:sz w:val="7"/>
                <w:szCs w:val="7"/>
                <w:b w:val="1"/>
                <w:bCs w:val="1"/>
                <w:color w:val="0F7F40"/>
              </w:rPr>
              <w:t>Product candidate</w:t>
            </w:r>
          </w:p>
        </w:tc>
        <w:tc>
          <w:tcPr>
            <w:tcW w:w="80" w:type="dxa"/>
            <w:vAlign w:val="bottom"/>
          </w:tcPr>
          <w:p>
            <w:pPr>
              <w:spacing w:after="0"/>
              <w:rPr>
                <w:sz w:val="7"/>
                <w:szCs w:val="7"/>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b w:val="1"/>
                <w:bCs w:val="1"/>
                <w:color w:val="0F7F40"/>
              </w:rPr>
              <w:t>Indication (target)</w:t>
            </w:r>
          </w:p>
        </w:tc>
        <w:tc>
          <w:tcPr>
            <w:tcW w:w="380" w:type="dxa"/>
            <w:vAlign w:val="bottom"/>
          </w:tcPr>
          <w:p>
            <w:pPr>
              <w:ind w:left="20"/>
              <w:spacing w:after="0"/>
              <w:rPr>
                <w:sz w:val="20"/>
                <w:szCs w:val="20"/>
                <w:color w:val="auto"/>
              </w:rPr>
            </w:pPr>
            <w:r>
              <w:rPr>
                <w:rFonts w:ascii="Arial" w:cs="Arial" w:eastAsia="Arial" w:hAnsi="Arial"/>
                <w:sz w:val="7"/>
                <w:szCs w:val="7"/>
                <w:b w:val="1"/>
                <w:bCs w:val="1"/>
                <w:color w:val="005A64"/>
              </w:rPr>
              <w:t>Phase 1</w:t>
            </w:r>
          </w:p>
        </w:tc>
        <w:tc>
          <w:tcPr>
            <w:tcW w:w="80" w:type="dxa"/>
            <w:vAlign w:val="bottom"/>
          </w:tcPr>
          <w:p>
            <w:pPr>
              <w:spacing w:after="0"/>
              <w:rPr>
                <w:sz w:val="7"/>
                <w:szCs w:val="7"/>
                <w:color w:val="auto"/>
              </w:rPr>
            </w:pPr>
          </w:p>
        </w:tc>
        <w:tc>
          <w:tcPr>
            <w:tcW w:w="420" w:type="dxa"/>
            <w:vAlign w:val="bottom"/>
          </w:tcPr>
          <w:p>
            <w:pPr>
              <w:ind w:left="20"/>
              <w:spacing w:after="0"/>
              <w:rPr>
                <w:sz w:val="20"/>
                <w:szCs w:val="20"/>
                <w:color w:val="auto"/>
              </w:rPr>
            </w:pPr>
            <w:r>
              <w:rPr>
                <w:rFonts w:ascii="Arial" w:cs="Arial" w:eastAsia="Arial" w:hAnsi="Arial"/>
                <w:sz w:val="7"/>
                <w:szCs w:val="7"/>
                <w:b w:val="1"/>
                <w:bCs w:val="1"/>
                <w:color w:val="005A64"/>
              </w:rPr>
              <w:t>Phase 1/2</w:t>
            </w:r>
          </w:p>
        </w:tc>
        <w:tc>
          <w:tcPr>
            <w:tcW w:w="80" w:type="dxa"/>
            <w:vAlign w:val="bottom"/>
          </w:tcPr>
          <w:p>
            <w:pPr>
              <w:spacing w:after="0"/>
              <w:rPr>
                <w:sz w:val="7"/>
                <w:szCs w:val="7"/>
                <w:color w:val="auto"/>
              </w:rPr>
            </w:pPr>
          </w:p>
        </w:tc>
        <w:tc>
          <w:tcPr>
            <w:tcW w:w="380" w:type="dxa"/>
            <w:vAlign w:val="bottom"/>
          </w:tcPr>
          <w:p>
            <w:pPr>
              <w:ind w:left="20"/>
              <w:spacing w:after="0"/>
              <w:rPr>
                <w:sz w:val="20"/>
                <w:szCs w:val="20"/>
                <w:color w:val="auto"/>
              </w:rPr>
            </w:pPr>
            <w:r>
              <w:rPr>
                <w:rFonts w:ascii="Arial" w:cs="Arial" w:eastAsia="Arial" w:hAnsi="Arial"/>
                <w:sz w:val="7"/>
                <w:szCs w:val="7"/>
                <w:b w:val="1"/>
                <w:bCs w:val="1"/>
                <w:color w:val="005A64"/>
              </w:rPr>
              <w:t>Phase 2</w:t>
            </w:r>
          </w:p>
        </w:tc>
        <w:tc>
          <w:tcPr>
            <w:tcW w:w="80" w:type="dxa"/>
            <w:vAlign w:val="bottom"/>
          </w:tcPr>
          <w:p>
            <w:pPr>
              <w:spacing w:after="0"/>
              <w:rPr>
                <w:sz w:val="7"/>
                <w:szCs w:val="7"/>
                <w:color w:val="auto"/>
              </w:rPr>
            </w:pPr>
          </w:p>
        </w:tc>
        <w:tc>
          <w:tcPr>
            <w:tcW w:w="400" w:type="dxa"/>
            <w:vAlign w:val="bottom"/>
          </w:tcPr>
          <w:p>
            <w:pPr>
              <w:ind w:left="20"/>
              <w:spacing w:after="0"/>
              <w:rPr>
                <w:sz w:val="20"/>
                <w:szCs w:val="20"/>
                <w:color w:val="auto"/>
              </w:rPr>
            </w:pPr>
            <w:r>
              <w:rPr>
                <w:rFonts w:ascii="Arial" w:cs="Arial" w:eastAsia="Arial" w:hAnsi="Arial"/>
                <w:sz w:val="7"/>
                <w:szCs w:val="7"/>
                <w:b w:val="1"/>
                <w:bCs w:val="1"/>
                <w:color w:val="005A64"/>
              </w:rPr>
              <w:t>Phase 3</w:t>
            </w:r>
          </w:p>
        </w:tc>
        <w:tc>
          <w:tcPr>
            <w:tcW w:w="80" w:type="dxa"/>
            <w:vAlign w:val="bottom"/>
          </w:tcPr>
          <w:p>
            <w:pPr>
              <w:spacing w:after="0"/>
              <w:rPr>
                <w:sz w:val="7"/>
                <w:szCs w:val="7"/>
                <w:color w:val="auto"/>
              </w:rPr>
            </w:pPr>
          </w:p>
        </w:tc>
        <w:tc>
          <w:tcPr>
            <w:tcW w:w="500" w:type="dxa"/>
            <w:vAlign w:val="bottom"/>
          </w:tcPr>
          <w:p>
            <w:pPr>
              <w:spacing w:after="0"/>
              <w:rPr>
                <w:sz w:val="20"/>
                <w:szCs w:val="20"/>
                <w:color w:val="auto"/>
              </w:rPr>
            </w:pPr>
            <w:r>
              <w:rPr>
                <w:rFonts w:ascii="Arial" w:cs="Arial" w:eastAsia="Arial" w:hAnsi="Arial"/>
                <w:sz w:val="7"/>
                <w:szCs w:val="7"/>
                <w:b w:val="1"/>
                <w:bCs w:val="1"/>
                <w:color w:val="005A64"/>
              </w:rPr>
              <w:t>BioNTech</w:t>
            </w:r>
          </w:p>
        </w:tc>
        <w:tc>
          <w:tcPr>
            <w:tcW w:w="80" w:type="dxa"/>
            <w:vAlign w:val="bottom"/>
          </w:tcPr>
          <w:p>
            <w:pPr>
              <w:spacing w:after="0"/>
              <w:rPr>
                <w:sz w:val="7"/>
                <w:szCs w:val="7"/>
                <w:color w:val="auto"/>
              </w:rPr>
            </w:pPr>
          </w:p>
        </w:tc>
        <w:tc>
          <w:tcPr>
            <w:tcW w:w="500" w:type="dxa"/>
            <w:vAlign w:val="bottom"/>
          </w:tcPr>
          <w:p>
            <w:pPr>
              <w:spacing w:after="0"/>
              <w:rPr>
                <w:sz w:val="20"/>
                <w:szCs w:val="20"/>
                <w:color w:val="auto"/>
              </w:rPr>
            </w:pPr>
            <w:r>
              <w:rPr>
                <w:rFonts w:ascii="Arial" w:cs="Arial" w:eastAsia="Arial" w:hAnsi="Arial"/>
                <w:sz w:val="7"/>
                <w:szCs w:val="7"/>
                <w:b w:val="1"/>
                <w:bCs w:val="1"/>
                <w:color w:val="005A64"/>
              </w:rPr>
              <w:t>Collaborator</w:t>
            </w:r>
          </w:p>
        </w:tc>
        <w:tc>
          <w:tcPr>
            <w:tcW w:w="0" w:type="dxa"/>
            <w:vAlign w:val="bottom"/>
          </w:tcPr>
          <w:p>
            <w:pPr>
              <w:spacing w:after="0"/>
              <w:rPr>
                <w:sz w:val="1"/>
                <w:szCs w:val="1"/>
                <w:color w:val="auto"/>
              </w:rPr>
            </w:pPr>
          </w:p>
        </w:tc>
      </w:tr>
      <w:tr>
        <w:trPr>
          <w:trHeight w:val="96"/>
        </w:trPr>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20"/>
                <w:szCs w:val="20"/>
                <w:color w:val="auto"/>
              </w:rPr>
            </w:pPr>
            <w:r>
              <w:rPr>
                <w:rFonts w:ascii="Arial" w:cs="Arial" w:eastAsia="Arial" w:hAnsi="Arial"/>
                <w:sz w:val="7"/>
                <w:szCs w:val="7"/>
                <w:b w:val="1"/>
                <w:bCs w:val="1"/>
                <w:color w:val="005A64"/>
              </w:rPr>
              <w:t>rights</w:t>
            </w:r>
            <w:r>
              <w:rPr>
                <w:rFonts w:ascii="Arial" w:cs="Arial" w:eastAsia="Arial" w:hAnsi="Arial"/>
                <w:sz w:val="4"/>
                <w:szCs w:val="4"/>
                <w:b w:val="1"/>
                <w:bCs w:val="1"/>
                <w:color w:val="005A64"/>
              </w:rPr>
              <w:t>(1)</w:t>
            </w:r>
          </w:p>
        </w:tc>
        <w:tc>
          <w:tcPr>
            <w:tcW w:w="80" w:type="dxa"/>
            <w:vAlign w:val="bottom"/>
          </w:tcPr>
          <w:p>
            <w:pPr>
              <w:spacing w:after="0"/>
              <w:rPr>
                <w:sz w:val="8"/>
                <w:szCs w:val="8"/>
                <w:color w:val="auto"/>
              </w:rPr>
            </w:pPr>
          </w:p>
        </w:tc>
        <w:tc>
          <w:tcPr>
            <w:tcW w:w="500" w:type="dxa"/>
            <w:vAlign w:val="bottom"/>
          </w:tcPr>
          <w:p>
            <w:pPr>
              <w:spacing w:after="0"/>
              <w:rPr>
                <w:sz w:val="20"/>
                <w:szCs w:val="20"/>
                <w:color w:val="auto"/>
              </w:rPr>
            </w:pPr>
            <w:r>
              <w:rPr>
                <w:rFonts w:ascii="Arial" w:cs="Arial" w:eastAsia="Arial" w:hAnsi="Arial"/>
                <w:sz w:val="7"/>
                <w:szCs w:val="7"/>
                <w:b w:val="1"/>
                <w:bCs w:val="1"/>
                <w:color w:val="005A64"/>
              </w:rPr>
              <w:t>/Partner</w:t>
            </w:r>
          </w:p>
        </w:tc>
        <w:tc>
          <w:tcPr>
            <w:tcW w:w="0" w:type="dxa"/>
            <w:vAlign w:val="bottom"/>
          </w:tcPr>
          <w:p>
            <w:pPr>
              <w:spacing w:after="0"/>
              <w:rPr>
                <w:sz w:val="1"/>
                <w:szCs w:val="1"/>
                <w:color w:val="auto"/>
              </w:rPr>
            </w:pPr>
          </w:p>
        </w:tc>
      </w:tr>
      <w:tr>
        <w:trPr>
          <w:trHeight w:val="45"/>
        </w:trPr>
        <w:tc>
          <w:tcPr>
            <w:tcW w:w="500" w:type="dxa"/>
            <w:vAlign w:val="bottom"/>
            <w:tcBorders>
              <w:bottom w:val="single" w:sz="8" w:color="005A64"/>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Borders>
              <w:bottom w:val="single" w:sz="8" w:color="005A64"/>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bottom w:val="single" w:sz="8" w:color="005A64"/>
            </w:tcBorders>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Borders>
              <w:bottom w:val="single" w:sz="8" w:color="005A64"/>
            </w:tcBorders>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bottom w:val="single" w:sz="8" w:color="005A64"/>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005A64"/>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005A64"/>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005A64"/>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005A64"/>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005A64"/>
            </w:tcBorders>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500" w:type="dxa"/>
            <w:vAlign w:val="bottom"/>
          </w:tcPr>
          <w:p>
            <w:pPr>
              <w:ind w:left="20"/>
              <w:spacing w:after="0" w:line="51" w:lineRule="exact"/>
              <w:rPr>
                <w:sz w:val="20"/>
                <w:szCs w:val="20"/>
                <w:color w:val="auto"/>
              </w:rPr>
            </w:pPr>
            <w:r>
              <w:rPr>
                <w:rFonts w:ascii="Arial" w:cs="Arial" w:eastAsia="Arial" w:hAnsi="Arial"/>
                <w:sz w:val="5"/>
                <w:szCs w:val="5"/>
                <w:b w:val="1"/>
                <w:bCs w:val="1"/>
                <w:color w:val="0F7F40"/>
              </w:rPr>
              <w:t>mRNA</w:t>
            </w:r>
          </w:p>
        </w:tc>
        <w:tc>
          <w:tcPr>
            <w:tcW w:w="80" w:type="dxa"/>
            <w:vAlign w:val="bottom"/>
          </w:tcPr>
          <w:p>
            <w:pPr>
              <w:spacing w:after="0"/>
              <w:rPr>
                <w:sz w:val="7"/>
                <w:szCs w:val="7"/>
                <w:color w:val="auto"/>
              </w:rPr>
            </w:pPr>
          </w:p>
        </w:tc>
        <w:tc>
          <w:tcPr>
            <w:tcW w:w="900" w:type="dxa"/>
            <w:vAlign w:val="bottom"/>
          </w:tcPr>
          <w:p>
            <w:pPr>
              <w:spacing w:after="0" w:line="51" w:lineRule="exact"/>
              <w:rPr>
                <w:sz w:val="20"/>
                <w:szCs w:val="20"/>
                <w:color w:val="auto"/>
              </w:rPr>
            </w:pPr>
            <w:r>
              <w:rPr>
                <w:rFonts w:ascii="Arial" w:cs="Arial" w:eastAsia="Arial" w:hAnsi="Arial"/>
                <w:sz w:val="5"/>
                <w:szCs w:val="5"/>
                <w:b w:val="1"/>
                <w:bCs w:val="1"/>
                <w:color w:val="0F7F40"/>
              </w:rPr>
              <w:t>FixVac</w:t>
            </w:r>
          </w:p>
        </w:tc>
        <w:tc>
          <w:tcPr>
            <w:tcW w:w="100" w:type="dxa"/>
            <w:vAlign w:val="bottom"/>
          </w:tcPr>
          <w:p>
            <w:pPr>
              <w:spacing w:after="0"/>
              <w:rPr>
                <w:sz w:val="7"/>
                <w:szCs w:val="7"/>
                <w:color w:val="auto"/>
              </w:rPr>
            </w:pPr>
          </w:p>
        </w:tc>
        <w:tc>
          <w:tcPr>
            <w:tcW w:w="780" w:type="dxa"/>
            <w:vAlign w:val="bottom"/>
          </w:tcPr>
          <w:p>
            <w:pPr>
              <w:spacing w:after="0" w:line="51" w:lineRule="exact"/>
              <w:rPr>
                <w:sz w:val="20"/>
                <w:szCs w:val="20"/>
                <w:color w:val="auto"/>
              </w:rPr>
            </w:pPr>
            <w:r>
              <w:rPr>
                <w:rFonts w:ascii="Arial" w:cs="Arial" w:eastAsia="Arial" w:hAnsi="Arial"/>
                <w:sz w:val="5"/>
                <w:szCs w:val="5"/>
                <w:color w:val="0F7F40"/>
              </w:rPr>
              <w:t>BNT111</w:t>
            </w:r>
          </w:p>
        </w:tc>
        <w:tc>
          <w:tcPr>
            <w:tcW w:w="80" w:type="dxa"/>
            <w:vAlign w:val="bottom"/>
          </w:tcPr>
          <w:p>
            <w:pPr>
              <w:spacing w:after="0"/>
              <w:rPr>
                <w:sz w:val="7"/>
                <w:szCs w:val="7"/>
                <w:color w:val="auto"/>
              </w:rPr>
            </w:pPr>
          </w:p>
        </w:tc>
        <w:tc>
          <w:tcPr>
            <w:tcW w:w="1280" w:type="dxa"/>
            <w:vAlign w:val="bottom"/>
            <w:gridSpan w:val="2"/>
          </w:tcPr>
          <w:p>
            <w:pPr>
              <w:ind w:left="20"/>
              <w:spacing w:after="0" w:line="51" w:lineRule="exact"/>
              <w:rPr>
                <w:sz w:val="20"/>
                <w:szCs w:val="20"/>
                <w:color w:val="auto"/>
              </w:rPr>
            </w:pPr>
            <w:r>
              <w:rPr>
                <w:rFonts w:ascii="Arial" w:cs="Arial" w:eastAsia="Arial" w:hAnsi="Arial"/>
                <w:sz w:val="5"/>
                <w:szCs w:val="5"/>
                <w:color w:val="0F7F40"/>
              </w:rPr>
              <w:t>Advanced, R/R melanoma</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line="51" w:lineRule="exact"/>
              <w:rPr>
                <w:sz w:val="20"/>
                <w:szCs w:val="20"/>
                <w:color w:val="auto"/>
              </w:rPr>
            </w:pPr>
            <w:r>
              <w:rPr>
                <w:rFonts w:ascii="Arial" w:cs="Arial" w:eastAsia="Arial" w:hAnsi="Arial"/>
                <w:sz w:val="5"/>
                <w:szCs w:val="5"/>
                <w:color w:val="0F7F40"/>
              </w:rPr>
              <w:t>Fully</w:t>
            </w: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3C9673"/>
            </w:tcBorders>
          </w:tcPr>
          <w:p>
            <w:pPr>
              <w:spacing w:after="0" w:line="20" w:lineRule="exact"/>
              <w:rPr>
                <w:sz w:val="1"/>
                <w:szCs w:val="1"/>
                <w:color w:val="auto"/>
              </w:rPr>
            </w:pPr>
          </w:p>
        </w:tc>
        <w:tc>
          <w:tcPr>
            <w:tcW w:w="80" w:type="dxa"/>
            <w:vAlign w:val="bottom"/>
            <w:tcBorders>
              <w:top w:val="single" w:sz="8" w:color="3C9673"/>
            </w:tcBorders>
          </w:tcPr>
          <w:p>
            <w:pPr>
              <w:spacing w:after="0" w:line="20" w:lineRule="exact"/>
              <w:rPr>
                <w:sz w:val="1"/>
                <w:szCs w:val="1"/>
                <w:color w:val="auto"/>
              </w:rPr>
            </w:pPr>
          </w:p>
        </w:tc>
        <w:tc>
          <w:tcPr>
            <w:tcW w:w="420" w:type="dxa"/>
            <w:vAlign w:val="bottom"/>
            <w:tcBorders>
              <w:top w:val="single" w:sz="8" w:color="3C9673"/>
            </w:tcBorders>
          </w:tcPr>
          <w:p>
            <w:pPr>
              <w:spacing w:after="0" w:line="20" w:lineRule="exact"/>
              <w:rPr>
                <w:sz w:val="1"/>
                <w:szCs w:val="1"/>
                <w:color w:val="auto"/>
              </w:rPr>
            </w:pPr>
          </w:p>
        </w:tc>
        <w:tc>
          <w:tcPr>
            <w:tcW w:w="80" w:type="dxa"/>
            <w:vAlign w:val="bottom"/>
            <w:tcBorders>
              <w:top w:val="single" w:sz="8" w:color="3C9673"/>
            </w:tcBorders>
          </w:tcPr>
          <w:p>
            <w:pPr>
              <w:spacing w:after="0" w:line="20" w:lineRule="exact"/>
              <w:rPr>
                <w:sz w:val="1"/>
                <w:szCs w:val="1"/>
                <w:color w:val="auto"/>
              </w:rPr>
            </w:pPr>
          </w:p>
        </w:tc>
        <w:tc>
          <w:tcPr>
            <w:tcW w:w="380" w:type="dxa"/>
            <w:vAlign w:val="bottom"/>
            <w:tcBorders>
              <w:top w:val="single" w:sz="8" w:color="3C967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1" w:lineRule="exact"/>
              <w:rPr>
                <w:sz w:val="20"/>
                <w:szCs w:val="20"/>
                <w:color w:val="auto"/>
              </w:rPr>
            </w:pPr>
            <w:r>
              <w:rPr>
                <w:rFonts w:ascii="Arial" w:cs="Arial" w:eastAsia="Arial" w:hAnsi="Arial"/>
                <w:sz w:val="2"/>
                <w:szCs w:val="2"/>
                <w:color w:val="0F7F40"/>
              </w:rPr>
              <w:t>owned</w:t>
            </w: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tcPr>
          <w:p>
            <w:pPr>
              <w:spacing w:after="0"/>
              <w:rPr>
                <w:sz w:val="20"/>
                <w:szCs w:val="20"/>
                <w:color w:val="auto"/>
              </w:rPr>
            </w:pPr>
            <w:r>
              <w:rPr>
                <w:rFonts w:ascii="Arial" w:cs="Arial" w:eastAsia="Arial" w:hAnsi="Arial"/>
                <w:sz w:val="7"/>
                <w:szCs w:val="7"/>
                <w:color w:val="0F7F40"/>
              </w:rPr>
              <w:t>BNT113</w:t>
            </w:r>
          </w:p>
        </w:tc>
        <w:tc>
          <w:tcPr>
            <w:tcW w:w="80" w:type="dxa"/>
            <w:vAlign w:val="bottom"/>
          </w:tcPr>
          <w:p>
            <w:pPr>
              <w:spacing w:after="0"/>
              <w:rPr>
                <w:sz w:val="8"/>
                <w:szCs w:val="8"/>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7"/>
                <w:szCs w:val="7"/>
                <w:color w:val="0F7F40"/>
              </w:rPr>
              <w:t>Metastatic / R/R HPV16+ head and</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gridSpan w:val="2"/>
          </w:tcPr>
          <w:p>
            <w:pPr>
              <w:ind w:left="80"/>
              <w:spacing w:after="0"/>
              <w:rPr>
                <w:sz w:val="20"/>
                <w:szCs w:val="20"/>
                <w:color w:val="auto"/>
              </w:rPr>
            </w:pPr>
            <w:r>
              <w:rPr>
                <w:rFonts w:ascii="Arial" w:cs="Arial" w:eastAsia="Arial" w:hAnsi="Arial"/>
                <w:sz w:val="7"/>
                <w:szCs w:val="7"/>
                <w:color w:val="0F7F40"/>
              </w:rPr>
              <w:t>(2)</w:t>
            </w: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gridSpan w:val="2"/>
          </w:tcPr>
          <w:p>
            <w:pPr>
              <w:ind w:left="20"/>
              <w:spacing w:after="0" w:line="42" w:lineRule="exact"/>
              <w:rPr>
                <w:sz w:val="20"/>
                <w:szCs w:val="20"/>
                <w:color w:val="auto"/>
              </w:rPr>
            </w:pPr>
            <w:r>
              <w:rPr>
                <w:rFonts w:ascii="Arial" w:cs="Arial" w:eastAsia="Arial" w:hAnsi="Arial"/>
                <w:sz w:val="4"/>
                <w:szCs w:val="4"/>
                <w:color w:val="0F7F40"/>
              </w:rPr>
              <w:t>neck cancer</w:t>
            </w:r>
          </w:p>
        </w:tc>
        <w:tc>
          <w:tcPr>
            <w:tcW w:w="380" w:type="dxa"/>
            <w:vAlign w:val="bottom"/>
            <w:tcBorders>
              <w:top w:val="single" w:sz="8" w:color="3C9673"/>
            </w:tcBorders>
          </w:tcPr>
          <w:p>
            <w:pPr>
              <w:spacing w:after="0"/>
              <w:rPr>
                <w:sz w:val="3"/>
                <w:szCs w:val="3"/>
                <w:color w:val="auto"/>
              </w:rPr>
            </w:pPr>
          </w:p>
        </w:tc>
        <w:tc>
          <w:tcPr>
            <w:tcW w:w="80" w:type="dxa"/>
            <w:vAlign w:val="bottom"/>
            <w:tcBorders>
              <w:top w:val="single" w:sz="8" w:color="3C9673"/>
            </w:tcBorders>
          </w:tcPr>
          <w:p>
            <w:pPr>
              <w:spacing w:after="0"/>
              <w:rPr>
                <w:sz w:val="3"/>
                <w:szCs w:val="3"/>
                <w:color w:val="auto"/>
              </w:rPr>
            </w:pPr>
          </w:p>
        </w:tc>
        <w:tc>
          <w:tcPr>
            <w:tcW w:w="420" w:type="dxa"/>
            <w:vAlign w:val="bottom"/>
            <w:tcBorders>
              <w:top w:val="single" w:sz="8" w:color="3C9673"/>
            </w:tcBorders>
          </w:tcPr>
          <w:p>
            <w:pPr>
              <w:spacing w:after="0"/>
              <w:rPr>
                <w:sz w:val="3"/>
                <w:szCs w:val="3"/>
                <w:color w:val="auto"/>
              </w:rPr>
            </w:pPr>
          </w:p>
        </w:tc>
        <w:tc>
          <w:tcPr>
            <w:tcW w:w="80" w:type="dxa"/>
            <w:vAlign w:val="bottom"/>
            <w:tcBorders>
              <w:top w:val="single" w:sz="8" w:color="3C9673"/>
            </w:tcBorders>
          </w:tcPr>
          <w:p>
            <w:pPr>
              <w:spacing w:after="0"/>
              <w:rPr>
                <w:sz w:val="3"/>
                <w:szCs w:val="3"/>
                <w:color w:val="auto"/>
              </w:rPr>
            </w:pPr>
          </w:p>
        </w:tc>
        <w:tc>
          <w:tcPr>
            <w:tcW w:w="380" w:type="dxa"/>
            <w:vAlign w:val="bottom"/>
            <w:tcBorders>
              <w:top w:val="single" w:sz="8" w:color="3C9673"/>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20"/>
                <w:szCs w:val="20"/>
                <w:color w:val="auto"/>
              </w:rPr>
            </w:pPr>
            <w:r>
              <w:rPr>
                <w:rFonts w:ascii="Arial" w:cs="Arial" w:eastAsia="Arial" w:hAnsi="Arial"/>
                <w:sz w:val="7"/>
                <w:szCs w:val="7"/>
                <w:color w:val="0F7F40"/>
              </w:rPr>
              <w:t>BNT116</w:t>
            </w:r>
          </w:p>
        </w:tc>
        <w:tc>
          <w:tcPr>
            <w:tcW w:w="80" w:type="dxa"/>
            <w:vAlign w:val="bottom"/>
          </w:tcPr>
          <w:p>
            <w:pPr>
              <w:spacing w:after="0"/>
              <w:rPr>
                <w:sz w:val="11"/>
                <w:szCs w:val="11"/>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1L metastatic NSCLC</w:t>
            </w:r>
          </w:p>
        </w:tc>
        <w:tc>
          <w:tcPr>
            <w:tcW w:w="380" w:type="dxa"/>
            <w:vAlign w:val="bottom"/>
            <w:tcBorders>
              <w:bottom w:val="single" w:sz="8" w:color="3C9673"/>
            </w:tcBorders>
          </w:tcPr>
          <w:p>
            <w:pPr>
              <w:spacing w:after="0"/>
              <w:rPr>
                <w:sz w:val="11"/>
                <w:szCs w:val="11"/>
                <w:color w:val="auto"/>
              </w:rPr>
            </w:pPr>
          </w:p>
        </w:tc>
        <w:tc>
          <w:tcPr>
            <w:tcW w:w="80" w:type="dxa"/>
            <w:vAlign w:val="bottom"/>
            <w:tcBorders>
              <w:bottom w:val="single" w:sz="8" w:color="3C9673"/>
            </w:tcBorders>
          </w:tcPr>
          <w:p>
            <w:pPr>
              <w:spacing w:after="0"/>
              <w:rPr>
                <w:sz w:val="11"/>
                <w:szCs w:val="11"/>
                <w:color w:val="auto"/>
              </w:rPr>
            </w:pPr>
          </w:p>
        </w:tc>
        <w:tc>
          <w:tcPr>
            <w:tcW w:w="420" w:type="dxa"/>
            <w:vAlign w:val="bottom"/>
            <w:tcBorders>
              <w:bottom w:val="single" w:sz="8" w:color="3C9673"/>
            </w:tcBorders>
          </w:tcPr>
          <w:p>
            <w:pPr>
              <w:spacing w:after="0"/>
              <w:rPr>
                <w:sz w:val="11"/>
                <w:szCs w:val="11"/>
                <w:color w:val="auto"/>
              </w:rPr>
            </w:pPr>
          </w:p>
        </w:tc>
        <w:tc>
          <w:tcPr>
            <w:tcW w:w="80" w:type="dxa"/>
            <w:vAlign w:val="bottom"/>
            <w:tcBorders>
              <w:bottom w:val="single" w:sz="8" w:color="3C9673"/>
            </w:tcBorders>
          </w:tcPr>
          <w:p>
            <w:pPr>
              <w:spacing w:after="0"/>
              <w:rPr>
                <w:sz w:val="11"/>
                <w:szCs w:val="11"/>
                <w:color w:val="auto"/>
              </w:rPr>
            </w:pPr>
          </w:p>
        </w:tc>
        <w:tc>
          <w:tcPr>
            <w:tcW w:w="380" w:type="dxa"/>
            <w:vAlign w:val="bottom"/>
            <w:tcBorders>
              <w:bottom w:val="single" w:sz="8" w:color="3C9673"/>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Advanced/metastatic NSCLC</w:t>
            </w:r>
          </w:p>
        </w:tc>
        <w:tc>
          <w:tcPr>
            <w:tcW w:w="380" w:type="dxa"/>
            <w:vAlign w:val="bottom"/>
            <w:tcBorders>
              <w:bottom w:val="single" w:sz="8" w:color="3C9673"/>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7"/>
                <w:szCs w:val="7"/>
                <w:b w:val="1"/>
                <w:bCs w:val="1"/>
                <w:color w:val="0F7F40"/>
              </w:rPr>
              <w:t>iNeST</w:t>
            </w:r>
          </w:p>
        </w:tc>
        <w:tc>
          <w:tcPr>
            <w:tcW w:w="10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7"/>
                <w:szCs w:val="7"/>
                <w:color w:val="0F7F40"/>
              </w:rPr>
              <w:t>BNT122 / RO7198457</w:t>
            </w:r>
          </w:p>
        </w:tc>
        <w:tc>
          <w:tcPr>
            <w:tcW w:w="8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1L advanced melanoma</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7"/>
                <w:szCs w:val="7"/>
                <w:color w:val="0F7F40"/>
              </w:rPr>
              <w:t>Collaboration</w:t>
            </w:r>
          </w:p>
        </w:tc>
        <w:tc>
          <w:tcPr>
            <w:tcW w:w="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7"/>
                <w:szCs w:val="7"/>
                <w:color w:val="0F7F40"/>
              </w:rPr>
              <w:t>Genentech</w:t>
            </w:r>
            <w:r>
              <w:rPr>
                <w:rFonts w:ascii="Arial" w:cs="Arial" w:eastAsia="Arial" w:hAnsi="Arial"/>
                <w:sz w:val="4"/>
                <w:szCs w:val="4"/>
                <w:color w:val="0F7F40"/>
              </w:rPr>
              <w:t>(3)</w:t>
            </w:r>
          </w:p>
        </w:tc>
        <w:tc>
          <w:tcPr>
            <w:tcW w:w="0" w:type="dxa"/>
            <w:vAlign w:val="bottom"/>
          </w:tcPr>
          <w:p>
            <w:pPr>
              <w:spacing w:after="0"/>
              <w:rPr>
                <w:sz w:val="1"/>
                <w:szCs w:val="1"/>
                <w:color w:val="auto"/>
              </w:rPr>
            </w:pPr>
          </w:p>
        </w:tc>
      </w:tr>
      <w:tr>
        <w:trPr>
          <w:trHeight w:val="41"/>
        </w:trPr>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line="42" w:lineRule="exact"/>
              <w:rPr>
                <w:sz w:val="20"/>
                <w:szCs w:val="20"/>
                <w:color w:val="auto"/>
              </w:rPr>
            </w:pPr>
            <w:r>
              <w:rPr>
                <w:rFonts w:ascii="Arial" w:cs="Arial" w:eastAsia="Arial" w:hAnsi="Arial"/>
                <w:sz w:val="4"/>
                <w:szCs w:val="4"/>
                <w:color w:val="0F7F40"/>
              </w:rPr>
              <w:t>(autogene cevumeran)</w:t>
            </w:r>
          </w:p>
        </w:tc>
        <w:tc>
          <w:tcPr>
            <w:tcW w:w="80" w:type="dxa"/>
            <w:vAlign w:val="bottom"/>
          </w:tcPr>
          <w:p>
            <w:pPr>
              <w:spacing w:after="0"/>
              <w:rPr>
                <w:sz w:val="3"/>
                <w:szCs w:val="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7"/>
                <w:szCs w:val="7"/>
                <w:color w:val="0F7F40"/>
              </w:rPr>
              <w:t>Adjuvant colorectal cancer</w:t>
            </w:r>
          </w:p>
        </w:tc>
        <w:tc>
          <w:tcPr>
            <w:tcW w:w="380" w:type="dxa"/>
            <w:vAlign w:val="bottom"/>
            <w:tcBorders>
              <w:top w:val="single" w:sz="8" w:color="3C9673"/>
            </w:tcBorders>
          </w:tcPr>
          <w:p>
            <w:pPr>
              <w:spacing w:after="0"/>
              <w:rPr>
                <w:sz w:val="3"/>
                <w:szCs w:val="3"/>
                <w:color w:val="auto"/>
              </w:rPr>
            </w:pPr>
          </w:p>
        </w:tc>
        <w:tc>
          <w:tcPr>
            <w:tcW w:w="80" w:type="dxa"/>
            <w:vAlign w:val="bottom"/>
            <w:tcBorders>
              <w:top w:val="single" w:sz="8" w:color="3C9673"/>
            </w:tcBorders>
          </w:tcPr>
          <w:p>
            <w:pPr>
              <w:spacing w:after="0"/>
              <w:rPr>
                <w:sz w:val="3"/>
                <w:szCs w:val="3"/>
                <w:color w:val="auto"/>
              </w:rPr>
            </w:pPr>
          </w:p>
        </w:tc>
        <w:tc>
          <w:tcPr>
            <w:tcW w:w="420" w:type="dxa"/>
            <w:vAlign w:val="bottom"/>
            <w:tcBorders>
              <w:top w:val="single" w:sz="8" w:color="3C9673"/>
            </w:tcBorders>
          </w:tcPr>
          <w:p>
            <w:pPr>
              <w:spacing w:after="0"/>
              <w:rPr>
                <w:sz w:val="3"/>
                <w:szCs w:val="3"/>
                <w:color w:val="auto"/>
              </w:rPr>
            </w:pPr>
          </w:p>
        </w:tc>
        <w:tc>
          <w:tcPr>
            <w:tcW w:w="80" w:type="dxa"/>
            <w:vAlign w:val="bottom"/>
            <w:tcBorders>
              <w:top w:val="single" w:sz="8" w:color="3C9673"/>
            </w:tcBorders>
          </w:tcPr>
          <w:p>
            <w:pPr>
              <w:spacing w:after="0"/>
              <w:rPr>
                <w:sz w:val="3"/>
                <w:szCs w:val="3"/>
                <w:color w:val="auto"/>
              </w:rPr>
            </w:pPr>
          </w:p>
        </w:tc>
        <w:tc>
          <w:tcPr>
            <w:tcW w:w="380" w:type="dxa"/>
            <w:vAlign w:val="bottom"/>
            <w:tcBorders>
              <w:top w:val="single" w:sz="8" w:color="3C9673"/>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380" w:type="dxa"/>
            <w:vAlign w:val="bottom"/>
            <w:tcBorders>
              <w:bottom w:val="single" w:sz="8" w:color="3C9673"/>
            </w:tcBorders>
          </w:tcPr>
          <w:p>
            <w:pPr>
              <w:spacing w:after="0"/>
              <w:rPr>
                <w:sz w:val="11"/>
                <w:szCs w:val="11"/>
                <w:color w:val="auto"/>
              </w:rPr>
            </w:pPr>
          </w:p>
        </w:tc>
        <w:tc>
          <w:tcPr>
            <w:tcW w:w="80" w:type="dxa"/>
            <w:vAlign w:val="bottom"/>
            <w:tcBorders>
              <w:bottom w:val="single" w:sz="8" w:color="3C9673"/>
            </w:tcBorders>
          </w:tcPr>
          <w:p>
            <w:pPr>
              <w:spacing w:after="0"/>
              <w:rPr>
                <w:sz w:val="11"/>
                <w:szCs w:val="11"/>
                <w:color w:val="auto"/>
              </w:rPr>
            </w:pPr>
          </w:p>
        </w:tc>
        <w:tc>
          <w:tcPr>
            <w:tcW w:w="420" w:type="dxa"/>
            <w:vAlign w:val="bottom"/>
            <w:tcBorders>
              <w:bottom w:val="single" w:sz="8" w:color="3C9673"/>
            </w:tcBorders>
          </w:tcPr>
          <w:p>
            <w:pPr>
              <w:spacing w:after="0"/>
              <w:rPr>
                <w:sz w:val="11"/>
                <w:szCs w:val="11"/>
                <w:color w:val="auto"/>
              </w:rPr>
            </w:pPr>
          </w:p>
        </w:tc>
        <w:tc>
          <w:tcPr>
            <w:tcW w:w="80" w:type="dxa"/>
            <w:vAlign w:val="bottom"/>
            <w:tcBorders>
              <w:bottom w:val="single" w:sz="8" w:color="3C9673"/>
            </w:tcBorders>
          </w:tcPr>
          <w:p>
            <w:pPr>
              <w:spacing w:after="0"/>
              <w:rPr>
                <w:sz w:val="11"/>
                <w:szCs w:val="11"/>
                <w:color w:val="auto"/>
              </w:rPr>
            </w:pPr>
          </w:p>
        </w:tc>
        <w:tc>
          <w:tcPr>
            <w:tcW w:w="380" w:type="dxa"/>
            <w:vAlign w:val="bottom"/>
            <w:tcBorders>
              <w:bottom w:val="single" w:sz="8" w:color="3C9673"/>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Adjuvant muscle-invasive urothelial</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gridSpan w:val="2"/>
          </w:tcPr>
          <w:p>
            <w:pPr>
              <w:ind w:left="20"/>
              <w:spacing w:after="0" w:line="42" w:lineRule="exact"/>
              <w:rPr>
                <w:sz w:val="20"/>
                <w:szCs w:val="20"/>
                <w:color w:val="auto"/>
              </w:rPr>
            </w:pPr>
            <w:r>
              <w:rPr>
                <w:rFonts w:ascii="Arial" w:cs="Arial" w:eastAsia="Arial" w:hAnsi="Arial"/>
                <w:sz w:val="4"/>
                <w:szCs w:val="4"/>
                <w:color w:val="0F7F40"/>
              </w:rPr>
              <w:t>carcinoma</w:t>
            </w:r>
          </w:p>
        </w:tc>
        <w:tc>
          <w:tcPr>
            <w:tcW w:w="380" w:type="dxa"/>
            <w:vAlign w:val="bottom"/>
            <w:tcBorders>
              <w:top w:val="single" w:sz="8" w:color="3C9673"/>
            </w:tcBorders>
          </w:tcPr>
          <w:p>
            <w:pPr>
              <w:spacing w:after="0"/>
              <w:rPr>
                <w:sz w:val="3"/>
                <w:szCs w:val="3"/>
                <w:color w:val="auto"/>
              </w:rPr>
            </w:pPr>
          </w:p>
        </w:tc>
        <w:tc>
          <w:tcPr>
            <w:tcW w:w="80" w:type="dxa"/>
            <w:vAlign w:val="bottom"/>
            <w:tcBorders>
              <w:top w:val="single" w:sz="8" w:color="3C9673"/>
            </w:tcBorders>
          </w:tcPr>
          <w:p>
            <w:pPr>
              <w:spacing w:after="0"/>
              <w:rPr>
                <w:sz w:val="3"/>
                <w:szCs w:val="3"/>
                <w:color w:val="auto"/>
              </w:rPr>
            </w:pPr>
          </w:p>
        </w:tc>
        <w:tc>
          <w:tcPr>
            <w:tcW w:w="420" w:type="dxa"/>
            <w:vAlign w:val="bottom"/>
            <w:tcBorders>
              <w:top w:val="single" w:sz="8" w:color="3C9673"/>
            </w:tcBorders>
          </w:tcPr>
          <w:p>
            <w:pPr>
              <w:spacing w:after="0"/>
              <w:rPr>
                <w:sz w:val="3"/>
                <w:szCs w:val="3"/>
                <w:color w:val="auto"/>
              </w:rPr>
            </w:pPr>
          </w:p>
        </w:tc>
        <w:tc>
          <w:tcPr>
            <w:tcW w:w="80" w:type="dxa"/>
            <w:vAlign w:val="bottom"/>
            <w:tcBorders>
              <w:top w:val="single" w:sz="8" w:color="3C9673"/>
            </w:tcBorders>
          </w:tcPr>
          <w:p>
            <w:pPr>
              <w:spacing w:after="0"/>
              <w:rPr>
                <w:sz w:val="3"/>
                <w:szCs w:val="3"/>
                <w:color w:val="auto"/>
              </w:rPr>
            </w:pPr>
          </w:p>
        </w:tc>
        <w:tc>
          <w:tcPr>
            <w:tcW w:w="380" w:type="dxa"/>
            <w:vAlign w:val="bottom"/>
            <w:tcBorders>
              <w:top w:val="single" w:sz="8" w:color="3C9673"/>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Adjuvant pancreatic ductal</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gridSpan w:val="2"/>
          </w:tcPr>
          <w:p>
            <w:pPr>
              <w:ind w:left="20"/>
              <w:spacing w:after="0" w:line="42" w:lineRule="exact"/>
              <w:rPr>
                <w:sz w:val="20"/>
                <w:szCs w:val="20"/>
                <w:color w:val="auto"/>
              </w:rPr>
            </w:pPr>
            <w:r>
              <w:rPr>
                <w:rFonts w:ascii="Arial" w:cs="Arial" w:eastAsia="Arial" w:hAnsi="Arial"/>
                <w:sz w:val="4"/>
                <w:szCs w:val="4"/>
                <w:color w:val="0F7F40"/>
              </w:rPr>
              <w:t>adenocarcinoma</w:t>
            </w:r>
          </w:p>
        </w:tc>
        <w:tc>
          <w:tcPr>
            <w:tcW w:w="380" w:type="dxa"/>
            <w:vAlign w:val="bottom"/>
            <w:tcBorders>
              <w:top w:val="single" w:sz="8" w:color="3C9673"/>
            </w:tcBorders>
          </w:tcPr>
          <w:p>
            <w:pPr>
              <w:spacing w:after="0"/>
              <w:rPr>
                <w:sz w:val="3"/>
                <w:szCs w:val="3"/>
                <w:color w:val="auto"/>
              </w:rPr>
            </w:pPr>
          </w:p>
        </w:tc>
        <w:tc>
          <w:tcPr>
            <w:tcW w:w="80" w:type="dxa"/>
            <w:vAlign w:val="bottom"/>
            <w:tcBorders>
              <w:top w:val="single" w:sz="8" w:color="3C9673"/>
            </w:tcBorders>
          </w:tcPr>
          <w:p>
            <w:pPr>
              <w:spacing w:after="0"/>
              <w:rPr>
                <w:sz w:val="3"/>
                <w:szCs w:val="3"/>
                <w:color w:val="auto"/>
              </w:rPr>
            </w:pPr>
          </w:p>
        </w:tc>
        <w:tc>
          <w:tcPr>
            <w:tcW w:w="420" w:type="dxa"/>
            <w:vAlign w:val="bottom"/>
            <w:tcBorders>
              <w:top w:val="single" w:sz="8" w:color="3C9673"/>
            </w:tcBorders>
          </w:tcPr>
          <w:p>
            <w:pPr>
              <w:spacing w:after="0"/>
              <w:rPr>
                <w:sz w:val="3"/>
                <w:szCs w:val="3"/>
                <w:color w:val="auto"/>
              </w:rPr>
            </w:pPr>
          </w:p>
        </w:tc>
        <w:tc>
          <w:tcPr>
            <w:tcW w:w="80" w:type="dxa"/>
            <w:vAlign w:val="bottom"/>
            <w:tcBorders>
              <w:top w:val="single" w:sz="8" w:color="3C9673"/>
            </w:tcBorders>
          </w:tcPr>
          <w:p>
            <w:pPr>
              <w:spacing w:after="0"/>
              <w:rPr>
                <w:sz w:val="3"/>
                <w:szCs w:val="3"/>
                <w:color w:val="auto"/>
              </w:rPr>
            </w:pPr>
          </w:p>
        </w:tc>
        <w:tc>
          <w:tcPr>
            <w:tcW w:w="380" w:type="dxa"/>
            <w:vAlign w:val="bottom"/>
            <w:tcBorders>
              <w:top w:val="single" w:sz="8" w:color="3C9673"/>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Multiple solid tumors</w:t>
            </w:r>
          </w:p>
        </w:tc>
        <w:tc>
          <w:tcPr>
            <w:tcW w:w="380" w:type="dxa"/>
            <w:vAlign w:val="bottom"/>
            <w:tcBorders>
              <w:bottom w:val="single" w:sz="8" w:color="3C9673"/>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7"/>
                <w:szCs w:val="7"/>
                <w:b w:val="1"/>
                <w:bCs w:val="1"/>
                <w:color w:val="0F7F40"/>
              </w:rPr>
              <w:t>RiboMabs</w:t>
            </w:r>
          </w:p>
        </w:tc>
        <w:tc>
          <w:tcPr>
            <w:tcW w:w="10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7"/>
                <w:szCs w:val="7"/>
                <w:color w:val="0F7F40"/>
              </w:rPr>
              <w:t>BNT142</w:t>
            </w:r>
          </w:p>
        </w:tc>
        <w:tc>
          <w:tcPr>
            <w:tcW w:w="8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Multiple solid tumors (CD3×CLDN6)</w:t>
            </w:r>
          </w:p>
        </w:tc>
        <w:tc>
          <w:tcPr>
            <w:tcW w:w="380" w:type="dxa"/>
            <w:vAlign w:val="bottom"/>
            <w:tcBorders>
              <w:bottom w:val="single" w:sz="8" w:color="3C9673"/>
            </w:tcBorders>
          </w:tcPr>
          <w:p>
            <w:pPr>
              <w:spacing w:after="0"/>
              <w:rPr>
                <w:sz w:val="14"/>
                <w:szCs w:val="14"/>
                <w:color w:val="auto"/>
              </w:rPr>
            </w:pPr>
          </w:p>
        </w:tc>
        <w:tc>
          <w:tcPr>
            <w:tcW w:w="80" w:type="dxa"/>
            <w:vAlign w:val="bottom"/>
            <w:tcBorders>
              <w:bottom w:val="single" w:sz="8" w:color="3C9673"/>
            </w:tcBorders>
          </w:tcPr>
          <w:p>
            <w:pPr>
              <w:spacing w:after="0"/>
              <w:rPr>
                <w:sz w:val="14"/>
                <w:szCs w:val="14"/>
                <w:color w:val="auto"/>
              </w:rPr>
            </w:pPr>
          </w:p>
        </w:tc>
        <w:tc>
          <w:tcPr>
            <w:tcW w:w="420" w:type="dxa"/>
            <w:vAlign w:val="bottom"/>
            <w:tcBorders>
              <w:bottom w:val="single" w:sz="8" w:color="3C9673"/>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7"/>
                <w:szCs w:val="7"/>
                <w:color w:val="0F7F40"/>
              </w:rPr>
              <w:t>Fully owned</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7"/>
                <w:szCs w:val="7"/>
                <w:b w:val="1"/>
                <w:bCs w:val="1"/>
                <w:color w:val="0F7F40"/>
              </w:rPr>
              <w:t>RiboCytokines</w:t>
            </w:r>
          </w:p>
        </w:tc>
        <w:tc>
          <w:tcPr>
            <w:tcW w:w="10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7"/>
                <w:szCs w:val="7"/>
                <w:color w:val="0F7F40"/>
              </w:rPr>
              <w:t>BNT152 + BNT153</w:t>
            </w:r>
          </w:p>
        </w:tc>
        <w:tc>
          <w:tcPr>
            <w:tcW w:w="8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Multiple solid tumors (IL-7, IL-2)</w:t>
            </w:r>
          </w:p>
        </w:tc>
        <w:tc>
          <w:tcPr>
            <w:tcW w:w="380" w:type="dxa"/>
            <w:vAlign w:val="bottom"/>
            <w:tcBorders>
              <w:bottom w:val="single" w:sz="8" w:color="3C9673"/>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7"/>
                <w:szCs w:val="7"/>
                <w:color w:val="0F7F40"/>
              </w:rPr>
              <w:t>Fully owned</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500" w:type="dxa"/>
            <w:vAlign w:val="bottom"/>
            <w:tcBorders>
              <w:bottom w:val="single" w:sz="8" w:color="005A64"/>
            </w:tcBorders>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Borders>
              <w:bottom w:val="single" w:sz="8" w:color="005A64"/>
            </w:tcBorders>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Borders>
              <w:bottom w:val="single" w:sz="8" w:color="005A64"/>
            </w:tcBorders>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5A64"/>
            </w:tcBorders>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bottom w:val="single" w:sz="8" w:color="005A64"/>
            </w:tcBorders>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Borders>
              <w:bottom w:val="single" w:sz="8" w:color="005A64"/>
            </w:tcBorders>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bottom w:val="single" w:sz="8" w:color="005A64"/>
            </w:tcBorders>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Borders>
              <w:bottom w:val="single" w:sz="8" w:color="005A64"/>
            </w:tcBorders>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Borders>
              <w:bottom w:val="single" w:sz="8" w:color="005A64"/>
            </w:tcBorders>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Borders>
              <w:bottom w:val="single" w:sz="8" w:color="005A64"/>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500" w:type="dxa"/>
            <w:vAlign w:val="bottom"/>
          </w:tcPr>
          <w:p>
            <w:pPr>
              <w:ind w:left="20"/>
              <w:spacing w:after="0" w:line="51" w:lineRule="exact"/>
              <w:rPr>
                <w:sz w:val="20"/>
                <w:szCs w:val="20"/>
                <w:color w:val="auto"/>
              </w:rPr>
            </w:pPr>
            <w:r>
              <w:rPr>
                <w:rFonts w:ascii="Arial" w:cs="Arial" w:eastAsia="Arial" w:hAnsi="Arial"/>
                <w:sz w:val="5"/>
                <w:szCs w:val="5"/>
                <w:b w:val="1"/>
                <w:bCs w:val="1"/>
                <w:color w:val="0F7F40"/>
              </w:rPr>
              <w:t>Cell</w:t>
            </w:r>
          </w:p>
        </w:tc>
        <w:tc>
          <w:tcPr>
            <w:tcW w:w="80" w:type="dxa"/>
            <w:vAlign w:val="bottom"/>
          </w:tcPr>
          <w:p>
            <w:pPr>
              <w:spacing w:after="0"/>
              <w:rPr>
                <w:sz w:val="7"/>
                <w:szCs w:val="7"/>
                <w:color w:val="auto"/>
              </w:rPr>
            </w:pPr>
          </w:p>
        </w:tc>
        <w:tc>
          <w:tcPr>
            <w:tcW w:w="900" w:type="dxa"/>
            <w:vAlign w:val="bottom"/>
          </w:tcPr>
          <w:p>
            <w:pPr>
              <w:spacing w:after="0" w:line="51" w:lineRule="exact"/>
              <w:rPr>
                <w:sz w:val="20"/>
                <w:szCs w:val="20"/>
                <w:color w:val="auto"/>
              </w:rPr>
            </w:pPr>
            <w:r>
              <w:rPr>
                <w:rFonts w:ascii="Arial" w:cs="Arial" w:eastAsia="Arial" w:hAnsi="Arial"/>
                <w:sz w:val="5"/>
                <w:szCs w:val="5"/>
                <w:b w:val="1"/>
                <w:bCs w:val="1"/>
                <w:color w:val="0F7F40"/>
              </w:rPr>
              <w:t>CAR T cells + CARVac</w:t>
            </w:r>
          </w:p>
        </w:tc>
        <w:tc>
          <w:tcPr>
            <w:tcW w:w="100" w:type="dxa"/>
            <w:vAlign w:val="bottom"/>
          </w:tcPr>
          <w:p>
            <w:pPr>
              <w:spacing w:after="0"/>
              <w:rPr>
                <w:sz w:val="7"/>
                <w:szCs w:val="7"/>
                <w:color w:val="auto"/>
              </w:rPr>
            </w:pPr>
          </w:p>
        </w:tc>
        <w:tc>
          <w:tcPr>
            <w:tcW w:w="780" w:type="dxa"/>
            <w:vAlign w:val="bottom"/>
          </w:tcPr>
          <w:p>
            <w:pPr>
              <w:spacing w:after="0" w:line="51" w:lineRule="exact"/>
              <w:rPr>
                <w:sz w:val="20"/>
                <w:szCs w:val="20"/>
                <w:color w:val="auto"/>
              </w:rPr>
            </w:pPr>
            <w:r>
              <w:rPr>
                <w:rFonts w:ascii="Arial" w:cs="Arial" w:eastAsia="Arial" w:hAnsi="Arial"/>
                <w:sz w:val="5"/>
                <w:szCs w:val="5"/>
                <w:color w:val="0F7F40"/>
              </w:rPr>
              <w:t>BNT211</w:t>
            </w:r>
          </w:p>
        </w:tc>
        <w:tc>
          <w:tcPr>
            <w:tcW w:w="80" w:type="dxa"/>
            <w:vAlign w:val="bottom"/>
          </w:tcPr>
          <w:p>
            <w:pPr>
              <w:spacing w:after="0"/>
              <w:rPr>
                <w:sz w:val="7"/>
                <w:szCs w:val="7"/>
                <w:color w:val="auto"/>
              </w:rPr>
            </w:pPr>
          </w:p>
        </w:tc>
        <w:tc>
          <w:tcPr>
            <w:tcW w:w="1280" w:type="dxa"/>
            <w:vAlign w:val="bottom"/>
            <w:gridSpan w:val="2"/>
          </w:tcPr>
          <w:p>
            <w:pPr>
              <w:ind w:left="20"/>
              <w:spacing w:after="0" w:line="51" w:lineRule="exact"/>
              <w:rPr>
                <w:sz w:val="20"/>
                <w:szCs w:val="20"/>
                <w:color w:val="auto"/>
              </w:rPr>
            </w:pPr>
            <w:r>
              <w:rPr>
                <w:rFonts w:ascii="Arial" w:cs="Arial" w:eastAsia="Arial" w:hAnsi="Arial"/>
                <w:sz w:val="5"/>
                <w:szCs w:val="5"/>
                <w:color w:val="0F7F40"/>
              </w:rPr>
              <w:t>Multiple solid tumors (CLDN6)</w:t>
            </w:r>
          </w:p>
        </w:tc>
        <w:tc>
          <w:tcPr>
            <w:tcW w:w="380" w:type="dxa"/>
            <w:vAlign w:val="bottom"/>
            <w:tcBorders>
              <w:bottom w:val="single" w:sz="8" w:color="3C9673"/>
            </w:tcBorders>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line="51" w:lineRule="exact"/>
              <w:rPr>
                <w:sz w:val="20"/>
                <w:szCs w:val="20"/>
                <w:color w:val="auto"/>
              </w:rPr>
            </w:pPr>
            <w:r>
              <w:rPr>
                <w:rFonts w:ascii="Arial" w:cs="Arial" w:eastAsia="Arial" w:hAnsi="Arial"/>
                <w:sz w:val="5"/>
                <w:szCs w:val="5"/>
                <w:color w:val="0F7F40"/>
              </w:rPr>
              <w:t>Fully owned</w:t>
            </w: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500" w:type="dxa"/>
            <w:vAlign w:val="bottom"/>
          </w:tcPr>
          <w:p>
            <w:pPr>
              <w:ind w:left="20"/>
              <w:spacing w:after="0" w:line="56" w:lineRule="exact"/>
              <w:rPr>
                <w:sz w:val="20"/>
                <w:szCs w:val="20"/>
                <w:color w:val="auto"/>
              </w:rPr>
            </w:pPr>
            <w:r>
              <w:rPr>
                <w:rFonts w:ascii="Arial" w:cs="Arial" w:eastAsia="Arial" w:hAnsi="Arial"/>
                <w:sz w:val="6"/>
                <w:szCs w:val="6"/>
                <w:b w:val="1"/>
                <w:bCs w:val="1"/>
                <w:color w:val="0F7F40"/>
              </w:rPr>
              <w:t>therapies</w:t>
            </w:r>
          </w:p>
        </w:tc>
        <w:tc>
          <w:tcPr>
            <w:tcW w:w="80" w:type="dxa"/>
            <w:vAlign w:val="bottom"/>
          </w:tcPr>
          <w:p>
            <w:pPr>
              <w:spacing w:after="0"/>
              <w:rPr>
                <w:sz w:val="4"/>
                <w:szCs w:val="4"/>
                <w:color w:val="auto"/>
              </w:rPr>
            </w:pPr>
          </w:p>
        </w:tc>
        <w:tc>
          <w:tcPr>
            <w:tcW w:w="900" w:type="dxa"/>
            <w:vAlign w:val="bottom"/>
            <w:vMerge w:val="restart"/>
          </w:tcPr>
          <w:p>
            <w:pPr>
              <w:spacing w:after="0"/>
              <w:rPr>
                <w:sz w:val="20"/>
                <w:szCs w:val="20"/>
                <w:color w:val="auto"/>
              </w:rPr>
            </w:pPr>
            <w:r>
              <w:rPr>
                <w:rFonts w:ascii="Arial" w:cs="Arial" w:eastAsia="Arial" w:hAnsi="Arial"/>
                <w:sz w:val="7"/>
                <w:szCs w:val="7"/>
                <w:b w:val="1"/>
                <w:bCs w:val="1"/>
                <w:color w:val="0F7F40"/>
              </w:rPr>
              <w:t>Neoantigen-based T cells</w:t>
            </w:r>
          </w:p>
        </w:tc>
        <w:tc>
          <w:tcPr>
            <w:tcW w:w="100" w:type="dxa"/>
            <w:vAlign w:val="bottom"/>
          </w:tcPr>
          <w:p>
            <w:pPr>
              <w:spacing w:after="0"/>
              <w:rPr>
                <w:sz w:val="4"/>
                <w:szCs w:val="4"/>
                <w:color w:val="auto"/>
              </w:rPr>
            </w:pPr>
          </w:p>
        </w:tc>
        <w:tc>
          <w:tcPr>
            <w:tcW w:w="780" w:type="dxa"/>
            <w:vAlign w:val="bottom"/>
            <w:vMerge w:val="restart"/>
          </w:tcPr>
          <w:p>
            <w:pPr>
              <w:spacing w:after="0"/>
              <w:rPr>
                <w:sz w:val="20"/>
                <w:szCs w:val="20"/>
                <w:color w:val="auto"/>
              </w:rPr>
            </w:pPr>
            <w:r>
              <w:rPr>
                <w:rFonts w:ascii="Arial" w:cs="Arial" w:eastAsia="Arial" w:hAnsi="Arial"/>
                <w:sz w:val="7"/>
                <w:szCs w:val="7"/>
                <w:color w:val="0F7F40"/>
              </w:rPr>
              <w:t>BNT221</w:t>
            </w:r>
          </w:p>
        </w:tc>
        <w:tc>
          <w:tcPr>
            <w:tcW w:w="80" w:type="dxa"/>
            <w:vAlign w:val="bottom"/>
          </w:tcPr>
          <w:p>
            <w:pPr>
              <w:spacing w:after="0"/>
              <w:rPr>
                <w:sz w:val="4"/>
                <w:szCs w:val="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7"/>
                <w:szCs w:val="7"/>
                <w:color w:val="0F7F40"/>
              </w:rPr>
              <w:t>Refractory metastatic melanoma</w:t>
            </w: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vMerge w:val="restart"/>
          </w:tcPr>
          <w:p>
            <w:pPr>
              <w:spacing w:after="0"/>
              <w:rPr>
                <w:sz w:val="20"/>
                <w:szCs w:val="20"/>
                <w:color w:val="auto"/>
              </w:rPr>
            </w:pPr>
            <w:r>
              <w:rPr>
                <w:rFonts w:ascii="Arial" w:cs="Arial" w:eastAsia="Arial" w:hAnsi="Arial"/>
                <w:sz w:val="7"/>
                <w:szCs w:val="7"/>
                <w:color w:val="0F7F40"/>
              </w:rPr>
              <w:t>Fully owned</w:t>
            </w: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380" w:type="dxa"/>
            <w:vAlign w:val="bottom"/>
            <w:tcBorders>
              <w:bottom w:val="single" w:sz="8" w:color="3C9673"/>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500" w:type="dxa"/>
            <w:vAlign w:val="bottom"/>
            <w:tcBorders>
              <w:bottom w:val="single" w:sz="8" w:color="005A64"/>
            </w:tcBorders>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Borders>
              <w:bottom w:val="single" w:sz="8" w:color="005A64"/>
            </w:tcBorders>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Borders>
              <w:bottom w:val="single" w:sz="8" w:color="005A64"/>
            </w:tcBorders>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5A64"/>
            </w:tcBorders>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bottom w:val="single" w:sz="8" w:color="005A64"/>
            </w:tcBorders>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Borders>
              <w:bottom w:val="single" w:sz="8" w:color="005A64"/>
            </w:tcBorders>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bottom w:val="single" w:sz="8" w:color="005A64"/>
            </w:tcBorders>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Borders>
              <w:bottom w:val="single" w:sz="8" w:color="005A64"/>
            </w:tcBorders>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Borders>
              <w:bottom w:val="single" w:sz="8" w:color="005A64"/>
            </w:tcBorders>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Borders>
              <w:bottom w:val="single" w:sz="8" w:color="005A64"/>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500" w:type="dxa"/>
            <w:vAlign w:val="bottom"/>
          </w:tcPr>
          <w:p>
            <w:pPr>
              <w:ind w:left="20"/>
              <w:spacing w:after="0" w:line="51" w:lineRule="exact"/>
              <w:rPr>
                <w:sz w:val="20"/>
                <w:szCs w:val="20"/>
                <w:color w:val="auto"/>
              </w:rPr>
            </w:pPr>
            <w:r>
              <w:rPr>
                <w:rFonts w:ascii="Arial" w:cs="Arial" w:eastAsia="Arial" w:hAnsi="Arial"/>
                <w:sz w:val="5"/>
                <w:szCs w:val="5"/>
                <w:b w:val="1"/>
                <w:bCs w:val="1"/>
                <w:color w:val="0F7F40"/>
              </w:rPr>
              <w:t>Protein-</w:t>
            </w:r>
          </w:p>
        </w:tc>
        <w:tc>
          <w:tcPr>
            <w:tcW w:w="80" w:type="dxa"/>
            <w:vAlign w:val="bottom"/>
          </w:tcPr>
          <w:p>
            <w:pPr>
              <w:spacing w:after="0"/>
              <w:rPr>
                <w:sz w:val="7"/>
                <w:szCs w:val="7"/>
                <w:color w:val="auto"/>
              </w:rPr>
            </w:pPr>
          </w:p>
        </w:tc>
        <w:tc>
          <w:tcPr>
            <w:tcW w:w="900" w:type="dxa"/>
            <w:vAlign w:val="bottom"/>
          </w:tcPr>
          <w:p>
            <w:pPr>
              <w:spacing w:after="0" w:line="51" w:lineRule="exact"/>
              <w:rPr>
                <w:sz w:val="20"/>
                <w:szCs w:val="20"/>
                <w:color w:val="auto"/>
              </w:rPr>
            </w:pPr>
            <w:r>
              <w:rPr>
                <w:rFonts w:ascii="Arial" w:cs="Arial" w:eastAsia="Arial" w:hAnsi="Arial"/>
                <w:sz w:val="5"/>
                <w:szCs w:val="5"/>
                <w:b w:val="1"/>
                <w:bCs w:val="1"/>
                <w:color w:val="0F7F40"/>
              </w:rPr>
              <w:t>Next-generation</w:t>
            </w:r>
          </w:p>
        </w:tc>
        <w:tc>
          <w:tcPr>
            <w:tcW w:w="100" w:type="dxa"/>
            <w:vAlign w:val="bottom"/>
          </w:tcPr>
          <w:p>
            <w:pPr>
              <w:spacing w:after="0"/>
              <w:rPr>
                <w:sz w:val="7"/>
                <w:szCs w:val="7"/>
                <w:color w:val="auto"/>
              </w:rPr>
            </w:pPr>
          </w:p>
        </w:tc>
        <w:tc>
          <w:tcPr>
            <w:tcW w:w="780" w:type="dxa"/>
            <w:vAlign w:val="bottom"/>
          </w:tcPr>
          <w:p>
            <w:pPr>
              <w:spacing w:after="0" w:line="51" w:lineRule="exact"/>
              <w:rPr>
                <w:sz w:val="20"/>
                <w:szCs w:val="20"/>
                <w:color w:val="auto"/>
              </w:rPr>
            </w:pPr>
            <w:r>
              <w:rPr>
                <w:rFonts w:ascii="Arial" w:cs="Arial" w:eastAsia="Arial" w:hAnsi="Arial"/>
                <w:sz w:val="5"/>
                <w:szCs w:val="5"/>
                <w:color w:val="0F7F40"/>
              </w:rPr>
              <w:t>BNT311 / GEN1046</w:t>
            </w:r>
          </w:p>
        </w:tc>
        <w:tc>
          <w:tcPr>
            <w:tcW w:w="80" w:type="dxa"/>
            <w:vAlign w:val="bottom"/>
          </w:tcPr>
          <w:p>
            <w:pPr>
              <w:spacing w:after="0"/>
              <w:rPr>
                <w:sz w:val="7"/>
                <w:szCs w:val="7"/>
                <w:color w:val="auto"/>
              </w:rPr>
            </w:pPr>
          </w:p>
        </w:tc>
        <w:tc>
          <w:tcPr>
            <w:tcW w:w="1280" w:type="dxa"/>
            <w:vAlign w:val="bottom"/>
            <w:gridSpan w:val="2"/>
          </w:tcPr>
          <w:p>
            <w:pPr>
              <w:ind w:left="20"/>
              <w:spacing w:after="0" w:line="51" w:lineRule="exact"/>
              <w:rPr>
                <w:sz w:val="20"/>
                <w:szCs w:val="20"/>
                <w:color w:val="auto"/>
              </w:rPr>
            </w:pPr>
            <w:r>
              <w:rPr>
                <w:rFonts w:ascii="Arial" w:cs="Arial" w:eastAsia="Arial" w:hAnsi="Arial"/>
                <w:sz w:val="5"/>
                <w:szCs w:val="5"/>
                <w:color w:val="0F7F40"/>
              </w:rPr>
              <w:t>aPD(L)1-R/R metastatic NSCLC</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line="51" w:lineRule="exact"/>
              <w:rPr>
                <w:sz w:val="20"/>
                <w:szCs w:val="20"/>
                <w:color w:val="auto"/>
              </w:rPr>
            </w:pPr>
            <w:r>
              <w:rPr>
                <w:rFonts w:ascii="Arial" w:cs="Arial" w:eastAsia="Arial" w:hAnsi="Arial"/>
                <w:sz w:val="5"/>
                <w:szCs w:val="5"/>
                <w:color w:val="0F7F40"/>
              </w:rPr>
              <w:t>Collaboration</w:t>
            </w:r>
          </w:p>
        </w:tc>
        <w:tc>
          <w:tcPr>
            <w:tcW w:w="80" w:type="dxa"/>
            <w:vAlign w:val="bottom"/>
          </w:tcPr>
          <w:p>
            <w:pPr>
              <w:spacing w:after="0"/>
              <w:rPr>
                <w:sz w:val="7"/>
                <w:szCs w:val="7"/>
                <w:color w:val="auto"/>
              </w:rPr>
            </w:pPr>
          </w:p>
        </w:tc>
        <w:tc>
          <w:tcPr>
            <w:tcW w:w="500" w:type="dxa"/>
            <w:vAlign w:val="bottom"/>
          </w:tcPr>
          <w:p>
            <w:pPr>
              <w:spacing w:after="0" w:line="51" w:lineRule="exact"/>
              <w:rPr>
                <w:sz w:val="20"/>
                <w:szCs w:val="20"/>
                <w:color w:val="auto"/>
              </w:rPr>
            </w:pPr>
            <w:r>
              <w:rPr>
                <w:rFonts w:ascii="Arial" w:cs="Arial" w:eastAsia="Arial" w:hAnsi="Arial"/>
                <w:sz w:val="5"/>
                <w:szCs w:val="5"/>
                <w:color w:val="0F7F40"/>
              </w:rPr>
              <w:t>Genmab</w:t>
            </w:r>
          </w:p>
        </w:tc>
        <w:tc>
          <w:tcPr>
            <w:tcW w:w="0" w:type="dxa"/>
            <w:vAlign w:val="bottom"/>
          </w:tcPr>
          <w:p>
            <w:pPr>
              <w:spacing w:after="0"/>
              <w:rPr>
                <w:sz w:val="1"/>
                <w:szCs w:val="1"/>
                <w:color w:val="auto"/>
              </w:rPr>
            </w:pPr>
          </w:p>
        </w:tc>
      </w:tr>
      <w:tr>
        <w:trPr>
          <w:trHeight w:val="20"/>
        </w:trPr>
        <w:tc>
          <w:tcPr>
            <w:tcW w:w="500" w:type="dxa"/>
            <w:vAlign w:val="bottom"/>
          </w:tcPr>
          <w:p>
            <w:pPr>
              <w:ind w:left="20"/>
              <w:spacing w:after="0" w:line="21" w:lineRule="exact"/>
              <w:rPr>
                <w:sz w:val="20"/>
                <w:szCs w:val="20"/>
                <w:color w:val="auto"/>
              </w:rPr>
            </w:pPr>
            <w:r>
              <w:rPr>
                <w:rFonts w:ascii="Arial" w:cs="Arial" w:eastAsia="Arial" w:hAnsi="Arial"/>
                <w:sz w:val="2"/>
                <w:szCs w:val="2"/>
                <w:b w:val="1"/>
                <w:bCs w:val="1"/>
                <w:color w:val="0F7F40"/>
              </w:rPr>
              <w:t>based</w:t>
            </w:r>
          </w:p>
        </w:tc>
        <w:tc>
          <w:tcPr>
            <w:tcW w:w="80" w:type="dxa"/>
            <w:vAlign w:val="bottom"/>
          </w:tcPr>
          <w:p>
            <w:pPr>
              <w:spacing w:after="0" w:line="20" w:lineRule="exact"/>
              <w:rPr>
                <w:sz w:val="1"/>
                <w:szCs w:val="1"/>
                <w:color w:val="auto"/>
              </w:rPr>
            </w:pPr>
          </w:p>
        </w:tc>
        <w:tc>
          <w:tcPr>
            <w:tcW w:w="900" w:type="dxa"/>
            <w:vAlign w:val="bottom"/>
          </w:tcPr>
          <w:p>
            <w:pPr>
              <w:spacing w:after="0" w:line="21" w:lineRule="exact"/>
              <w:rPr>
                <w:sz w:val="20"/>
                <w:szCs w:val="20"/>
                <w:color w:val="auto"/>
              </w:rPr>
            </w:pPr>
            <w:r>
              <w:rPr>
                <w:rFonts w:ascii="Arial" w:cs="Arial" w:eastAsia="Arial" w:hAnsi="Arial"/>
                <w:sz w:val="2"/>
                <w:szCs w:val="2"/>
                <w:b w:val="1"/>
                <w:bCs w:val="1"/>
                <w:color w:val="0F7F40"/>
              </w:rPr>
              <w:t>immune checkpoint</w:t>
            </w:r>
          </w:p>
        </w:tc>
        <w:tc>
          <w:tcPr>
            <w:tcW w:w="100" w:type="dxa"/>
            <w:vAlign w:val="bottom"/>
          </w:tcPr>
          <w:p>
            <w:pPr>
              <w:spacing w:after="0" w:line="20" w:lineRule="exact"/>
              <w:rPr>
                <w:sz w:val="1"/>
                <w:szCs w:val="1"/>
                <w:color w:val="auto"/>
              </w:rPr>
            </w:pPr>
          </w:p>
        </w:tc>
        <w:tc>
          <w:tcPr>
            <w:tcW w:w="780" w:type="dxa"/>
            <w:vAlign w:val="bottom"/>
          </w:tcPr>
          <w:p>
            <w:pPr>
              <w:spacing w:after="0" w:line="21" w:lineRule="exact"/>
              <w:rPr>
                <w:sz w:val="20"/>
                <w:szCs w:val="20"/>
                <w:color w:val="auto"/>
              </w:rPr>
            </w:pPr>
            <w:r>
              <w:rPr>
                <w:rFonts w:ascii="Arial" w:cs="Arial" w:eastAsia="Arial" w:hAnsi="Arial"/>
                <w:sz w:val="2"/>
                <w:szCs w:val="2"/>
                <w:color w:val="0F7F40"/>
              </w:rPr>
              <w:t>(acasunlimab)4</w:t>
            </w:r>
          </w:p>
        </w:tc>
        <w:tc>
          <w:tcPr>
            <w:tcW w:w="80" w:type="dxa"/>
            <w:vAlign w:val="bottom"/>
          </w:tcPr>
          <w:p>
            <w:pPr>
              <w:spacing w:after="0" w:line="20" w:lineRule="exact"/>
              <w:rPr>
                <w:sz w:val="1"/>
                <w:szCs w:val="1"/>
                <w:color w:val="auto"/>
              </w:rPr>
            </w:pPr>
          </w:p>
        </w:tc>
        <w:tc>
          <w:tcPr>
            <w:tcW w:w="1280" w:type="dxa"/>
            <w:vAlign w:val="bottom"/>
            <w:gridSpan w:val="2"/>
          </w:tcPr>
          <w:p>
            <w:pPr>
              <w:ind w:left="20"/>
              <w:spacing w:after="0" w:line="21" w:lineRule="exact"/>
              <w:rPr>
                <w:sz w:val="20"/>
                <w:szCs w:val="20"/>
                <w:color w:val="auto"/>
              </w:rPr>
            </w:pPr>
            <w:r>
              <w:rPr>
                <w:rFonts w:ascii="Arial" w:cs="Arial" w:eastAsia="Arial" w:hAnsi="Arial"/>
                <w:sz w:val="2"/>
                <w:szCs w:val="2"/>
                <w:color w:val="0F7F40"/>
              </w:rPr>
              <w:t>(PD-L1×4-1BB)</w:t>
            </w:r>
          </w:p>
        </w:tc>
        <w:tc>
          <w:tcPr>
            <w:tcW w:w="380" w:type="dxa"/>
            <w:vAlign w:val="bottom"/>
            <w:tcBorders>
              <w:top w:val="single" w:sz="8" w:color="3C9673"/>
            </w:tcBorders>
          </w:tcPr>
          <w:p>
            <w:pPr>
              <w:spacing w:after="0" w:line="20" w:lineRule="exact"/>
              <w:rPr>
                <w:sz w:val="1"/>
                <w:szCs w:val="1"/>
                <w:color w:val="auto"/>
              </w:rPr>
            </w:pPr>
          </w:p>
        </w:tc>
        <w:tc>
          <w:tcPr>
            <w:tcW w:w="80" w:type="dxa"/>
            <w:vAlign w:val="bottom"/>
            <w:tcBorders>
              <w:top w:val="single" w:sz="8" w:color="3C9673"/>
            </w:tcBorders>
          </w:tcPr>
          <w:p>
            <w:pPr>
              <w:spacing w:after="0" w:line="20" w:lineRule="exact"/>
              <w:rPr>
                <w:sz w:val="1"/>
                <w:szCs w:val="1"/>
                <w:color w:val="auto"/>
              </w:rPr>
            </w:pPr>
          </w:p>
        </w:tc>
        <w:tc>
          <w:tcPr>
            <w:tcW w:w="420" w:type="dxa"/>
            <w:vAlign w:val="bottom"/>
            <w:tcBorders>
              <w:top w:val="single" w:sz="8" w:color="3C9673"/>
            </w:tcBorders>
          </w:tcPr>
          <w:p>
            <w:pPr>
              <w:spacing w:after="0" w:line="20" w:lineRule="exact"/>
              <w:rPr>
                <w:sz w:val="1"/>
                <w:szCs w:val="1"/>
                <w:color w:val="auto"/>
              </w:rPr>
            </w:pPr>
          </w:p>
        </w:tc>
        <w:tc>
          <w:tcPr>
            <w:tcW w:w="80" w:type="dxa"/>
            <w:vAlign w:val="bottom"/>
            <w:tcBorders>
              <w:top w:val="single" w:sz="8" w:color="3C9673"/>
            </w:tcBorders>
          </w:tcPr>
          <w:p>
            <w:pPr>
              <w:spacing w:after="0" w:line="20" w:lineRule="exact"/>
              <w:rPr>
                <w:sz w:val="1"/>
                <w:szCs w:val="1"/>
                <w:color w:val="auto"/>
              </w:rPr>
            </w:pPr>
          </w:p>
        </w:tc>
        <w:tc>
          <w:tcPr>
            <w:tcW w:w="380" w:type="dxa"/>
            <w:vAlign w:val="bottom"/>
            <w:tcBorders>
              <w:top w:val="single" w:sz="8" w:color="3C9673"/>
            </w:tcBorders>
          </w:tcPr>
          <w:p>
            <w:pPr>
              <w:spacing w:after="0" w:line="20" w:lineRule="exact"/>
              <w:rPr>
                <w:sz w:val="1"/>
                <w:szCs w:val="1"/>
                <w:color w:val="auto"/>
              </w:rPr>
            </w:pPr>
          </w:p>
        </w:tc>
        <w:tc>
          <w:tcPr>
            <w:tcW w:w="80" w:type="dxa"/>
            <w:vAlign w:val="bottom"/>
            <w:tcBorders>
              <w:top w:val="single" w:sz="8" w:color="3C9673"/>
            </w:tcBorders>
          </w:tcPr>
          <w:p>
            <w:pPr>
              <w:spacing w:after="0" w:line="20" w:lineRule="exact"/>
              <w:rPr>
                <w:sz w:val="1"/>
                <w:szCs w:val="1"/>
                <w:color w:val="auto"/>
              </w:rPr>
            </w:pPr>
          </w:p>
        </w:tc>
        <w:tc>
          <w:tcPr>
            <w:tcW w:w="400" w:type="dxa"/>
            <w:vAlign w:val="bottom"/>
            <w:tcBorders>
              <w:top w:val="single" w:sz="8" w:color="3C967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500" w:type="dxa"/>
            <w:vAlign w:val="bottom"/>
          </w:tcPr>
          <w:p>
            <w:pPr>
              <w:ind w:left="20"/>
              <w:spacing w:after="0"/>
              <w:rPr>
                <w:sz w:val="20"/>
                <w:szCs w:val="20"/>
                <w:color w:val="auto"/>
              </w:rPr>
            </w:pPr>
            <w:r>
              <w:rPr>
                <w:rFonts w:ascii="Arial" w:cs="Arial" w:eastAsia="Arial" w:hAnsi="Arial"/>
                <w:sz w:val="7"/>
                <w:szCs w:val="7"/>
                <w:b w:val="1"/>
                <w:bCs w:val="1"/>
                <w:color w:val="0F7F40"/>
              </w:rPr>
              <w:t>therapeutics</w:t>
            </w:r>
          </w:p>
        </w:tc>
        <w:tc>
          <w:tcPr>
            <w:tcW w:w="80" w:type="dxa"/>
            <w:vAlign w:val="bottom"/>
          </w:tcPr>
          <w:p>
            <w:pPr>
              <w:spacing w:after="0"/>
              <w:rPr>
                <w:sz w:val="8"/>
                <w:szCs w:val="8"/>
                <w:color w:val="auto"/>
              </w:rPr>
            </w:pPr>
          </w:p>
        </w:tc>
        <w:tc>
          <w:tcPr>
            <w:tcW w:w="900" w:type="dxa"/>
            <w:vAlign w:val="bottom"/>
          </w:tcPr>
          <w:p>
            <w:pPr>
              <w:spacing w:after="0"/>
              <w:rPr>
                <w:sz w:val="20"/>
                <w:szCs w:val="20"/>
                <w:color w:val="auto"/>
              </w:rPr>
            </w:pPr>
            <w:r>
              <w:rPr>
                <w:rFonts w:ascii="Arial" w:cs="Arial" w:eastAsia="Arial" w:hAnsi="Arial"/>
                <w:sz w:val="7"/>
                <w:szCs w:val="7"/>
                <w:b w:val="1"/>
                <w:bCs w:val="1"/>
                <w:color w:val="0F7F40"/>
              </w:rPr>
              <w:t>modulators</w:t>
            </w:r>
          </w:p>
        </w:tc>
        <w:tc>
          <w:tcPr>
            <w:tcW w:w="100" w:type="dxa"/>
            <w:vAlign w:val="bottom"/>
          </w:tcPr>
          <w:p>
            <w:pPr>
              <w:spacing w:after="0"/>
              <w:rPr>
                <w:sz w:val="8"/>
                <w:szCs w:val="8"/>
                <w:color w:val="auto"/>
              </w:rPr>
            </w:pPr>
          </w:p>
        </w:tc>
        <w:tc>
          <w:tcPr>
            <w:tcW w:w="780" w:type="dxa"/>
            <w:vAlign w:val="bottom"/>
            <w:vMerge w:val="restart"/>
          </w:tcPr>
          <w:p>
            <w:pPr>
              <w:spacing w:after="0"/>
              <w:rPr>
                <w:sz w:val="20"/>
                <w:szCs w:val="20"/>
                <w:color w:val="auto"/>
              </w:rPr>
            </w:pPr>
            <w:r>
              <w:rPr>
                <w:rFonts w:ascii="Arial" w:cs="Arial" w:eastAsia="Arial" w:hAnsi="Arial"/>
                <w:sz w:val="7"/>
                <w:szCs w:val="7"/>
                <w:color w:val="0F7F40"/>
              </w:rPr>
              <w:t>BNT312 / GEN1042</w:t>
            </w:r>
          </w:p>
        </w:tc>
        <w:tc>
          <w:tcPr>
            <w:tcW w:w="80" w:type="dxa"/>
            <w:vAlign w:val="bottom"/>
          </w:tcPr>
          <w:p>
            <w:pPr>
              <w:spacing w:after="0"/>
              <w:rPr>
                <w:sz w:val="8"/>
                <w:szCs w:val="8"/>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7"/>
                <w:szCs w:val="7"/>
                <w:color w:val="0F7F40"/>
              </w:rPr>
              <w:t>Multiple solid tumors (CD40×4-1BB)</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80" w:type="dxa"/>
            <w:vAlign w:val="bottom"/>
            <w:tcBorders>
              <w:bottom w:val="single" w:sz="8" w:color="3C9673"/>
            </w:tcBorders>
          </w:tcPr>
          <w:p>
            <w:pPr>
              <w:spacing w:after="0"/>
              <w:rPr>
                <w:sz w:val="4"/>
                <w:szCs w:val="4"/>
                <w:color w:val="auto"/>
              </w:rPr>
            </w:pPr>
          </w:p>
        </w:tc>
        <w:tc>
          <w:tcPr>
            <w:tcW w:w="80" w:type="dxa"/>
            <w:vAlign w:val="bottom"/>
            <w:tcBorders>
              <w:bottom w:val="single" w:sz="8" w:color="3C9673"/>
            </w:tcBorders>
          </w:tcPr>
          <w:p>
            <w:pPr>
              <w:spacing w:after="0"/>
              <w:rPr>
                <w:sz w:val="4"/>
                <w:szCs w:val="4"/>
                <w:color w:val="auto"/>
              </w:rPr>
            </w:pPr>
          </w:p>
        </w:tc>
        <w:tc>
          <w:tcPr>
            <w:tcW w:w="420" w:type="dxa"/>
            <w:vAlign w:val="bottom"/>
            <w:tcBorders>
              <w:bottom w:val="single" w:sz="8" w:color="3C9673"/>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7"/>
                <w:szCs w:val="7"/>
                <w:color w:val="0F7F40"/>
              </w:rPr>
              <w:t>BNT314 / GEN1059</w:t>
            </w:r>
          </w:p>
        </w:tc>
        <w:tc>
          <w:tcPr>
            <w:tcW w:w="8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Multiple solid tumors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gridSpan w:val="2"/>
          </w:tcPr>
          <w:p>
            <w:pPr>
              <w:ind w:left="20"/>
              <w:spacing w:after="0" w:line="42" w:lineRule="exact"/>
              <w:rPr>
                <w:sz w:val="20"/>
                <w:szCs w:val="20"/>
                <w:color w:val="auto"/>
              </w:rPr>
            </w:pPr>
            <w:r>
              <w:rPr>
                <w:rFonts w:ascii="Arial" w:cs="Arial" w:eastAsia="Arial" w:hAnsi="Arial"/>
                <w:sz w:val="4"/>
                <w:szCs w:val="4"/>
                <w:color w:val="0F7F40"/>
              </w:rPr>
              <w:t>(EpCAM×4-1BB)</w:t>
            </w:r>
          </w:p>
        </w:tc>
        <w:tc>
          <w:tcPr>
            <w:tcW w:w="380" w:type="dxa"/>
            <w:vAlign w:val="bottom"/>
            <w:tcBorders>
              <w:top w:val="single" w:sz="8" w:color="3C9673"/>
            </w:tcBorders>
          </w:tcPr>
          <w:p>
            <w:pPr>
              <w:spacing w:after="0"/>
              <w:rPr>
                <w:sz w:val="3"/>
                <w:szCs w:val="3"/>
                <w:color w:val="auto"/>
              </w:rPr>
            </w:pPr>
          </w:p>
        </w:tc>
        <w:tc>
          <w:tcPr>
            <w:tcW w:w="80" w:type="dxa"/>
            <w:vAlign w:val="bottom"/>
            <w:tcBorders>
              <w:top w:val="single" w:sz="8" w:color="3C9673"/>
            </w:tcBorders>
          </w:tcPr>
          <w:p>
            <w:pPr>
              <w:spacing w:after="0"/>
              <w:rPr>
                <w:sz w:val="3"/>
                <w:szCs w:val="3"/>
                <w:color w:val="auto"/>
              </w:rPr>
            </w:pPr>
          </w:p>
        </w:tc>
        <w:tc>
          <w:tcPr>
            <w:tcW w:w="420" w:type="dxa"/>
            <w:vAlign w:val="bottom"/>
            <w:tcBorders>
              <w:top w:val="single" w:sz="8" w:color="3C9673"/>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0"/>
        </w:trPr>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20"/>
                <w:szCs w:val="20"/>
                <w:color w:val="auto"/>
              </w:rPr>
            </w:pPr>
            <w:r>
              <w:rPr>
                <w:rFonts w:ascii="Arial" w:cs="Arial" w:eastAsia="Arial" w:hAnsi="Arial"/>
                <w:sz w:val="7"/>
                <w:szCs w:val="7"/>
                <w:color w:val="0F7F40"/>
              </w:rPr>
              <w:t>BNT315 / GEN1055</w:t>
            </w:r>
          </w:p>
        </w:tc>
        <w:tc>
          <w:tcPr>
            <w:tcW w:w="80" w:type="dxa"/>
            <w:vAlign w:val="bottom"/>
          </w:tcPr>
          <w:p>
            <w:pPr>
              <w:spacing w:after="0"/>
              <w:rPr>
                <w:sz w:val="9"/>
                <w:szCs w:val="9"/>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Multiple solid tumors (OX40)</w:t>
            </w:r>
          </w:p>
        </w:tc>
        <w:tc>
          <w:tcPr>
            <w:tcW w:w="38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420" w:type="dxa"/>
            <w:vAlign w:val="bottom"/>
            <w:tcBorders>
              <w:bottom w:val="single" w:sz="8" w:color="3C9673"/>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7"/>
                <w:szCs w:val="7"/>
                <w:color w:val="0F7F40"/>
              </w:rPr>
              <w:t>BNT322 / GEN1056</w:t>
            </w:r>
          </w:p>
        </w:tc>
        <w:tc>
          <w:tcPr>
            <w:tcW w:w="80" w:type="dxa"/>
            <w:vAlign w:val="bottom"/>
          </w:tcPr>
          <w:p>
            <w:pPr>
              <w:spacing w:after="0"/>
              <w:rPr>
                <w:sz w:val="13"/>
                <w:szCs w:val="13"/>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Multiple solid tumors</w:t>
            </w:r>
          </w:p>
        </w:tc>
        <w:tc>
          <w:tcPr>
            <w:tcW w:w="380" w:type="dxa"/>
            <w:vAlign w:val="bottom"/>
            <w:tcBorders>
              <w:bottom w:val="single" w:sz="8" w:color="3C9673"/>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7"/>
                <w:szCs w:val="7"/>
                <w:color w:val="0F7F40"/>
              </w:rPr>
              <w:t>BNT316 / ONC-392</w:t>
            </w:r>
          </w:p>
        </w:tc>
        <w:tc>
          <w:tcPr>
            <w:tcW w:w="8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aPD(L)1-R/R metastatic NSCLC</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7"/>
                <w:szCs w:val="7"/>
                <w:color w:val="0F7F40"/>
              </w:rPr>
              <w:t>Collaboration</w:t>
            </w:r>
          </w:p>
        </w:tc>
        <w:tc>
          <w:tcPr>
            <w:tcW w:w="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7"/>
                <w:szCs w:val="7"/>
                <w:color w:val="0F7F40"/>
              </w:rPr>
              <w:t>OncoC4</w:t>
            </w:r>
          </w:p>
        </w:tc>
        <w:tc>
          <w:tcPr>
            <w:tcW w:w="0" w:type="dxa"/>
            <w:vAlign w:val="bottom"/>
          </w:tcPr>
          <w:p>
            <w:pPr>
              <w:spacing w:after="0"/>
              <w:rPr>
                <w:sz w:val="1"/>
                <w:szCs w:val="1"/>
                <w:color w:val="auto"/>
              </w:rPr>
            </w:pPr>
          </w:p>
        </w:tc>
      </w:tr>
      <w:tr>
        <w:trPr>
          <w:trHeight w:val="41"/>
        </w:trPr>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line="42" w:lineRule="exact"/>
              <w:rPr>
                <w:sz w:val="20"/>
                <w:szCs w:val="20"/>
                <w:color w:val="auto"/>
              </w:rPr>
            </w:pPr>
            <w:r>
              <w:rPr>
                <w:rFonts w:ascii="Arial" w:cs="Arial" w:eastAsia="Arial" w:hAnsi="Arial"/>
                <w:sz w:val="4"/>
                <w:szCs w:val="4"/>
                <w:color w:val="0F7F40"/>
              </w:rPr>
              <w:t>(gotistobart)</w:t>
            </w:r>
          </w:p>
        </w:tc>
        <w:tc>
          <w:tcPr>
            <w:tcW w:w="80" w:type="dxa"/>
            <w:vAlign w:val="bottom"/>
          </w:tcPr>
          <w:p>
            <w:pPr>
              <w:spacing w:after="0"/>
              <w:rPr>
                <w:sz w:val="3"/>
                <w:szCs w:val="3"/>
                <w:color w:val="auto"/>
              </w:rPr>
            </w:pPr>
          </w:p>
        </w:tc>
        <w:tc>
          <w:tcPr>
            <w:tcW w:w="1280" w:type="dxa"/>
            <w:vAlign w:val="bottom"/>
            <w:gridSpan w:val="2"/>
          </w:tcPr>
          <w:p>
            <w:pPr>
              <w:ind w:left="20"/>
              <w:spacing w:after="0" w:line="42" w:lineRule="exact"/>
              <w:rPr>
                <w:sz w:val="20"/>
                <w:szCs w:val="20"/>
                <w:color w:val="auto"/>
              </w:rPr>
            </w:pPr>
            <w:r>
              <w:rPr>
                <w:rFonts w:ascii="Arial" w:cs="Arial" w:eastAsia="Arial" w:hAnsi="Arial"/>
                <w:sz w:val="4"/>
                <w:szCs w:val="4"/>
                <w:color w:val="0F7F40"/>
              </w:rPr>
              <w:t>(CTLA-4)</w:t>
            </w:r>
          </w:p>
        </w:tc>
        <w:tc>
          <w:tcPr>
            <w:tcW w:w="380" w:type="dxa"/>
            <w:vAlign w:val="bottom"/>
            <w:tcBorders>
              <w:top w:val="single" w:sz="8" w:color="3C9673"/>
            </w:tcBorders>
          </w:tcPr>
          <w:p>
            <w:pPr>
              <w:spacing w:after="0"/>
              <w:rPr>
                <w:sz w:val="3"/>
                <w:szCs w:val="3"/>
                <w:color w:val="auto"/>
              </w:rPr>
            </w:pPr>
          </w:p>
        </w:tc>
        <w:tc>
          <w:tcPr>
            <w:tcW w:w="80" w:type="dxa"/>
            <w:vAlign w:val="bottom"/>
            <w:tcBorders>
              <w:top w:val="single" w:sz="8" w:color="3C9673"/>
            </w:tcBorders>
          </w:tcPr>
          <w:p>
            <w:pPr>
              <w:spacing w:after="0"/>
              <w:rPr>
                <w:sz w:val="3"/>
                <w:szCs w:val="3"/>
                <w:color w:val="auto"/>
              </w:rPr>
            </w:pPr>
          </w:p>
        </w:tc>
        <w:tc>
          <w:tcPr>
            <w:tcW w:w="420" w:type="dxa"/>
            <w:vAlign w:val="bottom"/>
            <w:tcBorders>
              <w:top w:val="single" w:sz="8" w:color="3C9673"/>
            </w:tcBorders>
          </w:tcPr>
          <w:p>
            <w:pPr>
              <w:spacing w:after="0"/>
              <w:rPr>
                <w:sz w:val="3"/>
                <w:szCs w:val="3"/>
                <w:color w:val="auto"/>
              </w:rPr>
            </w:pPr>
          </w:p>
        </w:tc>
        <w:tc>
          <w:tcPr>
            <w:tcW w:w="80" w:type="dxa"/>
            <w:vAlign w:val="bottom"/>
            <w:tcBorders>
              <w:top w:val="single" w:sz="8" w:color="3C9673"/>
            </w:tcBorders>
          </w:tcPr>
          <w:p>
            <w:pPr>
              <w:spacing w:after="0"/>
              <w:rPr>
                <w:sz w:val="3"/>
                <w:szCs w:val="3"/>
                <w:color w:val="auto"/>
              </w:rPr>
            </w:pPr>
          </w:p>
        </w:tc>
        <w:tc>
          <w:tcPr>
            <w:tcW w:w="380" w:type="dxa"/>
            <w:vAlign w:val="bottom"/>
            <w:tcBorders>
              <w:top w:val="single" w:sz="8" w:color="3C9673"/>
            </w:tcBorders>
          </w:tcPr>
          <w:p>
            <w:pPr>
              <w:spacing w:after="0"/>
              <w:rPr>
                <w:sz w:val="3"/>
                <w:szCs w:val="3"/>
                <w:color w:val="auto"/>
              </w:rPr>
            </w:pPr>
          </w:p>
        </w:tc>
        <w:tc>
          <w:tcPr>
            <w:tcW w:w="80" w:type="dxa"/>
            <w:vAlign w:val="bottom"/>
            <w:tcBorders>
              <w:top w:val="single" w:sz="8" w:color="3C9673"/>
            </w:tcBorders>
          </w:tcPr>
          <w:p>
            <w:pPr>
              <w:spacing w:after="0"/>
              <w:rPr>
                <w:sz w:val="3"/>
                <w:szCs w:val="3"/>
                <w:color w:val="auto"/>
              </w:rPr>
            </w:pPr>
          </w:p>
        </w:tc>
        <w:tc>
          <w:tcPr>
            <w:tcW w:w="400" w:type="dxa"/>
            <w:vAlign w:val="bottom"/>
            <w:tcBorders>
              <w:top w:val="single" w:sz="8" w:color="3C9673"/>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Platinum-resistant ovarian cancer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gridSpan w:val="2"/>
          </w:tcPr>
          <w:p>
            <w:pPr>
              <w:ind w:left="20"/>
              <w:spacing w:after="0" w:line="42" w:lineRule="exact"/>
              <w:rPr>
                <w:sz w:val="20"/>
                <w:szCs w:val="20"/>
                <w:color w:val="auto"/>
              </w:rPr>
            </w:pPr>
            <w:r>
              <w:rPr>
                <w:rFonts w:ascii="Arial" w:cs="Arial" w:eastAsia="Arial" w:hAnsi="Arial"/>
                <w:sz w:val="4"/>
                <w:szCs w:val="4"/>
                <w:color w:val="0F7F40"/>
              </w:rPr>
              <w:t>(CTLA-4)</w:t>
            </w:r>
          </w:p>
        </w:tc>
        <w:tc>
          <w:tcPr>
            <w:tcW w:w="380" w:type="dxa"/>
            <w:vAlign w:val="bottom"/>
            <w:tcBorders>
              <w:top w:val="single" w:sz="8" w:color="3C9673"/>
            </w:tcBorders>
          </w:tcPr>
          <w:p>
            <w:pPr>
              <w:spacing w:after="0"/>
              <w:rPr>
                <w:sz w:val="3"/>
                <w:szCs w:val="3"/>
                <w:color w:val="auto"/>
              </w:rPr>
            </w:pPr>
          </w:p>
        </w:tc>
        <w:tc>
          <w:tcPr>
            <w:tcW w:w="80" w:type="dxa"/>
            <w:vAlign w:val="bottom"/>
            <w:tcBorders>
              <w:top w:val="single" w:sz="8" w:color="3C9673"/>
            </w:tcBorders>
          </w:tcPr>
          <w:p>
            <w:pPr>
              <w:spacing w:after="0"/>
              <w:rPr>
                <w:sz w:val="3"/>
                <w:szCs w:val="3"/>
                <w:color w:val="auto"/>
              </w:rPr>
            </w:pPr>
          </w:p>
        </w:tc>
        <w:tc>
          <w:tcPr>
            <w:tcW w:w="420" w:type="dxa"/>
            <w:vAlign w:val="bottom"/>
            <w:tcBorders>
              <w:top w:val="single" w:sz="8" w:color="3C9673"/>
            </w:tcBorders>
          </w:tcPr>
          <w:p>
            <w:pPr>
              <w:spacing w:after="0"/>
              <w:rPr>
                <w:sz w:val="3"/>
                <w:szCs w:val="3"/>
                <w:color w:val="auto"/>
              </w:rPr>
            </w:pPr>
          </w:p>
        </w:tc>
        <w:tc>
          <w:tcPr>
            <w:tcW w:w="80" w:type="dxa"/>
            <w:vAlign w:val="bottom"/>
            <w:tcBorders>
              <w:top w:val="single" w:sz="8" w:color="3C9673"/>
            </w:tcBorders>
          </w:tcPr>
          <w:p>
            <w:pPr>
              <w:spacing w:after="0"/>
              <w:rPr>
                <w:sz w:val="3"/>
                <w:szCs w:val="3"/>
                <w:color w:val="auto"/>
              </w:rPr>
            </w:pPr>
          </w:p>
        </w:tc>
        <w:tc>
          <w:tcPr>
            <w:tcW w:w="380" w:type="dxa"/>
            <w:vAlign w:val="bottom"/>
            <w:tcBorders>
              <w:top w:val="single" w:sz="8" w:color="3C9673"/>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Metastatic castration-resistant</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gridSpan w:val="2"/>
          </w:tcPr>
          <w:p>
            <w:pPr>
              <w:ind w:left="20"/>
              <w:spacing w:after="0" w:line="42" w:lineRule="exact"/>
              <w:rPr>
                <w:sz w:val="20"/>
                <w:szCs w:val="20"/>
                <w:color w:val="auto"/>
              </w:rPr>
            </w:pPr>
            <w:r>
              <w:rPr>
                <w:rFonts w:ascii="Arial" w:cs="Arial" w:eastAsia="Arial" w:hAnsi="Arial"/>
                <w:sz w:val="4"/>
                <w:szCs w:val="4"/>
                <w:color w:val="0F7F40"/>
              </w:rPr>
              <w:t>prostate cancer (CTLA-4)</w:t>
            </w:r>
          </w:p>
        </w:tc>
        <w:tc>
          <w:tcPr>
            <w:tcW w:w="380" w:type="dxa"/>
            <w:vAlign w:val="bottom"/>
            <w:tcBorders>
              <w:top w:val="single" w:sz="8" w:color="3C9673"/>
            </w:tcBorders>
          </w:tcPr>
          <w:p>
            <w:pPr>
              <w:spacing w:after="0"/>
              <w:rPr>
                <w:sz w:val="3"/>
                <w:szCs w:val="3"/>
                <w:color w:val="auto"/>
              </w:rPr>
            </w:pPr>
          </w:p>
        </w:tc>
        <w:tc>
          <w:tcPr>
            <w:tcW w:w="80" w:type="dxa"/>
            <w:vAlign w:val="bottom"/>
            <w:tcBorders>
              <w:top w:val="single" w:sz="8" w:color="3C9673"/>
            </w:tcBorders>
          </w:tcPr>
          <w:p>
            <w:pPr>
              <w:spacing w:after="0"/>
              <w:rPr>
                <w:sz w:val="3"/>
                <w:szCs w:val="3"/>
                <w:color w:val="auto"/>
              </w:rPr>
            </w:pPr>
          </w:p>
        </w:tc>
        <w:tc>
          <w:tcPr>
            <w:tcW w:w="420" w:type="dxa"/>
            <w:vAlign w:val="bottom"/>
            <w:tcBorders>
              <w:top w:val="single" w:sz="8" w:color="3C9673"/>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Multiple solid tumors (CTLA-4)</w:t>
            </w:r>
          </w:p>
        </w:tc>
        <w:tc>
          <w:tcPr>
            <w:tcW w:w="380" w:type="dxa"/>
            <w:vAlign w:val="bottom"/>
            <w:tcBorders>
              <w:bottom w:val="single" w:sz="8" w:color="3C9673"/>
            </w:tcBorders>
          </w:tcPr>
          <w:p>
            <w:pPr>
              <w:spacing w:after="0"/>
              <w:rPr>
                <w:sz w:val="11"/>
                <w:szCs w:val="11"/>
                <w:color w:val="auto"/>
              </w:rPr>
            </w:pPr>
          </w:p>
        </w:tc>
        <w:tc>
          <w:tcPr>
            <w:tcW w:w="80" w:type="dxa"/>
            <w:vAlign w:val="bottom"/>
            <w:tcBorders>
              <w:bottom w:val="single" w:sz="8" w:color="3C9673"/>
            </w:tcBorders>
          </w:tcPr>
          <w:p>
            <w:pPr>
              <w:spacing w:after="0"/>
              <w:rPr>
                <w:sz w:val="11"/>
                <w:szCs w:val="11"/>
                <w:color w:val="auto"/>
              </w:rPr>
            </w:pPr>
          </w:p>
        </w:tc>
        <w:tc>
          <w:tcPr>
            <w:tcW w:w="420" w:type="dxa"/>
            <w:vAlign w:val="bottom"/>
            <w:tcBorders>
              <w:bottom w:val="single" w:sz="8" w:color="3C9673"/>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7"/>
                <w:szCs w:val="7"/>
                <w:color w:val="0F7F40"/>
              </w:rPr>
              <w:t>BNT317</w:t>
            </w:r>
          </w:p>
        </w:tc>
        <w:tc>
          <w:tcPr>
            <w:tcW w:w="8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Multiple solid tumors</w:t>
            </w:r>
          </w:p>
        </w:tc>
        <w:tc>
          <w:tcPr>
            <w:tcW w:w="380" w:type="dxa"/>
            <w:vAlign w:val="bottom"/>
            <w:tcBorders>
              <w:bottom w:val="single" w:sz="8" w:color="3C9673"/>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7"/>
                <w:szCs w:val="7"/>
                <w:color w:val="0F7F40"/>
              </w:rPr>
              <w:t>Fully owned</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7"/>
                <w:szCs w:val="7"/>
                <w:color w:val="0F7F40"/>
              </w:rPr>
              <w:t>BNT327</w:t>
            </w:r>
          </w:p>
        </w:tc>
        <w:tc>
          <w:tcPr>
            <w:tcW w:w="8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1L ES-SCLC (PD-L1 x VEGF-A)</w:t>
            </w:r>
          </w:p>
        </w:tc>
        <w:tc>
          <w:tcPr>
            <w:tcW w:w="380" w:type="dxa"/>
            <w:vAlign w:val="bottom"/>
            <w:tcBorders>
              <w:bottom w:val="single" w:sz="8" w:color="3C9673"/>
            </w:tcBorders>
          </w:tcPr>
          <w:p>
            <w:pPr>
              <w:spacing w:after="0"/>
              <w:rPr>
                <w:sz w:val="14"/>
                <w:szCs w:val="14"/>
                <w:color w:val="auto"/>
              </w:rPr>
            </w:pPr>
          </w:p>
        </w:tc>
        <w:tc>
          <w:tcPr>
            <w:tcW w:w="80" w:type="dxa"/>
            <w:vAlign w:val="bottom"/>
            <w:tcBorders>
              <w:bottom w:val="single" w:sz="8" w:color="3C9673"/>
            </w:tcBorders>
          </w:tcPr>
          <w:p>
            <w:pPr>
              <w:spacing w:after="0"/>
              <w:rPr>
                <w:sz w:val="14"/>
                <w:szCs w:val="14"/>
                <w:color w:val="auto"/>
              </w:rPr>
            </w:pPr>
          </w:p>
        </w:tc>
        <w:tc>
          <w:tcPr>
            <w:tcW w:w="420" w:type="dxa"/>
            <w:vAlign w:val="bottom"/>
            <w:tcBorders>
              <w:bottom w:val="single" w:sz="8" w:color="3C9673"/>
            </w:tcBorders>
          </w:tcPr>
          <w:p>
            <w:pPr>
              <w:spacing w:after="0"/>
              <w:rPr>
                <w:sz w:val="14"/>
                <w:szCs w:val="14"/>
                <w:color w:val="auto"/>
              </w:rPr>
            </w:pPr>
          </w:p>
        </w:tc>
        <w:tc>
          <w:tcPr>
            <w:tcW w:w="80" w:type="dxa"/>
            <w:vAlign w:val="bottom"/>
            <w:tcBorders>
              <w:bottom w:val="single" w:sz="8" w:color="3C9673"/>
            </w:tcBorders>
          </w:tcPr>
          <w:p>
            <w:pPr>
              <w:spacing w:after="0"/>
              <w:rPr>
                <w:sz w:val="14"/>
                <w:szCs w:val="14"/>
                <w:color w:val="auto"/>
              </w:rPr>
            </w:pPr>
          </w:p>
        </w:tc>
        <w:tc>
          <w:tcPr>
            <w:tcW w:w="380" w:type="dxa"/>
            <w:vAlign w:val="bottom"/>
            <w:tcBorders>
              <w:bottom w:val="single" w:sz="8" w:color="3C9673"/>
            </w:tcBorders>
          </w:tcPr>
          <w:p>
            <w:pPr>
              <w:spacing w:after="0"/>
              <w:rPr>
                <w:sz w:val="14"/>
                <w:szCs w:val="14"/>
                <w:color w:val="auto"/>
              </w:rPr>
            </w:pPr>
          </w:p>
        </w:tc>
        <w:tc>
          <w:tcPr>
            <w:tcW w:w="80" w:type="dxa"/>
            <w:vAlign w:val="bottom"/>
            <w:tcBorders>
              <w:bottom w:val="single" w:sz="8" w:color="3C9673"/>
            </w:tcBorders>
          </w:tcPr>
          <w:p>
            <w:pPr>
              <w:spacing w:after="0"/>
              <w:rPr>
                <w:sz w:val="14"/>
                <w:szCs w:val="14"/>
                <w:color w:val="auto"/>
              </w:rPr>
            </w:pPr>
          </w:p>
        </w:tc>
        <w:tc>
          <w:tcPr>
            <w:tcW w:w="400" w:type="dxa"/>
            <w:vAlign w:val="bottom"/>
            <w:tcBorders>
              <w:bottom w:val="single" w:sz="8" w:color="3C9673"/>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7"/>
                <w:szCs w:val="7"/>
                <w:color w:val="0F7F40"/>
              </w:rPr>
              <w:t>Fully owned</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1L Advanced/metastatic TNBC</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gridSpan w:val="2"/>
          </w:tcPr>
          <w:p>
            <w:pPr>
              <w:ind w:left="20"/>
              <w:spacing w:after="0" w:line="43" w:lineRule="exact"/>
              <w:rPr>
                <w:sz w:val="20"/>
                <w:szCs w:val="20"/>
                <w:color w:val="auto"/>
              </w:rPr>
            </w:pPr>
            <w:r>
              <w:rPr>
                <w:rFonts w:ascii="Arial" w:cs="Arial" w:eastAsia="Arial" w:hAnsi="Arial"/>
                <w:sz w:val="4"/>
                <w:szCs w:val="4"/>
                <w:color w:val="0F7F40"/>
              </w:rPr>
              <w:t>(PD-L1 x VEGF-A)</w:t>
            </w:r>
            <w:r>
              <w:rPr>
                <w:rFonts w:ascii="Arial" w:cs="Arial" w:eastAsia="Arial" w:hAnsi="Arial"/>
                <w:sz w:val="3"/>
                <w:szCs w:val="3"/>
                <w:color w:val="0F7F40"/>
              </w:rPr>
              <w:t>(5)</w:t>
            </w:r>
          </w:p>
        </w:tc>
        <w:tc>
          <w:tcPr>
            <w:tcW w:w="380" w:type="dxa"/>
            <w:vAlign w:val="bottom"/>
            <w:tcBorders>
              <w:top w:val="single" w:sz="8" w:color="3C9673"/>
            </w:tcBorders>
          </w:tcPr>
          <w:p>
            <w:pPr>
              <w:spacing w:after="0"/>
              <w:rPr>
                <w:sz w:val="3"/>
                <w:szCs w:val="3"/>
                <w:color w:val="auto"/>
              </w:rPr>
            </w:pPr>
          </w:p>
        </w:tc>
        <w:tc>
          <w:tcPr>
            <w:tcW w:w="80" w:type="dxa"/>
            <w:vAlign w:val="bottom"/>
            <w:tcBorders>
              <w:top w:val="single" w:sz="8" w:color="3C9673"/>
            </w:tcBorders>
          </w:tcPr>
          <w:p>
            <w:pPr>
              <w:spacing w:after="0"/>
              <w:rPr>
                <w:sz w:val="3"/>
                <w:szCs w:val="3"/>
                <w:color w:val="auto"/>
              </w:rPr>
            </w:pPr>
          </w:p>
        </w:tc>
        <w:tc>
          <w:tcPr>
            <w:tcW w:w="420" w:type="dxa"/>
            <w:vAlign w:val="bottom"/>
            <w:tcBorders>
              <w:top w:val="single" w:sz="8" w:color="3C9673"/>
            </w:tcBorders>
          </w:tcPr>
          <w:p>
            <w:pPr>
              <w:spacing w:after="0"/>
              <w:rPr>
                <w:sz w:val="3"/>
                <w:szCs w:val="3"/>
                <w:color w:val="auto"/>
              </w:rPr>
            </w:pPr>
          </w:p>
        </w:tc>
        <w:tc>
          <w:tcPr>
            <w:tcW w:w="80" w:type="dxa"/>
            <w:vAlign w:val="bottom"/>
            <w:tcBorders>
              <w:top w:val="single" w:sz="8" w:color="3C9673"/>
            </w:tcBorders>
          </w:tcPr>
          <w:p>
            <w:pPr>
              <w:spacing w:after="0"/>
              <w:rPr>
                <w:sz w:val="3"/>
                <w:szCs w:val="3"/>
                <w:color w:val="auto"/>
              </w:rPr>
            </w:pPr>
          </w:p>
        </w:tc>
        <w:tc>
          <w:tcPr>
            <w:tcW w:w="380" w:type="dxa"/>
            <w:vAlign w:val="bottom"/>
            <w:tcBorders>
              <w:top w:val="single" w:sz="8" w:color="3C9673"/>
            </w:tcBorders>
          </w:tcPr>
          <w:p>
            <w:pPr>
              <w:spacing w:after="0"/>
              <w:rPr>
                <w:sz w:val="3"/>
                <w:szCs w:val="3"/>
                <w:color w:val="auto"/>
              </w:rPr>
            </w:pPr>
          </w:p>
        </w:tc>
        <w:tc>
          <w:tcPr>
            <w:tcW w:w="80" w:type="dxa"/>
            <w:vAlign w:val="bottom"/>
            <w:tcBorders>
              <w:top w:val="single" w:sz="8" w:color="3C9673"/>
            </w:tcBorders>
          </w:tcPr>
          <w:p>
            <w:pPr>
              <w:spacing w:after="0"/>
              <w:rPr>
                <w:sz w:val="3"/>
                <w:szCs w:val="3"/>
                <w:color w:val="auto"/>
              </w:rPr>
            </w:pPr>
          </w:p>
        </w:tc>
        <w:tc>
          <w:tcPr>
            <w:tcW w:w="400" w:type="dxa"/>
            <w:vAlign w:val="bottom"/>
            <w:tcBorders>
              <w:top w:val="single" w:sz="8" w:color="3C9673"/>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2L SCLC (PD-L1 x VEGF-A)</w:t>
            </w:r>
            <w:r>
              <w:rPr>
                <w:rFonts w:ascii="Arial" w:cs="Arial" w:eastAsia="Arial" w:hAnsi="Arial"/>
                <w:sz w:val="5"/>
                <w:szCs w:val="5"/>
                <w:color w:val="0F7F40"/>
              </w:rPr>
              <w:t>(5)</w:t>
            </w:r>
          </w:p>
        </w:tc>
        <w:tc>
          <w:tcPr>
            <w:tcW w:w="380" w:type="dxa"/>
            <w:vAlign w:val="bottom"/>
            <w:tcBorders>
              <w:bottom w:val="single" w:sz="8" w:color="3C9673"/>
            </w:tcBorders>
          </w:tcPr>
          <w:p>
            <w:pPr>
              <w:spacing w:after="0"/>
              <w:rPr>
                <w:sz w:val="11"/>
                <w:szCs w:val="11"/>
                <w:color w:val="auto"/>
              </w:rPr>
            </w:pPr>
          </w:p>
        </w:tc>
        <w:tc>
          <w:tcPr>
            <w:tcW w:w="80" w:type="dxa"/>
            <w:vAlign w:val="bottom"/>
            <w:tcBorders>
              <w:bottom w:val="single" w:sz="8" w:color="3C9673"/>
            </w:tcBorders>
          </w:tcPr>
          <w:p>
            <w:pPr>
              <w:spacing w:after="0"/>
              <w:rPr>
                <w:sz w:val="11"/>
                <w:szCs w:val="11"/>
                <w:color w:val="auto"/>
              </w:rPr>
            </w:pPr>
          </w:p>
        </w:tc>
        <w:tc>
          <w:tcPr>
            <w:tcW w:w="420" w:type="dxa"/>
            <w:vAlign w:val="bottom"/>
            <w:tcBorders>
              <w:bottom w:val="single" w:sz="8" w:color="3C9673"/>
            </w:tcBorders>
          </w:tcPr>
          <w:p>
            <w:pPr>
              <w:spacing w:after="0"/>
              <w:rPr>
                <w:sz w:val="11"/>
                <w:szCs w:val="11"/>
                <w:color w:val="auto"/>
              </w:rPr>
            </w:pPr>
          </w:p>
        </w:tc>
        <w:tc>
          <w:tcPr>
            <w:tcW w:w="80" w:type="dxa"/>
            <w:vAlign w:val="bottom"/>
            <w:tcBorders>
              <w:bottom w:val="single" w:sz="8" w:color="3C9673"/>
            </w:tcBorders>
          </w:tcPr>
          <w:p>
            <w:pPr>
              <w:spacing w:after="0"/>
              <w:rPr>
                <w:sz w:val="11"/>
                <w:szCs w:val="11"/>
                <w:color w:val="auto"/>
              </w:rPr>
            </w:pPr>
          </w:p>
        </w:tc>
        <w:tc>
          <w:tcPr>
            <w:tcW w:w="380" w:type="dxa"/>
            <w:vAlign w:val="bottom"/>
            <w:tcBorders>
              <w:bottom w:val="single" w:sz="8" w:color="3C9673"/>
            </w:tcBorders>
          </w:tcPr>
          <w:p>
            <w:pPr>
              <w:spacing w:after="0"/>
              <w:rPr>
                <w:sz w:val="11"/>
                <w:szCs w:val="11"/>
                <w:color w:val="auto"/>
              </w:rPr>
            </w:pPr>
          </w:p>
        </w:tc>
        <w:tc>
          <w:tcPr>
            <w:tcW w:w="80" w:type="dxa"/>
            <w:vAlign w:val="bottom"/>
            <w:tcBorders>
              <w:bottom w:val="single" w:sz="8" w:color="3C9673"/>
            </w:tcBorders>
          </w:tcPr>
          <w:p>
            <w:pPr>
              <w:spacing w:after="0"/>
              <w:rPr>
                <w:sz w:val="11"/>
                <w:szCs w:val="11"/>
                <w:color w:val="auto"/>
              </w:rPr>
            </w:pPr>
          </w:p>
        </w:tc>
        <w:tc>
          <w:tcPr>
            <w:tcW w:w="400" w:type="dxa"/>
            <w:vAlign w:val="bottom"/>
            <w:tcBorders>
              <w:bottom w:val="single" w:sz="8" w:color="3C9673"/>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1/2L+ ES-SCLC (PD-L1 x VEGF-A)</w:t>
            </w:r>
          </w:p>
        </w:tc>
        <w:tc>
          <w:tcPr>
            <w:tcW w:w="380" w:type="dxa"/>
            <w:vAlign w:val="bottom"/>
            <w:tcBorders>
              <w:bottom w:val="single" w:sz="8" w:color="3C9673"/>
            </w:tcBorders>
          </w:tcPr>
          <w:p>
            <w:pPr>
              <w:spacing w:after="0"/>
              <w:rPr>
                <w:sz w:val="14"/>
                <w:szCs w:val="14"/>
                <w:color w:val="auto"/>
              </w:rPr>
            </w:pPr>
          </w:p>
        </w:tc>
        <w:tc>
          <w:tcPr>
            <w:tcW w:w="80" w:type="dxa"/>
            <w:vAlign w:val="bottom"/>
            <w:tcBorders>
              <w:bottom w:val="single" w:sz="8" w:color="3C9673"/>
            </w:tcBorders>
          </w:tcPr>
          <w:p>
            <w:pPr>
              <w:spacing w:after="0"/>
              <w:rPr>
                <w:sz w:val="14"/>
                <w:szCs w:val="14"/>
                <w:color w:val="auto"/>
              </w:rPr>
            </w:pPr>
          </w:p>
        </w:tc>
        <w:tc>
          <w:tcPr>
            <w:tcW w:w="420" w:type="dxa"/>
            <w:vAlign w:val="bottom"/>
            <w:tcBorders>
              <w:bottom w:val="single" w:sz="8" w:color="3C9673"/>
            </w:tcBorders>
          </w:tcPr>
          <w:p>
            <w:pPr>
              <w:spacing w:after="0"/>
              <w:rPr>
                <w:sz w:val="14"/>
                <w:szCs w:val="14"/>
                <w:color w:val="auto"/>
              </w:rPr>
            </w:pPr>
          </w:p>
        </w:tc>
        <w:tc>
          <w:tcPr>
            <w:tcW w:w="80" w:type="dxa"/>
            <w:vAlign w:val="bottom"/>
            <w:tcBorders>
              <w:bottom w:val="single" w:sz="8" w:color="3C9673"/>
            </w:tcBorders>
          </w:tcPr>
          <w:p>
            <w:pPr>
              <w:spacing w:after="0"/>
              <w:rPr>
                <w:sz w:val="14"/>
                <w:szCs w:val="14"/>
                <w:color w:val="auto"/>
              </w:rPr>
            </w:pPr>
          </w:p>
        </w:tc>
        <w:tc>
          <w:tcPr>
            <w:tcW w:w="380" w:type="dxa"/>
            <w:vAlign w:val="bottom"/>
            <w:tcBorders>
              <w:bottom w:val="single" w:sz="8" w:color="3C9673"/>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1L/2L metastatic TNBC (PD-L1 x</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gridSpan w:val="2"/>
          </w:tcPr>
          <w:p>
            <w:pPr>
              <w:ind w:left="20"/>
              <w:spacing w:after="0" w:line="42" w:lineRule="exact"/>
              <w:rPr>
                <w:sz w:val="20"/>
                <w:szCs w:val="20"/>
                <w:color w:val="auto"/>
              </w:rPr>
            </w:pPr>
            <w:r>
              <w:rPr>
                <w:rFonts w:ascii="Arial" w:cs="Arial" w:eastAsia="Arial" w:hAnsi="Arial"/>
                <w:sz w:val="4"/>
                <w:szCs w:val="4"/>
                <w:color w:val="0F7F40"/>
              </w:rPr>
              <w:t>VEGF-A)</w:t>
            </w:r>
          </w:p>
        </w:tc>
        <w:tc>
          <w:tcPr>
            <w:tcW w:w="380" w:type="dxa"/>
            <w:vAlign w:val="bottom"/>
            <w:tcBorders>
              <w:top w:val="single" w:sz="8" w:color="3C9673"/>
            </w:tcBorders>
          </w:tcPr>
          <w:p>
            <w:pPr>
              <w:spacing w:after="0"/>
              <w:rPr>
                <w:sz w:val="3"/>
                <w:szCs w:val="3"/>
                <w:color w:val="auto"/>
              </w:rPr>
            </w:pPr>
          </w:p>
        </w:tc>
        <w:tc>
          <w:tcPr>
            <w:tcW w:w="80" w:type="dxa"/>
            <w:vAlign w:val="bottom"/>
            <w:tcBorders>
              <w:top w:val="single" w:sz="8" w:color="3C9673"/>
            </w:tcBorders>
          </w:tcPr>
          <w:p>
            <w:pPr>
              <w:spacing w:after="0"/>
              <w:rPr>
                <w:sz w:val="3"/>
                <w:szCs w:val="3"/>
                <w:color w:val="auto"/>
              </w:rPr>
            </w:pPr>
          </w:p>
        </w:tc>
        <w:tc>
          <w:tcPr>
            <w:tcW w:w="420" w:type="dxa"/>
            <w:vAlign w:val="bottom"/>
            <w:tcBorders>
              <w:top w:val="single" w:sz="8" w:color="3C9673"/>
            </w:tcBorders>
          </w:tcPr>
          <w:p>
            <w:pPr>
              <w:spacing w:after="0"/>
              <w:rPr>
                <w:sz w:val="3"/>
                <w:szCs w:val="3"/>
                <w:color w:val="auto"/>
              </w:rPr>
            </w:pPr>
          </w:p>
        </w:tc>
        <w:tc>
          <w:tcPr>
            <w:tcW w:w="80" w:type="dxa"/>
            <w:vAlign w:val="bottom"/>
            <w:tcBorders>
              <w:top w:val="single" w:sz="8" w:color="3C9673"/>
            </w:tcBorders>
          </w:tcPr>
          <w:p>
            <w:pPr>
              <w:spacing w:after="0"/>
              <w:rPr>
                <w:sz w:val="3"/>
                <w:szCs w:val="3"/>
                <w:color w:val="auto"/>
              </w:rPr>
            </w:pPr>
          </w:p>
        </w:tc>
        <w:tc>
          <w:tcPr>
            <w:tcW w:w="380" w:type="dxa"/>
            <w:vAlign w:val="bottom"/>
            <w:tcBorders>
              <w:top w:val="single" w:sz="8" w:color="3C9673"/>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1L NSCLC (PD-L1 x VEGF-A)</w:t>
            </w:r>
            <w:r>
              <w:rPr>
                <w:rFonts w:ascii="Arial" w:cs="Arial" w:eastAsia="Arial" w:hAnsi="Arial"/>
                <w:sz w:val="5"/>
                <w:szCs w:val="5"/>
                <w:color w:val="0F7F40"/>
              </w:rPr>
              <w:t>(6)</w:t>
            </w:r>
          </w:p>
        </w:tc>
        <w:tc>
          <w:tcPr>
            <w:tcW w:w="380" w:type="dxa"/>
            <w:vAlign w:val="bottom"/>
            <w:tcBorders>
              <w:bottom w:val="single" w:sz="8" w:color="3C9673"/>
            </w:tcBorders>
          </w:tcPr>
          <w:p>
            <w:pPr>
              <w:spacing w:after="0"/>
              <w:rPr>
                <w:sz w:val="11"/>
                <w:szCs w:val="11"/>
                <w:color w:val="auto"/>
              </w:rPr>
            </w:pPr>
          </w:p>
        </w:tc>
        <w:tc>
          <w:tcPr>
            <w:tcW w:w="80" w:type="dxa"/>
            <w:vAlign w:val="bottom"/>
            <w:tcBorders>
              <w:bottom w:val="single" w:sz="8" w:color="3C9673"/>
            </w:tcBorders>
          </w:tcPr>
          <w:p>
            <w:pPr>
              <w:spacing w:after="0"/>
              <w:rPr>
                <w:sz w:val="11"/>
                <w:szCs w:val="11"/>
                <w:color w:val="auto"/>
              </w:rPr>
            </w:pPr>
          </w:p>
        </w:tc>
        <w:tc>
          <w:tcPr>
            <w:tcW w:w="420" w:type="dxa"/>
            <w:vAlign w:val="bottom"/>
            <w:tcBorders>
              <w:bottom w:val="single" w:sz="8" w:color="3C9673"/>
            </w:tcBorders>
          </w:tcPr>
          <w:p>
            <w:pPr>
              <w:spacing w:after="0"/>
              <w:rPr>
                <w:sz w:val="11"/>
                <w:szCs w:val="11"/>
                <w:color w:val="auto"/>
              </w:rPr>
            </w:pPr>
          </w:p>
        </w:tc>
        <w:tc>
          <w:tcPr>
            <w:tcW w:w="80" w:type="dxa"/>
            <w:vAlign w:val="bottom"/>
            <w:tcBorders>
              <w:bottom w:val="single" w:sz="8" w:color="3C9673"/>
            </w:tcBorders>
          </w:tcPr>
          <w:p>
            <w:pPr>
              <w:spacing w:after="0"/>
              <w:rPr>
                <w:sz w:val="11"/>
                <w:szCs w:val="11"/>
                <w:color w:val="auto"/>
              </w:rPr>
            </w:pPr>
          </w:p>
        </w:tc>
        <w:tc>
          <w:tcPr>
            <w:tcW w:w="380" w:type="dxa"/>
            <w:vAlign w:val="bottom"/>
            <w:tcBorders>
              <w:bottom w:val="single" w:sz="8" w:color="3C9673"/>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1L ES-SCLC (PD-L1 x VEGF-A)</w:t>
            </w:r>
            <w:r>
              <w:rPr>
                <w:rFonts w:ascii="Arial" w:cs="Arial" w:eastAsia="Arial" w:hAnsi="Arial"/>
                <w:sz w:val="5"/>
                <w:szCs w:val="5"/>
                <w:color w:val="0F7F40"/>
              </w:rPr>
              <w:t>(5)</w:t>
            </w:r>
          </w:p>
        </w:tc>
        <w:tc>
          <w:tcPr>
            <w:tcW w:w="380" w:type="dxa"/>
            <w:vAlign w:val="bottom"/>
            <w:tcBorders>
              <w:bottom w:val="single" w:sz="8" w:color="3C9673"/>
            </w:tcBorders>
          </w:tcPr>
          <w:p>
            <w:pPr>
              <w:spacing w:after="0"/>
              <w:rPr>
                <w:sz w:val="14"/>
                <w:szCs w:val="14"/>
                <w:color w:val="auto"/>
              </w:rPr>
            </w:pPr>
          </w:p>
        </w:tc>
        <w:tc>
          <w:tcPr>
            <w:tcW w:w="80" w:type="dxa"/>
            <w:vAlign w:val="bottom"/>
            <w:tcBorders>
              <w:bottom w:val="single" w:sz="8" w:color="3C9673"/>
            </w:tcBorders>
          </w:tcPr>
          <w:p>
            <w:pPr>
              <w:spacing w:after="0"/>
              <w:rPr>
                <w:sz w:val="14"/>
                <w:szCs w:val="14"/>
                <w:color w:val="auto"/>
              </w:rPr>
            </w:pPr>
          </w:p>
        </w:tc>
        <w:tc>
          <w:tcPr>
            <w:tcW w:w="420" w:type="dxa"/>
            <w:vAlign w:val="bottom"/>
            <w:tcBorders>
              <w:bottom w:val="single" w:sz="8" w:color="3C9673"/>
            </w:tcBorders>
          </w:tcPr>
          <w:p>
            <w:pPr>
              <w:spacing w:after="0"/>
              <w:rPr>
                <w:sz w:val="14"/>
                <w:szCs w:val="14"/>
                <w:color w:val="auto"/>
              </w:rPr>
            </w:pPr>
          </w:p>
        </w:tc>
        <w:tc>
          <w:tcPr>
            <w:tcW w:w="80" w:type="dxa"/>
            <w:vAlign w:val="bottom"/>
            <w:tcBorders>
              <w:bottom w:val="single" w:sz="8" w:color="3C9673"/>
            </w:tcBorders>
          </w:tcPr>
          <w:p>
            <w:pPr>
              <w:spacing w:after="0"/>
              <w:rPr>
                <w:sz w:val="14"/>
                <w:szCs w:val="14"/>
                <w:color w:val="auto"/>
              </w:rPr>
            </w:pPr>
          </w:p>
        </w:tc>
        <w:tc>
          <w:tcPr>
            <w:tcW w:w="380" w:type="dxa"/>
            <w:vAlign w:val="bottom"/>
            <w:tcBorders>
              <w:bottom w:val="single" w:sz="8" w:color="3C9673"/>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2L ES-SCLC (PD-L1 x VEGF-A)</w:t>
            </w:r>
            <w:r>
              <w:rPr>
                <w:rFonts w:ascii="Arial" w:cs="Arial" w:eastAsia="Arial" w:hAnsi="Arial"/>
                <w:sz w:val="5"/>
                <w:szCs w:val="5"/>
                <w:color w:val="0F7F40"/>
              </w:rPr>
              <w:t>(5)</w:t>
            </w:r>
          </w:p>
        </w:tc>
        <w:tc>
          <w:tcPr>
            <w:tcW w:w="380" w:type="dxa"/>
            <w:vAlign w:val="bottom"/>
            <w:tcBorders>
              <w:bottom w:val="single" w:sz="8" w:color="3C9673"/>
            </w:tcBorders>
          </w:tcPr>
          <w:p>
            <w:pPr>
              <w:spacing w:after="0"/>
              <w:rPr>
                <w:sz w:val="14"/>
                <w:szCs w:val="14"/>
                <w:color w:val="auto"/>
              </w:rPr>
            </w:pPr>
          </w:p>
        </w:tc>
        <w:tc>
          <w:tcPr>
            <w:tcW w:w="80" w:type="dxa"/>
            <w:vAlign w:val="bottom"/>
            <w:tcBorders>
              <w:bottom w:val="single" w:sz="8" w:color="3C9673"/>
            </w:tcBorders>
          </w:tcPr>
          <w:p>
            <w:pPr>
              <w:spacing w:after="0"/>
              <w:rPr>
                <w:sz w:val="14"/>
                <w:szCs w:val="14"/>
                <w:color w:val="auto"/>
              </w:rPr>
            </w:pPr>
          </w:p>
        </w:tc>
        <w:tc>
          <w:tcPr>
            <w:tcW w:w="420" w:type="dxa"/>
            <w:vAlign w:val="bottom"/>
            <w:tcBorders>
              <w:bottom w:val="single" w:sz="8" w:color="3C9673"/>
            </w:tcBorders>
          </w:tcPr>
          <w:p>
            <w:pPr>
              <w:spacing w:after="0"/>
              <w:rPr>
                <w:sz w:val="14"/>
                <w:szCs w:val="14"/>
                <w:color w:val="auto"/>
              </w:rPr>
            </w:pPr>
          </w:p>
        </w:tc>
        <w:tc>
          <w:tcPr>
            <w:tcW w:w="80" w:type="dxa"/>
            <w:vAlign w:val="bottom"/>
            <w:tcBorders>
              <w:bottom w:val="single" w:sz="8" w:color="3C9673"/>
            </w:tcBorders>
          </w:tcPr>
          <w:p>
            <w:pPr>
              <w:spacing w:after="0"/>
              <w:rPr>
                <w:sz w:val="14"/>
                <w:szCs w:val="14"/>
                <w:color w:val="auto"/>
              </w:rPr>
            </w:pPr>
          </w:p>
        </w:tc>
        <w:tc>
          <w:tcPr>
            <w:tcW w:w="380" w:type="dxa"/>
            <w:vAlign w:val="bottom"/>
            <w:tcBorders>
              <w:bottom w:val="single" w:sz="8" w:color="3C9673"/>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2L NEN (PD-L1 x VEGF-A</w:t>
            </w:r>
            <w:r>
              <w:rPr>
                <w:rFonts w:ascii="Arial" w:cs="Arial" w:eastAsia="Arial" w:hAnsi="Arial"/>
                <w:sz w:val="5"/>
                <w:szCs w:val="5"/>
                <w:color w:val="0F7F40"/>
              </w:rPr>
              <w:t>(5)</w:t>
            </w:r>
          </w:p>
        </w:tc>
        <w:tc>
          <w:tcPr>
            <w:tcW w:w="380" w:type="dxa"/>
            <w:vAlign w:val="bottom"/>
            <w:tcBorders>
              <w:bottom w:val="single" w:sz="8" w:color="3C9673"/>
            </w:tcBorders>
          </w:tcPr>
          <w:p>
            <w:pPr>
              <w:spacing w:after="0"/>
              <w:rPr>
                <w:sz w:val="14"/>
                <w:szCs w:val="14"/>
                <w:color w:val="auto"/>
              </w:rPr>
            </w:pPr>
          </w:p>
        </w:tc>
        <w:tc>
          <w:tcPr>
            <w:tcW w:w="80" w:type="dxa"/>
            <w:vAlign w:val="bottom"/>
            <w:tcBorders>
              <w:bottom w:val="single" w:sz="8" w:color="3C9673"/>
            </w:tcBorders>
          </w:tcPr>
          <w:p>
            <w:pPr>
              <w:spacing w:after="0"/>
              <w:rPr>
                <w:sz w:val="14"/>
                <w:szCs w:val="14"/>
                <w:color w:val="auto"/>
              </w:rPr>
            </w:pPr>
          </w:p>
        </w:tc>
        <w:tc>
          <w:tcPr>
            <w:tcW w:w="420" w:type="dxa"/>
            <w:vAlign w:val="bottom"/>
            <w:tcBorders>
              <w:bottom w:val="single" w:sz="8" w:color="3C9673"/>
            </w:tcBorders>
          </w:tcPr>
          <w:p>
            <w:pPr>
              <w:spacing w:after="0"/>
              <w:rPr>
                <w:sz w:val="14"/>
                <w:szCs w:val="14"/>
                <w:color w:val="auto"/>
              </w:rPr>
            </w:pPr>
          </w:p>
        </w:tc>
        <w:tc>
          <w:tcPr>
            <w:tcW w:w="80" w:type="dxa"/>
            <w:vAlign w:val="bottom"/>
            <w:tcBorders>
              <w:bottom w:val="single" w:sz="8" w:color="3C9673"/>
            </w:tcBorders>
          </w:tcPr>
          <w:p>
            <w:pPr>
              <w:spacing w:after="0"/>
              <w:rPr>
                <w:sz w:val="14"/>
                <w:szCs w:val="14"/>
                <w:color w:val="auto"/>
              </w:rPr>
            </w:pPr>
          </w:p>
        </w:tc>
        <w:tc>
          <w:tcPr>
            <w:tcW w:w="380" w:type="dxa"/>
            <w:vAlign w:val="bottom"/>
            <w:tcBorders>
              <w:bottom w:val="single" w:sz="8" w:color="3C9673"/>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1L MPM (PD-L1 x VEGF-A)</w:t>
            </w:r>
            <w:r>
              <w:rPr>
                <w:rFonts w:ascii="Arial" w:cs="Arial" w:eastAsia="Arial" w:hAnsi="Arial"/>
                <w:sz w:val="5"/>
                <w:szCs w:val="5"/>
                <w:color w:val="0F7F40"/>
              </w:rPr>
              <w:t>(5)</w:t>
            </w:r>
          </w:p>
        </w:tc>
        <w:tc>
          <w:tcPr>
            <w:tcW w:w="380" w:type="dxa"/>
            <w:vAlign w:val="bottom"/>
            <w:tcBorders>
              <w:bottom w:val="single" w:sz="8" w:color="3C9673"/>
            </w:tcBorders>
          </w:tcPr>
          <w:p>
            <w:pPr>
              <w:spacing w:after="0"/>
              <w:rPr>
                <w:sz w:val="14"/>
                <w:szCs w:val="14"/>
                <w:color w:val="auto"/>
              </w:rPr>
            </w:pPr>
          </w:p>
        </w:tc>
        <w:tc>
          <w:tcPr>
            <w:tcW w:w="80" w:type="dxa"/>
            <w:vAlign w:val="bottom"/>
            <w:tcBorders>
              <w:bottom w:val="single" w:sz="8" w:color="3C9673"/>
            </w:tcBorders>
          </w:tcPr>
          <w:p>
            <w:pPr>
              <w:spacing w:after="0"/>
              <w:rPr>
                <w:sz w:val="14"/>
                <w:szCs w:val="14"/>
                <w:color w:val="auto"/>
              </w:rPr>
            </w:pPr>
          </w:p>
        </w:tc>
        <w:tc>
          <w:tcPr>
            <w:tcW w:w="420" w:type="dxa"/>
            <w:vAlign w:val="bottom"/>
            <w:tcBorders>
              <w:bottom w:val="single" w:sz="8" w:color="3C9673"/>
            </w:tcBorders>
          </w:tcPr>
          <w:p>
            <w:pPr>
              <w:spacing w:after="0"/>
              <w:rPr>
                <w:sz w:val="14"/>
                <w:szCs w:val="14"/>
                <w:color w:val="auto"/>
              </w:rPr>
            </w:pPr>
          </w:p>
        </w:tc>
        <w:tc>
          <w:tcPr>
            <w:tcW w:w="80" w:type="dxa"/>
            <w:vAlign w:val="bottom"/>
            <w:tcBorders>
              <w:bottom w:val="single" w:sz="8" w:color="3C9673"/>
            </w:tcBorders>
          </w:tcPr>
          <w:p>
            <w:pPr>
              <w:spacing w:after="0"/>
              <w:rPr>
                <w:sz w:val="14"/>
                <w:szCs w:val="14"/>
                <w:color w:val="auto"/>
              </w:rPr>
            </w:pPr>
          </w:p>
        </w:tc>
        <w:tc>
          <w:tcPr>
            <w:tcW w:w="380" w:type="dxa"/>
            <w:vAlign w:val="bottom"/>
            <w:tcBorders>
              <w:bottom w:val="single" w:sz="8" w:color="3C9673"/>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7"/>
                <w:szCs w:val="7"/>
                <w:color w:val="0F7F40"/>
              </w:rPr>
              <w:t>EGFRm NSCLC</w:t>
            </w:r>
          </w:p>
        </w:tc>
        <w:tc>
          <w:tcPr>
            <w:tcW w:w="380" w:type="dxa"/>
            <w:vAlign w:val="bottom"/>
            <w:tcBorders>
              <w:bottom w:val="single" w:sz="8" w:color="3C9673"/>
            </w:tcBorders>
          </w:tcPr>
          <w:p>
            <w:pPr>
              <w:spacing w:after="0"/>
              <w:rPr>
                <w:sz w:val="14"/>
                <w:szCs w:val="14"/>
                <w:color w:val="auto"/>
              </w:rPr>
            </w:pPr>
          </w:p>
        </w:tc>
        <w:tc>
          <w:tcPr>
            <w:tcW w:w="80" w:type="dxa"/>
            <w:vAlign w:val="bottom"/>
            <w:tcBorders>
              <w:bottom w:val="single" w:sz="8" w:color="3C9673"/>
            </w:tcBorders>
          </w:tcPr>
          <w:p>
            <w:pPr>
              <w:spacing w:after="0"/>
              <w:rPr>
                <w:sz w:val="14"/>
                <w:szCs w:val="14"/>
                <w:color w:val="auto"/>
              </w:rPr>
            </w:pPr>
          </w:p>
        </w:tc>
        <w:tc>
          <w:tcPr>
            <w:tcW w:w="420" w:type="dxa"/>
            <w:vAlign w:val="bottom"/>
            <w:tcBorders>
              <w:bottom w:val="single" w:sz="8" w:color="3C9673"/>
            </w:tcBorders>
          </w:tcPr>
          <w:p>
            <w:pPr>
              <w:spacing w:after="0"/>
              <w:rPr>
                <w:sz w:val="14"/>
                <w:szCs w:val="14"/>
                <w:color w:val="auto"/>
              </w:rPr>
            </w:pPr>
          </w:p>
        </w:tc>
        <w:tc>
          <w:tcPr>
            <w:tcW w:w="80" w:type="dxa"/>
            <w:vAlign w:val="bottom"/>
            <w:tcBorders>
              <w:bottom w:val="single" w:sz="8" w:color="3C9673"/>
            </w:tcBorders>
          </w:tcPr>
          <w:p>
            <w:pPr>
              <w:spacing w:after="0"/>
              <w:rPr>
                <w:sz w:val="14"/>
                <w:szCs w:val="14"/>
                <w:color w:val="auto"/>
              </w:rPr>
            </w:pPr>
          </w:p>
        </w:tc>
        <w:tc>
          <w:tcPr>
            <w:tcW w:w="380" w:type="dxa"/>
            <w:vAlign w:val="bottom"/>
            <w:tcBorders>
              <w:bottom w:val="single" w:sz="8" w:color="3C9673"/>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105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29845</wp:posOffset>
            </wp:positionV>
            <wp:extent cx="523113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pacing w:after="0" w:line="28"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005A64"/>
        </w:rPr>
        <w:t>Infectious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26670</wp:posOffset>
            </wp:positionV>
            <wp:extent cx="4191635"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191635" cy="12700"/>
                    </a:xfrm>
                    <a:prstGeom prst="rect">
                      <a:avLst/>
                    </a:prstGeom>
                    <a:noFill/>
                  </pic:spPr>
                </pic:pic>
              </a:graphicData>
            </a:graphic>
          </wp:anchor>
        </w:drawing>
      </w:r>
    </w:p>
    <w:p>
      <w:pPr>
        <w:spacing w:after="0" w:line="93" w:lineRule="exact"/>
        <w:rPr>
          <w:sz w:val="20"/>
          <w:szCs w:val="20"/>
          <w:color w:val="auto"/>
        </w:rPr>
      </w:pPr>
    </w:p>
    <w:tbl>
      <w:tblPr>
        <w:tblLayout w:type="fixed"/>
        <w:tblInd w:w="380" w:type="dxa"/>
        <w:tblCellMar>
          <w:top w:w="0" w:type="dxa"/>
          <w:left w:w="0" w:type="dxa"/>
          <w:bottom w:w="0" w:type="dxa"/>
          <w:right w:w="0" w:type="dxa"/>
        </w:tblCellMar>
      </w:tblPr>
      <w:tr>
        <w:trPr>
          <w:trHeight w:val="80"/>
        </w:trPr>
        <w:tc>
          <w:tcPr>
            <w:tcW w:w="500" w:type="dxa"/>
            <w:vAlign w:val="bottom"/>
          </w:tcPr>
          <w:p>
            <w:pPr>
              <w:ind w:left="20"/>
              <w:spacing w:after="0"/>
              <w:rPr>
                <w:sz w:val="20"/>
                <w:szCs w:val="20"/>
                <w:color w:val="auto"/>
              </w:rPr>
            </w:pPr>
            <w:r>
              <w:rPr>
                <w:rFonts w:ascii="Arial" w:cs="Arial" w:eastAsia="Arial" w:hAnsi="Arial"/>
                <w:sz w:val="7"/>
                <w:szCs w:val="7"/>
                <w:b w:val="1"/>
                <w:bCs w:val="1"/>
                <w:color w:val="005A64"/>
              </w:rPr>
              <w:t>Drug class</w:t>
            </w:r>
          </w:p>
        </w:tc>
        <w:tc>
          <w:tcPr>
            <w:tcW w:w="20" w:type="dxa"/>
            <w:vAlign w:val="bottom"/>
          </w:tcPr>
          <w:p>
            <w:pPr>
              <w:spacing w:after="0"/>
              <w:rPr>
                <w:sz w:val="7"/>
                <w:szCs w:val="7"/>
                <w:color w:val="auto"/>
              </w:rPr>
            </w:pPr>
          </w:p>
        </w:tc>
        <w:tc>
          <w:tcPr>
            <w:tcW w:w="860" w:type="dxa"/>
            <w:vAlign w:val="bottom"/>
          </w:tcPr>
          <w:p>
            <w:pPr>
              <w:spacing w:after="0"/>
              <w:rPr>
                <w:sz w:val="20"/>
                <w:szCs w:val="20"/>
                <w:color w:val="auto"/>
              </w:rPr>
            </w:pPr>
            <w:r>
              <w:rPr>
                <w:rFonts w:ascii="Arial" w:cs="Arial" w:eastAsia="Arial" w:hAnsi="Arial"/>
                <w:sz w:val="7"/>
                <w:szCs w:val="7"/>
                <w:b w:val="1"/>
                <w:bCs w:val="1"/>
                <w:color w:val="005A64"/>
              </w:rPr>
              <w:t>Product candidate</w:t>
            </w:r>
          </w:p>
        </w:tc>
        <w:tc>
          <w:tcPr>
            <w:tcW w:w="20" w:type="dxa"/>
            <w:vAlign w:val="bottom"/>
          </w:tcPr>
          <w:p>
            <w:pPr>
              <w:spacing w:after="0"/>
              <w:rPr>
                <w:sz w:val="7"/>
                <w:szCs w:val="7"/>
                <w:color w:val="auto"/>
              </w:rPr>
            </w:pPr>
          </w:p>
        </w:tc>
        <w:tc>
          <w:tcPr>
            <w:tcW w:w="960" w:type="dxa"/>
            <w:vAlign w:val="bottom"/>
            <w:gridSpan w:val="2"/>
          </w:tcPr>
          <w:p>
            <w:pPr>
              <w:spacing w:after="0"/>
              <w:rPr>
                <w:sz w:val="20"/>
                <w:szCs w:val="20"/>
                <w:color w:val="auto"/>
              </w:rPr>
            </w:pPr>
            <w:r>
              <w:rPr>
                <w:rFonts w:ascii="Arial" w:cs="Arial" w:eastAsia="Arial" w:hAnsi="Arial"/>
                <w:sz w:val="7"/>
                <w:szCs w:val="7"/>
                <w:b w:val="1"/>
                <w:bCs w:val="1"/>
                <w:color w:val="005A64"/>
              </w:rPr>
              <w:t>Indication</w:t>
            </w:r>
          </w:p>
        </w:tc>
        <w:tc>
          <w:tcPr>
            <w:tcW w:w="400" w:type="dxa"/>
            <w:vAlign w:val="bottom"/>
          </w:tcPr>
          <w:p>
            <w:pPr>
              <w:spacing w:after="0"/>
              <w:rPr>
                <w:sz w:val="20"/>
                <w:szCs w:val="20"/>
                <w:color w:val="auto"/>
              </w:rPr>
            </w:pPr>
            <w:r>
              <w:rPr>
                <w:rFonts w:ascii="Arial" w:cs="Arial" w:eastAsia="Arial" w:hAnsi="Arial"/>
                <w:sz w:val="7"/>
                <w:szCs w:val="7"/>
                <w:b w:val="1"/>
                <w:bCs w:val="1"/>
                <w:color w:val="005A64"/>
              </w:rPr>
              <w:t>Phase 1</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20"/>
                <w:szCs w:val="20"/>
                <w:color w:val="auto"/>
              </w:rPr>
            </w:pPr>
            <w:r>
              <w:rPr>
                <w:rFonts w:ascii="Arial" w:cs="Arial" w:eastAsia="Arial" w:hAnsi="Arial"/>
                <w:sz w:val="7"/>
                <w:szCs w:val="7"/>
                <w:b w:val="1"/>
                <w:bCs w:val="1"/>
                <w:color w:val="005A64"/>
              </w:rPr>
              <w:t>Phase 1/2</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20"/>
                <w:szCs w:val="20"/>
                <w:color w:val="auto"/>
              </w:rPr>
            </w:pPr>
            <w:r>
              <w:rPr>
                <w:rFonts w:ascii="Arial" w:cs="Arial" w:eastAsia="Arial" w:hAnsi="Arial"/>
                <w:sz w:val="7"/>
                <w:szCs w:val="7"/>
                <w:b w:val="1"/>
                <w:bCs w:val="1"/>
                <w:color w:val="005A64"/>
              </w:rPr>
              <w:t>Phase 2</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ind w:left="20"/>
              <w:spacing w:after="0"/>
              <w:rPr>
                <w:sz w:val="20"/>
                <w:szCs w:val="20"/>
                <w:color w:val="auto"/>
              </w:rPr>
            </w:pPr>
            <w:r>
              <w:rPr>
                <w:rFonts w:ascii="Arial" w:cs="Arial" w:eastAsia="Arial" w:hAnsi="Arial"/>
                <w:sz w:val="7"/>
                <w:szCs w:val="7"/>
                <w:b w:val="1"/>
                <w:bCs w:val="1"/>
                <w:color w:val="005A64"/>
              </w:rPr>
              <w:t>Phase 3</w:t>
            </w:r>
          </w:p>
        </w:tc>
        <w:tc>
          <w:tcPr>
            <w:tcW w:w="100" w:type="dxa"/>
            <w:vAlign w:val="bottom"/>
          </w:tcPr>
          <w:p>
            <w:pPr>
              <w:spacing w:after="0"/>
              <w:rPr>
                <w:sz w:val="7"/>
                <w:szCs w:val="7"/>
                <w:color w:val="auto"/>
              </w:rPr>
            </w:pPr>
          </w:p>
        </w:tc>
        <w:tc>
          <w:tcPr>
            <w:tcW w:w="440" w:type="dxa"/>
            <w:vAlign w:val="bottom"/>
          </w:tcPr>
          <w:p>
            <w:pPr>
              <w:ind w:left="20"/>
              <w:spacing w:after="0"/>
              <w:rPr>
                <w:sz w:val="20"/>
                <w:szCs w:val="20"/>
                <w:color w:val="auto"/>
              </w:rPr>
            </w:pPr>
            <w:r>
              <w:rPr>
                <w:rFonts w:ascii="Arial" w:cs="Arial" w:eastAsia="Arial" w:hAnsi="Arial"/>
                <w:sz w:val="7"/>
                <w:szCs w:val="7"/>
                <w:b w:val="1"/>
                <w:bCs w:val="1"/>
                <w:color w:val="005A64"/>
                <w:w w:val="99"/>
              </w:rPr>
              <w:t>Commercial</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ind w:left="20"/>
              <w:spacing w:after="0"/>
              <w:rPr>
                <w:sz w:val="20"/>
                <w:szCs w:val="20"/>
                <w:color w:val="auto"/>
              </w:rPr>
            </w:pPr>
            <w:r>
              <w:rPr>
                <w:rFonts w:ascii="Arial" w:cs="Arial" w:eastAsia="Arial" w:hAnsi="Arial"/>
                <w:sz w:val="7"/>
                <w:szCs w:val="7"/>
                <w:b w:val="1"/>
                <w:bCs w:val="1"/>
                <w:color w:val="005A64"/>
              </w:rPr>
              <w:t>BioNTech</w:t>
            </w:r>
          </w:p>
        </w:tc>
        <w:tc>
          <w:tcPr>
            <w:tcW w:w="20" w:type="dxa"/>
            <w:vAlign w:val="bottom"/>
          </w:tcPr>
          <w:p>
            <w:pPr>
              <w:spacing w:after="0"/>
              <w:rPr>
                <w:sz w:val="7"/>
                <w:szCs w:val="7"/>
                <w:color w:val="auto"/>
              </w:rPr>
            </w:pPr>
          </w:p>
        </w:tc>
        <w:tc>
          <w:tcPr>
            <w:tcW w:w="660" w:type="dxa"/>
            <w:vAlign w:val="bottom"/>
          </w:tcPr>
          <w:p>
            <w:pPr>
              <w:ind w:left="20"/>
              <w:spacing w:after="0"/>
              <w:rPr>
                <w:sz w:val="20"/>
                <w:szCs w:val="20"/>
                <w:color w:val="auto"/>
              </w:rPr>
            </w:pPr>
            <w:r>
              <w:rPr>
                <w:rFonts w:ascii="Arial" w:cs="Arial" w:eastAsia="Arial" w:hAnsi="Arial"/>
                <w:sz w:val="7"/>
                <w:szCs w:val="7"/>
                <w:b w:val="1"/>
                <w:bCs w:val="1"/>
                <w:color w:val="005A64"/>
              </w:rPr>
              <w:t>Collaborator/</w:t>
            </w:r>
          </w:p>
        </w:tc>
        <w:tc>
          <w:tcPr>
            <w:tcW w:w="0" w:type="dxa"/>
            <w:vAlign w:val="bottom"/>
          </w:tcPr>
          <w:p>
            <w:pPr>
              <w:spacing w:after="0"/>
              <w:rPr>
                <w:sz w:val="1"/>
                <w:szCs w:val="1"/>
                <w:color w:val="auto"/>
              </w:rPr>
            </w:pPr>
          </w:p>
        </w:tc>
      </w:tr>
      <w:tr>
        <w:trPr>
          <w:trHeight w:val="96"/>
        </w:trPr>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ind w:left="20"/>
              <w:spacing w:after="0"/>
              <w:rPr>
                <w:sz w:val="20"/>
                <w:szCs w:val="20"/>
                <w:color w:val="auto"/>
              </w:rPr>
            </w:pPr>
            <w:r>
              <w:rPr>
                <w:rFonts w:ascii="Arial" w:cs="Arial" w:eastAsia="Arial" w:hAnsi="Arial"/>
                <w:sz w:val="7"/>
                <w:szCs w:val="7"/>
                <w:b w:val="1"/>
                <w:bCs w:val="1"/>
                <w:color w:val="005A64"/>
              </w:rPr>
              <w:t>rights</w:t>
            </w:r>
            <w:r>
              <w:rPr>
                <w:rFonts w:ascii="Arial" w:cs="Arial" w:eastAsia="Arial" w:hAnsi="Arial"/>
                <w:sz w:val="4"/>
                <w:szCs w:val="4"/>
                <w:b w:val="1"/>
                <w:bCs w:val="1"/>
                <w:color w:val="005A64"/>
              </w:rPr>
              <w:t>(1)</w:t>
            </w:r>
          </w:p>
        </w:tc>
        <w:tc>
          <w:tcPr>
            <w:tcW w:w="20" w:type="dxa"/>
            <w:vAlign w:val="bottom"/>
          </w:tcPr>
          <w:p>
            <w:pPr>
              <w:spacing w:after="0"/>
              <w:rPr>
                <w:sz w:val="8"/>
                <w:szCs w:val="8"/>
                <w:color w:val="auto"/>
              </w:rPr>
            </w:pPr>
          </w:p>
        </w:tc>
        <w:tc>
          <w:tcPr>
            <w:tcW w:w="660" w:type="dxa"/>
            <w:vAlign w:val="bottom"/>
          </w:tcPr>
          <w:p>
            <w:pPr>
              <w:ind w:left="20"/>
              <w:spacing w:after="0"/>
              <w:rPr>
                <w:sz w:val="20"/>
                <w:szCs w:val="20"/>
                <w:color w:val="auto"/>
              </w:rPr>
            </w:pPr>
            <w:r>
              <w:rPr>
                <w:rFonts w:ascii="Arial" w:cs="Arial" w:eastAsia="Arial" w:hAnsi="Arial"/>
                <w:sz w:val="7"/>
                <w:szCs w:val="7"/>
                <w:b w:val="1"/>
                <w:bCs w:val="1"/>
                <w:color w:val="005A64"/>
              </w:rPr>
              <w:t>Partner</w:t>
            </w:r>
          </w:p>
        </w:tc>
        <w:tc>
          <w:tcPr>
            <w:tcW w:w="0" w:type="dxa"/>
            <w:vAlign w:val="bottom"/>
          </w:tcPr>
          <w:p>
            <w:pPr>
              <w:spacing w:after="0"/>
              <w:rPr>
                <w:sz w:val="1"/>
                <w:szCs w:val="1"/>
                <w:color w:val="auto"/>
              </w:rPr>
            </w:pPr>
          </w:p>
        </w:tc>
      </w:tr>
      <w:tr>
        <w:trPr>
          <w:trHeight w:val="45"/>
        </w:trPr>
        <w:tc>
          <w:tcPr>
            <w:tcW w:w="500" w:type="dxa"/>
            <w:vAlign w:val="bottom"/>
            <w:tcBorders>
              <w:bottom w:val="single" w:sz="8" w:color="005A64"/>
            </w:tcBorders>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Borders>
              <w:bottom w:val="single" w:sz="8" w:color="005A64"/>
            </w:tcBorders>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Borders>
              <w:bottom w:val="single" w:sz="8" w:color="005A64"/>
            </w:tcBorders>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005A64"/>
            </w:tcBorders>
          </w:tcPr>
          <w:p>
            <w:pPr>
              <w:spacing w:after="0"/>
              <w:rPr>
                <w:sz w:val="3"/>
                <w:szCs w:val="3"/>
                <w:color w:val="auto"/>
              </w:rPr>
            </w:pPr>
          </w:p>
        </w:tc>
        <w:tc>
          <w:tcPr>
            <w:tcW w:w="60" w:type="dxa"/>
            <w:vAlign w:val="bottom"/>
            <w:tcBorders>
              <w:bottom w:val="single" w:sz="8" w:color="005A64"/>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Borders>
              <w:bottom w:val="single" w:sz="8" w:color="005A64"/>
            </w:tcBorders>
          </w:tcPr>
          <w:p>
            <w:pPr>
              <w:spacing w:after="0"/>
              <w:rPr>
                <w:sz w:val="3"/>
                <w:szCs w:val="3"/>
                <w:color w:val="auto"/>
              </w:rPr>
            </w:pPr>
          </w:p>
        </w:tc>
        <w:tc>
          <w:tcPr>
            <w:tcW w:w="60" w:type="dxa"/>
            <w:vAlign w:val="bottom"/>
            <w:tcBorders>
              <w:bottom w:val="single" w:sz="8" w:color="005A64"/>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Borders>
              <w:bottom w:val="single" w:sz="8" w:color="005A64"/>
            </w:tcBorders>
          </w:tcPr>
          <w:p>
            <w:pPr>
              <w:spacing w:after="0"/>
              <w:rPr>
                <w:sz w:val="3"/>
                <w:szCs w:val="3"/>
                <w:color w:val="auto"/>
              </w:rPr>
            </w:pPr>
          </w:p>
        </w:tc>
        <w:tc>
          <w:tcPr>
            <w:tcW w:w="60" w:type="dxa"/>
            <w:vAlign w:val="bottom"/>
            <w:tcBorders>
              <w:bottom w:val="single" w:sz="8" w:color="005A64"/>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Borders>
              <w:bottom w:val="single" w:sz="8" w:color="005A64"/>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005A64"/>
            </w:tcBorders>
          </w:tcPr>
          <w:p>
            <w:pPr>
              <w:spacing w:after="0"/>
              <w:rPr>
                <w:sz w:val="3"/>
                <w:szCs w:val="3"/>
                <w:color w:val="auto"/>
              </w:rPr>
            </w:pPr>
          </w:p>
        </w:tc>
        <w:tc>
          <w:tcPr>
            <w:tcW w:w="60" w:type="dxa"/>
            <w:vAlign w:val="bottom"/>
            <w:tcBorders>
              <w:bottom w:val="single" w:sz="8" w:color="005A64"/>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Borders>
              <w:bottom w:val="single" w:sz="8" w:color="005A64"/>
            </w:tcBorders>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Borders>
              <w:bottom w:val="single" w:sz="8" w:color="005A64"/>
            </w:tcBorders>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500" w:type="dxa"/>
            <w:vAlign w:val="bottom"/>
          </w:tcPr>
          <w:p>
            <w:pPr>
              <w:ind w:left="20"/>
              <w:spacing w:after="0" w:line="51" w:lineRule="exact"/>
              <w:rPr>
                <w:sz w:val="20"/>
                <w:szCs w:val="20"/>
                <w:color w:val="auto"/>
              </w:rPr>
            </w:pPr>
            <w:r>
              <w:rPr>
                <w:rFonts w:ascii="Arial" w:cs="Arial" w:eastAsia="Arial" w:hAnsi="Arial"/>
                <w:sz w:val="5"/>
                <w:szCs w:val="5"/>
                <w:b w:val="1"/>
                <w:bCs w:val="1"/>
                <w:color w:val="005A64"/>
              </w:rPr>
              <w:t>mRNA</w:t>
            </w:r>
          </w:p>
        </w:tc>
        <w:tc>
          <w:tcPr>
            <w:tcW w:w="20" w:type="dxa"/>
            <w:vAlign w:val="bottom"/>
          </w:tcPr>
          <w:p>
            <w:pPr>
              <w:spacing w:after="0"/>
              <w:rPr>
                <w:sz w:val="7"/>
                <w:szCs w:val="7"/>
                <w:color w:val="auto"/>
              </w:rPr>
            </w:pPr>
          </w:p>
        </w:tc>
        <w:tc>
          <w:tcPr>
            <w:tcW w:w="860" w:type="dxa"/>
            <w:vAlign w:val="bottom"/>
          </w:tcPr>
          <w:p>
            <w:pPr>
              <w:spacing w:after="0" w:line="51" w:lineRule="exact"/>
              <w:rPr>
                <w:sz w:val="20"/>
                <w:szCs w:val="20"/>
                <w:color w:val="auto"/>
              </w:rPr>
            </w:pPr>
            <w:r>
              <w:rPr>
                <w:rFonts w:ascii="Arial" w:cs="Arial" w:eastAsia="Arial" w:hAnsi="Arial"/>
                <w:sz w:val="5"/>
                <w:szCs w:val="5"/>
                <w:color w:val="005A64"/>
              </w:rPr>
              <w:t>BNT162b2</w:t>
            </w:r>
          </w:p>
        </w:tc>
        <w:tc>
          <w:tcPr>
            <w:tcW w:w="20" w:type="dxa"/>
            <w:vAlign w:val="bottom"/>
          </w:tcPr>
          <w:p>
            <w:pPr>
              <w:spacing w:after="0"/>
              <w:rPr>
                <w:sz w:val="7"/>
                <w:szCs w:val="7"/>
                <w:color w:val="auto"/>
              </w:rPr>
            </w:pPr>
          </w:p>
        </w:tc>
        <w:tc>
          <w:tcPr>
            <w:tcW w:w="960" w:type="dxa"/>
            <w:vAlign w:val="bottom"/>
            <w:gridSpan w:val="2"/>
          </w:tcPr>
          <w:p>
            <w:pPr>
              <w:spacing w:after="0" w:line="51" w:lineRule="exact"/>
              <w:rPr>
                <w:sz w:val="20"/>
                <w:szCs w:val="20"/>
                <w:color w:val="auto"/>
              </w:rPr>
            </w:pPr>
            <w:r>
              <w:rPr>
                <w:rFonts w:ascii="Arial" w:cs="Arial" w:eastAsia="Arial" w:hAnsi="Arial"/>
                <w:sz w:val="5"/>
                <w:szCs w:val="5"/>
                <w:color w:val="005A64"/>
              </w:rPr>
              <w:t>COVID-19</w:t>
            </w:r>
          </w:p>
        </w:tc>
        <w:tc>
          <w:tcPr>
            <w:tcW w:w="400" w:type="dxa"/>
            <w:vAlign w:val="bottom"/>
            <w:tcBorders>
              <w:bottom w:val="single" w:sz="8" w:color="005A64"/>
            </w:tcBorders>
          </w:tcPr>
          <w:p>
            <w:pPr>
              <w:spacing w:after="0"/>
              <w:rPr>
                <w:sz w:val="7"/>
                <w:szCs w:val="7"/>
                <w:color w:val="auto"/>
              </w:rPr>
            </w:pPr>
          </w:p>
        </w:tc>
        <w:tc>
          <w:tcPr>
            <w:tcW w:w="60" w:type="dxa"/>
            <w:vAlign w:val="bottom"/>
            <w:tcBorders>
              <w:bottom w:val="single" w:sz="8" w:color="005A64"/>
            </w:tcBorders>
          </w:tcPr>
          <w:p>
            <w:pPr>
              <w:spacing w:after="0"/>
              <w:rPr>
                <w:sz w:val="7"/>
                <w:szCs w:val="7"/>
                <w:color w:val="auto"/>
              </w:rPr>
            </w:pPr>
          </w:p>
        </w:tc>
        <w:tc>
          <w:tcPr>
            <w:tcW w:w="80" w:type="dxa"/>
            <w:vAlign w:val="bottom"/>
            <w:tcBorders>
              <w:bottom w:val="single" w:sz="8" w:color="005A64"/>
            </w:tcBorders>
          </w:tcPr>
          <w:p>
            <w:pPr>
              <w:spacing w:after="0"/>
              <w:rPr>
                <w:sz w:val="7"/>
                <w:szCs w:val="7"/>
                <w:color w:val="auto"/>
              </w:rPr>
            </w:pPr>
          </w:p>
        </w:tc>
        <w:tc>
          <w:tcPr>
            <w:tcW w:w="40" w:type="dxa"/>
            <w:vAlign w:val="bottom"/>
            <w:tcBorders>
              <w:bottom w:val="single" w:sz="8" w:color="005A64"/>
            </w:tcBorders>
          </w:tcPr>
          <w:p>
            <w:pPr>
              <w:spacing w:after="0"/>
              <w:rPr>
                <w:sz w:val="7"/>
                <w:szCs w:val="7"/>
                <w:color w:val="auto"/>
              </w:rPr>
            </w:pPr>
          </w:p>
        </w:tc>
        <w:tc>
          <w:tcPr>
            <w:tcW w:w="400" w:type="dxa"/>
            <w:vAlign w:val="bottom"/>
            <w:tcBorders>
              <w:bottom w:val="single" w:sz="8" w:color="005A64"/>
            </w:tcBorders>
          </w:tcPr>
          <w:p>
            <w:pPr>
              <w:spacing w:after="0"/>
              <w:rPr>
                <w:sz w:val="7"/>
                <w:szCs w:val="7"/>
                <w:color w:val="auto"/>
              </w:rPr>
            </w:pPr>
          </w:p>
        </w:tc>
        <w:tc>
          <w:tcPr>
            <w:tcW w:w="60" w:type="dxa"/>
            <w:vAlign w:val="bottom"/>
            <w:tcBorders>
              <w:bottom w:val="single" w:sz="8" w:color="005A64"/>
            </w:tcBorders>
          </w:tcPr>
          <w:p>
            <w:pPr>
              <w:spacing w:after="0"/>
              <w:rPr>
                <w:sz w:val="7"/>
                <w:szCs w:val="7"/>
                <w:color w:val="auto"/>
              </w:rPr>
            </w:pPr>
          </w:p>
        </w:tc>
        <w:tc>
          <w:tcPr>
            <w:tcW w:w="80" w:type="dxa"/>
            <w:vAlign w:val="bottom"/>
            <w:tcBorders>
              <w:bottom w:val="single" w:sz="8" w:color="005A64"/>
            </w:tcBorders>
          </w:tcPr>
          <w:p>
            <w:pPr>
              <w:spacing w:after="0"/>
              <w:rPr>
                <w:sz w:val="7"/>
                <w:szCs w:val="7"/>
                <w:color w:val="auto"/>
              </w:rPr>
            </w:pPr>
          </w:p>
        </w:tc>
        <w:tc>
          <w:tcPr>
            <w:tcW w:w="40" w:type="dxa"/>
            <w:vAlign w:val="bottom"/>
            <w:tcBorders>
              <w:bottom w:val="single" w:sz="8" w:color="005A64"/>
            </w:tcBorders>
          </w:tcPr>
          <w:p>
            <w:pPr>
              <w:spacing w:after="0"/>
              <w:rPr>
                <w:sz w:val="7"/>
                <w:szCs w:val="7"/>
                <w:color w:val="auto"/>
              </w:rPr>
            </w:pPr>
          </w:p>
        </w:tc>
        <w:tc>
          <w:tcPr>
            <w:tcW w:w="400" w:type="dxa"/>
            <w:vAlign w:val="bottom"/>
            <w:tcBorders>
              <w:bottom w:val="single" w:sz="8" w:color="005A64"/>
            </w:tcBorders>
          </w:tcPr>
          <w:p>
            <w:pPr>
              <w:spacing w:after="0"/>
              <w:rPr>
                <w:sz w:val="7"/>
                <w:szCs w:val="7"/>
                <w:color w:val="auto"/>
              </w:rPr>
            </w:pPr>
          </w:p>
        </w:tc>
        <w:tc>
          <w:tcPr>
            <w:tcW w:w="60" w:type="dxa"/>
            <w:vAlign w:val="bottom"/>
            <w:tcBorders>
              <w:bottom w:val="single" w:sz="8" w:color="005A64"/>
            </w:tcBorders>
          </w:tcPr>
          <w:p>
            <w:pPr>
              <w:spacing w:after="0"/>
              <w:rPr>
                <w:sz w:val="7"/>
                <w:szCs w:val="7"/>
                <w:color w:val="auto"/>
              </w:rPr>
            </w:pPr>
          </w:p>
        </w:tc>
        <w:tc>
          <w:tcPr>
            <w:tcW w:w="60" w:type="dxa"/>
            <w:vAlign w:val="bottom"/>
            <w:tcBorders>
              <w:bottom w:val="single" w:sz="8" w:color="005A64"/>
            </w:tcBorders>
          </w:tcPr>
          <w:p>
            <w:pPr>
              <w:spacing w:after="0"/>
              <w:rPr>
                <w:sz w:val="7"/>
                <w:szCs w:val="7"/>
                <w:color w:val="auto"/>
              </w:rPr>
            </w:pPr>
          </w:p>
        </w:tc>
        <w:tc>
          <w:tcPr>
            <w:tcW w:w="40" w:type="dxa"/>
            <w:vAlign w:val="bottom"/>
            <w:tcBorders>
              <w:bottom w:val="single" w:sz="8" w:color="005A64"/>
            </w:tcBorders>
          </w:tcPr>
          <w:p>
            <w:pPr>
              <w:spacing w:after="0"/>
              <w:rPr>
                <w:sz w:val="7"/>
                <w:szCs w:val="7"/>
                <w:color w:val="auto"/>
              </w:rPr>
            </w:pPr>
          </w:p>
        </w:tc>
        <w:tc>
          <w:tcPr>
            <w:tcW w:w="480" w:type="dxa"/>
            <w:vAlign w:val="bottom"/>
            <w:tcBorders>
              <w:bottom w:val="single" w:sz="8" w:color="005A64"/>
            </w:tcBorders>
          </w:tcPr>
          <w:p>
            <w:pPr>
              <w:spacing w:after="0"/>
              <w:rPr>
                <w:sz w:val="7"/>
                <w:szCs w:val="7"/>
                <w:color w:val="auto"/>
              </w:rPr>
            </w:pPr>
          </w:p>
        </w:tc>
        <w:tc>
          <w:tcPr>
            <w:tcW w:w="100" w:type="dxa"/>
            <w:vAlign w:val="bottom"/>
            <w:tcBorders>
              <w:bottom w:val="single" w:sz="8" w:color="005A64"/>
            </w:tcBorders>
          </w:tcPr>
          <w:p>
            <w:pPr>
              <w:spacing w:after="0"/>
              <w:rPr>
                <w:sz w:val="7"/>
                <w:szCs w:val="7"/>
                <w:color w:val="auto"/>
              </w:rPr>
            </w:pPr>
          </w:p>
        </w:tc>
        <w:tc>
          <w:tcPr>
            <w:tcW w:w="440" w:type="dxa"/>
            <w:vAlign w:val="bottom"/>
            <w:tcBorders>
              <w:bottom w:val="single" w:sz="8" w:color="005A64"/>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ind w:left="20"/>
              <w:spacing w:after="0" w:line="51" w:lineRule="exact"/>
              <w:rPr>
                <w:sz w:val="20"/>
                <w:szCs w:val="20"/>
                <w:color w:val="auto"/>
              </w:rPr>
            </w:pPr>
            <w:r>
              <w:rPr>
                <w:rFonts w:ascii="Arial" w:cs="Arial" w:eastAsia="Arial" w:hAnsi="Arial"/>
                <w:sz w:val="5"/>
                <w:szCs w:val="5"/>
                <w:color w:val="005A64"/>
              </w:rPr>
              <w:t>Collaboration</w:t>
            </w:r>
          </w:p>
        </w:tc>
        <w:tc>
          <w:tcPr>
            <w:tcW w:w="20" w:type="dxa"/>
            <w:vAlign w:val="bottom"/>
          </w:tcPr>
          <w:p>
            <w:pPr>
              <w:spacing w:after="0"/>
              <w:rPr>
                <w:sz w:val="7"/>
                <w:szCs w:val="7"/>
                <w:color w:val="auto"/>
              </w:rPr>
            </w:pPr>
          </w:p>
        </w:tc>
        <w:tc>
          <w:tcPr>
            <w:tcW w:w="660" w:type="dxa"/>
            <w:vAlign w:val="bottom"/>
          </w:tcPr>
          <w:p>
            <w:pPr>
              <w:ind w:left="20"/>
              <w:spacing w:after="0" w:line="51" w:lineRule="exact"/>
              <w:rPr>
                <w:sz w:val="20"/>
                <w:szCs w:val="20"/>
                <w:color w:val="auto"/>
              </w:rPr>
            </w:pPr>
            <w:r>
              <w:rPr>
                <w:rFonts w:ascii="Arial" w:cs="Arial" w:eastAsia="Arial" w:hAnsi="Arial"/>
                <w:sz w:val="5"/>
                <w:szCs w:val="5"/>
                <w:color w:val="005A64"/>
              </w:rPr>
              <w:t>Pfizer</w:t>
            </w:r>
          </w:p>
        </w:tc>
        <w:tc>
          <w:tcPr>
            <w:tcW w:w="0" w:type="dxa"/>
            <w:vAlign w:val="bottom"/>
          </w:tcPr>
          <w:p>
            <w:pPr>
              <w:spacing w:after="0"/>
              <w:rPr>
                <w:sz w:val="1"/>
                <w:szCs w:val="1"/>
                <w:color w:val="auto"/>
              </w:rPr>
            </w:pPr>
          </w:p>
        </w:tc>
      </w:tr>
      <w:tr>
        <w:trPr>
          <w:trHeight w:val="52"/>
        </w:trPr>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vMerge w:val="restart"/>
          </w:tcPr>
          <w:p>
            <w:pPr>
              <w:spacing w:after="0"/>
              <w:rPr>
                <w:sz w:val="20"/>
                <w:szCs w:val="20"/>
                <w:color w:val="auto"/>
              </w:rPr>
            </w:pPr>
            <w:r>
              <w:rPr>
                <w:rFonts w:ascii="Arial" w:cs="Arial" w:eastAsia="Arial" w:hAnsi="Arial"/>
                <w:sz w:val="7"/>
                <w:szCs w:val="7"/>
                <w:color w:val="005A64"/>
              </w:rPr>
              <w:t>BNT162b + BNT162b4</w:t>
            </w: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ind w:left="20"/>
              <w:spacing w:after="0" w:line="52" w:lineRule="exact"/>
              <w:rPr>
                <w:sz w:val="20"/>
                <w:szCs w:val="20"/>
                <w:color w:val="auto"/>
              </w:rPr>
            </w:pPr>
            <w:r>
              <w:rPr>
                <w:rFonts w:ascii="Arial" w:cs="Arial" w:eastAsia="Arial" w:hAnsi="Arial"/>
                <w:sz w:val="5"/>
                <w:szCs w:val="5"/>
                <w:color w:val="005A64"/>
              </w:rPr>
              <w:t>Fosun Pharma</w:t>
            </w:r>
          </w:p>
        </w:tc>
        <w:tc>
          <w:tcPr>
            <w:tcW w:w="0" w:type="dxa"/>
            <w:vAlign w:val="bottom"/>
          </w:tcPr>
          <w:p>
            <w:pPr>
              <w:spacing w:after="0"/>
              <w:rPr>
                <w:sz w:val="1"/>
                <w:szCs w:val="1"/>
                <w:color w:val="auto"/>
              </w:rPr>
            </w:pPr>
          </w:p>
        </w:tc>
      </w:tr>
      <w:tr>
        <w:trPr>
          <w:trHeight w:val="120"/>
        </w:trPr>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Borders>
              <w:bottom w:val="single" w:sz="8" w:color="3C9673"/>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7"/>
                <w:szCs w:val="7"/>
                <w:color w:val="005A64"/>
              </w:rPr>
              <w:t>BNT162b2+BNT161</w:t>
            </w:r>
          </w:p>
        </w:tc>
        <w:tc>
          <w:tcPr>
            <w:tcW w:w="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005A64"/>
              </w:rPr>
              <w:t>COVID-19 – Influenza</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7"/>
                <w:szCs w:val="7"/>
                <w:color w:val="005A64"/>
              </w:rPr>
              <w:t>Collaboration</w:t>
            </w:r>
          </w:p>
        </w:tc>
        <w:tc>
          <w:tcPr>
            <w:tcW w:w="2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7"/>
                <w:szCs w:val="7"/>
                <w:color w:val="005A64"/>
              </w:rPr>
              <w:t>Pfizer</w:t>
            </w:r>
          </w:p>
        </w:tc>
        <w:tc>
          <w:tcPr>
            <w:tcW w:w="0" w:type="dxa"/>
            <w:vAlign w:val="bottom"/>
          </w:tcPr>
          <w:p>
            <w:pPr>
              <w:spacing w:after="0"/>
              <w:rPr>
                <w:sz w:val="1"/>
                <w:szCs w:val="1"/>
                <w:color w:val="auto"/>
              </w:rPr>
            </w:pPr>
          </w:p>
        </w:tc>
      </w:tr>
      <w:tr>
        <w:trPr>
          <w:trHeight w:val="41"/>
        </w:trPr>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gridSpan w:val="2"/>
          </w:tcPr>
          <w:p>
            <w:pPr>
              <w:spacing w:after="0" w:line="42" w:lineRule="exact"/>
              <w:rPr>
                <w:sz w:val="20"/>
                <w:szCs w:val="20"/>
                <w:color w:val="auto"/>
              </w:rPr>
            </w:pPr>
            <w:r>
              <w:rPr>
                <w:rFonts w:ascii="Arial" w:cs="Arial" w:eastAsia="Arial" w:hAnsi="Arial"/>
                <w:sz w:val="4"/>
                <w:szCs w:val="4"/>
                <w:color w:val="005A64"/>
              </w:rPr>
              <w:t>combination</w:t>
            </w:r>
          </w:p>
        </w:tc>
        <w:tc>
          <w:tcPr>
            <w:tcW w:w="400" w:type="dxa"/>
            <w:vAlign w:val="bottom"/>
            <w:tcBorders>
              <w:top w:val="single" w:sz="8" w:color="3C9673"/>
            </w:tcBorders>
          </w:tcPr>
          <w:p>
            <w:pPr>
              <w:spacing w:after="0"/>
              <w:rPr>
                <w:sz w:val="3"/>
                <w:szCs w:val="3"/>
                <w:color w:val="auto"/>
              </w:rPr>
            </w:pPr>
          </w:p>
        </w:tc>
        <w:tc>
          <w:tcPr>
            <w:tcW w:w="60" w:type="dxa"/>
            <w:vAlign w:val="bottom"/>
            <w:tcBorders>
              <w:top w:val="single" w:sz="8" w:color="3C9673"/>
            </w:tcBorders>
          </w:tcPr>
          <w:p>
            <w:pPr>
              <w:spacing w:after="0"/>
              <w:rPr>
                <w:sz w:val="3"/>
                <w:szCs w:val="3"/>
                <w:color w:val="auto"/>
              </w:rPr>
            </w:pPr>
          </w:p>
        </w:tc>
        <w:tc>
          <w:tcPr>
            <w:tcW w:w="80" w:type="dxa"/>
            <w:vAlign w:val="bottom"/>
            <w:tcBorders>
              <w:top w:val="single" w:sz="8" w:color="3C9673"/>
            </w:tcBorders>
          </w:tcPr>
          <w:p>
            <w:pPr>
              <w:spacing w:after="0"/>
              <w:rPr>
                <w:sz w:val="3"/>
                <w:szCs w:val="3"/>
                <w:color w:val="auto"/>
              </w:rPr>
            </w:pPr>
          </w:p>
        </w:tc>
        <w:tc>
          <w:tcPr>
            <w:tcW w:w="40" w:type="dxa"/>
            <w:vAlign w:val="bottom"/>
            <w:tcBorders>
              <w:top w:val="single" w:sz="8" w:color="3C9673"/>
            </w:tcBorders>
          </w:tcPr>
          <w:p>
            <w:pPr>
              <w:spacing w:after="0"/>
              <w:rPr>
                <w:sz w:val="3"/>
                <w:szCs w:val="3"/>
                <w:color w:val="auto"/>
              </w:rPr>
            </w:pPr>
          </w:p>
        </w:tc>
        <w:tc>
          <w:tcPr>
            <w:tcW w:w="400" w:type="dxa"/>
            <w:vAlign w:val="bottom"/>
            <w:tcBorders>
              <w:top w:val="single" w:sz="8" w:color="3C9673"/>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20"/>
                <w:szCs w:val="20"/>
                <w:color w:val="auto"/>
              </w:rPr>
            </w:pPr>
            <w:r>
              <w:rPr>
                <w:rFonts w:ascii="Arial" w:cs="Arial" w:eastAsia="Arial" w:hAnsi="Arial"/>
                <w:sz w:val="7"/>
                <w:szCs w:val="7"/>
                <w:color w:val="005A64"/>
              </w:rPr>
              <w:t>BNT161</w:t>
            </w:r>
          </w:p>
        </w:tc>
        <w:tc>
          <w:tcPr>
            <w:tcW w:w="20" w:type="dxa"/>
            <w:vAlign w:val="bottom"/>
          </w:tcPr>
          <w:p>
            <w:pPr>
              <w:spacing w:after="0"/>
              <w:rPr>
                <w:sz w:val="11"/>
                <w:szCs w:val="11"/>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005A64"/>
              </w:rPr>
              <w:t>Influenza</w:t>
            </w:r>
          </w:p>
        </w:tc>
        <w:tc>
          <w:tcPr>
            <w:tcW w:w="400" w:type="dxa"/>
            <w:vAlign w:val="bottom"/>
            <w:tcBorders>
              <w:bottom w:val="single" w:sz="8" w:color="3C9673"/>
            </w:tcBorders>
          </w:tcPr>
          <w:p>
            <w:pPr>
              <w:spacing w:after="0"/>
              <w:rPr>
                <w:sz w:val="11"/>
                <w:szCs w:val="11"/>
                <w:color w:val="auto"/>
              </w:rPr>
            </w:pPr>
          </w:p>
        </w:tc>
        <w:tc>
          <w:tcPr>
            <w:tcW w:w="60" w:type="dxa"/>
            <w:vAlign w:val="bottom"/>
            <w:tcBorders>
              <w:bottom w:val="single" w:sz="8" w:color="3C9673"/>
            </w:tcBorders>
          </w:tcPr>
          <w:p>
            <w:pPr>
              <w:spacing w:after="0"/>
              <w:rPr>
                <w:sz w:val="11"/>
                <w:szCs w:val="11"/>
                <w:color w:val="auto"/>
              </w:rPr>
            </w:pPr>
          </w:p>
        </w:tc>
        <w:tc>
          <w:tcPr>
            <w:tcW w:w="80" w:type="dxa"/>
            <w:vAlign w:val="bottom"/>
            <w:tcBorders>
              <w:bottom w:val="single" w:sz="8" w:color="3C9673"/>
            </w:tcBorders>
          </w:tcPr>
          <w:p>
            <w:pPr>
              <w:spacing w:after="0"/>
              <w:rPr>
                <w:sz w:val="11"/>
                <w:szCs w:val="11"/>
                <w:color w:val="auto"/>
              </w:rPr>
            </w:pPr>
          </w:p>
        </w:tc>
        <w:tc>
          <w:tcPr>
            <w:tcW w:w="40" w:type="dxa"/>
            <w:vAlign w:val="bottom"/>
            <w:tcBorders>
              <w:bottom w:val="single" w:sz="8" w:color="3C9673"/>
            </w:tcBorders>
          </w:tcPr>
          <w:p>
            <w:pPr>
              <w:spacing w:after="0"/>
              <w:rPr>
                <w:sz w:val="11"/>
                <w:szCs w:val="11"/>
                <w:color w:val="auto"/>
              </w:rPr>
            </w:pPr>
          </w:p>
        </w:tc>
        <w:tc>
          <w:tcPr>
            <w:tcW w:w="400" w:type="dxa"/>
            <w:vAlign w:val="bottom"/>
            <w:tcBorders>
              <w:bottom w:val="single" w:sz="8" w:color="3C9673"/>
            </w:tcBorders>
          </w:tcPr>
          <w:p>
            <w:pPr>
              <w:spacing w:after="0"/>
              <w:rPr>
                <w:sz w:val="11"/>
                <w:szCs w:val="11"/>
                <w:color w:val="auto"/>
              </w:rPr>
            </w:pPr>
          </w:p>
        </w:tc>
        <w:tc>
          <w:tcPr>
            <w:tcW w:w="60" w:type="dxa"/>
            <w:vAlign w:val="bottom"/>
            <w:tcBorders>
              <w:bottom w:val="single" w:sz="8" w:color="3C9673"/>
            </w:tcBorders>
          </w:tcPr>
          <w:p>
            <w:pPr>
              <w:spacing w:after="0"/>
              <w:rPr>
                <w:sz w:val="11"/>
                <w:szCs w:val="11"/>
                <w:color w:val="auto"/>
              </w:rPr>
            </w:pPr>
          </w:p>
        </w:tc>
        <w:tc>
          <w:tcPr>
            <w:tcW w:w="80" w:type="dxa"/>
            <w:vAlign w:val="bottom"/>
            <w:tcBorders>
              <w:bottom w:val="single" w:sz="8" w:color="3C9673"/>
            </w:tcBorders>
          </w:tcPr>
          <w:p>
            <w:pPr>
              <w:spacing w:after="0"/>
              <w:rPr>
                <w:sz w:val="11"/>
                <w:szCs w:val="11"/>
                <w:color w:val="auto"/>
              </w:rPr>
            </w:pPr>
          </w:p>
        </w:tc>
        <w:tc>
          <w:tcPr>
            <w:tcW w:w="40" w:type="dxa"/>
            <w:vAlign w:val="bottom"/>
            <w:tcBorders>
              <w:bottom w:val="single" w:sz="8" w:color="3C9673"/>
            </w:tcBorders>
          </w:tcPr>
          <w:p>
            <w:pPr>
              <w:spacing w:after="0"/>
              <w:rPr>
                <w:sz w:val="11"/>
                <w:szCs w:val="11"/>
                <w:color w:val="auto"/>
              </w:rPr>
            </w:pPr>
          </w:p>
        </w:tc>
        <w:tc>
          <w:tcPr>
            <w:tcW w:w="400" w:type="dxa"/>
            <w:vAlign w:val="bottom"/>
            <w:tcBorders>
              <w:bottom w:val="single" w:sz="8" w:color="3C9673"/>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7"/>
                <w:szCs w:val="7"/>
                <w:color w:val="005A64"/>
              </w:rPr>
              <w:t>Collaboration</w:t>
            </w:r>
            <w:r>
              <w:rPr>
                <w:rFonts w:ascii="Arial" w:cs="Arial" w:eastAsia="Arial" w:hAnsi="Arial"/>
                <w:sz w:val="5"/>
                <w:szCs w:val="5"/>
                <w:color w:val="005A64"/>
              </w:rPr>
              <w:t>(7)</w:t>
            </w:r>
          </w:p>
        </w:tc>
        <w:tc>
          <w:tcPr>
            <w:tcW w:w="2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7"/>
                <w:szCs w:val="7"/>
                <w:color w:val="005A64"/>
              </w:rPr>
              <w:t>Pfizer</w:t>
            </w: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7"/>
                <w:szCs w:val="7"/>
                <w:color w:val="005A64"/>
              </w:rPr>
              <w:t>BNT163</w:t>
            </w:r>
          </w:p>
        </w:tc>
        <w:tc>
          <w:tcPr>
            <w:tcW w:w="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005A64"/>
              </w:rPr>
              <w:t>HSV</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7"/>
                <w:szCs w:val="7"/>
                <w:color w:val="005A64"/>
              </w:rPr>
              <w:t>Collaboration</w:t>
            </w:r>
          </w:p>
        </w:tc>
        <w:tc>
          <w:tcPr>
            <w:tcW w:w="2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7"/>
                <w:szCs w:val="7"/>
                <w:color w:val="005A64"/>
              </w:rPr>
              <w:t>University of</w:t>
            </w:r>
          </w:p>
        </w:tc>
        <w:tc>
          <w:tcPr>
            <w:tcW w:w="0" w:type="dxa"/>
            <w:vAlign w:val="bottom"/>
          </w:tcPr>
          <w:p>
            <w:pPr>
              <w:spacing w:after="0"/>
              <w:rPr>
                <w:sz w:val="1"/>
                <w:szCs w:val="1"/>
                <w:color w:val="auto"/>
              </w:rPr>
            </w:pPr>
          </w:p>
        </w:tc>
      </w:tr>
      <w:tr>
        <w:trPr>
          <w:trHeight w:val="41"/>
        </w:trPr>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top w:val="single" w:sz="8" w:color="3C9673"/>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ind w:left="20"/>
              <w:spacing w:after="0" w:line="42" w:lineRule="exact"/>
              <w:rPr>
                <w:sz w:val="20"/>
                <w:szCs w:val="20"/>
                <w:color w:val="auto"/>
              </w:rPr>
            </w:pPr>
            <w:r>
              <w:rPr>
                <w:rFonts w:ascii="Arial" w:cs="Arial" w:eastAsia="Arial" w:hAnsi="Arial"/>
                <w:sz w:val="4"/>
                <w:szCs w:val="4"/>
                <w:color w:val="005A64"/>
              </w:rPr>
              <w:t>Pennsylvania</w:t>
            </w:r>
          </w:p>
        </w:tc>
        <w:tc>
          <w:tcPr>
            <w:tcW w:w="0" w:type="dxa"/>
            <w:vAlign w:val="bottom"/>
          </w:tcPr>
          <w:p>
            <w:pPr>
              <w:spacing w:after="0"/>
              <w:rPr>
                <w:sz w:val="1"/>
                <w:szCs w:val="1"/>
                <w:color w:val="auto"/>
              </w:rPr>
            </w:pPr>
          </w:p>
        </w:tc>
      </w:tr>
      <w:tr>
        <w:trPr>
          <w:trHeight w:val="131"/>
        </w:trPr>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20"/>
                <w:szCs w:val="20"/>
                <w:color w:val="auto"/>
              </w:rPr>
            </w:pPr>
            <w:r>
              <w:rPr>
                <w:rFonts w:ascii="Arial" w:cs="Arial" w:eastAsia="Arial" w:hAnsi="Arial"/>
                <w:sz w:val="7"/>
                <w:szCs w:val="7"/>
                <w:color w:val="005A64"/>
              </w:rPr>
              <w:t>BNT164</w:t>
            </w:r>
          </w:p>
        </w:tc>
        <w:tc>
          <w:tcPr>
            <w:tcW w:w="20" w:type="dxa"/>
            <w:vAlign w:val="bottom"/>
          </w:tcPr>
          <w:p>
            <w:pPr>
              <w:spacing w:after="0"/>
              <w:rPr>
                <w:sz w:val="11"/>
                <w:szCs w:val="11"/>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005A64"/>
              </w:rPr>
              <w:t>Tuberculosis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7"/>
                <w:szCs w:val="7"/>
                <w:color w:val="005A64"/>
              </w:rPr>
              <w:t>Fully owned</w:t>
            </w:r>
          </w:p>
        </w:tc>
        <w:tc>
          <w:tcPr>
            <w:tcW w:w="2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7"/>
                <w:szCs w:val="7"/>
                <w:color w:val="005A64"/>
              </w:rPr>
              <w:t>Funded by the</w:t>
            </w:r>
          </w:p>
        </w:tc>
        <w:tc>
          <w:tcPr>
            <w:tcW w:w="0" w:type="dxa"/>
            <w:vAlign w:val="bottom"/>
          </w:tcPr>
          <w:p>
            <w:pPr>
              <w:spacing w:after="0"/>
              <w:rPr>
                <w:sz w:val="1"/>
                <w:szCs w:val="1"/>
                <w:color w:val="auto"/>
              </w:rPr>
            </w:pPr>
          </w:p>
        </w:tc>
      </w:tr>
      <w:tr>
        <w:trPr>
          <w:trHeight w:val="41"/>
        </w:trPr>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vMerge w:val="restart"/>
          </w:tcPr>
          <w:p>
            <w:pPr>
              <w:spacing w:after="0"/>
              <w:rPr>
                <w:sz w:val="20"/>
                <w:szCs w:val="20"/>
                <w:color w:val="auto"/>
              </w:rPr>
            </w:pPr>
            <w:r>
              <w:rPr>
                <w:rFonts w:ascii="Arial" w:cs="Arial" w:eastAsia="Arial" w:hAnsi="Arial"/>
                <w:sz w:val="7"/>
                <w:szCs w:val="7"/>
                <w:color w:val="005A64"/>
              </w:rPr>
              <w:t>BNT165</w:t>
            </w:r>
          </w:p>
        </w:tc>
        <w:tc>
          <w:tcPr>
            <w:tcW w:w="20" w:type="dxa"/>
            <w:vAlign w:val="bottom"/>
          </w:tcPr>
          <w:p>
            <w:pPr>
              <w:spacing w:after="0"/>
              <w:rPr>
                <w:sz w:val="3"/>
                <w:szCs w:val="3"/>
                <w:color w:val="auto"/>
              </w:rPr>
            </w:pPr>
          </w:p>
        </w:tc>
        <w:tc>
          <w:tcPr>
            <w:tcW w:w="960" w:type="dxa"/>
            <w:vAlign w:val="bottom"/>
            <w:gridSpan w:val="2"/>
            <w:vMerge w:val="restart"/>
          </w:tcPr>
          <w:p>
            <w:pPr>
              <w:spacing w:after="0"/>
              <w:rPr>
                <w:sz w:val="20"/>
                <w:szCs w:val="20"/>
                <w:color w:val="auto"/>
              </w:rPr>
            </w:pPr>
            <w:r>
              <w:rPr>
                <w:rFonts w:ascii="Arial" w:cs="Arial" w:eastAsia="Arial" w:hAnsi="Arial"/>
                <w:sz w:val="7"/>
                <w:szCs w:val="7"/>
                <w:color w:val="005A64"/>
              </w:rPr>
              <w:t>Malaria</w:t>
            </w:r>
          </w:p>
        </w:tc>
        <w:tc>
          <w:tcPr>
            <w:tcW w:w="400" w:type="dxa"/>
            <w:vAlign w:val="bottom"/>
            <w:tcBorders>
              <w:top w:val="single" w:sz="8" w:color="3C9673"/>
            </w:tcBorders>
          </w:tcPr>
          <w:p>
            <w:pPr>
              <w:spacing w:after="0"/>
              <w:rPr>
                <w:sz w:val="3"/>
                <w:szCs w:val="3"/>
                <w:color w:val="auto"/>
              </w:rPr>
            </w:pPr>
          </w:p>
        </w:tc>
        <w:tc>
          <w:tcPr>
            <w:tcW w:w="60" w:type="dxa"/>
            <w:vAlign w:val="bottom"/>
            <w:tcBorders>
              <w:top w:val="single" w:sz="8" w:color="3C9673"/>
            </w:tcBorders>
          </w:tcPr>
          <w:p>
            <w:pPr>
              <w:spacing w:after="0"/>
              <w:rPr>
                <w:sz w:val="3"/>
                <w:szCs w:val="3"/>
                <w:color w:val="auto"/>
              </w:rPr>
            </w:pPr>
          </w:p>
        </w:tc>
        <w:tc>
          <w:tcPr>
            <w:tcW w:w="80" w:type="dxa"/>
            <w:vAlign w:val="bottom"/>
            <w:tcBorders>
              <w:top w:val="single" w:sz="8" w:color="3C9673"/>
            </w:tcBorders>
          </w:tcPr>
          <w:p>
            <w:pPr>
              <w:spacing w:after="0"/>
              <w:rPr>
                <w:sz w:val="3"/>
                <w:szCs w:val="3"/>
                <w:color w:val="auto"/>
              </w:rPr>
            </w:pPr>
          </w:p>
        </w:tc>
        <w:tc>
          <w:tcPr>
            <w:tcW w:w="40" w:type="dxa"/>
            <w:vAlign w:val="bottom"/>
            <w:tcBorders>
              <w:top w:val="single" w:sz="8" w:color="3C9673"/>
            </w:tcBorders>
          </w:tcPr>
          <w:p>
            <w:pPr>
              <w:spacing w:after="0"/>
              <w:rPr>
                <w:sz w:val="3"/>
                <w:szCs w:val="3"/>
                <w:color w:val="auto"/>
              </w:rPr>
            </w:pPr>
          </w:p>
        </w:tc>
        <w:tc>
          <w:tcPr>
            <w:tcW w:w="400" w:type="dxa"/>
            <w:vAlign w:val="bottom"/>
            <w:tcBorders>
              <w:top w:val="single" w:sz="8" w:color="3C9673"/>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restart"/>
          </w:tcPr>
          <w:p>
            <w:pPr>
              <w:ind w:left="20"/>
              <w:spacing w:after="0"/>
              <w:rPr>
                <w:sz w:val="20"/>
                <w:szCs w:val="20"/>
                <w:color w:val="auto"/>
              </w:rPr>
            </w:pPr>
            <w:r>
              <w:rPr>
                <w:rFonts w:ascii="Arial" w:cs="Arial" w:eastAsia="Arial" w:hAnsi="Arial"/>
                <w:sz w:val="7"/>
                <w:szCs w:val="7"/>
                <w:color w:val="005A64"/>
              </w:rPr>
              <w:t>Fully owned</w:t>
            </w:r>
          </w:p>
        </w:tc>
        <w:tc>
          <w:tcPr>
            <w:tcW w:w="20" w:type="dxa"/>
            <w:vAlign w:val="bottom"/>
          </w:tcPr>
          <w:p>
            <w:pPr>
              <w:spacing w:after="0"/>
              <w:rPr>
                <w:sz w:val="3"/>
                <w:szCs w:val="3"/>
                <w:color w:val="auto"/>
              </w:rPr>
            </w:pPr>
          </w:p>
        </w:tc>
        <w:tc>
          <w:tcPr>
            <w:tcW w:w="660" w:type="dxa"/>
            <w:vAlign w:val="bottom"/>
          </w:tcPr>
          <w:p>
            <w:pPr>
              <w:ind w:left="20"/>
              <w:spacing w:after="0" w:line="42" w:lineRule="exact"/>
              <w:rPr>
                <w:sz w:val="20"/>
                <w:szCs w:val="20"/>
                <w:color w:val="auto"/>
              </w:rPr>
            </w:pPr>
            <w:r>
              <w:rPr>
                <w:rFonts w:ascii="Arial" w:cs="Arial" w:eastAsia="Arial" w:hAnsi="Arial"/>
                <w:sz w:val="4"/>
                <w:szCs w:val="4"/>
                <w:color w:val="005A64"/>
              </w:rPr>
              <w:t>Gates Foundation</w:t>
            </w:r>
          </w:p>
        </w:tc>
        <w:tc>
          <w:tcPr>
            <w:tcW w:w="0" w:type="dxa"/>
            <w:vAlign w:val="bottom"/>
          </w:tcPr>
          <w:p>
            <w:pPr>
              <w:spacing w:after="0"/>
              <w:rPr>
                <w:sz w:val="1"/>
                <w:szCs w:val="1"/>
                <w:color w:val="auto"/>
              </w:rPr>
            </w:pPr>
          </w:p>
        </w:tc>
      </w:tr>
      <w:tr>
        <w:trPr>
          <w:trHeight w:val="131"/>
        </w:trPr>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400" w:type="dxa"/>
            <w:vAlign w:val="bottom"/>
            <w:tcBorders>
              <w:bottom w:val="single" w:sz="8" w:color="3C9673"/>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00" w:type="dxa"/>
            <w:vAlign w:val="bottom"/>
            <w:tcBorders>
              <w:bottom w:val="single" w:sz="8" w:color="3C9673"/>
            </w:tcBorders>
          </w:tcPr>
          <w:p>
            <w:pPr>
              <w:spacing w:after="0"/>
              <w:rPr>
                <w:sz w:val="14"/>
                <w:szCs w:val="14"/>
                <w:color w:val="auto"/>
              </w:rPr>
            </w:pPr>
          </w:p>
        </w:tc>
        <w:tc>
          <w:tcPr>
            <w:tcW w:w="60" w:type="dxa"/>
            <w:vAlign w:val="bottom"/>
            <w:tcBorders>
              <w:bottom w:val="single" w:sz="8" w:color="3C9673"/>
            </w:tcBorders>
          </w:tcPr>
          <w:p>
            <w:pPr>
              <w:spacing w:after="0"/>
              <w:rPr>
                <w:sz w:val="14"/>
                <w:szCs w:val="14"/>
                <w:color w:val="auto"/>
              </w:rPr>
            </w:pPr>
          </w:p>
        </w:tc>
        <w:tc>
          <w:tcPr>
            <w:tcW w:w="80" w:type="dxa"/>
            <w:vAlign w:val="bottom"/>
            <w:tcBorders>
              <w:bottom w:val="single" w:sz="8" w:color="3C9673"/>
            </w:tcBorders>
          </w:tcPr>
          <w:p>
            <w:pPr>
              <w:spacing w:after="0"/>
              <w:rPr>
                <w:sz w:val="14"/>
                <w:szCs w:val="14"/>
                <w:color w:val="auto"/>
              </w:rPr>
            </w:pPr>
          </w:p>
        </w:tc>
        <w:tc>
          <w:tcPr>
            <w:tcW w:w="40" w:type="dxa"/>
            <w:vAlign w:val="bottom"/>
            <w:tcBorders>
              <w:bottom w:val="single" w:sz="8" w:color="3C9673"/>
            </w:tcBorders>
          </w:tcPr>
          <w:p>
            <w:pPr>
              <w:spacing w:after="0"/>
              <w:rPr>
                <w:sz w:val="14"/>
                <w:szCs w:val="14"/>
                <w:color w:val="auto"/>
              </w:rPr>
            </w:pPr>
          </w:p>
        </w:tc>
        <w:tc>
          <w:tcPr>
            <w:tcW w:w="400" w:type="dxa"/>
            <w:vAlign w:val="bottom"/>
            <w:tcBorders>
              <w:bottom w:val="single" w:sz="8" w:color="3C9673"/>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7"/>
                <w:szCs w:val="7"/>
                <w:color w:val="005A64"/>
              </w:rPr>
              <w:t>BNT166</w:t>
            </w:r>
          </w:p>
        </w:tc>
        <w:tc>
          <w:tcPr>
            <w:tcW w:w="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005A64"/>
              </w:rPr>
              <w:t>Mpox</w:t>
            </w:r>
          </w:p>
        </w:tc>
        <w:tc>
          <w:tcPr>
            <w:tcW w:w="400" w:type="dxa"/>
            <w:vAlign w:val="bottom"/>
            <w:tcBorders>
              <w:bottom w:val="single" w:sz="8" w:color="3C9673"/>
            </w:tcBorders>
          </w:tcPr>
          <w:p>
            <w:pPr>
              <w:spacing w:after="0"/>
              <w:rPr>
                <w:sz w:val="14"/>
                <w:szCs w:val="14"/>
                <w:color w:val="auto"/>
              </w:rPr>
            </w:pPr>
          </w:p>
        </w:tc>
        <w:tc>
          <w:tcPr>
            <w:tcW w:w="60" w:type="dxa"/>
            <w:vAlign w:val="bottom"/>
            <w:tcBorders>
              <w:bottom w:val="single" w:sz="8" w:color="3C9673"/>
            </w:tcBorders>
          </w:tcPr>
          <w:p>
            <w:pPr>
              <w:spacing w:after="0"/>
              <w:rPr>
                <w:sz w:val="14"/>
                <w:szCs w:val="14"/>
                <w:color w:val="auto"/>
              </w:rPr>
            </w:pPr>
          </w:p>
        </w:tc>
        <w:tc>
          <w:tcPr>
            <w:tcW w:w="80" w:type="dxa"/>
            <w:vAlign w:val="bottom"/>
            <w:tcBorders>
              <w:bottom w:val="single" w:sz="8" w:color="3C9673"/>
            </w:tcBorders>
          </w:tcPr>
          <w:p>
            <w:pPr>
              <w:spacing w:after="0"/>
              <w:rPr>
                <w:sz w:val="14"/>
                <w:szCs w:val="14"/>
                <w:color w:val="auto"/>
              </w:rPr>
            </w:pPr>
          </w:p>
        </w:tc>
        <w:tc>
          <w:tcPr>
            <w:tcW w:w="40" w:type="dxa"/>
            <w:vAlign w:val="bottom"/>
            <w:tcBorders>
              <w:bottom w:val="single" w:sz="8" w:color="3C9673"/>
            </w:tcBorders>
          </w:tcPr>
          <w:p>
            <w:pPr>
              <w:spacing w:after="0"/>
              <w:rPr>
                <w:sz w:val="14"/>
                <w:szCs w:val="14"/>
                <w:color w:val="auto"/>
              </w:rPr>
            </w:pPr>
          </w:p>
        </w:tc>
        <w:tc>
          <w:tcPr>
            <w:tcW w:w="400" w:type="dxa"/>
            <w:vAlign w:val="bottom"/>
            <w:tcBorders>
              <w:bottom w:val="single" w:sz="8" w:color="3C9673"/>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7"/>
                <w:szCs w:val="7"/>
                <w:color w:val="005A64"/>
              </w:rPr>
              <w:t>Fully owned</w:t>
            </w:r>
          </w:p>
        </w:tc>
        <w:tc>
          <w:tcPr>
            <w:tcW w:w="2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7"/>
                <w:szCs w:val="7"/>
                <w:color w:val="005A64"/>
              </w:rPr>
              <w:t xml:space="preserve">Funded by CEPI </w:t>
            </w:r>
            <w:r>
              <w:rPr>
                <w:rFonts w:ascii="Arial" w:cs="Arial" w:eastAsia="Arial" w:hAnsi="Arial"/>
                <w:sz w:val="4"/>
                <w:szCs w:val="4"/>
                <w:color w:val="005A64"/>
              </w:rPr>
              <w:t>(8)</w:t>
            </w: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7"/>
                <w:szCs w:val="7"/>
                <w:color w:val="005A64"/>
              </w:rPr>
              <w:t>BNT167</w:t>
            </w:r>
          </w:p>
        </w:tc>
        <w:tc>
          <w:tcPr>
            <w:tcW w:w="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005A64"/>
              </w:rPr>
              <w:t>Shingles</w:t>
            </w:r>
          </w:p>
        </w:tc>
        <w:tc>
          <w:tcPr>
            <w:tcW w:w="400" w:type="dxa"/>
            <w:vAlign w:val="bottom"/>
            <w:tcBorders>
              <w:bottom w:val="single" w:sz="8" w:color="3C9673"/>
            </w:tcBorders>
          </w:tcPr>
          <w:p>
            <w:pPr>
              <w:spacing w:after="0"/>
              <w:rPr>
                <w:sz w:val="14"/>
                <w:szCs w:val="14"/>
                <w:color w:val="auto"/>
              </w:rPr>
            </w:pPr>
          </w:p>
        </w:tc>
        <w:tc>
          <w:tcPr>
            <w:tcW w:w="60" w:type="dxa"/>
            <w:vAlign w:val="bottom"/>
            <w:tcBorders>
              <w:bottom w:val="single" w:sz="8" w:color="3C9673"/>
            </w:tcBorders>
          </w:tcPr>
          <w:p>
            <w:pPr>
              <w:spacing w:after="0"/>
              <w:rPr>
                <w:sz w:val="14"/>
                <w:szCs w:val="14"/>
                <w:color w:val="auto"/>
              </w:rPr>
            </w:pPr>
          </w:p>
        </w:tc>
        <w:tc>
          <w:tcPr>
            <w:tcW w:w="80" w:type="dxa"/>
            <w:vAlign w:val="bottom"/>
            <w:tcBorders>
              <w:bottom w:val="single" w:sz="8" w:color="3C9673"/>
            </w:tcBorders>
          </w:tcPr>
          <w:p>
            <w:pPr>
              <w:spacing w:after="0"/>
              <w:rPr>
                <w:sz w:val="14"/>
                <w:szCs w:val="14"/>
                <w:color w:val="auto"/>
              </w:rPr>
            </w:pPr>
          </w:p>
        </w:tc>
        <w:tc>
          <w:tcPr>
            <w:tcW w:w="40" w:type="dxa"/>
            <w:vAlign w:val="bottom"/>
            <w:tcBorders>
              <w:bottom w:val="single" w:sz="8" w:color="3C9673"/>
            </w:tcBorders>
          </w:tcPr>
          <w:p>
            <w:pPr>
              <w:spacing w:after="0"/>
              <w:rPr>
                <w:sz w:val="14"/>
                <w:szCs w:val="14"/>
                <w:color w:val="auto"/>
              </w:rPr>
            </w:pPr>
          </w:p>
        </w:tc>
        <w:tc>
          <w:tcPr>
            <w:tcW w:w="400" w:type="dxa"/>
            <w:vAlign w:val="bottom"/>
            <w:tcBorders>
              <w:bottom w:val="single" w:sz="8" w:color="3C9673"/>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7"/>
                <w:szCs w:val="7"/>
                <w:color w:val="005A64"/>
              </w:rPr>
              <w:t>Collaboration</w:t>
            </w:r>
          </w:p>
        </w:tc>
        <w:tc>
          <w:tcPr>
            <w:tcW w:w="2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7"/>
                <w:szCs w:val="7"/>
                <w:color w:val="005A64"/>
              </w:rPr>
              <w:t>Pfizer</w:t>
            </w:r>
          </w:p>
        </w:tc>
        <w:tc>
          <w:tcPr>
            <w:tcW w:w="0" w:type="dxa"/>
            <w:vAlign w:val="bottom"/>
          </w:tcPr>
          <w:p>
            <w:pPr>
              <w:spacing w:after="0"/>
              <w:rPr>
                <w:sz w:val="1"/>
                <w:szCs w:val="1"/>
                <w:color w:val="auto"/>
              </w:rPr>
            </w:pPr>
          </w:p>
        </w:tc>
      </w:tr>
      <w:tr>
        <w:trPr>
          <w:trHeight w:val="71"/>
        </w:trPr>
        <w:tc>
          <w:tcPr>
            <w:tcW w:w="500" w:type="dxa"/>
            <w:vAlign w:val="bottom"/>
            <w:tcBorders>
              <w:bottom w:val="single" w:sz="8" w:color="005A64"/>
            </w:tcBorders>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Borders>
              <w:bottom w:val="single" w:sz="8" w:color="005A64"/>
            </w:tcBorders>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Borders>
              <w:bottom w:val="single" w:sz="8" w:color="005A64"/>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Borders>
              <w:bottom w:val="single" w:sz="8" w:color="005A64"/>
            </w:tcBorders>
          </w:tcPr>
          <w:p>
            <w:pPr>
              <w:spacing w:after="0"/>
              <w:rPr>
                <w:sz w:val="6"/>
                <w:szCs w:val="6"/>
                <w:color w:val="auto"/>
              </w:rPr>
            </w:pPr>
          </w:p>
        </w:tc>
        <w:tc>
          <w:tcPr>
            <w:tcW w:w="60" w:type="dxa"/>
            <w:vAlign w:val="bottom"/>
            <w:tcBorders>
              <w:bottom w:val="single" w:sz="8" w:color="005A64"/>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005A64"/>
            </w:tcBorders>
          </w:tcPr>
          <w:p>
            <w:pPr>
              <w:spacing w:after="0"/>
              <w:rPr>
                <w:sz w:val="6"/>
                <w:szCs w:val="6"/>
                <w:color w:val="auto"/>
              </w:rPr>
            </w:pPr>
          </w:p>
        </w:tc>
        <w:tc>
          <w:tcPr>
            <w:tcW w:w="60" w:type="dxa"/>
            <w:vAlign w:val="bottom"/>
            <w:tcBorders>
              <w:bottom w:val="single" w:sz="8" w:color="005A64"/>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005A64"/>
            </w:tcBorders>
          </w:tcPr>
          <w:p>
            <w:pPr>
              <w:spacing w:after="0"/>
              <w:rPr>
                <w:sz w:val="6"/>
                <w:szCs w:val="6"/>
                <w:color w:val="auto"/>
              </w:rPr>
            </w:pPr>
          </w:p>
        </w:tc>
        <w:tc>
          <w:tcPr>
            <w:tcW w:w="60" w:type="dxa"/>
            <w:vAlign w:val="bottom"/>
            <w:tcBorders>
              <w:bottom w:val="single" w:sz="8" w:color="005A64"/>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Borders>
              <w:bottom w:val="single" w:sz="8" w:color="005A64"/>
            </w:tcBorders>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Borders>
              <w:bottom w:val="single" w:sz="8" w:color="005A64"/>
            </w:tcBorders>
          </w:tcPr>
          <w:p>
            <w:pPr>
              <w:spacing w:after="0"/>
              <w:rPr>
                <w:sz w:val="6"/>
                <w:szCs w:val="6"/>
                <w:color w:val="auto"/>
              </w:rPr>
            </w:pPr>
          </w:p>
        </w:tc>
        <w:tc>
          <w:tcPr>
            <w:tcW w:w="60" w:type="dxa"/>
            <w:vAlign w:val="bottom"/>
            <w:tcBorders>
              <w:bottom w:val="single" w:sz="8" w:color="005A64"/>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Borders>
              <w:bottom w:val="single" w:sz="8" w:color="005A64"/>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Borders>
              <w:bottom w:val="single" w:sz="8" w:color="005A64"/>
            </w:tcBorders>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500" w:type="dxa"/>
            <w:vAlign w:val="bottom"/>
          </w:tcPr>
          <w:p>
            <w:pPr>
              <w:ind w:left="20"/>
              <w:spacing w:after="0" w:line="51" w:lineRule="exact"/>
              <w:rPr>
                <w:sz w:val="20"/>
                <w:szCs w:val="20"/>
                <w:color w:val="auto"/>
              </w:rPr>
            </w:pPr>
            <w:r>
              <w:rPr>
                <w:rFonts w:ascii="Arial" w:cs="Arial" w:eastAsia="Arial" w:hAnsi="Arial"/>
                <w:sz w:val="5"/>
                <w:szCs w:val="5"/>
                <w:b w:val="1"/>
                <w:bCs w:val="1"/>
                <w:color w:val="005A64"/>
              </w:rPr>
              <w:t>Protein-based</w:t>
            </w:r>
          </w:p>
        </w:tc>
        <w:tc>
          <w:tcPr>
            <w:tcW w:w="20" w:type="dxa"/>
            <w:vAlign w:val="bottom"/>
          </w:tcPr>
          <w:p>
            <w:pPr>
              <w:spacing w:after="0"/>
              <w:rPr>
                <w:sz w:val="4"/>
                <w:szCs w:val="4"/>
                <w:color w:val="auto"/>
              </w:rPr>
            </w:pPr>
          </w:p>
        </w:tc>
        <w:tc>
          <w:tcPr>
            <w:tcW w:w="860" w:type="dxa"/>
            <w:vAlign w:val="bottom"/>
          </w:tcPr>
          <w:p>
            <w:pPr>
              <w:spacing w:after="0" w:line="51" w:lineRule="exact"/>
              <w:rPr>
                <w:sz w:val="20"/>
                <w:szCs w:val="20"/>
                <w:color w:val="auto"/>
              </w:rPr>
            </w:pPr>
            <w:r>
              <w:rPr>
                <w:rFonts w:ascii="Arial" w:cs="Arial" w:eastAsia="Arial" w:hAnsi="Arial"/>
                <w:sz w:val="5"/>
                <w:szCs w:val="5"/>
                <w:color w:val="005A64"/>
              </w:rPr>
              <w:t>BNT331</w:t>
            </w:r>
          </w:p>
        </w:tc>
        <w:tc>
          <w:tcPr>
            <w:tcW w:w="20" w:type="dxa"/>
            <w:vAlign w:val="bottom"/>
          </w:tcPr>
          <w:p>
            <w:pPr>
              <w:spacing w:after="0"/>
              <w:rPr>
                <w:sz w:val="4"/>
                <w:szCs w:val="4"/>
                <w:color w:val="auto"/>
              </w:rPr>
            </w:pPr>
          </w:p>
        </w:tc>
        <w:tc>
          <w:tcPr>
            <w:tcW w:w="960" w:type="dxa"/>
            <w:vAlign w:val="bottom"/>
            <w:gridSpan w:val="2"/>
          </w:tcPr>
          <w:p>
            <w:pPr>
              <w:spacing w:after="0" w:line="51" w:lineRule="exact"/>
              <w:rPr>
                <w:sz w:val="20"/>
                <w:szCs w:val="20"/>
                <w:color w:val="auto"/>
              </w:rPr>
            </w:pPr>
            <w:r>
              <w:rPr>
                <w:rFonts w:ascii="Arial" w:cs="Arial" w:eastAsia="Arial" w:hAnsi="Arial"/>
                <w:sz w:val="5"/>
                <w:szCs w:val="5"/>
                <w:color w:val="005A64"/>
              </w:rPr>
              <w:t>Bacterial vaginosis</w:t>
            </w: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ind w:left="20"/>
              <w:spacing w:after="0" w:line="51" w:lineRule="exact"/>
              <w:rPr>
                <w:sz w:val="20"/>
                <w:szCs w:val="20"/>
                <w:color w:val="auto"/>
              </w:rPr>
            </w:pPr>
            <w:r>
              <w:rPr>
                <w:rFonts w:ascii="Arial" w:cs="Arial" w:eastAsia="Arial" w:hAnsi="Arial"/>
                <w:sz w:val="5"/>
                <w:szCs w:val="5"/>
                <w:color w:val="005A64"/>
              </w:rPr>
              <w:t>Fully owned</w:t>
            </w: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500" w:type="dxa"/>
            <w:vAlign w:val="bottom"/>
          </w:tcPr>
          <w:p>
            <w:pPr>
              <w:ind w:left="20"/>
              <w:spacing w:after="0" w:line="51" w:lineRule="exact"/>
              <w:rPr>
                <w:sz w:val="20"/>
                <w:szCs w:val="20"/>
                <w:color w:val="auto"/>
              </w:rPr>
            </w:pPr>
            <w:r>
              <w:rPr>
                <w:rFonts w:ascii="Arial" w:cs="Arial" w:eastAsia="Arial" w:hAnsi="Arial"/>
                <w:sz w:val="5"/>
                <w:szCs w:val="5"/>
                <w:b w:val="1"/>
                <w:bCs w:val="1"/>
                <w:color w:val="005A64"/>
              </w:rPr>
              <w:t>therapeutics</w:t>
            </w: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shd w:val="clear" w:color="auto" w:fill="3C9673"/>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45085</wp:posOffset>
            </wp:positionV>
            <wp:extent cx="419163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191635" cy="6350"/>
                    </a:xfrm>
                    <a:prstGeom prst="rect">
                      <a:avLst/>
                    </a:prstGeom>
                    <a:noFill/>
                  </pic:spPr>
                </pic:pic>
              </a:graphicData>
            </a:graphic>
          </wp:anchor>
        </w:drawing>
      </w:r>
    </w:p>
    <w:p>
      <w:pPr>
        <w:spacing w:after="0" w:line="40" w:lineRule="exact"/>
        <w:rPr>
          <w:sz w:val="20"/>
          <w:szCs w:val="20"/>
          <w:color w:val="auto"/>
        </w:rPr>
      </w:pPr>
    </w:p>
    <w:p>
      <w:pPr>
        <w:ind w:left="580" w:hanging="197"/>
        <w:spacing w:after="0"/>
        <w:tabs>
          <w:tab w:leader="none" w:pos="580" w:val="left"/>
        </w:tabs>
        <w:numPr>
          <w:ilvl w:val="0"/>
          <w:numId w:val="4"/>
        </w:numPr>
        <w:rPr>
          <w:rFonts w:ascii="Arial" w:cs="Arial" w:eastAsia="Arial" w:hAnsi="Arial"/>
          <w:sz w:val="16"/>
          <w:szCs w:val="16"/>
          <w:color w:val="005A64"/>
          <w:vertAlign w:val="superscript"/>
        </w:rPr>
      </w:pPr>
      <w:r>
        <w:rPr>
          <w:rFonts w:ascii="Arial" w:cs="Arial" w:eastAsia="Arial" w:hAnsi="Arial"/>
          <w:sz w:val="12"/>
          <w:szCs w:val="12"/>
          <w:color w:val="005A64"/>
        </w:rPr>
        <w:t>For further details about BioNTech’s rights, see elsewhere in this Annual Report.</w:t>
      </w:r>
    </w:p>
    <w:p>
      <w:pPr>
        <w:ind w:left="380" w:right="2220" w:firstLine="3"/>
        <w:spacing w:after="0" w:line="210" w:lineRule="auto"/>
        <w:tabs>
          <w:tab w:leader="none" w:pos="582" w:val="left"/>
        </w:tabs>
        <w:numPr>
          <w:ilvl w:val="0"/>
          <w:numId w:val="4"/>
        </w:numPr>
        <w:rPr>
          <w:rFonts w:ascii="Arial" w:cs="Arial" w:eastAsia="Arial" w:hAnsi="Arial"/>
          <w:sz w:val="8"/>
          <w:szCs w:val="8"/>
          <w:color w:val="005A64"/>
        </w:rPr>
      </w:pPr>
      <w:r>
        <w:rPr>
          <w:rFonts w:ascii="Arial" w:cs="Arial" w:eastAsia="Arial" w:hAnsi="Arial"/>
          <w:sz w:val="12"/>
          <w:szCs w:val="12"/>
          <w:color w:val="005A64"/>
        </w:rPr>
        <w:t xml:space="preserve">The </w:t>
      </w:r>
      <w:r>
        <w:rPr>
          <w:rFonts w:ascii="Arial" w:cs="Arial" w:eastAsia="Arial" w:hAnsi="Arial"/>
          <w:sz w:val="12"/>
          <w:szCs w:val="12"/>
          <w:i w:val="1"/>
          <w:iCs w:val="1"/>
          <w:color w:val="005A64"/>
        </w:rPr>
        <w:t>FixVac</w:t>
      </w:r>
      <w:r>
        <w:rPr>
          <w:rFonts w:ascii="Arial" w:cs="Arial" w:eastAsia="Arial" w:hAnsi="Arial"/>
          <w:sz w:val="12"/>
          <w:szCs w:val="12"/>
          <w:color w:val="005A64"/>
        </w:rPr>
        <w:t xml:space="preserve"> platform is fully owned by BioNTech. The BNT111 and BNT116 Phase 2 trials are jointly conducted with Regeneron as part of a cost-sharing strategic collaboration.</w:t>
      </w:r>
    </w:p>
    <w:p>
      <w:pPr>
        <w:spacing w:after="0" w:line="1" w:lineRule="exact"/>
        <w:rPr>
          <w:rFonts w:ascii="Arial" w:cs="Arial" w:eastAsia="Arial" w:hAnsi="Arial"/>
          <w:sz w:val="8"/>
          <w:szCs w:val="8"/>
          <w:color w:val="005A64"/>
        </w:rPr>
      </w:pPr>
    </w:p>
    <w:p>
      <w:pPr>
        <w:ind w:left="580" w:hanging="197"/>
        <w:spacing w:after="0"/>
        <w:tabs>
          <w:tab w:leader="none" w:pos="580" w:val="left"/>
        </w:tabs>
        <w:numPr>
          <w:ilvl w:val="0"/>
          <w:numId w:val="4"/>
        </w:numPr>
        <w:rPr>
          <w:rFonts w:ascii="Arial" w:cs="Arial" w:eastAsia="Arial" w:hAnsi="Arial"/>
          <w:sz w:val="8"/>
          <w:szCs w:val="8"/>
          <w:color w:val="005A64"/>
        </w:rPr>
      </w:pPr>
      <w:r>
        <w:rPr>
          <w:rFonts w:ascii="Arial" w:cs="Arial" w:eastAsia="Arial" w:hAnsi="Arial"/>
          <w:sz w:val="12"/>
          <w:szCs w:val="12"/>
          <w:color w:val="005A64"/>
        </w:rPr>
        <w:t>A member of the Roche group.</w:t>
      </w:r>
    </w:p>
    <w:p>
      <w:pPr>
        <w:spacing w:after="0" w:line="9" w:lineRule="exact"/>
        <w:rPr>
          <w:rFonts w:ascii="Arial" w:cs="Arial" w:eastAsia="Arial" w:hAnsi="Arial"/>
          <w:sz w:val="8"/>
          <w:szCs w:val="8"/>
          <w:color w:val="005A64"/>
        </w:rPr>
      </w:pPr>
    </w:p>
    <w:p>
      <w:pPr>
        <w:ind w:left="580" w:hanging="197"/>
        <w:spacing w:after="0" w:line="224" w:lineRule="auto"/>
        <w:tabs>
          <w:tab w:leader="none" w:pos="580" w:val="left"/>
        </w:tabs>
        <w:numPr>
          <w:ilvl w:val="0"/>
          <w:numId w:val="4"/>
        </w:numPr>
        <w:rPr>
          <w:rFonts w:ascii="Arial" w:cs="Arial" w:eastAsia="Arial" w:hAnsi="Arial"/>
          <w:sz w:val="16"/>
          <w:szCs w:val="16"/>
          <w:color w:val="005A64"/>
          <w:vertAlign w:val="superscript"/>
        </w:rPr>
      </w:pPr>
      <w:r>
        <w:rPr>
          <w:rFonts w:ascii="Arial" w:cs="Arial" w:eastAsia="Arial" w:hAnsi="Arial"/>
          <w:sz w:val="12"/>
          <w:szCs w:val="12"/>
          <w:color w:val="005A64"/>
        </w:rPr>
        <w:t>Phase 3 development run by Genmab. BioNTech retains a tiered single-digit royalty on any potential sales.</w:t>
      </w:r>
    </w:p>
    <w:p>
      <w:pPr>
        <w:spacing w:after="0" w:line="24" w:lineRule="exact"/>
        <w:rPr>
          <w:rFonts w:ascii="Arial" w:cs="Arial" w:eastAsia="Arial" w:hAnsi="Arial"/>
          <w:sz w:val="16"/>
          <w:szCs w:val="16"/>
          <w:color w:val="005A64"/>
          <w:vertAlign w:val="superscript"/>
        </w:rPr>
      </w:pPr>
    </w:p>
    <w:p>
      <w:pPr>
        <w:ind w:left="580" w:hanging="197"/>
        <w:spacing w:after="0" w:line="180" w:lineRule="auto"/>
        <w:tabs>
          <w:tab w:leader="none" w:pos="580" w:val="left"/>
        </w:tabs>
        <w:numPr>
          <w:ilvl w:val="0"/>
          <w:numId w:val="4"/>
        </w:numPr>
        <w:rPr>
          <w:rFonts w:ascii="Arial" w:cs="Arial" w:eastAsia="Arial" w:hAnsi="Arial"/>
          <w:sz w:val="14"/>
          <w:szCs w:val="14"/>
          <w:color w:val="005A64"/>
          <w:vertAlign w:val="superscript"/>
        </w:rPr>
      </w:pPr>
      <w:r>
        <w:rPr>
          <w:rFonts w:ascii="Arial" w:cs="Arial" w:eastAsia="Arial" w:hAnsi="Arial"/>
          <w:sz w:val="11"/>
          <w:szCs w:val="11"/>
          <w:color w:val="005A64"/>
        </w:rPr>
        <w:t>Trial ongoing in China only.</w:t>
      </w:r>
    </w:p>
    <w:p>
      <w:pPr>
        <w:ind w:left="580" w:hanging="197"/>
        <w:spacing w:after="0" w:line="210" w:lineRule="auto"/>
        <w:tabs>
          <w:tab w:leader="none" w:pos="580" w:val="left"/>
        </w:tabs>
        <w:numPr>
          <w:ilvl w:val="0"/>
          <w:numId w:val="4"/>
        </w:numPr>
        <w:rPr>
          <w:rFonts w:ascii="Arial" w:cs="Arial" w:eastAsia="Arial" w:hAnsi="Arial"/>
          <w:sz w:val="8"/>
          <w:szCs w:val="8"/>
          <w:color w:val="005A64"/>
        </w:rPr>
      </w:pPr>
      <w:r>
        <w:rPr>
          <w:rFonts w:ascii="Arial" w:cs="Arial" w:eastAsia="Arial" w:hAnsi="Arial"/>
          <w:sz w:val="12"/>
          <w:szCs w:val="12"/>
          <w:color w:val="005A64"/>
        </w:rPr>
        <w:t>Part of a Phase 2/3 clinical trial.</w:t>
      </w:r>
    </w:p>
    <w:p>
      <w:pPr>
        <w:ind w:left="600" w:hanging="217"/>
        <w:spacing w:after="0" w:line="210" w:lineRule="auto"/>
        <w:tabs>
          <w:tab w:leader="none" w:pos="600" w:val="left"/>
        </w:tabs>
        <w:numPr>
          <w:ilvl w:val="0"/>
          <w:numId w:val="4"/>
        </w:numPr>
        <w:rPr>
          <w:rFonts w:ascii="Arial" w:cs="Arial" w:eastAsia="Arial" w:hAnsi="Arial"/>
          <w:sz w:val="8"/>
          <w:szCs w:val="8"/>
          <w:color w:val="005A64"/>
        </w:rPr>
      </w:pPr>
      <w:r>
        <w:rPr>
          <w:rFonts w:ascii="Arial" w:cs="Arial" w:eastAsia="Arial" w:hAnsi="Arial"/>
          <w:sz w:val="12"/>
          <w:szCs w:val="12"/>
          <w:color w:val="005A64"/>
        </w:rPr>
        <w:t>Out-licensed to Pfizer.</w:t>
      </w:r>
    </w:p>
    <w:p>
      <w:pPr>
        <w:ind w:left="580" w:hanging="197"/>
        <w:spacing w:after="0" w:line="212" w:lineRule="auto"/>
        <w:tabs>
          <w:tab w:leader="none" w:pos="580" w:val="left"/>
        </w:tabs>
        <w:numPr>
          <w:ilvl w:val="0"/>
          <w:numId w:val="4"/>
        </w:numPr>
        <w:rPr>
          <w:rFonts w:ascii="Arial" w:cs="Arial" w:eastAsia="Arial" w:hAnsi="Arial"/>
          <w:sz w:val="8"/>
          <w:szCs w:val="8"/>
          <w:color w:val="005A64"/>
        </w:rPr>
      </w:pPr>
      <w:r>
        <w:rPr>
          <w:rFonts w:ascii="Arial" w:cs="Arial" w:eastAsia="Arial" w:hAnsi="Arial"/>
          <w:sz w:val="12"/>
          <w:szCs w:val="12"/>
          <w:color w:val="005A64"/>
        </w:rPr>
        <w:t>Coalition for Epidemic Preparedness Innovations.</w:t>
      </w:r>
    </w:p>
    <w:p>
      <w:pPr>
        <w:ind w:left="380"/>
        <w:spacing w:after="0" w:line="211" w:lineRule="auto"/>
        <w:rPr>
          <w:sz w:val="20"/>
          <w:szCs w:val="20"/>
          <w:color w:val="auto"/>
        </w:rPr>
      </w:pPr>
      <w:r>
        <w:rPr>
          <w:rFonts w:ascii="Arial" w:cs="Arial" w:eastAsia="Arial" w:hAnsi="Arial"/>
          <w:sz w:val="13"/>
          <w:szCs w:val="13"/>
          <w:b w:val="1"/>
          <w:bCs w:val="1"/>
          <w:color w:val="auto"/>
        </w:rPr>
        <w:t>A. Oncology Programs</w:t>
      </w:r>
    </w:p>
    <w:p>
      <w:pPr>
        <w:ind w:left="380" w:right="6520" w:firstLine="3"/>
        <w:spacing w:after="0" w:line="210" w:lineRule="auto"/>
        <w:tabs>
          <w:tab w:leader="none" w:pos="528"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mRNA Product Class in Oncology </w:t>
      </w:r>
      <w:r>
        <w:rPr>
          <w:rFonts w:ascii="Arial" w:cs="Arial" w:eastAsia="Arial" w:hAnsi="Arial"/>
          <w:sz w:val="13"/>
          <w:szCs w:val="13"/>
          <w:color w:val="3C9673"/>
        </w:rPr>
        <w:t>a) FixVac</w:t>
      </w:r>
    </w:p>
    <w:p>
      <w:pPr>
        <w:spacing w:after="0" w:line="1" w:lineRule="exact"/>
        <w:rPr>
          <w:rFonts w:ascii="Arial" w:cs="Arial" w:eastAsia="Arial" w:hAnsi="Arial"/>
          <w:sz w:val="13"/>
          <w:szCs w:val="13"/>
          <w:i w:val="1"/>
          <w:iCs w:val="1"/>
          <w:color w:val="auto"/>
        </w:rPr>
      </w:pPr>
    </w:p>
    <w:p>
      <w:pPr>
        <w:ind w:left="380" w:right="2140"/>
        <w:spacing w:after="0" w:line="210" w:lineRule="auto"/>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FixVac </w:t>
      </w:r>
      <w:r>
        <w:rPr>
          <w:rFonts w:ascii="Arial" w:cs="Arial" w:eastAsia="Arial" w:hAnsi="Arial"/>
          <w:sz w:val="13"/>
          <w:szCs w:val="13"/>
          <w:color w:val="auto"/>
        </w:rPr>
        <w:t>is our fully owned, systemic, off-the-shelf mRNA-based cancer immunotherapy approach, from which we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are developing several potential first-in-class product candidates. </w:t>
      </w:r>
      <w:r>
        <w:rPr>
          <w:rFonts w:ascii="Arial" w:cs="Arial" w:eastAsia="Arial" w:hAnsi="Arial"/>
          <w:sz w:val="13"/>
          <w:szCs w:val="13"/>
          <w:i w:val="1"/>
          <w:iCs w:val="1"/>
          <w:color w:val="auto"/>
        </w:rPr>
        <w:t>FixVac</w:t>
      </w:r>
      <w:r>
        <w:rPr>
          <w:rFonts w:ascii="Arial" w:cs="Arial" w:eastAsia="Arial" w:hAnsi="Arial"/>
          <w:sz w:val="13"/>
          <w:szCs w:val="13"/>
          <w:color w:val="auto"/>
        </w:rPr>
        <w:t xml:space="preserve"> product candidates contain our optimized uridine-RNA delivered in our proprietary RNA-lipoplex nanoparticles, or RNA-LPX, formulation for intravenous administration. The Proprietary RNA-LPX protects the RNA from degradation by RNAse and is designed for RNA delivery into antigen-presenting cells in lymphoid organs body-wide. </w:t>
      </w:r>
      <w:r>
        <w:rPr>
          <w:rFonts w:ascii="Arial" w:cs="Arial" w:eastAsia="Arial" w:hAnsi="Arial"/>
          <w:sz w:val="13"/>
          <w:szCs w:val="13"/>
          <w:i w:val="1"/>
          <w:iCs w:val="1"/>
          <w:color w:val="auto"/>
        </w:rPr>
        <w:t>FixVac</w:t>
      </w:r>
      <w:r>
        <w:rPr>
          <w:rFonts w:ascii="Arial" w:cs="Arial" w:eastAsia="Arial" w:hAnsi="Arial"/>
          <w:sz w:val="13"/>
          <w:szCs w:val="13"/>
          <w:color w:val="auto"/>
        </w:rPr>
        <w:t xml:space="preserve"> candidates are designed to target shared antigens that have been identified to be frequently expressed across patients with a specific cancer type. These product candidates are designed to trigger both innate and adaptive immune responses.</w:t>
      </w:r>
    </w:p>
    <w:p>
      <w:pPr>
        <w:spacing w:after="0" w:line="4" w:lineRule="exact"/>
        <w:rPr>
          <w:rFonts w:ascii="Arial" w:cs="Arial" w:eastAsia="Arial" w:hAnsi="Arial"/>
          <w:sz w:val="13"/>
          <w:szCs w:val="13"/>
          <w:i w:val="1"/>
          <w:iCs w:val="1"/>
          <w:color w:val="auto"/>
        </w:rPr>
      </w:pPr>
    </w:p>
    <w:p>
      <w:pPr>
        <w:ind w:left="380"/>
        <w:spacing w:after="0" w:line="210" w:lineRule="auto"/>
        <w:rPr>
          <w:rFonts w:ascii="Arial" w:cs="Arial" w:eastAsia="Arial" w:hAnsi="Arial"/>
          <w:sz w:val="13"/>
          <w:szCs w:val="13"/>
          <w:i w:val="1"/>
          <w:iCs w:val="1"/>
          <w:color w:val="auto"/>
        </w:rPr>
      </w:pPr>
      <w:r>
        <w:rPr>
          <w:rFonts w:ascii="Arial" w:cs="Arial" w:eastAsia="Arial" w:hAnsi="Arial"/>
          <w:sz w:val="13"/>
          <w:szCs w:val="13"/>
          <w:i w:val="1"/>
          <w:iCs w:val="1"/>
          <w:color w:val="3C9673"/>
        </w:rPr>
        <w:t>i. BNT111 in Advanced Melanoma</w:t>
      </w:r>
    </w:p>
    <w:p>
      <w:pPr>
        <w:ind w:left="380" w:right="2060"/>
        <w:spacing w:after="0" w:line="210" w:lineRule="auto"/>
        <w:rPr>
          <w:rFonts w:ascii="Arial" w:cs="Arial" w:eastAsia="Arial" w:hAnsi="Arial"/>
          <w:sz w:val="13"/>
          <w:szCs w:val="13"/>
          <w:i w:val="1"/>
          <w:iCs w:val="1"/>
          <w:color w:val="auto"/>
        </w:rPr>
      </w:pPr>
      <w:r>
        <w:rPr>
          <w:rFonts w:ascii="Arial" w:cs="Arial" w:eastAsia="Arial" w:hAnsi="Arial"/>
          <w:sz w:val="13"/>
          <w:szCs w:val="13"/>
          <w:color w:val="auto"/>
        </w:rPr>
        <w:t>BNT111 is designed to elicit an immune response to four antigens (NY-ESO-1, MAGE-A3, tyrosinase, TPTE) that have each been found to be associated with cutaneous melanoma.</w:t>
      </w:r>
    </w:p>
    <w:p>
      <w:pPr>
        <w:spacing w:after="0" w:line="1" w:lineRule="exact"/>
        <w:rPr>
          <w:rFonts w:ascii="Arial" w:cs="Arial" w:eastAsia="Arial" w:hAnsi="Arial"/>
          <w:sz w:val="13"/>
          <w:szCs w:val="13"/>
          <w:i w:val="1"/>
          <w:iCs w:val="1"/>
          <w:color w:val="auto"/>
        </w:rPr>
      </w:pPr>
    </w:p>
    <w:p>
      <w:pPr>
        <w:ind w:left="380"/>
        <w:spacing w:after="0" w:line="210" w:lineRule="auto"/>
        <w:rPr>
          <w:rFonts w:ascii="Arial" w:cs="Arial" w:eastAsia="Arial" w:hAnsi="Arial"/>
          <w:sz w:val="13"/>
          <w:szCs w:val="13"/>
          <w:i w:val="1"/>
          <w:iCs w:val="1"/>
          <w:color w:val="auto"/>
        </w:rPr>
      </w:pPr>
      <w:r>
        <w:rPr>
          <w:rFonts w:ascii="Arial" w:cs="Arial" w:eastAsia="Arial" w:hAnsi="Arial"/>
          <w:sz w:val="13"/>
          <w:szCs w:val="13"/>
          <w:i w:val="1"/>
          <w:iCs w:val="1"/>
          <w:u w:val="single" w:color="auto"/>
          <w:color w:val="auto"/>
        </w:rPr>
        <w:t>Ongoing Phase 2 Trial</w:t>
      </w:r>
    </w:p>
    <w:p>
      <w:pPr>
        <w:ind w:left="380" w:right="2220"/>
        <w:spacing w:after="0" w:line="210" w:lineRule="auto"/>
        <w:rPr>
          <w:rFonts w:ascii="Arial" w:cs="Arial" w:eastAsia="Arial" w:hAnsi="Arial"/>
          <w:sz w:val="13"/>
          <w:szCs w:val="13"/>
          <w:i w:val="1"/>
          <w:iCs w:val="1"/>
          <w:color w:val="auto"/>
        </w:rPr>
      </w:pPr>
      <w:r>
        <w:rPr>
          <w:rFonts w:ascii="Arial" w:cs="Arial" w:eastAsia="Arial" w:hAnsi="Arial"/>
          <w:sz w:val="13"/>
          <w:szCs w:val="13"/>
          <w:color w:val="auto"/>
        </w:rPr>
        <w:t>An open-label, randomized, multi-site, Phase 2 clinical trial (BNT111-01; NCT04526899) is being conducted in collaboration with Regeneron Pharmaceuticals Inc., or Regeneron, to evaluate BNT111 in combination with cemiplimab versus both agents as monotherapy in 184 patients with anti-PD-1-/anti-PD-L1 refractory/relapsed, unresectable Stage III or IV melanoma. The primary endpoint is objective response rate, or ORR. Secondary endpoints include duration of response, or DOR, disease control rate, or DCR, time to response, or TTR, progression-free survival, or PFS, overall survival, or OS, and safety.</w:t>
      </w:r>
    </w:p>
    <w:p>
      <w:pPr>
        <w:spacing w:after="0" w:line="3" w:lineRule="exact"/>
        <w:rPr>
          <w:rFonts w:ascii="Arial" w:cs="Arial" w:eastAsia="Arial" w:hAnsi="Arial"/>
          <w:sz w:val="13"/>
          <w:szCs w:val="13"/>
          <w:i w:val="1"/>
          <w:iCs w:val="1"/>
          <w:color w:val="auto"/>
        </w:rPr>
      </w:pPr>
    </w:p>
    <w:p>
      <w:pPr>
        <w:ind w:left="380" w:right="2740"/>
        <w:spacing w:after="0" w:line="234" w:lineRule="auto"/>
        <w:rPr>
          <w:rFonts w:ascii="Arial" w:cs="Arial" w:eastAsia="Arial" w:hAnsi="Arial"/>
          <w:sz w:val="13"/>
          <w:szCs w:val="13"/>
          <w:i w:val="1"/>
          <w:iCs w:val="1"/>
          <w:color w:val="auto"/>
        </w:rPr>
      </w:pPr>
      <w:r>
        <w:rPr>
          <w:rFonts w:ascii="Arial" w:cs="Arial" w:eastAsia="Arial" w:hAnsi="Arial"/>
          <w:sz w:val="13"/>
          <w:szCs w:val="13"/>
          <w:color w:val="auto"/>
        </w:rPr>
        <w:t>•In July 2024, we announced that the trial met its primary efficacy outcome measure, demonstrating a statistically significant improvement in ORR in patients treated with BNT111 in combination with</w:t>
      </w:r>
    </w:p>
    <w:p>
      <w:pPr>
        <w:sectPr>
          <w:pgSz w:w="11900" w:h="16840" w:orient="portrait"/>
          <w:cols w:equalWidth="0" w:num="1">
            <w:col w:w="9020"/>
          </w:cols>
          <w:pgMar w:left="1440" w:top="560" w:right="1440"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106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560"/>
        <w:spacing w:after="0" w:line="213" w:lineRule="auto"/>
        <w:rPr>
          <w:sz w:val="20"/>
          <w:szCs w:val="20"/>
          <w:color w:val="auto"/>
        </w:rPr>
      </w:pPr>
      <w:r>
        <w:rPr>
          <w:rFonts w:ascii="Arial" w:cs="Arial" w:eastAsia="Arial" w:hAnsi="Arial"/>
          <w:sz w:val="13"/>
          <w:szCs w:val="13"/>
          <w:color w:val="auto"/>
        </w:rPr>
        <w:t>cemiplimab, as compared to a historical control in this indication and setting. The ORR in the cemiplimab monotherapy arm was in line with the historical control of anti- PD- (L)1 or anti-CTLA-4 treatments in this patient group. The treatment was generally well tolerated and the safety profile of BNT111 in combination with cemiplimab was consistent with previous clinical trials assessing BNT111 in combination with anti-PD-(L)1-containing treatments. The Phase 2 trial will continue as planned to further assess the secondary endpoints which were not mature at the time of the primary analysis. We plan to present these data at an upcoming medical conference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-582930</wp:posOffset>
            </wp:positionV>
            <wp:extent cx="523113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5" w:lineRule="auto"/>
        <w:rPr>
          <w:sz w:val="20"/>
          <w:szCs w:val="20"/>
          <w:color w:val="auto"/>
        </w:rPr>
      </w:pPr>
      <w:r>
        <w:rPr>
          <w:rFonts w:ascii="Arial" w:cs="Arial" w:eastAsia="Arial" w:hAnsi="Arial"/>
          <w:sz w:val="13"/>
          <w:szCs w:val="13"/>
          <w:i w:val="1"/>
          <w:iCs w:val="1"/>
          <w:u w:val="single" w:color="auto"/>
          <w:color w:val="auto"/>
        </w:rPr>
        <w:t>Phase 1 Trial</w:t>
      </w:r>
    </w:p>
    <w:p>
      <w:pPr>
        <w:spacing w:after="0" w:line="1" w:lineRule="exact"/>
        <w:rPr>
          <w:sz w:val="20"/>
          <w:szCs w:val="20"/>
          <w:color w:val="auto"/>
        </w:rPr>
      </w:pPr>
    </w:p>
    <w:p>
      <w:pPr>
        <w:jc w:val="both"/>
        <w:ind w:left="380" w:right="2300" w:firstLine="3"/>
        <w:spacing w:after="0" w:line="210" w:lineRule="auto"/>
        <w:tabs>
          <w:tab w:leader="none" w:pos="504" w:val="left"/>
        </w:tabs>
        <w:numPr>
          <w:ilvl w:val="0"/>
          <w:numId w:val="6"/>
        </w:numPr>
        <w:rPr>
          <w:rFonts w:ascii="Arial" w:cs="Arial" w:eastAsia="Arial" w:hAnsi="Arial"/>
          <w:sz w:val="13"/>
          <w:szCs w:val="13"/>
          <w:color w:val="auto"/>
        </w:rPr>
      </w:pPr>
      <w:r>
        <w:rPr>
          <w:rFonts w:ascii="Arial" w:cs="Arial" w:eastAsia="Arial" w:hAnsi="Arial"/>
          <w:sz w:val="13"/>
          <w:szCs w:val="13"/>
          <w:color w:val="auto"/>
        </w:rPr>
        <w:t>multi-center, open-label, first-in-human, Phase 1, dose escalation clinical trial (Lipo-MERIT; NCT02410733) evaluating the safety and tolerability of BNT111 in patients with advanced melanoma was completed in 2023. This was the first clinical trial worldwide in which an mRNA-based cancer immunotherapy was administered intravenously for systemic treatment.</w:t>
      </w:r>
    </w:p>
    <w:p>
      <w:pPr>
        <w:spacing w:after="0" w:line="2" w:lineRule="exact"/>
        <w:rPr>
          <w:rFonts w:ascii="Arial" w:cs="Arial" w:eastAsia="Arial" w:hAnsi="Arial"/>
          <w:sz w:val="13"/>
          <w:szCs w:val="13"/>
          <w:color w:val="auto"/>
        </w:rPr>
      </w:pPr>
    </w:p>
    <w:p>
      <w:pPr>
        <w:ind w:left="380" w:right="2660"/>
        <w:spacing w:after="0" w:line="210" w:lineRule="auto"/>
        <w:rPr>
          <w:rFonts w:ascii="Arial" w:cs="Arial" w:eastAsia="Arial" w:hAnsi="Arial"/>
          <w:sz w:val="13"/>
          <w:szCs w:val="13"/>
          <w:color w:val="auto"/>
        </w:rPr>
      </w:pPr>
      <w:r>
        <w:rPr>
          <w:rFonts w:ascii="Arial" w:cs="Arial" w:eastAsia="Arial" w:hAnsi="Arial"/>
          <w:sz w:val="13"/>
          <w:szCs w:val="13"/>
          <w:color w:val="auto"/>
        </w:rPr>
        <w:t>•The trial started in 2015. Enrollment was completed in 2020 with 115 patients, and the last patient visit under the follow-up period took place in June 2023. Final biomarker and clinical data of the trial have been gathered and compiled in a clinical study report.</w:t>
      </w:r>
    </w:p>
    <w:p>
      <w:pPr>
        <w:spacing w:after="0" w:line="1" w:lineRule="exact"/>
        <w:rPr>
          <w:rFonts w:ascii="Arial" w:cs="Arial" w:eastAsia="Arial" w:hAnsi="Arial"/>
          <w:sz w:val="13"/>
          <w:szCs w:val="13"/>
          <w:color w:val="auto"/>
        </w:rPr>
      </w:pPr>
    </w:p>
    <w:p>
      <w:pPr>
        <w:ind w:left="380"/>
        <w:spacing w:after="0" w:line="210" w:lineRule="auto"/>
        <w:rPr>
          <w:rFonts w:ascii="Arial" w:cs="Arial" w:eastAsia="Arial" w:hAnsi="Arial"/>
          <w:sz w:val="13"/>
          <w:szCs w:val="13"/>
          <w:color w:val="auto"/>
        </w:rPr>
      </w:pPr>
      <w:r>
        <w:rPr>
          <w:rFonts w:ascii="Arial" w:cs="Arial" w:eastAsia="Arial" w:hAnsi="Arial"/>
          <w:sz w:val="13"/>
          <w:szCs w:val="13"/>
          <w:i w:val="1"/>
          <w:iCs w:val="1"/>
          <w:color w:val="3C9673"/>
        </w:rPr>
        <w:t>ii. BNT112 for the Treatment of Prostate Cancer</w:t>
      </w:r>
    </w:p>
    <w:p>
      <w:pPr>
        <w:ind w:left="380" w:right="2140"/>
        <w:spacing w:after="0" w:line="210" w:lineRule="auto"/>
        <w:rPr>
          <w:rFonts w:ascii="Arial" w:cs="Arial" w:eastAsia="Arial" w:hAnsi="Arial"/>
          <w:sz w:val="13"/>
          <w:szCs w:val="13"/>
          <w:color w:val="auto"/>
        </w:rPr>
      </w:pPr>
      <w:r>
        <w:rPr>
          <w:rFonts w:ascii="Arial" w:cs="Arial" w:eastAsia="Arial" w:hAnsi="Arial"/>
          <w:sz w:val="13"/>
          <w:szCs w:val="13"/>
          <w:color w:val="auto"/>
        </w:rPr>
        <w:t>BNT112 is designed to elicit an immune response to five antigens expressed in de novo and metastatic prostate cancer, including prostate-specific antigen, or PSA, a transmembrane protein that is expressed by virtually all prostate cancers, prostatic acid phosphatase, or PAP, and three additional tumor-associated antigens.</w:t>
      </w:r>
    </w:p>
    <w:p>
      <w:pPr>
        <w:spacing w:after="0" w:line="1" w:lineRule="exact"/>
        <w:rPr>
          <w:rFonts w:ascii="Arial" w:cs="Arial" w:eastAsia="Arial" w:hAnsi="Arial"/>
          <w:sz w:val="13"/>
          <w:szCs w:val="13"/>
          <w:color w:val="auto"/>
        </w:rPr>
      </w:pPr>
    </w:p>
    <w:p>
      <w:pPr>
        <w:ind w:left="380"/>
        <w:spacing w:after="0" w:line="210" w:lineRule="auto"/>
        <w:rPr>
          <w:rFonts w:ascii="Arial" w:cs="Arial" w:eastAsia="Arial" w:hAnsi="Arial"/>
          <w:sz w:val="13"/>
          <w:szCs w:val="13"/>
          <w:color w:val="auto"/>
        </w:rPr>
      </w:pPr>
      <w:r>
        <w:rPr>
          <w:rFonts w:ascii="Arial" w:cs="Arial" w:eastAsia="Arial" w:hAnsi="Arial"/>
          <w:sz w:val="13"/>
          <w:szCs w:val="13"/>
          <w:i w:val="1"/>
          <w:iCs w:val="1"/>
          <w:u w:val="single" w:color="auto"/>
          <w:color w:val="auto"/>
        </w:rPr>
        <w:t>Phase 1/2a Clinical Trial</w:t>
      </w:r>
    </w:p>
    <w:p>
      <w:pPr>
        <w:ind w:left="380" w:right="2120"/>
        <w:spacing w:after="0" w:line="210" w:lineRule="auto"/>
        <w:rPr>
          <w:rFonts w:ascii="Arial" w:cs="Arial" w:eastAsia="Arial" w:hAnsi="Arial"/>
          <w:sz w:val="13"/>
          <w:szCs w:val="13"/>
          <w:color w:val="auto"/>
        </w:rPr>
      </w:pPr>
      <w:r>
        <w:rPr>
          <w:rFonts w:ascii="Arial" w:cs="Arial" w:eastAsia="Arial" w:hAnsi="Arial"/>
          <w:sz w:val="13"/>
          <w:szCs w:val="13"/>
          <w:color w:val="auto"/>
        </w:rPr>
        <w:t>PRO-MERIT is a first-in-human Phase 1/2a, open-label dose titration and expansion clinical trial (PRO-MERIT; NCT04382898) to evaluate the safety, immunogenicity and preliminary efficacy of BNT112 monotherapy and in combination with cemiplimab in patients with metastatic castration resistant prostate cancer, or mCRPC and high-risk localized prostate cancer who are eligible for treatment with androgen deprivation therapy followed by radical prostatectomy. The trial has been discontinued and the follow-up period ended in January 2024. Final data of the trial was gathered and compiled in a clinical study report, and are planned to be presented at a future scientific conference as well as in a publication.</w:t>
      </w:r>
    </w:p>
    <w:p>
      <w:pPr>
        <w:spacing w:after="0" w:line="4" w:lineRule="exact"/>
        <w:rPr>
          <w:rFonts w:ascii="Arial" w:cs="Arial" w:eastAsia="Arial" w:hAnsi="Arial"/>
          <w:sz w:val="13"/>
          <w:szCs w:val="13"/>
          <w:color w:val="auto"/>
        </w:rPr>
      </w:pPr>
    </w:p>
    <w:p>
      <w:pPr>
        <w:ind w:left="380" w:right="2360"/>
        <w:spacing w:after="0" w:line="210" w:lineRule="auto"/>
        <w:rPr>
          <w:rFonts w:ascii="Arial" w:cs="Arial" w:eastAsia="Arial" w:hAnsi="Arial"/>
          <w:sz w:val="13"/>
          <w:szCs w:val="13"/>
          <w:color w:val="auto"/>
        </w:rPr>
      </w:pPr>
      <w:r>
        <w:rPr>
          <w:rFonts w:ascii="Arial" w:cs="Arial" w:eastAsia="Arial" w:hAnsi="Arial"/>
          <w:sz w:val="13"/>
          <w:szCs w:val="13"/>
          <w:i w:val="1"/>
          <w:iCs w:val="1"/>
          <w:color w:val="3C9673"/>
        </w:rPr>
        <w:t>iii. BNT113 for the Treatment of Head and Neck Squamous Cell Carcinoma, or HNSCC, which is positive for Human Papilloma Virus 16, or HPV16+</w:t>
      </w:r>
    </w:p>
    <w:p>
      <w:pPr>
        <w:spacing w:after="0" w:line="1" w:lineRule="exact"/>
        <w:rPr>
          <w:rFonts w:ascii="Arial" w:cs="Arial" w:eastAsia="Arial" w:hAnsi="Arial"/>
          <w:sz w:val="13"/>
          <w:szCs w:val="13"/>
          <w:color w:val="auto"/>
        </w:rPr>
      </w:pPr>
    </w:p>
    <w:p>
      <w:pPr>
        <w:ind w:left="380" w:right="2280"/>
        <w:spacing w:after="0" w:line="210" w:lineRule="auto"/>
        <w:rPr>
          <w:rFonts w:ascii="Arial" w:cs="Arial" w:eastAsia="Arial" w:hAnsi="Arial"/>
          <w:sz w:val="13"/>
          <w:szCs w:val="13"/>
          <w:color w:val="auto"/>
        </w:rPr>
      </w:pPr>
      <w:r>
        <w:rPr>
          <w:rFonts w:ascii="Arial" w:cs="Arial" w:eastAsia="Arial" w:hAnsi="Arial"/>
          <w:sz w:val="13"/>
          <w:szCs w:val="13"/>
          <w:color w:val="auto"/>
        </w:rPr>
        <w:t>BNT113 contains two different RNAs encoding the two HPV16 oncoproteins E6 and E7, which are exclusively expressed in pre-malignant and malignant tissue. The global incidence of HPV-associated cancers has been increasing, particularly HPV16+ HNSCC in younger populations. Most patients with HPV16+ HNSCC are diagnosed at more advanced clinical stages. We see a significant opportunity to improve the treatment landscape with BNT113 given that it has the potential to augment clinical responses in patients being treated with checkpoint inhibitors.</w:t>
      </w:r>
    </w:p>
    <w:p>
      <w:pPr>
        <w:spacing w:after="0" w:line="3" w:lineRule="exact"/>
        <w:rPr>
          <w:rFonts w:ascii="Arial" w:cs="Arial" w:eastAsia="Arial" w:hAnsi="Arial"/>
          <w:sz w:val="13"/>
          <w:szCs w:val="13"/>
          <w:color w:val="auto"/>
        </w:rPr>
      </w:pPr>
    </w:p>
    <w:p>
      <w:pPr>
        <w:ind w:left="380"/>
        <w:spacing w:after="0" w:line="210" w:lineRule="auto"/>
        <w:rPr>
          <w:rFonts w:ascii="Arial" w:cs="Arial" w:eastAsia="Arial" w:hAnsi="Arial"/>
          <w:sz w:val="13"/>
          <w:szCs w:val="13"/>
          <w:color w:val="auto"/>
        </w:rPr>
      </w:pPr>
      <w:r>
        <w:rPr>
          <w:rFonts w:ascii="Arial" w:cs="Arial" w:eastAsia="Arial" w:hAnsi="Arial"/>
          <w:sz w:val="13"/>
          <w:szCs w:val="13"/>
          <w:i w:val="1"/>
          <w:iCs w:val="1"/>
          <w:u w:val="single" w:color="auto"/>
          <w:color w:val="auto"/>
        </w:rPr>
        <w:t>Ongoing BNT113 Phase 2 Trial</w:t>
      </w:r>
    </w:p>
    <w:p>
      <w:pPr>
        <w:ind w:left="380" w:right="2120" w:firstLine="3"/>
        <w:spacing w:after="0" w:line="210" w:lineRule="auto"/>
        <w:tabs>
          <w:tab w:leader="none" w:pos="504" w:val="left"/>
        </w:tabs>
        <w:numPr>
          <w:ilvl w:val="0"/>
          <w:numId w:val="6"/>
        </w:numPr>
        <w:rPr>
          <w:rFonts w:ascii="Arial" w:cs="Arial" w:eastAsia="Arial" w:hAnsi="Arial"/>
          <w:sz w:val="13"/>
          <w:szCs w:val="13"/>
          <w:color w:val="auto"/>
        </w:rPr>
      </w:pPr>
      <w:r>
        <w:rPr>
          <w:rFonts w:ascii="Arial" w:cs="Arial" w:eastAsia="Arial" w:hAnsi="Arial"/>
          <w:sz w:val="13"/>
          <w:szCs w:val="13"/>
          <w:color w:val="auto"/>
        </w:rPr>
        <w:t>global, randomized Phase 2 clinical trial (AHEAD-MERIT; NCT04534205) evaluating BNT113 in combination with pembrolizumab (Merck &amp; Co., Inc.’s KEYTRUDA®) versus pembrolizumab monotherapy as a first-line treatment in patients with unresectable recurrent or metastatic HPV16+ HNSCC expressing PD-L1 is ongoing. Part A is a non-randomized run-in portion designed to demonstrate the safety of the combination of BNT113 and pembrolizumab. Part B is the randomized portion of the trial designed to generate efficacy and safety data. The trial plans to enroll a total of 350 patients.</w:t>
      </w:r>
    </w:p>
    <w:p>
      <w:pPr>
        <w:spacing w:after="0" w:line="3" w:lineRule="exact"/>
        <w:rPr>
          <w:rFonts w:ascii="Arial" w:cs="Arial" w:eastAsia="Arial" w:hAnsi="Arial"/>
          <w:sz w:val="13"/>
          <w:szCs w:val="13"/>
          <w:color w:val="auto"/>
        </w:rPr>
      </w:pPr>
    </w:p>
    <w:p>
      <w:pPr>
        <w:ind w:left="380" w:right="2620"/>
        <w:spacing w:after="0" w:line="222" w:lineRule="auto"/>
        <w:rPr>
          <w:rFonts w:ascii="Arial" w:cs="Arial" w:eastAsia="Arial" w:hAnsi="Arial"/>
          <w:sz w:val="13"/>
          <w:szCs w:val="13"/>
          <w:color w:val="auto"/>
        </w:rPr>
      </w:pPr>
      <w:r>
        <w:rPr>
          <w:rFonts w:ascii="Arial" w:cs="Arial" w:eastAsia="Arial" w:hAnsi="Arial"/>
          <w:sz w:val="13"/>
          <w:szCs w:val="13"/>
          <w:color w:val="auto"/>
        </w:rPr>
        <w:t>•In September 2024, an exploratory analysis of antitumor activity (15 patients) and immunogenicity from the safety run-in of AHEAD-MERIT was presented at the 2024 Congress of the European Society of Medical Oncology, or ESMO. The ORR was found to be 40.0% as assessed by blinded independent central review, or BICR, and 33.3% as assessed by the investigator, and a medium PFS, or mPFS,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4312920</wp:posOffset>
            </wp:positionH>
            <wp:positionV relativeFrom="paragraph">
              <wp:posOffset>-2104390</wp:posOffset>
            </wp:positionV>
            <wp:extent cx="2540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107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560"/>
        <w:spacing w:after="0" w:line="214" w:lineRule="auto"/>
        <w:rPr>
          <w:sz w:val="20"/>
          <w:szCs w:val="20"/>
          <w:color w:val="auto"/>
        </w:rPr>
      </w:pPr>
      <w:r>
        <w:rPr>
          <w:rFonts w:ascii="Arial" w:cs="Arial" w:eastAsia="Arial" w:hAnsi="Arial"/>
          <w:sz w:val="13"/>
          <w:szCs w:val="13"/>
          <w:color w:val="auto"/>
        </w:rPr>
        <w:t>3.9 months as per BICR and 6.0 months as per investigator. BNT113 was observed to induce de novo T-cell responses against HPV16 E6 and E7 oncoproteins. The combination of BNT113 and pembrolizumab was well tolerated. Treatment emergent adverse events, or TEAEs, were mostly Grade 1 and 2. In summary, the safety run-in cohort of the ongoing AHEAD-MERIT trial supported the tolerability of BNT113 and clinical activity in combination with pembrolizumab was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-416560</wp:posOffset>
            </wp:positionV>
            <wp:extent cx="523113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5" w:lineRule="auto"/>
        <w:rPr>
          <w:sz w:val="20"/>
          <w:szCs w:val="20"/>
          <w:color w:val="auto"/>
        </w:rPr>
      </w:pPr>
      <w:r>
        <w:rPr>
          <w:rFonts w:ascii="Arial" w:cs="Arial" w:eastAsia="Arial" w:hAnsi="Arial"/>
          <w:sz w:val="13"/>
          <w:szCs w:val="13"/>
          <w:i w:val="1"/>
          <w:iCs w:val="1"/>
          <w:u w:val="single" w:color="auto"/>
          <w:color w:val="auto"/>
        </w:rPr>
        <w:t>Phase 1/2 Trial (Investigator-Initiated and Sponsored)</w:t>
      </w:r>
    </w:p>
    <w:p>
      <w:pPr>
        <w:ind w:left="380" w:right="2100"/>
        <w:spacing w:after="0" w:line="210" w:lineRule="auto"/>
        <w:rPr>
          <w:sz w:val="20"/>
          <w:szCs w:val="20"/>
          <w:color w:val="auto"/>
        </w:rPr>
      </w:pPr>
      <w:r>
        <w:rPr>
          <w:rFonts w:ascii="Arial" w:cs="Arial" w:eastAsia="Arial" w:hAnsi="Arial"/>
          <w:sz w:val="13"/>
          <w:szCs w:val="13"/>
          <w:color w:val="auto"/>
        </w:rPr>
        <w:t>BNT113 was investigated by the University Hospital Southampton National Health Service, or NHS, Foundation Trust in an investigator-sponsored, open- label, Phase 1/2 dose escalation basket clinical trial (HARE- 40; NCT03418480) with two different arms in 29 patients with HPV16+ head and neck and other cancers in the post-adjuvant and metastatic setting. The trial has been terminated and the patient follow-up period ended in July 2023.</w:t>
      </w:r>
    </w:p>
    <w:p>
      <w:pPr>
        <w:spacing w:after="0" w:line="3" w:lineRule="exact"/>
        <w:rPr>
          <w:sz w:val="20"/>
          <w:szCs w:val="20"/>
          <w:color w:val="auto"/>
        </w:rPr>
      </w:pPr>
    </w:p>
    <w:p>
      <w:pPr>
        <w:ind w:left="380" w:right="2540"/>
        <w:spacing w:after="0" w:line="210" w:lineRule="auto"/>
        <w:rPr>
          <w:sz w:val="20"/>
          <w:szCs w:val="20"/>
          <w:color w:val="auto"/>
        </w:rPr>
      </w:pPr>
      <w:r>
        <w:rPr>
          <w:rFonts w:ascii="Arial" w:cs="Arial" w:eastAsia="Arial" w:hAnsi="Arial"/>
          <w:sz w:val="13"/>
          <w:szCs w:val="13"/>
          <w:color w:val="auto"/>
        </w:rPr>
        <w:t>•In September 2024, results were presented at ESMO. BNT113 was shown to induce immune responses in patients in the adjuvant and end-stage clinical settings and to be overall well tolerated with a manageable safety profile.</w:t>
      </w:r>
    </w:p>
    <w:p>
      <w:pPr>
        <w:ind w:left="380"/>
        <w:spacing w:after="0" w:line="213" w:lineRule="auto"/>
        <w:rPr>
          <w:sz w:val="20"/>
          <w:szCs w:val="20"/>
          <w:color w:val="auto"/>
        </w:rPr>
      </w:pPr>
      <w:r>
        <w:rPr>
          <w:rFonts w:ascii="Arial" w:cs="Arial" w:eastAsia="Arial" w:hAnsi="Arial"/>
          <w:sz w:val="13"/>
          <w:szCs w:val="13"/>
          <w:i w:val="1"/>
          <w:iCs w:val="1"/>
          <w:color w:val="3C9673"/>
        </w:rPr>
        <w:t>iv. BNT116 for the Treatment of Non-small Cell Lung Cancer, or NSCLC</w:t>
      </w:r>
    </w:p>
    <w:p>
      <w:pPr>
        <w:spacing w:after="0" w:line="1" w:lineRule="exact"/>
        <w:rPr>
          <w:sz w:val="20"/>
          <w:szCs w:val="20"/>
          <w:color w:val="auto"/>
        </w:rPr>
      </w:pPr>
    </w:p>
    <w:p>
      <w:pPr>
        <w:ind w:left="380" w:right="2200"/>
        <w:spacing w:after="0" w:line="226" w:lineRule="auto"/>
        <w:rPr>
          <w:sz w:val="20"/>
          <w:szCs w:val="20"/>
          <w:color w:val="auto"/>
        </w:rPr>
      </w:pPr>
      <w:r>
        <w:rPr>
          <w:rFonts w:ascii="Arial" w:cs="Arial" w:eastAsia="Arial" w:hAnsi="Arial"/>
          <w:sz w:val="13"/>
          <w:szCs w:val="13"/>
          <w:color w:val="auto"/>
        </w:rPr>
        <w:t>BNT116 is comprised of six different NSCLC-associated tumor-associated antigens for the induction of polyepitopic anti-tumor CD8+ and CD4+ T cell responses. BNT116 is being evaluated in two clinical trials as monotherapy and in combination with other immunotherapies and chemotherapies in patients with advanced or</w:t>
      </w:r>
    </w:p>
    <w:p>
      <w:pPr>
        <w:sectPr>
          <w:pgSz w:w="11900" w:h="16840" w:orient="portrait"/>
          <w:cols w:equalWidth="0" w:num="1">
            <w:col w:w="9020"/>
          </w:cols>
          <w:pgMar w:left="1440" w:top="1440" w:right="1440" w:bottom="38" w:gutter="0" w:footer="0" w:header="0"/>
        </w:sectPr>
      </w:pPr>
    </w:p>
    <w:bookmarkStart w:id="75" w:name="page76"/>
    <w:bookmarkEnd w:id="75"/>
    <w:p>
      <w:pPr>
        <w:ind w:left="380"/>
        <w:spacing w:after="0"/>
        <w:rPr>
          <w:sz w:val="20"/>
          <w:szCs w:val="20"/>
          <w:color w:val="auto"/>
        </w:rPr>
      </w:pPr>
      <w:r>
        <w:rPr>
          <w:rFonts w:ascii="Arial" w:cs="Arial" w:eastAsia="Arial" w:hAnsi="Arial"/>
          <w:sz w:val="13"/>
          <w:szCs w:val="13"/>
          <w:color w:val="auto"/>
        </w:rPr>
        <w:t>metastasized NSCLC.</w:t>
      </w:r>
    </w:p>
    <w:p>
      <w:pPr>
        <w:ind w:left="380"/>
        <w:spacing w:after="0" w:line="210" w:lineRule="auto"/>
        <w:rPr>
          <w:sz w:val="20"/>
          <w:szCs w:val="20"/>
          <w:color w:val="auto"/>
        </w:rPr>
      </w:pPr>
      <w:r>
        <w:rPr>
          <w:rFonts w:ascii="Arial" w:cs="Arial" w:eastAsia="Arial" w:hAnsi="Arial"/>
          <w:sz w:val="13"/>
          <w:szCs w:val="13"/>
          <w:i w:val="1"/>
          <w:iCs w:val="1"/>
          <w:u w:val="single" w:color="auto"/>
          <w:color w:val="auto"/>
        </w:rPr>
        <w:t>Ongoing Phase 2 Trial in 1L NSCLC</w:t>
      </w:r>
    </w:p>
    <w:p>
      <w:pPr>
        <w:spacing w:after="0" w:line="1"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A randomized, controlled Phase 2 clinical trial (EMPOWERVAX Lung- 1; NCT05557591) is ongoing in collaboration with Regeneron to evaluate BNT116 in combination with cemiplimab versus cemiplimab alone as first- line treatment of patients with advanced NSCLC whose tumors express PD-L1 in ≥ 50% of their tumor cells. The primary objective of the Phase 2 trial is to assess safety and tolerability as well as ORR and tumor burden reduction.</w:t>
      </w:r>
    </w:p>
    <w:p>
      <w:pPr>
        <w:ind w:left="380"/>
        <w:spacing w:after="0" w:line="215" w:lineRule="auto"/>
        <w:rPr>
          <w:sz w:val="20"/>
          <w:szCs w:val="20"/>
          <w:color w:val="auto"/>
        </w:rPr>
      </w:pPr>
      <w:r>
        <w:rPr>
          <w:rFonts w:ascii="Arial" w:cs="Arial" w:eastAsia="Arial" w:hAnsi="Arial"/>
          <w:sz w:val="13"/>
          <w:szCs w:val="13"/>
          <w:i w:val="1"/>
          <w:iCs w:val="1"/>
          <w:u w:val="single" w:color="auto"/>
          <w:color w:val="auto"/>
        </w:rPr>
        <w:t>Ongoing Phase 1 Trial in NSCLC</w:t>
      </w:r>
    </w:p>
    <w:p>
      <w:pPr>
        <w:ind w:left="380" w:right="2080" w:firstLine="3"/>
        <w:spacing w:after="0" w:line="210" w:lineRule="auto"/>
        <w:tabs>
          <w:tab w:leader="none" w:pos="504" w:val="left"/>
        </w:tabs>
        <w:numPr>
          <w:ilvl w:val="0"/>
          <w:numId w:val="7"/>
        </w:numPr>
        <w:rPr>
          <w:rFonts w:ascii="Arial" w:cs="Arial" w:eastAsia="Arial" w:hAnsi="Arial"/>
          <w:sz w:val="13"/>
          <w:szCs w:val="13"/>
          <w:color w:val="auto"/>
        </w:rPr>
      </w:pPr>
      <w:r>
        <w:rPr>
          <w:rFonts w:ascii="Arial" w:cs="Arial" w:eastAsia="Arial" w:hAnsi="Arial"/>
          <w:sz w:val="13"/>
          <w:szCs w:val="13"/>
          <w:color w:val="auto"/>
        </w:rPr>
        <w:t>Phase 1 clinical trial (LuCa-MERIT-1; NCT05142189) is being conducted to evaluate the safety, tolerability and preliminary efficacy of BNT116 as monotherapy and in several combinations including cemiplimab, and chemotherapy regimens in locally advanced or unresectable or metastatic NSCLC. A cohort examining the combination of BNT116 with a cytotoxic T-lymphocyte-associated, or CTLA-4 antibody in patients who have received prior PD-1 inhibitor therapy and platinum-based chemotherapy was recently added.</w:t>
      </w:r>
    </w:p>
    <w:p>
      <w:pPr>
        <w:spacing w:after="0" w:line="2" w:lineRule="exact"/>
        <w:rPr>
          <w:rFonts w:ascii="Arial" w:cs="Arial" w:eastAsia="Arial" w:hAnsi="Arial"/>
          <w:sz w:val="13"/>
          <w:szCs w:val="13"/>
          <w:color w:val="auto"/>
        </w:rPr>
      </w:pPr>
    </w:p>
    <w:p>
      <w:pPr>
        <w:ind w:left="380" w:right="2620"/>
        <w:spacing w:after="0" w:line="210" w:lineRule="auto"/>
        <w:rPr>
          <w:rFonts w:ascii="Arial" w:cs="Arial" w:eastAsia="Arial" w:hAnsi="Arial"/>
          <w:sz w:val="13"/>
          <w:szCs w:val="13"/>
          <w:color w:val="auto"/>
        </w:rPr>
      </w:pPr>
      <w:r>
        <w:rPr>
          <w:rFonts w:ascii="Arial" w:cs="Arial" w:eastAsia="Arial" w:hAnsi="Arial"/>
          <w:sz w:val="13"/>
          <w:szCs w:val="13"/>
          <w:color w:val="auto"/>
        </w:rPr>
        <w:t>•In April 2024, data from cohort 3 of the Phase 1 trial were presented at the American Association for Cancer Research, or AACR, Annual Meeting. Patients were treated with BNT116 in combination with docetaxel after progression on a PD-1/PD-L1 inhibitor and a platinum-based chemotherapy. Preliminary data of BNT116 in combination with docetaxel showed encouraging antitumor activity, consistent induction of immune responses, a manageable safety profile, and no signs of additive toxicity. Combination therapy with BNT116 and docetaxel was observed to have an ORR of 30% and a DCR of 85%.</w:t>
      </w:r>
    </w:p>
    <w:p>
      <w:pPr>
        <w:spacing w:after="0" w:line="4" w:lineRule="exact"/>
        <w:rPr>
          <w:rFonts w:ascii="Arial" w:cs="Arial" w:eastAsia="Arial" w:hAnsi="Arial"/>
          <w:sz w:val="13"/>
          <w:szCs w:val="13"/>
          <w:color w:val="auto"/>
        </w:rPr>
      </w:pPr>
    </w:p>
    <w:p>
      <w:pPr>
        <w:ind w:left="380" w:right="2620"/>
        <w:spacing w:after="0" w:line="210" w:lineRule="auto"/>
        <w:rPr>
          <w:rFonts w:ascii="Arial" w:cs="Arial" w:eastAsia="Arial" w:hAnsi="Arial"/>
          <w:sz w:val="13"/>
          <w:szCs w:val="13"/>
          <w:color w:val="auto"/>
        </w:rPr>
      </w:pPr>
      <w:r>
        <w:rPr>
          <w:rFonts w:ascii="Arial" w:cs="Arial" w:eastAsia="Arial" w:hAnsi="Arial"/>
          <w:sz w:val="13"/>
          <w:szCs w:val="13"/>
          <w:color w:val="auto"/>
        </w:rPr>
        <w:t>•In November 2024, data from cohort 2 of the Phase 1 trial were presented at the Society for Immunotherapy of Cancer, or SITC, Annual Meeting. Patients were treated with BNT116 in combination with cemiplimab. Safety and clinical activity of BNT116+cemiplimab in NSCLC with PD-L1≥50% progressing after at least stable disease, or SD, on PD-1 inhibitor-based first-line treatment was reported. Preliminary data of BNT116 in combination with cemiplimab showed a manageable safety profile, an encouraging DCR of 80% and median PFS of 5.5 months in patients previously progressing on PD-1 inhibition.</w:t>
      </w:r>
    </w:p>
    <w:p>
      <w:pPr>
        <w:spacing w:after="0" w:line="4" w:lineRule="exact"/>
        <w:rPr>
          <w:rFonts w:ascii="Arial" w:cs="Arial" w:eastAsia="Arial" w:hAnsi="Arial"/>
          <w:sz w:val="13"/>
          <w:szCs w:val="13"/>
          <w:color w:val="auto"/>
        </w:rPr>
      </w:pPr>
    </w:p>
    <w:p>
      <w:pPr>
        <w:ind w:left="380"/>
        <w:spacing w:after="0"/>
        <w:rPr>
          <w:rFonts w:ascii="Arial" w:cs="Arial" w:eastAsia="Arial" w:hAnsi="Arial"/>
          <w:sz w:val="13"/>
          <w:szCs w:val="13"/>
          <w:color w:val="auto"/>
        </w:rPr>
      </w:pPr>
      <w:r>
        <w:rPr>
          <w:rFonts w:ascii="Arial" w:cs="Arial" w:eastAsia="Arial" w:hAnsi="Arial"/>
          <w:sz w:val="13"/>
          <w:szCs w:val="13"/>
          <w:color w:val="3C9673"/>
        </w:rPr>
        <w:t>b) Autogene Cevumeran (BNT122/RO7198457), or iNeST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108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line="212" w:lineRule="auto"/>
        <w:rPr>
          <w:sz w:val="20"/>
          <w:szCs w:val="20"/>
          <w:color w:val="auto"/>
        </w:rPr>
      </w:pPr>
      <w:r>
        <w:rPr>
          <w:rFonts w:ascii="Arial" w:cs="Arial" w:eastAsia="Arial" w:hAnsi="Arial"/>
          <w:sz w:val="13"/>
          <w:szCs w:val="13"/>
          <w:color w:val="auto"/>
        </w:rPr>
        <w:t>Autogene cevumeran is an investigational individualized cancer immunotherapy based on specific neoantigens that are present on a patient’s tumor. Similar to our FixVac programs, our iNeST approach is also based on pharmacologically optimized uridine mRNA, or uRNA, delivered in our proprietary RNA -LPX formulation. The RNA-LPX is designed to deliver RNA to dendritic cells, or DCs, the antigen- presenting cells in the lymphoid organs that are crucial for the initiation of adaptive immune responses, and protects RNA from degradation by RNAse. iNeST candidates are informed by the mutation profile of a patient’s individual cancer and manufactured on-demand. The RNA encodes a unique composition of neoantigens selected on a patient-by-patient basis and results in generation of neoantigen specific CD4+ and CD8+ T cell responses against the respective neoantigens. The aim of this approach is to generate and amplify anti -tumor immune responses and thus broaden the spectrum of tumor targets that can be recognized by the immune system, which is a prerequisite for clinical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-915670</wp:posOffset>
            </wp:positionV>
            <wp:extent cx="523113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20"/>
        <w:spacing w:after="0" w:line="210" w:lineRule="auto"/>
        <w:rPr>
          <w:sz w:val="20"/>
          <w:szCs w:val="20"/>
          <w:color w:val="auto"/>
        </w:rPr>
      </w:pPr>
      <w:r>
        <w:rPr>
          <w:rFonts w:ascii="Arial" w:cs="Arial" w:eastAsia="Arial" w:hAnsi="Arial"/>
          <w:sz w:val="13"/>
          <w:szCs w:val="13"/>
          <w:color w:val="auto"/>
        </w:rPr>
        <w:t>Since 2014, autogene cevumeran has been researched in clinical trials including the IMCODE study program which was initiated in 2017 to further advance the research and development of individualized neoantigen-specific immunotherapies. The study program is designed broadly to evaluate autogene cevumeran in various treatment settings and multiple solid tumor indications, including treatment of early and late-stage cancers. The aim of the program is to study potential treatment settings and patient populations that could benefit most from individualized mRNA cancer immunotherapy. Data generated to date indicate that autogene cevumeran is highly proficient in inducing and expanding high-magnitude and long-lived T cell responses across various tumor types and treatment settings (Lopez, J. et al., 2025). Furthermore, early clinical data from a small size patient cohort indicate that autogene cevumeran alone and in combination with anti-PD-(L)1 treatment can elicit T cell responses that persist up to three years in the adjuvant treatment of pancreatic ductal adenocarcinoma, potentially correlating with delayed disease recurrence (Sethna, Z. et al., 2025).</w:t>
      </w:r>
    </w:p>
    <w:p>
      <w:pPr>
        <w:spacing w:after="0" w:line="7" w:lineRule="exact"/>
        <w:rPr>
          <w:sz w:val="20"/>
          <w:szCs w:val="20"/>
          <w:color w:val="auto"/>
        </w:rPr>
      </w:pPr>
    </w:p>
    <w:p>
      <w:pPr>
        <w:ind w:left="380" w:right="2120"/>
        <w:spacing w:after="0" w:line="215" w:lineRule="auto"/>
        <w:rPr>
          <w:sz w:val="20"/>
          <w:szCs w:val="20"/>
          <w:color w:val="auto"/>
        </w:rPr>
      </w:pPr>
      <w:r>
        <w:rPr>
          <w:rFonts w:ascii="Arial" w:cs="Arial" w:eastAsia="Arial" w:hAnsi="Arial"/>
          <w:sz w:val="13"/>
          <w:szCs w:val="13"/>
          <w:color w:val="auto"/>
        </w:rPr>
        <w:t>Based on the available data, we decided to pursue autogene cevumeran as one of our priority pan-tumor programs in our oncology portfolio to address one of the biggest challenges in oncology, which is preventing disease recurrence. Therefore, with this approach we aim to address the unmet medical need in the treatment of resectable cancers and in adjuvant or minimal residual disease treatment settings where the tumor burden is typically low and immune resistance mechanisms are not fully established. We believe individualized mRNA cancer immunotherapies have the potential to change the current standard of care and improve overall survival by delaying or preventing recurrence or cancer metastasis. Consequently, BioNTech and Genentech have focused on initiating multiple clinical trials as part of the IMCODE study program with autogene cevumeran in high unmet medical need indications in the adjuvant setting, with currently three ongoing randomized clinical trials.</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Autogene cevumeran is partnered with Genentech as part of a collaboration.</w:t>
      </w:r>
    </w:p>
    <w:p>
      <w:pPr>
        <w:ind w:left="380"/>
        <w:spacing w:after="0" w:line="210" w:lineRule="auto"/>
        <w:rPr>
          <w:sz w:val="20"/>
          <w:szCs w:val="20"/>
          <w:color w:val="auto"/>
        </w:rPr>
      </w:pPr>
      <w:r>
        <w:rPr>
          <w:rFonts w:ascii="Arial" w:cs="Arial" w:eastAsia="Arial" w:hAnsi="Arial"/>
          <w:sz w:val="13"/>
          <w:szCs w:val="13"/>
          <w:i w:val="1"/>
          <w:iCs w:val="1"/>
          <w:color w:val="3C9673"/>
        </w:rPr>
        <w:t>Ongoing Phase 2 Clinical Trial in Adjuvant High-risk Muscle-invasive Urothelial Carcinoma, or MIUC</w:t>
      </w:r>
    </w:p>
    <w:p>
      <w:pPr>
        <w:spacing w:after="0" w:line="1" w:lineRule="exact"/>
        <w:rPr>
          <w:sz w:val="20"/>
          <w:szCs w:val="20"/>
          <w:color w:val="auto"/>
        </w:rPr>
      </w:pPr>
    </w:p>
    <w:p>
      <w:pPr>
        <w:ind w:left="380" w:right="2180" w:firstLine="3"/>
        <w:spacing w:after="0" w:line="210" w:lineRule="auto"/>
        <w:tabs>
          <w:tab w:leader="none" w:pos="504" w:val="left"/>
        </w:tabs>
        <w:numPr>
          <w:ilvl w:val="0"/>
          <w:numId w:val="8"/>
        </w:numPr>
        <w:rPr>
          <w:rFonts w:ascii="Arial" w:cs="Arial" w:eastAsia="Arial" w:hAnsi="Arial"/>
          <w:sz w:val="13"/>
          <w:szCs w:val="13"/>
          <w:color w:val="auto"/>
        </w:rPr>
      </w:pPr>
      <w:r>
        <w:rPr>
          <w:rFonts w:ascii="Arial" w:cs="Arial" w:eastAsia="Arial" w:hAnsi="Arial"/>
          <w:sz w:val="13"/>
          <w:szCs w:val="13"/>
          <w:color w:val="auto"/>
        </w:rPr>
        <w:t>randomized, double-blind, multi-site Phase 2 clinical trial (IMCODE-004; NCT06534983) evaluating autogene cevumeran as an adjuvant treatment with nivolumab in patients with high-risk MIUC is ongoing.</w:t>
      </w:r>
    </w:p>
    <w:p>
      <w:pPr>
        <w:spacing w:after="0" w:line="1" w:lineRule="exact"/>
        <w:rPr>
          <w:rFonts w:ascii="Arial" w:cs="Arial" w:eastAsia="Arial" w:hAnsi="Arial"/>
          <w:sz w:val="13"/>
          <w:szCs w:val="13"/>
          <w:color w:val="auto"/>
        </w:rPr>
      </w:pPr>
    </w:p>
    <w:p>
      <w:pPr>
        <w:ind w:left="380" w:right="2740"/>
        <w:spacing w:after="0" w:line="210" w:lineRule="auto"/>
        <w:rPr>
          <w:rFonts w:ascii="Arial" w:cs="Arial" w:eastAsia="Arial" w:hAnsi="Arial"/>
          <w:sz w:val="13"/>
          <w:szCs w:val="13"/>
          <w:color w:val="auto"/>
        </w:rPr>
      </w:pPr>
      <w:r>
        <w:rPr>
          <w:rFonts w:ascii="Arial" w:cs="Arial" w:eastAsia="Arial" w:hAnsi="Arial"/>
          <w:sz w:val="13"/>
          <w:szCs w:val="13"/>
          <w:color w:val="auto"/>
        </w:rPr>
        <w:t>•In December 2024, the first patient was treated. The trial is expected to enroll approximately 360 patients to evaluate the efficacy of autogene cevumeran in combination with nivolumab compared to nivolumab alone. The primary endpoint for the study is investigator-assessed disease-free survival, or DFS. Secondary objectives include OS and safety.</w:t>
      </w:r>
    </w:p>
    <w:p>
      <w:pPr>
        <w:spacing w:after="0" w:line="2" w:lineRule="exact"/>
        <w:rPr>
          <w:rFonts w:ascii="Arial" w:cs="Arial" w:eastAsia="Arial" w:hAnsi="Arial"/>
          <w:sz w:val="13"/>
          <w:szCs w:val="13"/>
          <w:color w:val="auto"/>
        </w:rPr>
      </w:pPr>
    </w:p>
    <w:p>
      <w:pPr>
        <w:ind w:left="380"/>
        <w:spacing w:after="0" w:line="210" w:lineRule="auto"/>
        <w:rPr>
          <w:rFonts w:ascii="Arial" w:cs="Arial" w:eastAsia="Arial" w:hAnsi="Arial"/>
          <w:sz w:val="13"/>
          <w:szCs w:val="13"/>
          <w:color w:val="auto"/>
        </w:rPr>
      </w:pPr>
      <w:r>
        <w:rPr>
          <w:rFonts w:ascii="Arial" w:cs="Arial" w:eastAsia="Arial" w:hAnsi="Arial"/>
          <w:sz w:val="13"/>
          <w:szCs w:val="13"/>
          <w:i w:val="1"/>
          <w:iCs w:val="1"/>
          <w:color w:val="3C9673"/>
        </w:rPr>
        <w:t>Ongoing Phase 2 Clinical Trial in Adjuvant Colorectal Cancer, or CRC</w:t>
      </w:r>
    </w:p>
    <w:p>
      <w:pPr>
        <w:ind w:left="380" w:right="2100" w:firstLine="3"/>
        <w:spacing w:after="0" w:line="216" w:lineRule="auto"/>
        <w:tabs>
          <w:tab w:leader="none" w:pos="504" w:val="left"/>
        </w:tabs>
        <w:numPr>
          <w:ilvl w:val="0"/>
          <w:numId w:val="8"/>
        </w:numPr>
        <w:rPr>
          <w:rFonts w:ascii="Arial" w:cs="Arial" w:eastAsia="Arial" w:hAnsi="Arial"/>
          <w:sz w:val="13"/>
          <w:szCs w:val="13"/>
          <w:color w:val="auto"/>
        </w:rPr>
      </w:pPr>
      <w:r>
        <w:rPr>
          <w:rFonts w:ascii="Arial" w:cs="Arial" w:eastAsia="Arial" w:hAnsi="Arial"/>
          <w:sz w:val="13"/>
          <w:szCs w:val="13"/>
          <w:color w:val="auto"/>
        </w:rPr>
        <w:t>randomized, multi-site, open-label Phase 2 clinical trial (BNT122-01; NCT04486378) evaluating autogene cevumeran as an adjuvant treatment of circulating tumor DNA, or ctDNA, positive, surgically resected Stage II (high risk)/Stage III CRC is ongoing. The trial is expected to enroll about 200 patients to evaluate the efficacy of autogene cevumeran compared to watchful waiting after surgery and chemotherapy, the current standard of care for these high-risk patients. The primary endpoint for the study is DFS. Secondary objectives include OS and safety. The trial is currently enrolling in the United States, Germany, Spain, Belgium, Sweden and the UK. We plan to disclose the first data from the ongoing Phase 2 clinical trial in Stage II (high-risk)/ Stage III ctDNA+ adjuvant CRC in late 2025 or early 2026.</w:t>
      </w:r>
    </w:p>
    <w:p>
      <w:pPr>
        <w:sectPr>
          <w:pgSz w:w="11900" w:h="16840" w:orient="portrait"/>
          <w:cols w:equalWidth="0" w:num="1">
            <w:col w:w="9020"/>
          </w:cols>
          <w:pgMar w:left="1440" w:top="554" w:right="1440" w:bottom="758" w:gutter="0" w:footer="0" w:header="0"/>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109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540"/>
        <w:spacing w:after="0" w:line="214" w:lineRule="auto"/>
        <w:rPr>
          <w:sz w:val="20"/>
          <w:szCs w:val="20"/>
          <w:color w:val="auto"/>
        </w:rPr>
      </w:pPr>
      <w:r>
        <w:rPr>
          <w:rFonts w:ascii="Arial" w:cs="Arial" w:eastAsia="Arial" w:hAnsi="Arial"/>
          <w:sz w:val="13"/>
          <w:szCs w:val="13"/>
          <w:color w:val="auto"/>
        </w:rPr>
        <w:t>•In June 2024, at the Annual Meeting of the American Society of Clinical Oncology, or ASCO, preliminary epidemiologic data were presented, including post -operative ctDNA prevalence and prognostic value in disease-free survival, from an observational study (NCT04813627) in patients with resected high-risk stage II/III CRC. This observational study provides supportive epidemiological and prognostic data for the ongoing interventional Phase 2 clinical trial (NCT04486378).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-416560</wp:posOffset>
            </wp:positionV>
            <wp:extent cx="523113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540"/>
        <w:spacing w:after="0" w:line="210" w:lineRule="auto"/>
        <w:rPr>
          <w:sz w:val="20"/>
          <w:szCs w:val="20"/>
          <w:color w:val="auto"/>
        </w:rPr>
      </w:pPr>
      <w:r>
        <w:rPr>
          <w:rFonts w:ascii="Arial" w:cs="Arial" w:eastAsia="Arial" w:hAnsi="Arial"/>
          <w:sz w:val="13"/>
          <w:szCs w:val="13"/>
          <w:color w:val="auto"/>
        </w:rPr>
        <w:t>•Also in June 2024, at the ESMO Gastrointestinal, or ESMO GI, Cancers Congress, immunogenicity data of the biomarker cohort of the ongoing Phase 2 (NCT04486378) that enrolled patients irrespective of post-surgical ctDNA status were presented. The data suggest that autogene cevumeran is highly immunogenic and induces de novo polyepitopic, ex vivo detectable T-cell responses in all evaluable patients with resected Stage II/III CRC after completion of adjuvant chemotherapy. Among patients included in the immunogenicity analysis, 100% (12/12) were disease-free at data cut off.</w:t>
      </w:r>
    </w:p>
    <w:p>
      <w:pPr>
        <w:ind w:left="380"/>
        <w:spacing w:after="0" w:line="216" w:lineRule="auto"/>
        <w:rPr>
          <w:sz w:val="20"/>
          <w:szCs w:val="20"/>
          <w:color w:val="auto"/>
        </w:rPr>
      </w:pPr>
      <w:r>
        <w:rPr>
          <w:rFonts w:ascii="Arial" w:cs="Arial" w:eastAsia="Arial" w:hAnsi="Arial"/>
          <w:sz w:val="13"/>
          <w:szCs w:val="13"/>
          <w:i w:val="1"/>
          <w:iCs w:val="1"/>
          <w:color w:val="3C9673"/>
        </w:rPr>
        <w:t>Ongoing Phase 2 Clinical Trial in Adjuvant Pancreatic Ductal Adenocarcinoma, or PDAC</w:t>
      </w:r>
    </w:p>
    <w:p>
      <w:pPr>
        <w:ind w:left="380" w:right="2100"/>
        <w:spacing w:after="0" w:line="210" w:lineRule="auto"/>
        <w:rPr>
          <w:sz w:val="20"/>
          <w:szCs w:val="20"/>
          <w:color w:val="auto"/>
        </w:rPr>
      </w:pPr>
      <w:r>
        <w:rPr>
          <w:rFonts w:ascii="Arial" w:cs="Arial" w:eastAsia="Arial" w:hAnsi="Arial"/>
          <w:sz w:val="13"/>
          <w:szCs w:val="13"/>
          <w:color w:val="auto"/>
        </w:rPr>
        <w:t>A randomized Phase 2 clinical trial (IMCODE003; NCT05968326) evaluating the safety and efficacy of autogene cevumeran in combination with atezolizumab followed by standard-of-care chemotherapy (mFOLFIRINOX) in patients with resected PDAC compared to chemotherapy alone is recruiting. The Phase 2 study is expected to enroll 260 patients with resected PDAC who have not received prior systemic anti-cancer treatment and showed no evidence of disease after surgery. The primary endpoint is DFS. Secondary endpoints include OS and safety. In April 2024, at the AACR Annual Meeting, long- term follow-up data were presented from an investigator-initiated Phase 1 trial (NCT04161755) in patients with resected PDAC indicating that autogene cevumeran continues to show polyspecific T- cell responses up to three years after vaccination and that immunotherapy-specific response correlates with delayed tumor recurrence. At the third year, autogene cevumeran was observed to induce de novo neoantigen- specific, functional and durable CD8 T cells at substantial magnitudes for multiple neoantigens. After a median follow-up of three years, eight patients with immunotherapy-induced T-cell responses continued to have longer median recurrence- free survival (not reached) compared with those who did not experience an immune response (13.4 months). The investigator-initiated, single center Phase 1 trial evaluated the safety of autogene cevumeran in sequential combination with the anti-PD-L1 immune checkpoint inhibitor atezolizumab and standard- of-care chemotherapy in 16 patients with resected PDAC. Data from the 1.5-year median follow-up had been published in Nature (Rojas, L.A. et al., 2023).</w:t>
      </w:r>
    </w:p>
    <w:p>
      <w:pPr>
        <w:spacing w:after="0" w:line="10"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In February 2025, the longer-term follow up of the investigator-initiated, single center Phase 1 trial in PDAC has now also been published in Nature (Sethna, Z. et al., 2025).</w:t>
      </w:r>
    </w:p>
    <w:p>
      <w:pPr>
        <w:ind w:left="380"/>
        <w:spacing w:after="0" w:line="212" w:lineRule="auto"/>
        <w:rPr>
          <w:sz w:val="20"/>
          <w:szCs w:val="20"/>
          <w:color w:val="auto"/>
        </w:rPr>
      </w:pPr>
      <w:r>
        <w:rPr>
          <w:rFonts w:ascii="Arial" w:cs="Arial" w:eastAsia="Arial" w:hAnsi="Arial"/>
          <w:sz w:val="13"/>
          <w:szCs w:val="13"/>
          <w:i w:val="1"/>
          <w:iCs w:val="1"/>
          <w:color w:val="3C9673"/>
        </w:rPr>
        <w:t>Phase 2 Clinical Trial in First-line Advanced Melanoma</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The IMCODE001 (NCT03815058) trial was the first randomized Phase 2 clinical trial with an iNeST-based candidate as part of the broader IMCODE study program. The trial was initiated in 2019 with the aim to investigate autogene cevumeran in combination with PD-L1 checkpoint blockade in the advanced treatment setting of unresectable or complex metastatic tumors. The trial evaluated the efficacy and safety of autogene cevumeran in combination with pembrolizumab versus pembrolizumab alone as a potential first -line treatment for patients with previously untreated advanced melanoma. The primary endpoint was progression free survival (“PFS”) and was events-based. Secondary endpoints included overall survival (“OS”), overall response rate (“ORR”), duration of response (“DOR”) and safety.</w:t>
      </w:r>
    </w:p>
    <w:p>
      <w:pPr>
        <w:spacing w:after="0" w:line="5" w:lineRule="exact"/>
        <w:rPr>
          <w:sz w:val="20"/>
          <w:szCs w:val="20"/>
          <w:color w:val="auto"/>
        </w:rPr>
      </w:pPr>
    </w:p>
    <w:p>
      <w:pPr>
        <w:ind w:left="380" w:right="2100"/>
        <w:spacing w:after="0" w:line="216" w:lineRule="auto"/>
        <w:rPr>
          <w:sz w:val="20"/>
          <w:szCs w:val="20"/>
          <w:color w:val="auto"/>
        </w:rPr>
      </w:pPr>
      <w:r>
        <w:rPr>
          <w:rFonts w:ascii="Arial" w:cs="Arial" w:eastAsia="Arial" w:hAnsi="Arial"/>
          <w:sz w:val="13"/>
          <w:szCs w:val="13"/>
          <w:color w:val="auto"/>
        </w:rPr>
        <w:t xml:space="preserve">In January 2025, the IMCODE001 trial was completed. While the initial data of the primary analysis support our data across the broader autogene cevumeran study program demonstrating that autogene cevumeran can induce and expand high -magnitude and long-lived de novo immune responses against the encoded neoantigens in this aggressive stage of melanoma, the trial did not meet its primary efficacy endpoint of statically significant improvement of PFS in this advanced treatment setting. A numerical trend </w:t>
      </w:r>
      <w:r>
        <w:rPr>
          <w:rFonts w:ascii="Arial" w:cs="Arial" w:eastAsia="Arial" w:hAnsi="Arial"/>
          <w:sz w:val="13"/>
          <w:szCs w:val="13"/>
          <w:color w:val="1C1D20"/>
        </w:rPr>
        <w:t>favoring the combination arm in</w:t>
      </w:r>
      <w:r>
        <w:rPr>
          <w:rFonts w:ascii="Arial" w:cs="Arial" w:eastAsia="Arial" w:hAnsi="Arial"/>
          <w:sz w:val="13"/>
          <w:szCs w:val="13"/>
          <w:color w:val="auto"/>
        </w:rPr>
        <w:t xml:space="preserve"> </w:t>
      </w:r>
      <w:r>
        <w:rPr>
          <w:rFonts w:ascii="Arial" w:cs="Arial" w:eastAsia="Arial" w:hAnsi="Arial"/>
          <w:sz w:val="13"/>
          <w:szCs w:val="13"/>
          <w:color w:val="1C1D20"/>
        </w:rPr>
        <w:t xml:space="preserve">overall survival </w:t>
      </w:r>
      <w:r>
        <w:rPr>
          <w:rFonts w:ascii="Arial" w:cs="Arial" w:eastAsia="Arial" w:hAnsi="Arial"/>
          <w:sz w:val="13"/>
          <w:szCs w:val="13"/>
          <w:color w:val="000000"/>
        </w:rPr>
        <w:t>was observed. The combination of autogene cevumeran with PD -L1 checkpoint blockade was</w:t>
      </w:r>
      <w:r>
        <w:rPr>
          <w:rFonts w:ascii="Arial" w:cs="Arial" w:eastAsia="Arial" w:hAnsi="Arial"/>
          <w:sz w:val="13"/>
          <w:szCs w:val="13"/>
          <w:color w:val="1C1D20"/>
        </w:rPr>
        <w:t xml:space="preserve"> </w:t>
      </w:r>
      <w:r>
        <w:rPr>
          <w:rFonts w:ascii="Arial" w:cs="Arial" w:eastAsia="Arial" w:hAnsi="Arial"/>
          <w:sz w:val="13"/>
          <w:szCs w:val="13"/>
          <w:color w:val="000000"/>
        </w:rPr>
        <w:t>well tolerated and adverse events were consistent with the known safety profiles of the individual trial treatments, with no new safety signals observed. The analysis of the results of the IMCODE001 trial, including further exploratory endpoints and extensive biomarker correlations, is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110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40"/>
        <w:spacing w:after="0" w:line="215" w:lineRule="auto"/>
        <w:rPr>
          <w:sz w:val="20"/>
          <w:szCs w:val="20"/>
          <w:color w:val="auto"/>
        </w:rPr>
      </w:pPr>
      <w:r>
        <w:rPr>
          <w:rFonts w:ascii="Arial" w:cs="Arial" w:eastAsia="Arial" w:hAnsi="Arial"/>
          <w:sz w:val="13"/>
          <w:szCs w:val="13"/>
          <w:color w:val="auto"/>
        </w:rPr>
        <w:t>These topline data support proof of concept for our mRNA cancer immunotherapy approach and our therapeutic strategy to pursue autogene cevumeran to address the unmet medical need in the treatment of resectable cancers and in adjuvant or minimal residual disease treatment settings, while we are evaluating novel immune-oncology (“IO”) combinations for the treatment of advanced, rapidly progressing high-volume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4" w:lineRule="auto"/>
        <w:rPr>
          <w:sz w:val="20"/>
          <w:szCs w:val="20"/>
          <w:color w:val="auto"/>
        </w:rPr>
      </w:pPr>
      <w:r>
        <w:rPr>
          <w:rFonts w:ascii="Arial" w:cs="Arial" w:eastAsia="Arial" w:hAnsi="Arial"/>
          <w:sz w:val="13"/>
          <w:szCs w:val="13"/>
          <w:i w:val="1"/>
          <w:iCs w:val="1"/>
          <w:color w:val="3C9673"/>
        </w:rPr>
        <w:t>Ongoing Phase 1a/1b Clinical Trial Advanced/Metastatic Solid Tumors</w:t>
      </w:r>
    </w:p>
    <w:p>
      <w:pPr>
        <w:ind w:left="380" w:right="2160"/>
        <w:spacing w:after="0" w:line="210" w:lineRule="auto"/>
        <w:rPr>
          <w:sz w:val="20"/>
          <w:szCs w:val="20"/>
          <w:color w:val="auto"/>
        </w:rPr>
      </w:pPr>
      <w:r>
        <w:rPr>
          <w:rFonts w:ascii="Arial" w:cs="Arial" w:eastAsia="Arial" w:hAnsi="Arial"/>
          <w:sz w:val="13"/>
          <w:szCs w:val="13"/>
          <w:color w:val="auto"/>
        </w:rPr>
        <w:t>An open-label Phase 1a monotherapy/1b in combination with atezolizumab clinical trial (NCT03289962) of autogene cevumeran in patients with locally advanced or metastatic solid tumors, including patients with melanoma, NSCLC, bladder cancer, CRC, triple-negative breast cancer, or TNBC, renal cancer, head and neck cancer and sarcomas as well as other solid tumors is fully enrolled and follow-up is ongoing.</w:t>
      </w:r>
    </w:p>
    <w:p>
      <w:pPr>
        <w:spacing w:after="0" w:line="2" w:lineRule="exact"/>
        <w:rPr>
          <w:sz w:val="20"/>
          <w:szCs w:val="20"/>
          <w:color w:val="auto"/>
        </w:rPr>
      </w:pPr>
    </w:p>
    <w:p>
      <w:pPr>
        <w:ind w:left="380" w:right="2780"/>
        <w:spacing w:after="0" w:line="234" w:lineRule="auto"/>
        <w:rPr>
          <w:sz w:val="20"/>
          <w:szCs w:val="20"/>
          <w:color w:val="auto"/>
        </w:rPr>
      </w:pPr>
      <w:r>
        <w:rPr>
          <w:rFonts w:ascii="Arial" w:cs="Arial" w:eastAsia="Arial" w:hAnsi="Arial"/>
          <w:sz w:val="13"/>
          <w:szCs w:val="13"/>
          <w:color w:val="auto"/>
        </w:rPr>
        <w:t>•In January 2025, a manuscript summarizing the results of the trial was published in Nature Medicine (Lopez, J. et al., 2025).</w:t>
      </w:r>
    </w:p>
    <w:p>
      <w:pPr>
        <w:sectPr>
          <w:pgSz w:w="11900" w:h="16840" w:orient="portrait"/>
          <w:cols w:equalWidth="0" w:num="1">
            <w:col w:w="9020"/>
          </w:cols>
          <w:pgMar w:left="1440" w:top="1440" w:right="1440" w:bottom="27" w:gutter="0" w:footer="0" w:header="0"/>
        </w:sectPr>
      </w:pPr>
    </w:p>
    <w:bookmarkStart w:id="77" w:name="page78"/>
    <w:bookmarkEnd w:id="77"/>
    <w:p>
      <w:pPr>
        <w:ind w:left="380"/>
        <w:spacing w:after="0"/>
        <w:rPr>
          <w:sz w:val="20"/>
          <w:szCs w:val="20"/>
          <w:color w:val="auto"/>
        </w:rPr>
      </w:pPr>
      <w:r>
        <w:rPr>
          <w:rFonts w:ascii="Arial" w:cs="Arial" w:eastAsia="Arial" w:hAnsi="Arial"/>
          <w:sz w:val="13"/>
          <w:szCs w:val="13"/>
          <w:color w:val="3C9673"/>
        </w:rPr>
        <w:t>c) RiboMabs</w:t>
      </w:r>
    </w:p>
    <w:p>
      <w:pPr>
        <w:ind w:left="380" w:right="2100"/>
        <w:spacing w:after="0" w:line="210" w:lineRule="auto"/>
        <w:rPr>
          <w:sz w:val="20"/>
          <w:szCs w:val="20"/>
          <w:color w:val="auto"/>
        </w:rPr>
      </w:pPr>
      <w:r>
        <w:rPr>
          <w:rFonts w:ascii="Arial" w:cs="Arial" w:eastAsia="Arial" w:hAnsi="Arial"/>
          <w:sz w:val="13"/>
          <w:szCs w:val="13"/>
          <w:color w:val="auto"/>
        </w:rPr>
        <w:t xml:space="preserve">Our </w:t>
      </w:r>
      <w:r>
        <w:rPr>
          <w:rFonts w:ascii="Arial" w:cs="Arial" w:eastAsia="Arial" w:hAnsi="Arial"/>
          <w:sz w:val="13"/>
          <w:szCs w:val="13"/>
          <w:i w:val="1"/>
          <w:iCs w:val="1"/>
          <w:color w:val="auto"/>
        </w:rPr>
        <w:t>RiboMab</w:t>
      </w:r>
      <w:r>
        <w:rPr>
          <w:rFonts w:ascii="Arial" w:cs="Arial" w:eastAsia="Arial" w:hAnsi="Arial"/>
          <w:sz w:val="13"/>
          <w:szCs w:val="13"/>
          <w:color w:val="auto"/>
        </w:rPr>
        <w:t xml:space="preserve"> product candidate is an mRNA that encodes cancer cell targeting antibodies. This fully-owned product candidate is nucleoside-modified to minimize immunogenicity and our improved mRNA backbone designs with the aim of maximizing protein expression. Our </w:t>
      </w:r>
      <w:r>
        <w:rPr>
          <w:rFonts w:ascii="Arial" w:cs="Arial" w:eastAsia="Arial" w:hAnsi="Arial"/>
          <w:sz w:val="13"/>
          <w:szCs w:val="13"/>
          <w:i w:val="1"/>
          <w:iCs w:val="1"/>
          <w:color w:val="auto"/>
        </w:rPr>
        <w:t>RiboMab</w:t>
      </w:r>
      <w:r>
        <w:rPr>
          <w:rFonts w:ascii="Arial" w:cs="Arial" w:eastAsia="Arial" w:hAnsi="Arial"/>
          <w:sz w:val="13"/>
          <w:szCs w:val="13"/>
          <w:color w:val="auto"/>
        </w:rPr>
        <w:t xml:space="preserve"> product candidate is formulated using liver-targeting lipid nanoparticles, or LNPs, for intravenous delivery. This RNA-LNP technology is designed to address the challenges of recombinantly expressed proteins, including limited serum half-life and manufacturing process challenges.</w:t>
      </w:r>
    </w:p>
    <w:p>
      <w:pPr>
        <w:ind w:left="380"/>
        <w:spacing w:after="0" w:line="216" w:lineRule="auto"/>
        <w:rPr>
          <w:sz w:val="20"/>
          <w:szCs w:val="20"/>
          <w:color w:val="auto"/>
        </w:rPr>
      </w:pPr>
      <w:r>
        <w:rPr>
          <w:rFonts w:ascii="Arial" w:cs="Arial" w:eastAsia="Arial" w:hAnsi="Arial"/>
          <w:sz w:val="13"/>
          <w:szCs w:val="13"/>
          <w:i w:val="1"/>
          <w:iCs w:val="1"/>
          <w:color w:val="3C9673"/>
        </w:rPr>
        <w:t>i. BNT142 for the Treatment of Solid Tumors</w:t>
      </w:r>
    </w:p>
    <w:p>
      <w:pPr>
        <w:ind w:left="380" w:right="2200"/>
        <w:spacing w:after="0" w:line="210" w:lineRule="auto"/>
        <w:rPr>
          <w:sz w:val="20"/>
          <w:szCs w:val="20"/>
          <w:color w:val="auto"/>
        </w:rPr>
      </w:pPr>
      <w:r>
        <w:rPr>
          <w:rFonts w:ascii="Arial" w:cs="Arial" w:eastAsia="Arial" w:hAnsi="Arial"/>
          <w:sz w:val="13"/>
          <w:szCs w:val="13"/>
          <w:color w:val="auto"/>
        </w:rPr>
        <w:t>BNT142 encodes a T- cell engaging bispecific antibody targeting Claudin 6, or CLDN6. An open-label, multi-site Phase 1/2 clinical trial (NCT05262530) in patients with CLDN6-positive advanced solid tumors that have exhausted available standard therapy or are not eligible for such available therapy is ongoing.</w:t>
      </w:r>
    </w:p>
    <w:p>
      <w:pPr>
        <w:ind w:left="380"/>
        <w:spacing w:after="0" w:line="213" w:lineRule="auto"/>
        <w:rPr>
          <w:sz w:val="20"/>
          <w:szCs w:val="20"/>
          <w:color w:val="auto"/>
        </w:rPr>
      </w:pPr>
      <w:r>
        <w:rPr>
          <w:rFonts w:ascii="Arial" w:cs="Arial" w:eastAsia="Arial" w:hAnsi="Arial"/>
          <w:sz w:val="13"/>
          <w:szCs w:val="13"/>
          <w:color w:val="3C9673"/>
        </w:rPr>
        <w:t>e) RiboCytokines</w:t>
      </w:r>
    </w:p>
    <w:p>
      <w:pPr>
        <w:spacing w:after="0" w:line="1"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 xml:space="preserve">Our </w:t>
      </w:r>
      <w:r>
        <w:rPr>
          <w:rFonts w:ascii="Arial" w:cs="Arial" w:eastAsia="Arial" w:hAnsi="Arial"/>
          <w:sz w:val="13"/>
          <w:szCs w:val="13"/>
          <w:i w:val="1"/>
          <w:iCs w:val="1"/>
          <w:color w:val="auto"/>
        </w:rPr>
        <w:t>RiboCytokine</w:t>
      </w:r>
      <w:r>
        <w:rPr>
          <w:rFonts w:ascii="Arial" w:cs="Arial" w:eastAsia="Arial" w:hAnsi="Arial"/>
          <w:sz w:val="13"/>
          <w:szCs w:val="13"/>
          <w:color w:val="auto"/>
        </w:rPr>
        <w:t xml:space="preserve"> product candidates are designed to address the limitations of recombinantly expressed cytokines, including limited serum half-life and production costs. BNT151 and BNT152+153 are nucleoside-modified mRNAs encoding human cytokines fused to human serum albumin. The modified mRNA is formulated with liver -targeting LNPs for intravenous delivery. BNT151 encodes an IL-2 variant, BNT152 encodes IL-7, and BNT153 encodes IL-2.</w:t>
      </w:r>
    </w:p>
    <w:p>
      <w:pPr>
        <w:ind w:left="380"/>
        <w:spacing w:after="0" w:line="215" w:lineRule="auto"/>
        <w:rPr>
          <w:sz w:val="20"/>
          <w:szCs w:val="20"/>
          <w:color w:val="auto"/>
        </w:rPr>
      </w:pPr>
      <w:r>
        <w:rPr>
          <w:rFonts w:ascii="Arial" w:cs="Arial" w:eastAsia="Arial" w:hAnsi="Arial"/>
          <w:sz w:val="13"/>
          <w:szCs w:val="13"/>
          <w:i w:val="1"/>
          <w:iCs w:val="1"/>
          <w:color w:val="3C9673"/>
        </w:rPr>
        <w:t>i. BNT151 for the Treatment of Solid Tumors</w:t>
      </w:r>
    </w:p>
    <w:p>
      <w:pPr>
        <w:ind w:left="380" w:right="2100" w:firstLine="3"/>
        <w:spacing w:after="0" w:line="210" w:lineRule="auto"/>
        <w:tabs>
          <w:tab w:leader="none" w:pos="504" w:val="left"/>
        </w:tabs>
        <w:numPr>
          <w:ilvl w:val="0"/>
          <w:numId w:val="9"/>
        </w:numPr>
        <w:rPr>
          <w:rFonts w:ascii="Arial" w:cs="Arial" w:eastAsia="Arial" w:hAnsi="Arial"/>
          <w:sz w:val="13"/>
          <w:szCs w:val="13"/>
          <w:color w:val="auto"/>
        </w:rPr>
      </w:pPr>
      <w:r>
        <w:rPr>
          <w:rFonts w:ascii="Arial" w:cs="Arial" w:eastAsia="Arial" w:hAnsi="Arial"/>
          <w:sz w:val="13"/>
          <w:szCs w:val="13"/>
          <w:color w:val="auto"/>
        </w:rPr>
        <w:t>first-in-human, open-label, multi-center Phase 1/2 clinical trial (NCT04455620) in multiple solid tumor indications has been discontinued after the completion of enrollment for the Part 1 monotherapy dose escalation, as previously communicated. The safety follow-up phase for enrolled patients had been completed and the clinical data of the trial were reported to the appropriate regulatory bodies.</w:t>
      </w:r>
    </w:p>
    <w:p>
      <w:pPr>
        <w:spacing w:after="0" w:line="2" w:lineRule="exact"/>
        <w:rPr>
          <w:rFonts w:ascii="Arial" w:cs="Arial" w:eastAsia="Arial" w:hAnsi="Arial"/>
          <w:sz w:val="13"/>
          <w:szCs w:val="13"/>
          <w:color w:val="auto"/>
        </w:rPr>
      </w:pPr>
    </w:p>
    <w:p>
      <w:pPr>
        <w:ind w:left="380"/>
        <w:spacing w:after="0" w:line="210" w:lineRule="auto"/>
        <w:rPr>
          <w:rFonts w:ascii="Arial" w:cs="Arial" w:eastAsia="Arial" w:hAnsi="Arial"/>
          <w:sz w:val="13"/>
          <w:szCs w:val="13"/>
          <w:color w:val="auto"/>
        </w:rPr>
      </w:pPr>
      <w:r>
        <w:rPr>
          <w:rFonts w:ascii="Arial" w:cs="Arial" w:eastAsia="Arial" w:hAnsi="Arial"/>
          <w:sz w:val="13"/>
          <w:szCs w:val="13"/>
          <w:i w:val="1"/>
          <w:iCs w:val="1"/>
          <w:color w:val="3C9673"/>
        </w:rPr>
        <w:t>ii. BNT152+BNT153 for the Treatment of Solid Tumors</w:t>
      </w:r>
    </w:p>
    <w:p>
      <w:pPr>
        <w:ind w:left="380" w:right="2120"/>
        <w:spacing w:after="0" w:line="210" w:lineRule="auto"/>
        <w:rPr>
          <w:rFonts w:ascii="Arial" w:cs="Arial" w:eastAsia="Arial" w:hAnsi="Arial"/>
          <w:sz w:val="13"/>
          <w:szCs w:val="13"/>
          <w:color w:val="auto"/>
        </w:rPr>
      </w:pPr>
      <w:r>
        <w:rPr>
          <w:rFonts w:ascii="Arial" w:cs="Arial" w:eastAsia="Arial" w:hAnsi="Arial"/>
          <w:sz w:val="13"/>
          <w:szCs w:val="13"/>
          <w:color w:val="auto"/>
        </w:rPr>
        <w:t>An open-label, multi-site, first-in-human Phase 1 clinical trial (NCT04710043) in multiple solid tumor indications is ongoing to evaluate the safety, pharmacokinetics, pharmacodynamics and preliminary anti-tumor activity of a combination of BNT152 and BNT153. The clinical trial consists of two parts: Part 1, the separate monotherapy dose escalation of BNT152 and BNT153, was completed in May 2023, as a result of which a maximum tolerated dose, or MTD, was defined for each product. Part 2 is currently investigating the combination treatment of BNT152 and BNT153.</w:t>
      </w:r>
    </w:p>
    <w:p>
      <w:pPr>
        <w:spacing w:after="0" w:line="3" w:lineRule="exact"/>
        <w:rPr>
          <w:rFonts w:ascii="Arial" w:cs="Arial" w:eastAsia="Arial" w:hAnsi="Arial"/>
          <w:sz w:val="13"/>
          <w:szCs w:val="13"/>
          <w:color w:val="auto"/>
        </w:rPr>
      </w:pPr>
    </w:p>
    <w:p>
      <w:pPr>
        <w:ind w:left="380" w:right="5980"/>
        <w:spacing w:after="0" w:line="234" w:lineRule="auto"/>
        <w:rPr>
          <w:rFonts w:ascii="Arial" w:cs="Arial" w:eastAsia="Arial" w:hAnsi="Arial"/>
          <w:sz w:val="13"/>
          <w:szCs w:val="13"/>
          <w:color w:val="auto"/>
        </w:rPr>
      </w:pPr>
      <w:r>
        <w:rPr>
          <w:rFonts w:ascii="Arial" w:cs="Arial" w:eastAsia="Arial" w:hAnsi="Arial"/>
          <w:sz w:val="13"/>
          <w:szCs w:val="13"/>
          <w:i w:val="1"/>
          <w:iCs w:val="1"/>
          <w:color w:val="auto"/>
        </w:rPr>
        <w:t xml:space="preserve">2. Oncology Cell Therapy Product Candidates </w:t>
      </w:r>
      <w:r>
        <w:rPr>
          <w:rFonts w:ascii="Arial" w:cs="Arial" w:eastAsia="Arial" w:hAnsi="Arial"/>
          <w:sz w:val="13"/>
          <w:szCs w:val="13"/>
          <w:color w:val="3C9673"/>
        </w:rPr>
        <w:t>a) CAR-T-cell therapy - CAR-T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111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i w:val="1"/>
          <w:iCs w:val="1"/>
          <w:color w:val="3C9673"/>
        </w:rPr>
        <w:t>i. BNT211 for the Treatment of CLDN6+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40"/>
        <w:spacing w:after="0" w:line="210" w:lineRule="auto"/>
        <w:rPr>
          <w:sz w:val="20"/>
          <w:szCs w:val="20"/>
          <w:color w:val="auto"/>
        </w:rPr>
      </w:pPr>
      <w:r>
        <w:rPr>
          <w:rFonts w:ascii="Arial" w:cs="Arial" w:eastAsia="Arial" w:hAnsi="Arial"/>
          <w:sz w:val="13"/>
          <w:szCs w:val="13"/>
          <w:color w:val="auto"/>
        </w:rPr>
        <w:t xml:space="preserve">BNT211 consists of two investigational medicinal products: our first CAR-T-cell product candidate, which targets CLDN6- positive solid tumors, in combination with an mRNA named CARVac (CLDN6 RNA-LPX) encoding CLDN6. The CAR-T cells are equipped with a second-generation CAR of high sensitivity and specificity for the tumor-specific carcino-embryonic antigen CLDN6. CARVac is intended to support in vivo expansion of transferred CAR-T cells to increase their persistence and efficacy. As with </w:t>
      </w:r>
      <w:r>
        <w:rPr>
          <w:rFonts w:ascii="Arial" w:cs="Arial" w:eastAsia="Arial" w:hAnsi="Arial"/>
          <w:sz w:val="13"/>
          <w:szCs w:val="13"/>
          <w:i w:val="1"/>
          <w:iCs w:val="1"/>
          <w:color w:val="auto"/>
        </w:rPr>
        <w:t>FixVac</w:t>
      </w:r>
      <w:r>
        <w:rPr>
          <w:rFonts w:ascii="Arial" w:cs="Arial" w:eastAsia="Arial" w:hAnsi="Arial"/>
          <w:sz w:val="13"/>
          <w:szCs w:val="13"/>
          <w:color w:val="auto"/>
        </w:rPr>
        <w:t xml:space="preserve"> and iNeST, CARVac is also based on a pharmacologically optimized-backbone equipped uRNA delivered in our proprietary RNA- LPX formulation. BNT211 has been granted Priority Medicines, or PRIME, designation by the EMA for the third- or later-line treatment of testicular germ cell tumors, and Regenerative Medicine Advanced Therapy, or RMAT, designation by the FDA.</w:t>
      </w:r>
    </w:p>
    <w:p>
      <w:pPr>
        <w:ind w:left="380"/>
        <w:spacing w:after="0" w:line="219" w:lineRule="auto"/>
        <w:rPr>
          <w:sz w:val="20"/>
          <w:szCs w:val="20"/>
          <w:color w:val="auto"/>
        </w:rPr>
      </w:pPr>
      <w:r>
        <w:rPr>
          <w:rFonts w:ascii="Arial" w:cs="Arial" w:eastAsia="Arial" w:hAnsi="Arial"/>
          <w:sz w:val="13"/>
          <w:szCs w:val="13"/>
          <w:i w:val="1"/>
          <w:iCs w:val="1"/>
          <w:u w:val="single" w:color="auto"/>
          <w:color w:val="auto"/>
        </w:rPr>
        <w:t>Ongoing Phase 1 Clinical Trial</w:t>
      </w:r>
    </w:p>
    <w:p>
      <w:pPr>
        <w:ind w:left="380" w:right="2100" w:firstLine="3"/>
        <w:spacing w:after="0" w:line="210" w:lineRule="auto"/>
        <w:tabs>
          <w:tab w:leader="none" w:pos="504" w:val="left"/>
        </w:tabs>
        <w:numPr>
          <w:ilvl w:val="0"/>
          <w:numId w:val="10"/>
        </w:numPr>
        <w:rPr>
          <w:rFonts w:ascii="Arial" w:cs="Arial" w:eastAsia="Arial" w:hAnsi="Arial"/>
          <w:sz w:val="13"/>
          <w:szCs w:val="13"/>
          <w:color w:val="auto"/>
        </w:rPr>
      </w:pPr>
      <w:r>
        <w:rPr>
          <w:rFonts w:ascii="Arial" w:cs="Arial" w:eastAsia="Arial" w:hAnsi="Arial"/>
          <w:sz w:val="13"/>
          <w:szCs w:val="13"/>
          <w:color w:val="auto"/>
        </w:rPr>
        <w:t>first-in-human, open-label, multi-site Phase 1 dose escalation and dose expansion basket trial (NCT04503278) is being conducted to evaluate CLDN6 CAR-T cells as monotherapy or in combination with CARVac in patients with CLDN6-positive relapsed or refractory solid tumors, including ovarian cancers and testicular germ cell tumors. The primary outcome measure of the trial is safety, with secondary efficacy outcome measures to include ORR, DCR and DOR.</w:t>
      </w:r>
    </w:p>
    <w:p>
      <w:pPr>
        <w:spacing w:after="0" w:line="2" w:lineRule="exact"/>
        <w:rPr>
          <w:rFonts w:ascii="Arial" w:cs="Arial" w:eastAsia="Arial" w:hAnsi="Arial"/>
          <w:sz w:val="13"/>
          <w:szCs w:val="13"/>
          <w:color w:val="auto"/>
        </w:rPr>
      </w:pPr>
    </w:p>
    <w:p>
      <w:pPr>
        <w:ind w:left="380" w:right="2620"/>
        <w:spacing w:after="0" w:line="210" w:lineRule="auto"/>
        <w:rPr>
          <w:rFonts w:ascii="Arial" w:cs="Arial" w:eastAsia="Arial" w:hAnsi="Arial"/>
          <w:sz w:val="13"/>
          <w:szCs w:val="13"/>
          <w:color w:val="auto"/>
        </w:rPr>
      </w:pPr>
      <w:r>
        <w:rPr>
          <w:rFonts w:ascii="Arial" w:cs="Arial" w:eastAsia="Arial" w:hAnsi="Arial"/>
          <w:sz w:val="13"/>
          <w:szCs w:val="13"/>
          <w:color w:val="auto"/>
        </w:rPr>
        <w:t>•In June 2024, we presented an analysis of real-world data that investigated the OS, treatment patterns and prognostic variables of patients with testicular germ cell tumors receiving palliative chemotherapy at the ASCO Annual Meeting. This analysis will inform the design of our planned pivotal clinical trial to evaluate BNT211 in patients with germ cell tumors.</w:t>
      </w:r>
    </w:p>
    <w:p>
      <w:pPr>
        <w:spacing w:after="0" w:line="2" w:lineRule="exact"/>
        <w:rPr>
          <w:rFonts w:ascii="Arial" w:cs="Arial" w:eastAsia="Arial" w:hAnsi="Arial"/>
          <w:sz w:val="13"/>
          <w:szCs w:val="13"/>
          <w:color w:val="auto"/>
        </w:rPr>
      </w:pPr>
    </w:p>
    <w:p>
      <w:pPr>
        <w:jc w:val="both"/>
        <w:ind w:left="380" w:right="2680"/>
        <w:spacing w:after="0" w:line="232" w:lineRule="auto"/>
        <w:rPr>
          <w:rFonts w:ascii="Arial" w:cs="Arial" w:eastAsia="Arial" w:hAnsi="Arial"/>
          <w:sz w:val="13"/>
          <w:szCs w:val="13"/>
          <w:color w:val="auto"/>
        </w:rPr>
      </w:pPr>
      <w:r>
        <w:rPr>
          <w:rFonts w:ascii="Arial" w:cs="Arial" w:eastAsia="Arial" w:hAnsi="Arial"/>
          <w:sz w:val="13"/>
          <w:szCs w:val="13"/>
          <w:color w:val="auto"/>
        </w:rPr>
        <w:t>•In September 2024, data from the ongoing trial were presented at the ESMO Congress which showed encouraging signs of antitumor activity across indications. Among patients who received dose levels of</w:t>
      </w:r>
    </w:p>
    <w:p>
      <w:pPr>
        <w:ind w:left="380" w:right="2720"/>
        <w:spacing w:after="0" w:line="203" w:lineRule="auto"/>
        <w:rPr>
          <w:sz w:val="20"/>
          <w:szCs w:val="20"/>
          <w:color w:val="auto"/>
        </w:rPr>
      </w:pPr>
      <w:r>
        <w:rPr>
          <w:rFonts w:ascii="Arial" w:cs="Arial" w:eastAsia="Arial" w:hAnsi="Arial"/>
          <w:sz w:val="13"/>
          <w:szCs w:val="13"/>
          <w:color w:val="auto"/>
        </w:rPr>
        <w:t>1x10</w:t>
      </w:r>
      <w:r>
        <w:rPr>
          <w:rFonts w:ascii="Arial" w:cs="Arial" w:eastAsia="Arial" w:hAnsi="Arial"/>
          <w:sz w:val="18"/>
          <w:szCs w:val="18"/>
          <w:color w:val="auto"/>
          <w:vertAlign w:val="superscript"/>
        </w:rPr>
        <w:t>8</w:t>
      </w:r>
      <w:r>
        <w:rPr>
          <w:rFonts w:ascii="Arial" w:cs="Arial" w:eastAsia="Arial" w:hAnsi="Arial"/>
          <w:sz w:val="13"/>
          <w:szCs w:val="13"/>
          <w:color w:val="auto"/>
        </w:rPr>
        <w:t xml:space="preserve"> CAR T cells or above with or without CARVac, ORR was observed to be 41.7% for patients with testicular cancer and 58.3% for those with ovarian cancer. CARVac was shown to improve CAR-T persistence in some patients. The data also suggest that the safety profile of CLDN6 CAR T cells with and without CARVac is consistent with the previously published effects of CAR-T therapies and that repeated CARVac administration does not significantly increase toxicity.</w:t>
      </w:r>
    </w:p>
    <w:p>
      <w:pPr>
        <w:ind w:left="380" w:right="2520"/>
        <w:spacing w:after="0" w:line="210" w:lineRule="auto"/>
        <w:rPr>
          <w:sz w:val="20"/>
          <w:szCs w:val="20"/>
          <w:color w:val="auto"/>
        </w:rPr>
      </w:pPr>
      <w:r>
        <w:rPr>
          <w:rFonts w:ascii="Arial" w:cs="Arial" w:eastAsia="Arial" w:hAnsi="Arial"/>
          <w:sz w:val="13"/>
          <w:szCs w:val="13"/>
          <w:color w:val="auto"/>
        </w:rPr>
        <w:t>•In January 2025, the FDA granted RMAT designation for BNT211. The RMAT designation is designed to expedite the development and review process for promising pipeline products, including cell therapies. •A pivotal Phase 2 trial in patients with testicular germ cell tumors is planned to start in 2025 based on encouraging activity in this patient group observed in the Phase 1 trial.</w:t>
      </w:r>
    </w:p>
    <w:p>
      <w:pPr>
        <w:ind w:left="380"/>
        <w:spacing w:after="0" w:line="214" w:lineRule="auto"/>
        <w:rPr>
          <w:sz w:val="20"/>
          <w:szCs w:val="20"/>
          <w:color w:val="auto"/>
        </w:rPr>
      </w:pPr>
      <w:r>
        <w:rPr>
          <w:rFonts w:ascii="Arial" w:cs="Arial" w:eastAsia="Arial" w:hAnsi="Arial"/>
          <w:sz w:val="13"/>
          <w:szCs w:val="13"/>
          <w:color w:val="3C9673"/>
        </w:rPr>
        <w:t>b) Neoantigen-Targeting T Cells</w:t>
      </w:r>
    </w:p>
    <w:p>
      <w:pPr>
        <w:ind w:left="380" w:right="2100"/>
        <w:spacing w:after="0" w:line="210" w:lineRule="auto"/>
        <w:rPr>
          <w:sz w:val="20"/>
          <w:szCs w:val="20"/>
          <w:color w:val="auto"/>
        </w:rPr>
      </w:pPr>
      <w:r>
        <w:rPr>
          <w:rFonts w:ascii="Arial" w:cs="Arial" w:eastAsia="Arial" w:hAnsi="Arial"/>
          <w:sz w:val="13"/>
          <w:szCs w:val="13"/>
          <w:color w:val="auto"/>
        </w:rPr>
        <w:t xml:space="preserve">Our neoantigen-targeting T-cell stimulation platform can be utilized to develop product candidates across several neoantigen- targeting non- engineered and engineered T-cell therapies. Autologous, neoantigen-specific T cells are primed, activated and expanded ex vivo utilizing a proprietary antigen-specific T-cell induction protocol, </w:t>
      </w:r>
      <w:r>
        <w:rPr>
          <w:rFonts w:ascii="Arial" w:cs="Arial" w:eastAsia="Arial" w:hAnsi="Arial"/>
          <w:sz w:val="13"/>
          <w:szCs w:val="13"/>
          <w:i w:val="1"/>
          <w:iCs w:val="1"/>
          <w:color w:val="auto"/>
        </w:rPr>
        <w:t xml:space="preserve">Neo-Stim </w:t>
      </w:r>
      <w:r>
        <w:rPr>
          <w:rFonts w:ascii="Arial" w:cs="Arial" w:eastAsia="Arial" w:hAnsi="Arial"/>
          <w:sz w:val="13"/>
          <w:szCs w:val="13"/>
          <w:color w:val="auto"/>
        </w:rPr>
        <w:t>, to target either a personal set of neoantigens for each patient or a set of selected shared neoantigens. Our</w:t>
      </w:r>
      <w:r>
        <w:rPr>
          <w:rFonts w:ascii="Arial" w:cs="Arial" w:eastAsia="Arial" w:hAnsi="Arial"/>
          <w:sz w:val="13"/>
          <w:szCs w:val="13"/>
          <w:i w:val="1"/>
          <w:iCs w:val="1"/>
          <w:color w:val="auto"/>
        </w:rPr>
        <w:t xml:space="preserve"> </w:t>
      </w:r>
      <w:r>
        <w:rPr>
          <w:rFonts w:ascii="Arial" w:cs="Arial" w:eastAsia="Arial" w:hAnsi="Arial"/>
          <w:sz w:val="13"/>
          <w:szCs w:val="13"/>
          <w:color w:val="auto"/>
        </w:rPr>
        <w:t>lead product candidate under this platform is our individualized neoantigen-targeting T-cell therapy, BNT221.</w:t>
      </w:r>
    </w:p>
    <w:p>
      <w:pPr>
        <w:ind w:left="380"/>
        <w:spacing w:after="0" w:line="215" w:lineRule="auto"/>
        <w:rPr>
          <w:sz w:val="20"/>
          <w:szCs w:val="20"/>
          <w:color w:val="auto"/>
        </w:rPr>
      </w:pPr>
      <w:r>
        <w:rPr>
          <w:rFonts w:ascii="Arial" w:cs="Arial" w:eastAsia="Arial" w:hAnsi="Arial"/>
          <w:sz w:val="13"/>
          <w:szCs w:val="13"/>
          <w:i w:val="1"/>
          <w:iCs w:val="1"/>
          <w:color w:val="3C9673"/>
        </w:rPr>
        <w:t>i. BNT221 for the Treatment of Cancer</w:t>
      </w:r>
    </w:p>
    <w:p>
      <w:pPr>
        <w:ind w:left="380" w:right="2100"/>
        <w:spacing w:after="0" w:line="210" w:lineRule="auto"/>
        <w:rPr>
          <w:sz w:val="20"/>
          <w:szCs w:val="20"/>
          <w:color w:val="auto"/>
        </w:rPr>
      </w:pPr>
      <w:r>
        <w:rPr>
          <w:rFonts w:ascii="Arial" w:cs="Arial" w:eastAsia="Arial" w:hAnsi="Arial"/>
          <w:sz w:val="13"/>
          <w:szCs w:val="13"/>
          <w:color w:val="auto"/>
        </w:rPr>
        <w:t>BNT221 is our autologous, fully personalized, polyspecific T-cell therapy directed against selected sets of individual neoantigens. BNT221 is generated through a proprietary stimulation process (</w:t>
      </w:r>
      <w:r>
        <w:rPr>
          <w:rFonts w:ascii="Arial" w:cs="Arial" w:eastAsia="Arial" w:hAnsi="Arial"/>
          <w:sz w:val="13"/>
          <w:szCs w:val="13"/>
          <w:i w:val="1"/>
          <w:iCs w:val="1"/>
          <w:color w:val="auto"/>
        </w:rPr>
        <w:t>Neo-Stim</w:t>
      </w:r>
      <w:r>
        <w:rPr>
          <w:rFonts w:ascii="Arial" w:cs="Arial" w:eastAsia="Arial" w:hAnsi="Arial"/>
          <w:sz w:val="13"/>
          <w:szCs w:val="13"/>
          <w:color w:val="auto"/>
        </w:rPr>
        <w:t xml:space="preserve">) and allows for the induction of T cells from the naïve compartment, as well as expansion of pre-existing memory T cells. Other product characteristics are (i) cells with high specificity profile towards the mutant epitope; (ii) cells exhibiting multiple effector functions; (iii) a product that contains both central and effector memory T cells; and (iv) cells that have a cytotoxic response towards endogenously processed and presented antigens as well as recognition of an autologous tumor. The neoantigens are selected using our proprietary </w:t>
      </w:r>
      <w:r>
        <w:rPr>
          <w:rFonts w:ascii="Arial" w:cs="Arial" w:eastAsia="Arial" w:hAnsi="Arial"/>
          <w:sz w:val="13"/>
          <w:szCs w:val="13"/>
          <w:i w:val="1"/>
          <w:iCs w:val="1"/>
          <w:color w:val="auto"/>
        </w:rPr>
        <w:t>Recon</w:t>
      </w:r>
      <w:r>
        <w:rPr>
          <w:rFonts w:ascii="Arial" w:cs="Arial" w:eastAsia="Arial" w:hAnsi="Arial"/>
          <w:sz w:val="13"/>
          <w:szCs w:val="13"/>
          <w:color w:val="auto"/>
        </w:rPr>
        <w:t xml:space="preserve"> bioinformatics engine.</w:t>
      </w:r>
    </w:p>
    <w:p>
      <w:pPr>
        <w:spacing w:after="0" w:line="4" w:lineRule="exact"/>
        <w:rPr>
          <w:sz w:val="20"/>
          <w:szCs w:val="20"/>
          <w:color w:val="auto"/>
        </w:rPr>
      </w:pPr>
    </w:p>
    <w:p>
      <w:pPr>
        <w:ind w:left="380"/>
        <w:spacing w:after="0"/>
        <w:rPr>
          <w:sz w:val="20"/>
          <w:szCs w:val="20"/>
          <w:color w:val="auto"/>
        </w:rPr>
      </w:pPr>
      <w:r>
        <w:rPr>
          <w:rFonts w:ascii="Arial" w:cs="Arial" w:eastAsia="Arial" w:hAnsi="Arial"/>
          <w:sz w:val="13"/>
          <w:szCs w:val="13"/>
          <w:i w:val="1"/>
          <w:iCs w:val="1"/>
          <w:u w:val="single" w:color="auto"/>
          <w:color w:val="auto"/>
        </w:rPr>
        <w:t>Ongoing Phase 1 Clinical Trial</w:t>
      </w:r>
    </w:p>
    <w:p>
      <w:pPr>
        <w:sectPr>
          <w:pgSz w:w="11900" w:h="16840" w:orient="portrait"/>
          <w:cols w:equalWidth="0" w:num="1">
            <w:col w:w="9020"/>
          </w:cols>
          <w:pgMar w:left="1440" w:top="554" w:right="1440" w:bottom="311"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112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340" w:firstLine="3"/>
        <w:spacing w:after="0" w:line="213" w:lineRule="auto"/>
        <w:tabs>
          <w:tab w:leader="none" w:pos="504" w:val="left"/>
        </w:tabs>
        <w:numPr>
          <w:ilvl w:val="0"/>
          <w:numId w:val="11"/>
        </w:numPr>
        <w:rPr>
          <w:rFonts w:ascii="Arial" w:cs="Arial" w:eastAsia="Arial" w:hAnsi="Arial"/>
          <w:sz w:val="13"/>
          <w:szCs w:val="13"/>
          <w:color w:val="auto"/>
        </w:rPr>
      </w:pPr>
      <w:r>
        <w:rPr>
          <w:rFonts w:ascii="Arial" w:cs="Arial" w:eastAsia="Arial" w:hAnsi="Arial"/>
          <w:sz w:val="13"/>
          <w:szCs w:val="13"/>
          <w:color w:val="auto"/>
        </w:rPr>
        <w:t>first-in-human Phase 1 dose escalation clinical trial (NCT04625205) evaluating BNT221 in patients with checkpoint inhibitor unresponsive or refractory metastatic melanoma is ongoing. The first portion of the trial consists of a monotherapy dose escalation of BNT221, for which recruitment and treatment of patients is complete. Currently, BNT221 is being dosed in combination with anti-PD-1 therapy after first-line treatment. Additional enrollment has been stopped for non-safety related reasons, with health authorities notified. Major objectives of this study include evaluation of the safety and feasibility of administering BNT221, as well as evaluations of immunogenicity and preliminary efficacy.</w:t>
      </w:r>
    </w:p>
    <w:p>
      <w:pPr>
        <w:spacing w:after="0" w:line="3" w:lineRule="exact"/>
        <w:rPr>
          <w:rFonts w:ascii="Arial" w:cs="Arial" w:eastAsia="Arial" w:hAnsi="Arial"/>
          <w:sz w:val="13"/>
          <w:szCs w:val="13"/>
          <w:color w:val="auto"/>
        </w:rPr>
      </w:pPr>
    </w:p>
    <w:p>
      <w:pPr>
        <w:ind w:left="380" w:right="2920"/>
        <w:spacing w:after="0" w:line="210" w:lineRule="auto"/>
        <w:rPr>
          <w:rFonts w:ascii="Arial" w:cs="Arial" w:eastAsia="Arial" w:hAnsi="Arial"/>
          <w:sz w:val="13"/>
          <w:szCs w:val="13"/>
          <w:color w:val="auto"/>
        </w:rPr>
      </w:pPr>
      <w:r>
        <w:rPr>
          <w:rFonts w:ascii="Arial" w:cs="Arial" w:eastAsia="Arial" w:hAnsi="Arial"/>
          <w:sz w:val="13"/>
          <w:szCs w:val="13"/>
          <w:color w:val="auto"/>
        </w:rPr>
        <w:t>•In January 2025, a manuscript summarizing the results of the monotherapy portion of the trial was published in Nature Medicine (Borgers, J. et al., 2025).</w:t>
      </w:r>
    </w:p>
    <w:p>
      <w:pPr>
        <w:spacing w:after="0" w:line="1" w:lineRule="exact"/>
        <w:rPr>
          <w:rFonts w:ascii="Arial" w:cs="Arial" w:eastAsia="Arial" w:hAnsi="Arial"/>
          <w:sz w:val="13"/>
          <w:szCs w:val="13"/>
          <w:color w:val="auto"/>
        </w:rPr>
      </w:pPr>
    </w:p>
    <w:p>
      <w:pPr>
        <w:ind w:left="380" w:right="5020"/>
        <w:spacing w:after="0" w:line="210" w:lineRule="auto"/>
        <w:rPr>
          <w:rFonts w:ascii="Arial" w:cs="Arial" w:eastAsia="Arial" w:hAnsi="Arial"/>
          <w:sz w:val="13"/>
          <w:szCs w:val="13"/>
          <w:color w:val="auto"/>
        </w:rPr>
      </w:pPr>
      <w:r>
        <w:rPr>
          <w:rFonts w:ascii="Arial" w:cs="Arial" w:eastAsia="Arial" w:hAnsi="Arial"/>
          <w:sz w:val="13"/>
          <w:szCs w:val="13"/>
          <w:i w:val="1"/>
          <w:iCs w:val="1"/>
          <w:color w:val="auto"/>
        </w:rPr>
        <w:t xml:space="preserve">3. Protein-based Therapeutic Product Candidates in Oncology </w:t>
      </w:r>
      <w:r>
        <w:rPr>
          <w:rFonts w:ascii="Arial" w:cs="Arial" w:eastAsia="Arial" w:hAnsi="Arial"/>
          <w:sz w:val="13"/>
          <w:szCs w:val="13"/>
          <w:color w:val="3C9673"/>
        </w:rPr>
        <w:t>a) Next-Generation Immune Checkpoint Modulators</w:t>
      </w:r>
    </w:p>
    <w:p>
      <w:pPr>
        <w:spacing w:after="0" w:line="1" w:lineRule="exact"/>
        <w:rPr>
          <w:rFonts w:ascii="Arial" w:cs="Arial" w:eastAsia="Arial" w:hAnsi="Arial"/>
          <w:sz w:val="13"/>
          <w:szCs w:val="13"/>
          <w:color w:val="auto"/>
        </w:rPr>
      </w:pPr>
    </w:p>
    <w:p>
      <w:pPr>
        <w:ind w:left="380" w:right="2100"/>
        <w:spacing w:after="0" w:line="210" w:lineRule="auto"/>
        <w:rPr>
          <w:rFonts w:ascii="Arial" w:cs="Arial" w:eastAsia="Arial" w:hAnsi="Arial"/>
          <w:sz w:val="13"/>
          <w:szCs w:val="13"/>
          <w:color w:val="auto"/>
        </w:rPr>
      </w:pPr>
      <w:r>
        <w:rPr>
          <w:rFonts w:ascii="Arial" w:cs="Arial" w:eastAsia="Arial" w:hAnsi="Arial"/>
          <w:sz w:val="13"/>
          <w:szCs w:val="13"/>
          <w:color w:val="auto"/>
        </w:rPr>
        <w:t>We and Genmab are developing antibodies that are designed to function as tumor-targeted and dual immunomodulators, applying Genmab’s proprietary technologies in combination with our joint target identification and product concept expertise. In addition, we and Genmab are developing antibodies that are designed to enhance pre-existing immunity. We and Genmab have three product candidates currently in clinical development as part of a 50:50 collaboration in which development costs and future profits are shared: BNT312/GEN1042 (DuoBody CD40x4-1BB), BNT314/GEN1059 (DuoBody-EpCAMx4-1BB) and BNT315/GEN1055 (HexaBody-OX40).</w:t>
      </w:r>
    </w:p>
    <w:p>
      <w:pPr>
        <w:spacing w:after="0" w:line="4" w:lineRule="exact"/>
        <w:rPr>
          <w:rFonts w:ascii="Arial" w:cs="Arial" w:eastAsia="Arial" w:hAnsi="Arial"/>
          <w:sz w:val="13"/>
          <w:szCs w:val="13"/>
          <w:color w:val="auto"/>
        </w:rPr>
      </w:pPr>
    </w:p>
    <w:p>
      <w:pPr>
        <w:ind w:left="380" w:right="2100"/>
        <w:spacing w:after="0" w:line="210" w:lineRule="auto"/>
        <w:rPr>
          <w:rFonts w:ascii="Arial" w:cs="Arial" w:eastAsia="Arial" w:hAnsi="Arial"/>
          <w:sz w:val="13"/>
          <w:szCs w:val="13"/>
          <w:color w:val="auto"/>
        </w:rPr>
      </w:pPr>
      <w:r>
        <w:rPr>
          <w:rFonts w:ascii="Arial" w:cs="Arial" w:eastAsia="Arial" w:hAnsi="Arial"/>
          <w:sz w:val="13"/>
          <w:szCs w:val="13"/>
          <w:color w:val="auto"/>
        </w:rPr>
        <w:t>We and OncoC4 have an ongoing strategic collaboration, which includes joint development of BNT316/ONC-392 (Gotistobart), an anti-CTLA-4 antibody, in a range of solid tumor indications, with the parties equally sharing development costs for such joint development studies. BioNTech holds the exclusive worldwide commercialization rights for this product candidate.</w:t>
      </w:r>
    </w:p>
    <w:p>
      <w:pPr>
        <w:spacing w:after="0" w:line="2" w:lineRule="exact"/>
        <w:rPr>
          <w:rFonts w:ascii="Arial" w:cs="Arial" w:eastAsia="Arial" w:hAnsi="Arial"/>
          <w:sz w:val="13"/>
          <w:szCs w:val="13"/>
          <w:color w:val="auto"/>
        </w:rPr>
      </w:pPr>
    </w:p>
    <w:p>
      <w:pPr>
        <w:ind w:left="380" w:right="2100"/>
        <w:spacing w:after="0" w:line="210" w:lineRule="auto"/>
        <w:rPr>
          <w:rFonts w:ascii="Arial" w:cs="Arial" w:eastAsia="Arial" w:hAnsi="Arial"/>
          <w:sz w:val="13"/>
          <w:szCs w:val="13"/>
          <w:color w:val="auto"/>
        </w:rPr>
      </w:pPr>
      <w:r>
        <w:rPr>
          <w:rFonts w:ascii="Arial" w:cs="Arial" w:eastAsia="Arial" w:hAnsi="Arial"/>
          <w:sz w:val="13"/>
          <w:szCs w:val="13"/>
          <w:color w:val="auto"/>
        </w:rPr>
        <w:t>In February 2025, we announced the completion of our acquisition of Biotheus. With the acquisition, we obtained full global rights to the bispecific antibody clinical asset BNT327, a PD-L1 x VEGF-A bispecific antibody formerly known as PM8002, and Biotheus’ pipeline candidates. This follows an initial exclusive global license and collaboration agreement with Biotheus in 2023 to develop, manufacture and commercialize of BNT327 globally outside of Greater China.</w:t>
      </w:r>
    </w:p>
    <w:p>
      <w:pPr>
        <w:spacing w:after="0" w:line="2" w:lineRule="exact"/>
        <w:rPr>
          <w:rFonts w:ascii="Arial" w:cs="Arial" w:eastAsia="Arial" w:hAnsi="Arial"/>
          <w:sz w:val="13"/>
          <w:szCs w:val="13"/>
          <w:color w:val="auto"/>
        </w:rPr>
      </w:pPr>
    </w:p>
    <w:p>
      <w:pPr>
        <w:ind w:left="380" w:right="2180"/>
        <w:spacing w:after="0" w:line="210" w:lineRule="auto"/>
        <w:rPr>
          <w:rFonts w:ascii="Arial" w:cs="Arial" w:eastAsia="Arial" w:hAnsi="Arial"/>
          <w:sz w:val="13"/>
          <w:szCs w:val="13"/>
          <w:color w:val="auto"/>
        </w:rPr>
      </w:pPr>
      <w:r>
        <w:rPr>
          <w:rFonts w:ascii="Arial" w:cs="Arial" w:eastAsia="Arial" w:hAnsi="Arial"/>
          <w:sz w:val="13"/>
          <w:szCs w:val="13"/>
          <w:i w:val="1"/>
          <w:iCs w:val="1"/>
          <w:color w:val="3C9673"/>
        </w:rPr>
        <w:t xml:space="preserve">i. BNT311/GEN1046 (acasunlimab) a PD-L1x4-1BB Bispecific Antibody for the Treatment of Solid Tumors </w:t>
      </w:r>
      <w:r>
        <w:rPr>
          <w:rFonts w:ascii="Arial" w:cs="Arial" w:eastAsia="Arial" w:hAnsi="Arial"/>
          <w:sz w:val="13"/>
          <w:szCs w:val="13"/>
          <w:color w:val="000000"/>
        </w:rPr>
        <w:t>BNT311/GEN1046 (acasunlimab) is an investigational, potential first-in-class bispecific antibody combining PD-L1 checkpoint inhibition with 4-1BB stimulation. BNT311/GEN1046 (acasunlimab) is being developed for the treatment of solid tumors using Genmab’s proprietary DuoBody technology platform. BNT311/GEN1046 (acasunlimab) is currently being evaluated in multiple clinical trials.</w:t>
      </w:r>
    </w:p>
    <w:p>
      <w:pPr>
        <w:spacing w:after="0" w:line="2" w:lineRule="exact"/>
        <w:rPr>
          <w:rFonts w:ascii="Arial" w:cs="Arial" w:eastAsia="Arial" w:hAnsi="Arial"/>
          <w:sz w:val="13"/>
          <w:szCs w:val="13"/>
          <w:color w:val="auto"/>
        </w:rPr>
      </w:pPr>
    </w:p>
    <w:p>
      <w:pPr>
        <w:ind w:left="380" w:right="2120"/>
        <w:spacing w:after="0" w:line="210" w:lineRule="auto"/>
        <w:rPr>
          <w:rFonts w:ascii="Arial" w:cs="Arial" w:eastAsia="Arial" w:hAnsi="Arial"/>
          <w:sz w:val="13"/>
          <w:szCs w:val="13"/>
          <w:color w:val="auto"/>
        </w:rPr>
      </w:pPr>
      <w:r>
        <w:rPr>
          <w:rFonts w:ascii="Arial" w:cs="Arial" w:eastAsia="Arial" w:hAnsi="Arial"/>
          <w:sz w:val="13"/>
          <w:szCs w:val="13"/>
          <w:color w:val="auto"/>
        </w:rPr>
        <w:t>In August 2024, we announced that while the emerging clinical profile of BNT311/GEN1046 (acasunlimab) was encouraging, for reasons relating to portfolio strategy, we opted not to participate in the further development of the program, including an ongoing Phase 3 trial. In the event that the program is commercialized, we will retain a tiered single-digit royalty on any potential sales. We and Genmab will continue our collaboration on other programs under the existing agreements.</w:t>
      </w:r>
    </w:p>
    <w:p>
      <w:pPr>
        <w:spacing w:after="0" w:line="2" w:lineRule="exact"/>
        <w:rPr>
          <w:rFonts w:ascii="Arial" w:cs="Arial" w:eastAsia="Arial" w:hAnsi="Arial"/>
          <w:sz w:val="13"/>
          <w:szCs w:val="13"/>
          <w:color w:val="auto"/>
        </w:rPr>
      </w:pPr>
    </w:p>
    <w:p>
      <w:pPr>
        <w:ind w:left="380" w:right="2300"/>
        <w:spacing w:after="0" w:line="210" w:lineRule="auto"/>
        <w:rPr>
          <w:rFonts w:ascii="Arial" w:cs="Arial" w:eastAsia="Arial" w:hAnsi="Arial"/>
          <w:sz w:val="13"/>
          <w:szCs w:val="13"/>
          <w:color w:val="auto"/>
        </w:rPr>
      </w:pPr>
      <w:r>
        <w:rPr>
          <w:rFonts w:ascii="Arial" w:cs="Arial" w:eastAsia="Arial" w:hAnsi="Arial"/>
          <w:sz w:val="13"/>
          <w:szCs w:val="13"/>
          <w:i w:val="1"/>
          <w:iCs w:val="1"/>
          <w:color w:val="3C9673"/>
        </w:rPr>
        <w:t xml:space="preserve">ii. BNT312/GEN1042, a CD40x4-1BB Bispecific Antibody for the Treatment of Solid Tumors </w:t>
      </w:r>
      <w:r>
        <w:rPr>
          <w:rFonts w:ascii="Arial" w:cs="Arial" w:eastAsia="Arial" w:hAnsi="Arial"/>
          <w:sz w:val="13"/>
          <w:szCs w:val="13"/>
          <w:color w:val="000000"/>
        </w:rPr>
        <w:t>BNT312/GEN1042 is a jointly owned, novel, agonistic, bispecific antibody that combines targeting and conditional activation of the costimulatory molecules CD40 and 4-1BB on immune cells. BNT312/GEN1042 is being developed for the treatment of solid cancers using Genmab’s proprietary DuoBody technology platform and our CD40 and 4-1BB antibodies. We and Genmab are currently evaluating BNT312/GEN1042 in several clinical trials.</w:t>
      </w:r>
    </w:p>
    <w:p>
      <w:pPr>
        <w:spacing w:after="0" w:line="3" w:lineRule="exact"/>
        <w:rPr>
          <w:rFonts w:ascii="Arial" w:cs="Arial" w:eastAsia="Arial" w:hAnsi="Arial"/>
          <w:sz w:val="13"/>
          <w:szCs w:val="13"/>
          <w:color w:val="auto"/>
        </w:rPr>
      </w:pPr>
    </w:p>
    <w:p>
      <w:pPr>
        <w:ind w:left="380"/>
        <w:spacing w:after="0"/>
        <w:rPr>
          <w:rFonts w:ascii="Arial" w:cs="Arial" w:eastAsia="Arial" w:hAnsi="Arial"/>
          <w:sz w:val="13"/>
          <w:szCs w:val="13"/>
          <w:color w:val="auto"/>
        </w:rPr>
      </w:pPr>
      <w:r>
        <w:rPr>
          <w:rFonts w:ascii="Arial" w:cs="Arial" w:eastAsia="Arial" w:hAnsi="Arial"/>
          <w:sz w:val="13"/>
          <w:szCs w:val="13"/>
          <w:i w:val="1"/>
          <w:iCs w:val="1"/>
          <w:u w:val="single" w:color="auto"/>
          <w:color w:val="auto"/>
        </w:rPr>
        <w:t>Ongoing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-3683635</wp:posOffset>
            </wp:positionV>
            <wp:extent cx="523113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113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firstLine="3"/>
        <w:spacing w:after="0" w:line="217" w:lineRule="auto"/>
        <w:tabs>
          <w:tab w:leader="none" w:pos="504" w:val="left"/>
        </w:tabs>
        <w:numPr>
          <w:ilvl w:val="0"/>
          <w:numId w:val="12"/>
        </w:numPr>
        <w:rPr>
          <w:rFonts w:ascii="Arial" w:cs="Arial" w:eastAsia="Arial" w:hAnsi="Arial"/>
          <w:sz w:val="13"/>
          <w:szCs w:val="13"/>
          <w:color w:val="auto"/>
        </w:rPr>
      </w:pPr>
      <w:r>
        <w:rPr>
          <w:rFonts w:ascii="Arial" w:cs="Arial" w:eastAsia="Arial" w:hAnsi="Arial"/>
          <w:sz w:val="13"/>
          <w:szCs w:val="13"/>
          <w:color w:val="auto"/>
        </w:rPr>
        <w:t>Phase 1/2 dose-escalation clinical trial (NCT04083599) with expansion cohorts evaluating safety and anti-tumor activity of BNT312/GEN1042 as monotherapy and in combination therapies in patients with solid tumors is ongoing. We and Genmab plan to determine next steps for this program in 2025.</w:t>
      </w:r>
    </w:p>
    <w:p>
      <w:pPr>
        <w:ind w:left="380"/>
        <w:spacing w:after="0"/>
        <w:rPr>
          <w:rFonts w:ascii="Arial" w:cs="Arial" w:eastAsia="Arial" w:hAnsi="Arial"/>
          <w:sz w:val="13"/>
          <w:szCs w:val="13"/>
          <w:color w:val="auto"/>
        </w:rPr>
      </w:pPr>
      <w:r>
        <w:rPr>
          <w:rFonts w:ascii="Arial" w:cs="Arial" w:eastAsia="Arial" w:hAnsi="Arial"/>
          <w:sz w:val="13"/>
          <w:szCs w:val="13"/>
          <w:color w:val="auto"/>
        </w:rPr>
        <w:t>An open-label Phase 1/2 clinical trial (NCT05491317) evaluating the safety and clinical activity of BNT312/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-346075</wp:posOffset>
            </wp:positionV>
            <wp:extent cx="523113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1440" w:right="1440" w:bottom="28" w:gutter="0" w:footer="0" w:header="0"/>
        </w:sectPr>
      </w:pPr>
    </w:p>
    <w:bookmarkStart w:id="79" w:name="page80"/>
    <w:bookmarkEnd w:id="79"/>
    <w:p>
      <w:pPr>
        <w:ind w:left="380" w:right="2480"/>
        <w:spacing w:after="0" w:line="220" w:lineRule="auto"/>
        <w:rPr>
          <w:sz w:val="20"/>
          <w:szCs w:val="20"/>
          <w:color w:val="auto"/>
        </w:rPr>
      </w:pPr>
      <w:r>
        <w:rPr>
          <w:rFonts w:ascii="Arial" w:cs="Arial" w:eastAsia="Arial" w:hAnsi="Arial"/>
          <w:sz w:val="13"/>
          <w:szCs w:val="13"/>
          <w:color w:val="auto"/>
        </w:rPr>
        <w:t>GEN1042 in combination with radiotherapy with or without pembrolizumab in patients with metastatic solid tumors is ongoing.</w:t>
      </w:r>
    </w:p>
    <w:p>
      <w:pPr>
        <w:spacing w:after="0" w:line="1" w:lineRule="exact"/>
        <w:rPr>
          <w:sz w:val="20"/>
          <w:szCs w:val="20"/>
          <w:color w:val="auto"/>
        </w:rPr>
      </w:pPr>
    </w:p>
    <w:p>
      <w:pPr>
        <w:ind w:left="380" w:right="2740"/>
        <w:spacing w:after="0" w:line="210" w:lineRule="auto"/>
        <w:rPr>
          <w:sz w:val="20"/>
          <w:szCs w:val="20"/>
          <w:color w:val="auto"/>
        </w:rPr>
      </w:pPr>
      <w:r>
        <w:rPr>
          <w:rFonts w:ascii="Arial" w:cs="Arial" w:eastAsia="Arial" w:hAnsi="Arial"/>
          <w:sz w:val="13"/>
          <w:szCs w:val="13"/>
          <w:color w:val="auto"/>
        </w:rPr>
        <w:t>A Phase 1 clinical trial (NCT06057038) in Japan evaluating the safety, tolerability, pharmacokinetics, pharmacodynamics and antitumor activity of BNT312/GEN1042 monotherapy and in combination with pembrolizumab with or without chemotherapy in patients with multiple solid tumors is ongoing.</w:t>
      </w:r>
    </w:p>
    <w:p>
      <w:pPr>
        <w:spacing w:after="0" w:line="2" w:lineRule="exact"/>
        <w:rPr>
          <w:sz w:val="20"/>
          <w:szCs w:val="20"/>
          <w:color w:val="auto"/>
        </w:rPr>
      </w:pPr>
    </w:p>
    <w:p>
      <w:pPr>
        <w:ind w:left="380" w:right="2120" w:firstLine="3"/>
        <w:spacing w:after="0" w:line="210" w:lineRule="auto"/>
        <w:tabs>
          <w:tab w:leader="none" w:pos="540" w:val="left"/>
        </w:tabs>
        <w:numPr>
          <w:ilvl w:val="0"/>
          <w:numId w:val="13"/>
        </w:numPr>
        <w:rPr>
          <w:rFonts w:ascii="Arial" w:cs="Arial" w:eastAsia="Arial" w:hAnsi="Arial"/>
          <w:sz w:val="13"/>
          <w:szCs w:val="13"/>
          <w:i w:val="1"/>
          <w:iCs w:val="1"/>
          <w:color w:val="3C9673"/>
        </w:rPr>
      </w:pPr>
      <w:r>
        <w:rPr>
          <w:rFonts w:ascii="Arial" w:cs="Arial" w:eastAsia="Arial" w:hAnsi="Arial"/>
          <w:sz w:val="13"/>
          <w:szCs w:val="13"/>
          <w:i w:val="1"/>
          <w:iCs w:val="1"/>
          <w:color w:val="3C9673"/>
        </w:rPr>
        <w:t xml:space="preserve">BNT313/GEN1053, an Agonistic HexaBody-CD27 Antibody for the Treatment of Malignant Solid Tumors </w:t>
      </w:r>
      <w:r>
        <w:rPr>
          <w:rFonts w:ascii="Arial" w:cs="Arial" w:eastAsia="Arial" w:hAnsi="Arial"/>
          <w:sz w:val="13"/>
          <w:szCs w:val="13"/>
          <w:color w:val="000000"/>
        </w:rPr>
        <w:t>BNT313/GEN1053 is a novel CD27 antibody with an immunoglobulin G, or IgG, Fc domain engineered to induce clustering of CD27 on the plasma membrane of T cells with the aim of enhancing T-cell activation, proliferation and differentiation without depleting T cells. In preclinical studies, BNT313/GEN1053 increases T-cell activation, proliferation, cytokine secretion and cytotoxic activity.</w:t>
      </w:r>
    </w:p>
    <w:p>
      <w:pPr>
        <w:spacing w:after="0" w:line="2" w:lineRule="exact"/>
        <w:rPr>
          <w:rFonts w:ascii="Arial" w:cs="Arial" w:eastAsia="Arial" w:hAnsi="Arial"/>
          <w:sz w:val="13"/>
          <w:szCs w:val="13"/>
          <w:i w:val="1"/>
          <w:iCs w:val="1"/>
          <w:color w:val="3C9673"/>
        </w:rPr>
      </w:pPr>
    </w:p>
    <w:p>
      <w:pPr>
        <w:ind w:left="380"/>
        <w:spacing w:after="0" w:line="210" w:lineRule="auto"/>
        <w:rPr>
          <w:rFonts w:ascii="Arial" w:cs="Arial" w:eastAsia="Arial" w:hAnsi="Arial"/>
          <w:sz w:val="13"/>
          <w:szCs w:val="13"/>
          <w:i w:val="1"/>
          <w:iCs w:val="1"/>
          <w:color w:val="3C9673"/>
        </w:rPr>
      </w:pPr>
      <w:r>
        <w:rPr>
          <w:rFonts w:ascii="Arial" w:cs="Arial" w:eastAsia="Arial" w:hAnsi="Arial"/>
          <w:sz w:val="13"/>
          <w:szCs w:val="13"/>
          <w:i w:val="1"/>
          <w:iCs w:val="1"/>
          <w:u w:val="single" w:color="auto"/>
          <w:color w:val="auto"/>
        </w:rPr>
        <w:t>Phase 1/2 Clinical Trial</w:t>
      </w:r>
    </w:p>
    <w:p>
      <w:pPr>
        <w:ind w:left="380" w:right="2340"/>
        <w:spacing w:after="0" w:line="210" w:lineRule="auto"/>
        <w:rPr>
          <w:rFonts w:ascii="Arial" w:cs="Arial" w:eastAsia="Arial" w:hAnsi="Arial"/>
          <w:sz w:val="13"/>
          <w:szCs w:val="13"/>
          <w:i w:val="1"/>
          <w:iCs w:val="1"/>
          <w:color w:val="3C9673"/>
        </w:rPr>
      </w:pPr>
      <w:r>
        <w:rPr>
          <w:rFonts w:ascii="Arial" w:cs="Arial" w:eastAsia="Arial" w:hAnsi="Arial"/>
          <w:sz w:val="13"/>
          <w:szCs w:val="13"/>
          <w:color w:val="auto"/>
        </w:rPr>
        <w:t>A Phase 1/2 clinical trial (NCT05435339) evaluating the safety, tolerability, and preliminary efficacy of CD27-targeting antibody BNT313/GEN1053 on solid tumors as monotherapy has been discontinued due to the strategic evaluation of BNT313/GEN1053 within the context of BioNTech’s and Genmab’s portfolios.</w:t>
      </w:r>
    </w:p>
    <w:p>
      <w:pPr>
        <w:spacing w:after="0" w:line="1" w:lineRule="exact"/>
        <w:rPr>
          <w:rFonts w:ascii="Arial" w:cs="Arial" w:eastAsia="Arial" w:hAnsi="Arial"/>
          <w:sz w:val="13"/>
          <w:szCs w:val="13"/>
          <w:i w:val="1"/>
          <w:iCs w:val="1"/>
          <w:color w:val="3C9673"/>
        </w:rPr>
      </w:pPr>
    </w:p>
    <w:p>
      <w:pPr>
        <w:ind w:left="380" w:right="2180" w:firstLine="3"/>
        <w:spacing w:after="0" w:line="210" w:lineRule="auto"/>
        <w:tabs>
          <w:tab w:leader="none" w:pos="548" w:val="left"/>
        </w:tabs>
        <w:numPr>
          <w:ilvl w:val="0"/>
          <w:numId w:val="13"/>
        </w:numPr>
        <w:rPr>
          <w:rFonts w:ascii="Arial" w:cs="Arial" w:eastAsia="Arial" w:hAnsi="Arial"/>
          <w:sz w:val="13"/>
          <w:szCs w:val="13"/>
          <w:i w:val="1"/>
          <w:iCs w:val="1"/>
          <w:color w:val="3C9673"/>
        </w:rPr>
      </w:pPr>
      <w:r>
        <w:rPr>
          <w:rFonts w:ascii="Arial" w:cs="Arial" w:eastAsia="Arial" w:hAnsi="Arial"/>
          <w:sz w:val="13"/>
          <w:szCs w:val="13"/>
          <w:i w:val="1"/>
          <w:iCs w:val="1"/>
          <w:color w:val="3C9673"/>
        </w:rPr>
        <w:t>BNT314/GEN1059, an EpCAMx4-1BB Bispecific Antibody for the Treatment of Advanced or Metastatic Solid Tumors</w:t>
      </w:r>
    </w:p>
    <w:p>
      <w:pPr>
        <w:spacing w:after="0" w:line="1" w:lineRule="exact"/>
        <w:rPr>
          <w:rFonts w:ascii="Arial" w:cs="Arial" w:eastAsia="Arial" w:hAnsi="Arial"/>
          <w:sz w:val="13"/>
          <w:szCs w:val="13"/>
          <w:i w:val="1"/>
          <w:iCs w:val="1"/>
          <w:color w:val="3C9673"/>
        </w:rPr>
      </w:pPr>
    </w:p>
    <w:p>
      <w:pPr>
        <w:ind w:left="380" w:right="2180"/>
        <w:spacing w:after="0" w:line="210" w:lineRule="auto"/>
        <w:rPr>
          <w:rFonts w:ascii="Arial" w:cs="Arial" w:eastAsia="Arial" w:hAnsi="Arial"/>
          <w:sz w:val="13"/>
          <w:szCs w:val="13"/>
          <w:i w:val="1"/>
          <w:iCs w:val="1"/>
          <w:color w:val="3C9673"/>
        </w:rPr>
      </w:pPr>
      <w:r>
        <w:rPr>
          <w:rFonts w:ascii="Arial" w:cs="Arial" w:eastAsia="Arial" w:hAnsi="Arial"/>
          <w:sz w:val="13"/>
          <w:szCs w:val="13"/>
          <w:color w:val="auto"/>
        </w:rPr>
        <w:t>BNT314/GEN1059 is a potential first-in-class bispecific antibody product candidate designed to boost antitumor immune responses through EpCAM-dependent 4-1BB agonistic activity.</w:t>
      </w:r>
    </w:p>
    <w:p>
      <w:pPr>
        <w:spacing w:after="0" w:line="1" w:lineRule="exact"/>
        <w:rPr>
          <w:rFonts w:ascii="Arial" w:cs="Arial" w:eastAsia="Arial" w:hAnsi="Arial"/>
          <w:sz w:val="13"/>
          <w:szCs w:val="13"/>
          <w:i w:val="1"/>
          <w:iCs w:val="1"/>
          <w:color w:val="3C9673"/>
        </w:rPr>
      </w:pPr>
    </w:p>
    <w:p>
      <w:pPr>
        <w:jc w:val="both"/>
        <w:ind w:left="380" w:right="2220"/>
        <w:spacing w:after="0" w:line="210" w:lineRule="auto"/>
        <w:rPr>
          <w:rFonts w:ascii="Arial" w:cs="Arial" w:eastAsia="Arial" w:hAnsi="Arial"/>
          <w:sz w:val="13"/>
          <w:szCs w:val="13"/>
          <w:i w:val="1"/>
          <w:iCs w:val="1"/>
          <w:color w:val="3C9673"/>
        </w:rPr>
      </w:pPr>
      <w:r>
        <w:rPr>
          <w:rFonts w:ascii="Arial" w:cs="Arial" w:eastAsia="Arial" w:hAnsi="Arial"/>
          <w:sz w:val="13"/>
          <w:szCs w:val="13"/>
          <w:color w:val="auto"/>
        </w:rPr>
        <w:t>A BioNTech-sponsored first-in-human Phase 1/2 clinical trial (NCT06150183) is being conducted to investigate the safety and preliminary antitumor activity of BNT314/GEN1059 in patients with advanced or metastatic solid tumors.</w:t>
      </w:r>
    </w:p>
    <w:p>
      <w:pPr>
        <w:spacing w:after="0" w:line="1" w:lineRule="exact"/>
        <w:rPr>
          <w:rFonts w:ascii="Arial" w:cs="Arial" w:eastAsia="Arial" w:hAnsi="Arial"/>
          <w:sz w:val="13"/>
          <w:szCs w:val="13"/>
          <w:i w:val="1"/>
          <w:iCs w:val="1"/>
          <w:color w:val="3C9673"/>
        </w:rPr>
      </w:pPr>
    </w:p>
    <w:p>
      <w:pPr>
        <w:ind w:left="380"/>
        <w:spacing w:after="0" w:line="210" w:lineRule="auto"/>
        <w:rPr>
          <w:rFonts w:ascii="Arial" w:cs="Arial" w:eastAsia="Arial" w:hAnsi="Arial"/>
          <w:sz w:val="13"/>
          <w:szCs w:val="13"/>
          <w:i w:val="1"/>
          <w:iCs w:val="1"/>
          <w:color w:val="3C9673"/>
        </w:rPr>
      </w:pPr>
      <w:r>
        <w:rPr>
          <w:rFonts w:ascii="Arial" w:cs="Arial" w:eastAsia="Arial" w:hAnsi="Arial"/>
          <w:sz w:val="13"/>
          <w:szCs w:val="13"/>
          <w:color w:val="auto"/>
        </w:rPr>
        <w:t>•A Trial-in-Progress poster from this trial was presented at the 2024 ESMO Congress.</w:t>
      </w:r>
    </w:p>
    <w:p>
      <w:pPr>
        <w:ind w:left="380" w:right="2100" w:firstLine="3"/>
        <w:spacing w:after="0" w:line="210" w:lineRule="auto"/>
        <w:tabs>
          <w:tab w:leader="none" w:pos="522" w:val="left"/>
        </w:tabs>
        <w:numPr>
          <w:ilvl w:val="0"/>
          <w:numId w:val="13"/>
        </w:numPr>
        <w:rPr>
          <w:rFonts w:ascii="Arial" w:cs="Arial" w:eastAsia="Arial" w:hAnsi="Arial"/>
          <w:sz w:val="13"/>
          <w:szCs w:val="13"/>
          <w:i w:val="1"/>
          <w:iCs w:val="1"/>
          <w:color w:val="3C9673"/>
        </w:rPr>
      </w:pPr>
      <w:r>
        <w:rPr>
          <w:rFonts w:ascii="Arial" w:cs="Arial" w:eastAsia="Arial" w:hAnsi="Arial"/>
          <w:sz w:val="13"/>
          <w:szCs w:val="13"/>
          <w:i w:val="1"/>
          <w:iCs w:val="1"/>
          <w:color w:val="3C9673"/>
        </w:rPr>
        <w:t xml:space="preserve">BNT315/GEN1055, a HexaBody-OX40 Antibody for the Treatment of Advanced Solid Tumors </w:t>
      </w:r>
      <w:r>
        <w:rPr>
          <w:rFonts w:ascii="Arial" w:cs="Arial" w:eastAsia="Arial" w:hAnsi="Arial"/>
          <w:sz w:val="13"/>
          <w:szCs w:val="13"/>
          <w:color w:val="000000"/>
        </w:rPr>
        <w:t>BNT315/GEN1055 is an OX40 agonist antibody designed to induce OX40 clustering independently of Fc-gamma receptor-, or FcγR-mediated crosslinking to enhance antitumor T-cell responses.</w:t>
      </w:r>
    </w:p>
    <w:p>
      <w:pPr>
        <w:spacing w:after="0" w:line="1" w:lineRule="exact"/>
        <w:rPr>
          <w:rFonts w:ascii="Arial" w:cs="Arial" w:eastAsia="Arial" w:hAnsi="Arial"/>
          <w:sz w:val="13"/>
          <w:szCs w:val="13"/>
          <w:i w:val="1"/>
          <w:iCs w:val="1"/>
          <w:color w:val="3C9673"/>
        </w:rPr>
      </w:pPr>
    </w:p>
    <w:p>
      <w:pPr>
        <w:jc w:val="both"/>
        <w:ind w:left="380" w:right="2620"/>
        <w:spacing w:after="0" w:line="210" w:lineRule="auto"/>
        <w:rPr>
          <w:rFonts w:ascii="Arial" w:cs="Arial" w:eastAsia="Arial" w:hAnsi="Arial"/>
          <w:sz w:val="13"/>
          <w:szCs w:val="13"/>
          <w:i w:val="1"/>
          <w:iCs w:val="1"/>
          <w:color w:val="3C9673"/>
        </w:rPr>
      </w:pPr>
      <w:r>
        <w:rPr>
          <w:rFonts w:ascii="Arial" w:cs="Arial" w:eastAsia="Arial" w:hAnsi="Arial"/>
          <w:sz w:val="13"/>
          <w:szCs w:val="13"/>
          <w:color w:val="auto"/>
        </w:rPr>
        <w:t>A first-in-human Phase 1/2 clinical trial (NCT06391775) is being conducted to investigate the safety and preliminary antitumor activity of BNT315/GEN1055 in patients with advanced or metastatic solid tumors.</w:t>
      </w:r>
    </w:p>
    <w:p>
      <w:pPr>
        <w:spacing w:after="0" w:line="1" w:lineRule="exact"/>
        <w:rPr>
          <w:rFonts w:ascii="Arial" w:cs="Arial" w:eastAsia="Arial" w:hAnsi="Arial"/>
          <w:sz w:val="13"/>
          <w:szCs w:val="13"/>
          <w:i w:val="1"/>
          <w:iCs w:val="1"/>
          <w:color w:val="3C9673"/>
        </w:rPr>
      </w:pPr>
    </w:p>
    <w:p>
      <w:pPr>
        <w:ind w:left="540" w:hanging="157"/>
        <w:spacing w:after="0" w:line="210" w:lineRule="auto"/>
        <w:tabs>
          <w:tab w:leader="none" w:pos="540" w:val="left"/>
        </w:tabs>
        <w:numPr>
          <w:ilvl w:val="0"/>
          <w:numId w:val="13"/>
        </w:numPr>
        <w:rPr>
          <w:rFonts w:ascii="Arial" w:cs="Arial" w:eastAsia="Arial" w:hAnsi="Arial"/>
          <w:sz w:val="13"/>
          <w:szCs w:val="13"/>
          <w:i w:val="1"/>
          <w:iCs w:val="1"/>
          <w:color w:val="3C9673"/>
        </w:rPr>
      </w:pPr>
      <w:r>
        <w:rPr>
          <w:rFonts w:ascii="Arial" w:cs="Arial" w:eastAsia="Arial" w:hAnsi="Arial"/>
          <w:sz w:val="13"/>
          <w:szCs w:val="13"/>
          <w:i w:val="1"/>
          <w:iCs w:val="1"/>
          <w:color w:val="3C9673"/>
        </w:rPr>
        <w:t>BNT322/GEN1056, an Antibody for the Treatment of Solid Tumors</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BNT322/GEN1056 is an antibody product candidate co-developed with Genmab for the treatment of solid tumors and for potential use in combination with other products. The development program for BNT322/GEN1056 has been discontinued due to strategic evaluation of the development program within the context of BioNTech’s and Genmab’s portfolios.</w:t>
      </w:r>
    </w:p>
    <w:p>
      <w:pPr>
        <w:spacing w:after="0" w:line="2" w:lineRule="exact"/>
        <w:rPr>
          <w:sz w:val="20"/>
          <w:szCs w:val="20"/>
          <w:color w:val="auto"/>
        </w:rPr>
      </w:pPr>
    </w:p>
    <w:p>
      <w:pPr>
        <w:ind w:left="380" w:right="2440" w:firstLine="3"/>
        <w:spacing w:after="0" w:line="210" w:lineRule="auto"/>
        <w:tabs>
          <w:tab w:leader="none" w:pos="504" w:val="left"/>
        </w:tabs>
        <w:numPr>
          <w:ilvl w:val="0"/>
          <w:numId w:val="14"/>
        </w:numPr>
        <w:rPr>
          <w:rFonts w:ascii="Arial" w:cs="Arial" w:eastAsia="Arial" w:hAnsi="Arial"/>
          <w:sz w:val="13"/>
          <w:szCs w:val="13"/>
          <w:color w:val="auto"/>
        </w:rPr>
      </w:pPr>
      <w:r>
        <w:rPr>
          <w:rFonts w:ascii="Arial" w:cs="Arial" w:eastAsia="Arial" w:hAnsi="Arial"/>
          <w:sz w:val="13"/>
          <w:szCs w:val="13"/>
          <w:color w:val="auto"/>
        </w:rPr>
        <w:t>first-in-human Phase 1 clinical trial (NCT05586321) of BNT322/GEN1056 in patients with advanced solid tumors is ongoing.</w:t>
      </w:r>
    </w:p>
    <w:p>
      <w:pPr>
        <w:spacing w:after="0" w:line="1" w:lineRule="exact"/>
        <w:rPr>
          <w:rFonts w:ascii="Arial" w:cs="Arial" w:eastAsia="Arial" w:hAnsi="Arial"/>
          <w:sz w:val="13"/>
          <w:szCs w:val="13"/>
          <w:color w:val="auto"/>
        </w:rPr>
      </w:pPr>
    </w:p>
    <w:p>
      <w:pPr>
        <w:ind w:left="380"/>
        <w:spacing w:after="0" w:line="210" w:lineRule="auto"/>
        <w:rPr>
          <w:rFonts w:ascii="Arial" w:cs="Arial" w:eastAsia="Arial" w:hAnsi="Arial"/>
          <w:sz w:val="13"/>
          <w:szCs w:val="13"/>
          <w:color w:val="auto"/>
        </w:rPr>
      </w:pPr>
      <w:r>
        <w:rPr>
          <w:rFonts w:ascii="Arial" w:cs="Arial" w:eastAsia="Arial" w:hAnsi="Arial"/>
          <w:sz w:val="13"/>
          <w:szCs w:val="13"/>
          <w:i w:val="1"/>
          <w:iCs w:val="1"/>
          <w:color w:val="3C9673"/>
        </w:rPr>
        <w:t>vii. BNT317, an Antibody for the Treatment of Advanced Solid Tumors</w:t>
      </w:r>
    </w:p>
    <w:p>
      <w:pPr>
        <w:ind w:left="380" w:right="2120"/>
        <w:spacing w:after="0" w:line="234" w:lineRule="auto"/>
        <w:rPr>
          <w:rFonts w:ascii="Arial" w:cs="Arial" w:eastAsia="Arial" w:hAnsi="Arial"/>
          <w:sz w:val="13"/>
          <w:szCs w:val="13"/>
          <w:color w:val="auto"/>
        </w:rPr>
      </w:pPr>
      <w:r>
        <w:rPr>
          <w:rFonts w:ascii="Arial" w:cs="Arial" w:eastAsia="Arial" w:hAnsi="Arial"/>
          <w:sz w:val="13"/>
          <w:szCs w:val="13"/>
          <w:color w:val="auto"/>
        </w:rPr>
        <w:t>BNT317 is a product candidate we are developing for the treatment of solid tumors. A first-in-human, open-label, dose escalation Phase 1 clinical trial (NCT06750185) was initiated in January 2025 to evaluate the safety,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114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60"/>
        <w:spacing w:after="0" w:line="220" w:lineRule="auto"/>
        <w:rPr>
          <w:sz w:val="20"/>
          <w:szCs w:val="20"/>
          <w:color w:val="auto"/>
        </w:rPr>
      </w:pPr>
      <w:r>
        <w:rPr>
          <w:rFonts w:ascii="Arial" w:cs="Arial" w:eastAsia="Arial" w:hAnsi="Arial"/>
          <w:sz w:val="13"/>
          <w:szCs w:val="13"/>
          <w:color w:val="auto"/>
        </w:rPr>
        <w:t>tolerability, pharmacokinetics, and immunogenicity of increasing doses of BNT317 in participants with advanced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i w:val="1"/>
          <w:iCs w:val="1"/>
          <w:color w:val="3C9673"/>
        </w:rPr>
        <w:t>viii. BNT327, a Bispecific Antibody Candidate Targeting PD-L1 and VEGF</w:t>
      </w:r>
    </w:p>
    <w:p>
      <w:pPr>
        <w:ind w:left="380" w:right="2240"/>
        <w:spacing w:after="0" w:line="210" w:lineRule="auto"/>
        <w:rPr>
          <w:sz w:val="20"/>
          <w:szCs w:val="20"/>
          <w:color w:val="auto"/>
        </w:rPr>
      </w:pPr>
      <w:r>
        <w:rPr>
          <w:rFonts w:ascii="Arial" w:cs="Arial" w:eastAsia="Arial" w:hAnsi="Arial"/>
          <w:sz w:val="13"/>
          <w:szCs w:val="13"/>
          <w:color w:val="auto"/>
        </w:rPr>
        <w:t>BNT327 is an anti-VEGF-A antibody candidate fused to a humanized anti-PD-L1 VHH, previously being developed in collaboration with Biotheus. In February 2025, we announced the completion of our acquisition of Biotheus. With the acquisition, we obtained full global rights to the late-stage clinical asset BNT327.</w:t>
      </w:r>
    </w:p>
    <w:p>
      <w:pPr>
        <w:spacing w:after="0" w:line="2"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BNT327 is currently being evaluated in multiple Phase 2 and Phase 3 global and China-only clinical trials to assess the efficacy and safety of the candidate as monotherapy or in combination with chemotherapy in various indications. BNT327 is also being evaluated in combination with BNT325/DB-1305, a next-generation ADC candidate, in a Phase 1/2 clinical trial. We also plan to evaluate BNT327 in combination with our other clinical-stage ADCs, BNT323/DB-1303, BNT324/DB-1311 and BNT326/YL202.</w:t>
      </w:r>
    </w:p>
    <w:p>
      <w:pPr>
        <w:ind w:left="380"/>
        <w:spacing w:after="0" w:line="215" w:lineRule="auto"/>
        <w:rPr>
          <w:sz w:val="20"/>
          <w:szCs w:val="20"/>
          <w:color w:val="auto"/>
        </w:rPr>
      </w:pPr>
      <w:r>
        <w:rPr>
          <w:rFonts w:ascii="Arial" w:cs="Arial" w:eastAsia="Arial" w:hAnsi="Arial"/>
          <w:sz w:val="13"/>
          <w:szCs w:val="13"/>
          <w:i w:val="1"/>
          <w:iCs w:val="1"/>
          <w:u w:val="single" w:color="auto"/>
          <w:color w:val="auto"/>
        </w:rPr>
        <w:t>Ongoing Phase 3 Clinical Trial in Extensive-Stage Small Cell Lung Cancer, or ES-SCLC</w:t>
      </w:r>
    </w:p>
    <w:p>
      <w:pPr>
        <w:ind w:left="380" w:right="2360"/>
        <w:spacing w:after="0" w:line="210" w:lineRule="auto"/>
        <w:rPr>
          <w:sz w:val="20"/>
          <w:szCs w:val="20"/>
          <w:color w:val="auto"/>
        </w:rPr>
      </w:pPr>
      <w:r>
        <w:rPr>
          <w:rFonts w:ascii="Arial" w:cs="Arial" w:eastAsia="Arial" w:hAnsi="Arial"/>
          <w:sz w:val="13"/>
          <w:szCs w:val="13"/>
          <w:color w:val="auto"/>
        </w:rPr>
        <w:t>In December 2024, BioNTech initiated a global, randomized Phase 3 clinical trial (NCT06712355) evaluating BNT327 plus chemotherapy compared to atezolizumab plus chemotherapy in first-line ES-SCLC.</w:t>
      </w:r>
    </w:p>
    <w:p>
      <w:pPr>
        <w:ind w:left="380"/>
        <w:spacing w:after="0" w:line="212" w:lineRule="auto"/>
        <w:rPr>
          <w:sz w:val="20"/>
          <w:szCs w:val="20"/>
          <w:color w:val="auto"/>
        </w:rPr>
      </w:pPr>
      <w:r>
        <w:rPr>
          <w:rFonts w:ascii="Arial" w:cs="Arial" w:eastAsia="Arial" w:hAnsi="Arial"/>
          <w:sz w:val="13"/>
          <w:szCs w:val="13"/>
          <w:i w:val="1"/>
          <w:iCs w:val="1"/>
          <w:u w:val="single" w:color="auto"/>
          <w:color w:val="auto"/>
        </w:rPr>
        <w:t>Ongoing Phase 3 Clinical Trial in Locally Advanced/Metastatic TNBC</w:t>
      </w:r>
    </w:p>
    <w:p>
      <w:pPr>
        <w:spacing w:after="0" w:line="1" w:lineRule="exact"/>
        <w:rPr>
          <w:sz w:val="20"/>
          <w:szCs w:val="20"/>
          <w:color w:val="auto"/>
        </w:rPr>
      </w:pPr>
    </w:p>
    <w:p>
      <w:pPr>
        <w:ind w:left="380" w:right="2260"/>
        <w:spacing w:after="0" w:line="210" w:lineRule="auto"/>
        <w:rPr>
          <w:sz w:val="20"/>
          <w:szCs w:val="20"/>
          <w:color w:val="auto"/>
        </w:rPr>
      </w:pPr>
      <w:r>
        <w:rPr>
          <w:rFonts w:ascii="Arial" w:cs="Arial" w:eastAsia="Arial" w:hAnsi="Arial"/>
          <w:sz w:val="13"/>
          <w:szCs w:val="13"/>
          <w:color w:val="auto"/>
        </w:rPr>
        <w:t xml:space="preserve">A Phase 3 clinical trial (NCT06419621) evaluating BNT327 in combination with chemotherapy compared to chemotherapy as a first-line treatment for patients with locally advanced/metastatic TNBC is ongoing in China. </w:t>
      </w:r>
      <w:r>
        <w:rPr>
          <w:rFonts w:ascii="Arial" w:cs="Arial" w:eastAsia="Arial" w:hAnsi="Arial"/>
          <w:sz w:val="13"/>
          <w:szCs w:val="13"/>
          <w:i w:val="1"/>
          <w:iCs w:val="1"/>
          <w:u w:val="single" w:color="auto"/>
          <w:color w:val="auto"/>
        </w:rPr>
        <w:t>Ongoing Phase 3 Clinical Trial in Second-Line Small-Cell Lung Cancer, or SCLC</w:t>
      </w:r>
    </w:p>
    <w:p>
      <w:pPr>
        <w:spacing w:after="0" w:line="2" w:lineRule="exact"/>
        <w:rPr>
          <w:sz w:val="20"/>
          <w:szCs w:val="20"/>
          <w:color w:val="auto"/>
        </w:rPr>
      </w:pPr>
    </w:p>
    <w:p>
      <w:pPr>
        <w:jc w:val="both"/>
        <w:ind w:left="380" w:right="2440"/>
        <w:spacing w:after="0" w:line="210" w:lineRule="auto"/>
        <w:rPr>
          <w:sz w:val="20"/>
          <w:szCs w:val="20"/>
          <w:color w:val="auto"/>
        </w:rPr>
      </w:pPr>
      <w:r>
        <w:rPr>
          <w:rFonts w:ascii="Arial" w:cs="Arial" w:eastAsia="Arial" w:hAnsi="Arial"/>
          <w:sz w:val="13"/>
          <w:szCs w:val="13"/>
          <w:color w:val="auto"/>
        </w:rPr>
        <w:t xml:space="preserve">A Phase 3 clinical trial (NCT06616532) evaluating BNT327 in combination with chemotherapy compared to investigator’s choice chemotherapy as a second-line treatment for patients with SCLC is ongoing in China. </w:t>
      </w:r>
      <w:r>
        <w:rPr>
          <w:rFonts w:ascii="Arial" w:cs="Arial" w:eastAsia="Arial" w:hAnsi="Arial"/>
          <w:sz w:val="13"/>
          <w:szCs w:val="13"/>
          <w:i w:val="1"/>
          <w:iCs w:val="1"/>
          <w:u w:val="single" w:color="auto"/>
          <w:color w:val="auto"/>
        </w:rPr>
        <w:t>Ongoing Phase 2 Clinical Trial in ES-SCLC</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In September 2024, the first patient was dosed in a multi-site, open-label Phase 2 clinical trial (NCT06449209) to evaluate BNT327 in combination with chemotherapy in patients with untreated ES-SCLC and in patients with SCLC that progressed after first- or second-line treatment. The study is recruiting in the United States, Türkiye, Australia, South Korea and the UK.</w:t>
      </w:r>
    </w:p>
    <w:p>
      <w:pPr>
        <w:ind w:left="380"/>
        <w:spacing w:after="0" w:line="214" w:lineRule="auto"/>
        <w:rPr>
          <w:sz w:val="20"/>
          <w:szCs w:val="20"/>
          <w:color w:val="auto"/>
        </w:rPr>
      </w:pPr>
      <w:r>
        <w:rPr>
          <w:rFonts w:ascii="Arial" w:cs="Arial" w:eastAsia="Arial" w:hAnsi="Arial"/>
          <w:sz w:val="13"/>
          <w:szCs w:val="13"/>
          <w:i w:val="1"/>
          <w:iCs w:val="1"/>
          <w:u w:val="single" w:color="auto"/>
          <w:color w:val="auto"/>
        </w:rPr>
        <w:t>Ongoing Phase 2 Clinical Trial in Locally Advanced/Metastatic TNBC</w:t>
      </w:r>
    </w:p>
    <w:p>
      <w:pPr>
        <w:ind w:left="380" w:right="2140"/>
        <w:spacing w:after="0" w:line="210" w:lineRule="auto"/>
        <w:rPr>
          <w:sz w:val="20"/>
          <w:szCs w:val="20"/>
          <w:color w:val="auto"/>
        </w:rPr>
      </w:pPr>
      <w:r>
        <w:rPr>
          <w:rFonts w:ascii="Arial" w:cs="Arial" w:eastAsia="Arial" w:hAnsi="Arial"/>
          <w:sz w:val="13"/>
          <w:szCs w:val="13"/>
          <w:color w:val="auto"/>
        </w:rPr>
        <w:t>In October 2024, the first patient was dosed in a multi- site, open-label Phase 2 clinical trial (NCT06449222) to evaluate the safety, efficacy, and pharmacokinetics of BNT327 at two dose levels in combination with chemotherapy in the first- and second- line treatment of patients with locally advanced/metastatic TNBC. The study is recruiting in the United States, Australia, Türkiye and the UK. A Phase 3 clinical trial in first-line TNBC is expected to start in 2025.</w:t>
      </w:r>
    </w:p>
    <w:p>
      <w:pPr>
        <w:ind w:left="380"/>
        <w:spacing w:after="0" w:line="215" w:lineRule="auto"/>
        <w:rPr>
          <w:sz w:val="20"/>
          <w:szCs w:val="20"/>
          <w:color w:val="auto"/>
        </w:rPr>
      </w:pPr>
      <w:r>
        <w:rPr>
          <w:rFonts w:ascii="Arial" w:cs="Arial" w:eastAsia="Arial" w:hAnsi="Arial"/>
          <w:sz w:val="13"/>
          <w:szCs w:val="13"/>
          <w:i w:val="1"/>
          <w:iCs w:val="1"/>
          <w:u w:val="single" w:color="auto"/>
          <w:color w:val="auto"/>
        </w:rPr>
        <w:t>Ongoing Phase 2/3 Clinical Trial in First-Line NSCLC</w:t>
      </w:r>
    </w:p>
    <w:p>
      <w:pPr>
        <w:ind w:left="380" w:right="2240"/>
        <w:spacing w:after="0" w:line="210" w:lineRule="auto"/>
        <w:rPr>
          <w:sz w:val="20"/>
          <w:szCs w:val="20"/>
          <w:color w:val="auto"/>
        </w:rPr>
      </w:pPr>
      <w:r>
        <w:rPr>
          <w:rFonts w:ascii="Arial" w:cs="Arial" w:eastAsia="Arial" w:hAnsi="Arial"/>
          <w:sz w:val="13"/>
          <w:szCs w:val="13"/>
          <w:color w:val="auto"/>
        </w:rPr>
        <w:t>In December 2024, BioNTech initiated a global, randomized Phase 2/3 clinical trial (NCT06712316) evaluating BNT327 plus chemotherapy compared to pembrolizumab and chemotherapy in first line NSCLC.</w:t>
      </w:r>
    </w:p>
    <w:p>
      <w:pPr>
        <w:ind w:left="380"/>
        <w:spacing w:after="0" w:line="212" w:lineRule="auto"/>
        <w:rPr>
          <w:sz w:val="20"/>
          <w:szCs w:val="20"/>
          <w:color w:val="auto"/>
        </w:rPr>
      </w:pPr>
      <w:r>
        <w:rPr>
          <w:rFonts w:ascii="Arial" w:cs="Arial" w:eastAsia="Arial" w:hAnsi="Arial"/>
          <w:sz w:val="13"/>
          <w:szCs w:val="13"/>
          <w:i w:val="1"/>
          <w:iCs w:val="1"/>
          <w:u w:val="single" w:color="auto"/>
          <w:color w:val="auto"/>
        </w:rPr>
        <w:t>Ongoing Phase 2 Clinical Trial in First-Line ES-SCLC</w:t>
      </w:r>
    </w:p>
    <w:p>
      <w:pPr>
        <w:spacing w:after="0" w:line="1" w:lineRule="exact"/>
        <w:rPr>
          <w:sz w:val="20"/>
          <w:szCs w:val="20"/>
          <w:color w:val="auto"/>
        </w:rPr>
      </w:pPr>
    </w:p>
    <w:p>
      <w:pPr>
        <w:ind w:left="380" w:right="2420"/>
        <w:spacing w:after="0" w:line="210" w:lineRule="auto"/>
        <w:rPr>
          <w:sz w:val="20"/>
          <w:szCs w:val="20"/>
          <w:color w:val="auto"/>
        </w:rPr>
      </w:pPr>
      <w:r>
        <w:rPr>
          <w:rFonts w:ascii="Arial" w:cs="Arial" w:eastAsia="Arial" w:hAnsi="Arial"/>
          <w:sz w:val="13"/>
          <w:szCs w:val="13"/>
          <w:color w:val="auto"/>
        </w:rPr>
        <w:t>A Phase 2 clinical trial (NCT05844150) evaluating BNT327 in combination with chemotherapy as a first-line treatment for patients with ES-SCLC is ongoing in China.</w:t>
      </w:r>
    </w:p>
    <w:p>
      <w:pPr>
        <w:ind w:left="380"/>
        <w:spacing w:after="0" w:line="212" w:lineRule="auto"/>
        <w:rPr>
          <w:sz w:val="20"/>
          <w:szCs w:val="20"/>
          <w:color w:val="auto"/>
        </w:rPr>
      </w:pPr>
      <w:r>
        <w:rPr>
          <w:rFonts w:ascii="Arial" w:cs="Arial" w:eastAsia="Arial" w:hAnsi="Arial"/>
          <w:sz w:val="13"/>
          <w:szCs w:val="13"/>
          <w:i w:val="1"/>
          <w:iCs w:val="1"/>
          <w:u w:val="single" w:color="auto"/>
          <w:color w:val="auto"/>
        </w:rPr>
        <w:t>Ongoing Phase 2 Clinical Trial in Second-Line ES-SCLC</w:t>
      </w:r>
    </w:p>
    <w:p>
      <w:pPr>
        <w:spacing w:after="0" w:line="1" w:lineRule="exact"/>
        <w:rPr>
          <w:sz w:val="20"/>
          <w:szCs w:val="20"/>
          <w:color w:val="auto"/>
        </w:rPr>
      </w:pPr>
    </w:p>
    <w:p>
      <w:pPr>
        <w:ind w:left="380" w:right="2220"/>
        <w:spacing w:after="0" w:line="234" w:lineRule="auto"/>
        <w:rPr>
          <w:sz w:val="20"/>
          <w:szCs w:val="20"/>
          <w:color w:val="auto"/>
        </w:rPr>
      </w:pPr>
      <w:r>
        <w:rPr>
          <w:rFonts w:ascii="Arial" w:cs="Arial" w:eastAsia="Arial" w:hAnsi="Arial"/>
          <w:sz w:val="13"/>
          <w:szCs w:val="13"/>
          <w:color w:val="auto"/>
        </w:rPr>
        <w:t>A Phase 2 clinical trial (NCT05879068) evaluating BNT327 in combination with chemotherapy as a second-line treatment for patients with SCLC is ongoing in China.</w:t>
      </w:r>
    </w:p>
    <w:p>
      <w:pPr>
        <w:sectPr>
          <w:pgSz w:w="11900" w:h="16840" w:orient="portrait"/>
          <w:cols w:equalWidth="0" w:num="1">
            <w:col w:w="9020"/>
          </w:cols>
          <w:pgMar w:left="1440" w:top="560" w:right="1440" w:bottom="209" w:gutter="0" w:footer="0" w:header="0"/>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115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i w:val="1"/>
          <w:iCs w:val="1"/>
          <w:u w:val="single" w:color="auto"/>
          <w:color w:val="auto"/>
        </w:rPr>
        <w:t>Ongoing Phase 2 Clinical Trial in Neuroendocrine Neoplasm, or 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20"/>
        <w:spacing w:after="0" w:line="210" w:lineRule="auto"/>
        <w:rPr>
          <w:sz w:val="20"/>
          <w:szCs w:val="20"/>
          <w:color w:val="auto"/>
        </w:rPr>
      </w:pPr>
      <w:r>
        <w:rPr>
          <w:rFonts w:ascii="Arial" w:cs="Arial" w:eastAsia="Arial" w:hAnsi="Arial"/>
          <w:sz w:val="13"/>
          <w:szCs w:val="13"/>
          <w:color w:val="auto"/>
        </w:rPr>
        <w:t>A Phase 2 clinical trial (NCT05879055) evaluating BNT327 in combination with chemotherapy as a second-line treatment for patients with NEN is ongoing in China.</w:t>
      </w:r>
    </w:p>
    <w:p>
      <w:pPr>
        <w:ind w:left="380"/>
        <w:spacing w:after="0" w:line="212" w:lineRule="auto"/>
        <w:rPr>
          <w:sz w:val="20"/>
          <w:szCs w:val="20"/>
          <w:color w:val="auto"/>
        </w:rPr>
      </w:pPr>
      <w:r>
        <w:rPr>
          <w:rFonts w:ascii="Arial" w:cs="Arial" w:eastAsia="Arial" w:hAnsi="Arial"/>
          <w:sz w:val="13"/>
          <w:szCs w:val="13"/>
          <w:i w:val="1"/>
          <w:iCs w:val="1"/>
          <w:u w:val="single" w:color="auto"/>
          <w:color w:val="auto"/>
        </w:rPr>
        <w:t>Ongoing Phase 2 Clinical Trial in Malignant Mesothelioma, or MPM</w:t>
      </w:r>
    </w:p>
    <w:p>
      <w:pPr>
        <w:spacing w:after="0" w:line="1" w:lineRule="exact"/>
        <w:rPr>
          <w:sz w:val="20"/>
          <w:szCs w:val="20"/>
          <w:color w:val="auto"/>
        </w:rPr>
      </w:pPr>
    </w:p>
    <w:p>
      <w:pPr>
        <w:ind w:left="380" w:right="2420"/>
        <w:spacing w:after="0" w:line="210" w:lineRule="auto"/>
        <w:rPr>
          <w:sz w:val="20"/>
          <w:szCs w:val="20"/>
          <w:color w:val="auto"/>
        </w:rPr>
      </w:pPr>
      <w:r>
        <w:rPr>
          <w:rFonts w:ascii="Arial" w:cs="Arial" w:eastAsia="Arial" w:hAnsi="Arial"/>
          <w:sz w:val="13"/>
          <w:szCs w:val="13"/>
          <w:color w:val="auto"/>
        </w:rPr>
        <w:t>A Phase 2 clinical trial (NCT05918107) evaluating BNT327 in combination with chemotherapy as a first-line treatment for patients with MPM is ongoing in China.</w:t>
      </w:r>
    </w:p>
    <w:p>
      <w:pPr>
        <w:ind w:left="380"/>
        <w:spacing w:after="0" w:line="212" w:lineRule="auto"/>
        <w:rPr>
          <w:sz w:val="20"/>
          <w:szCs w:val="20"/>
          <w:color w:val="auto"/>
        </w:rPr>
      </w:pPr>
      <w:r>
        <w:rPr>
          <w:rFonts w:ascii="Arial" w:cs="Arial" w:eastAsia="Arial" w:hAnsi="Arial"/>
          <w:sz w:val="13"/>
          <w:szCs w:val="13"/>
          <w:i w:val="1"/>
          <w:iCs w:val="1"/>
          <w:u w:val="single" w:color="auto"/>
          <w:color w:val="auto"/>
        </w:rPr>
        <w:t>Ongoing Phase 2 Clinical Trial in EGFR-mutant Non-Squamous NSCLC</w:t>
      </w:r>
    </w:p>
    <w:p>
      <w:pPr>
        <w:spacing w:after="0" w:line="1"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A Phase 2 clinical trial (NCT05756972) evaluating BNT327 in combination with chemotherapy as a treatment for patients with EGFR-mutant NSCLC who have failed EGFR-tyrosine kinase inhibitor treatment is ongoing in China.</w:t>
      </w:r>
    </w:p>
    <w:p>
      <w:pPr>
        <w:spacing w:after="0" w:line="2" w:lineRule="exact"/>
        <w:rPr>
          <w:sz w:val="20"/>
          <w:szCs w:val="20"/>
          <w:color w:val="auto"/>
        </w:rPr>
      </w:pPr>
    </w:p>
    <w:p>
      <w:pPr>
        <w:ind w:left="380" w:right="2580"/>
        <w:spacing w:after="0" w:line="210" w:lineRule="auto"/>
        <w:rPr>
          <w:sz w:val="20"/>
          <w:szCs w:val="20"/>
          <w:color w:val="auto"/>
        </w:rPr>
      </w:pPr>
      <w:r>
        <w:rPr>
          <w:rFonts w:ascii="Arial" w:cs="Arial" w:eastAsia="Arial" w:hAnsi="Arial"/>
          <w:sz w:val="13"/>
          <w:szCs w:val="13"/>
          <w:color w:val="auto"/>
        </w:rPr>
        <w:t>•In September 2024, at the ESMO Congress, data were presented from trial. The 64 patients were observed to have an ORR of 60.9%, a cORR of 57.8% and DCR of 95.3%. In the 28 patients with PD-L1 tumor proportion score, or TPS, &lt;1%, the ORR was observed to be 46.4% and DCR was observed to</w:t>
      </w:r>
    </w:p>
    <w:p>
      <w:pPr>
        <w:spacing w:after="0" w:line="2"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92.9%. In the 23 patients with TPS 1-49%, the ORR was observed to be 60.9% and DCR was observed to be 100%. Among the 13 patients with TPS ≥50%, the ORR was observed to be 92.3% and DCR was observed to be 92.3%. Any-grade TRAEs occurred in 98.4% patients and Grade ≥ 3 TRAEs occurred in 60.9% of patients. Nine patients discontinued BNT327 and/or chemotherapy administration due to TRAEs, plus one case of TRAE-related death. In summary, we believe that the observations of BNT327 in combination with chemotherapy in mutated NSCLC patients that progressed on prior EGFR-TKI therapy showed encouraging anti-tumor activity independent of PD-L1 expression levels with a positive correlation seen between higher tumor PD-L1 expression levels and overall response rates, and a generally manageable safety profile.</w:t>
      </w:r>
    </w:p>
    <w:p>
      <w:pPr>
        <w:ind w:left="380"/>
        <w:spacing w:after="0" w:line="219" w:lineRule="auto"/>
        <w:rPr>
          <w:sz w:val="20"/>
          <w:szCs w:val="20"/>
          <w:color w:val="auto"/>
        </w:rPr>
      </w:pPr>
      <w:r>
        <w:rPr>
          <w:rFonts w:ascii="Arial" w:cs="Arial" w:eastAsia="Arial" w:hAnsi="Arial"/>
          <w:sz w:val="13"/>
          <w:szCs w:val="13"/>
          <w:i w:val="1"/>
          <w:iCs w:val="1"/>
          <w:u w:val="single" w:color="auto"/>
          <w:color w:val="auto"/>
        </w:rPr>
        <w:t>Ongoing Phase 2 Clinical Trial in Hepatocellular Carcinoma, or HCC</w:t>
      </w:r>
    </w:p>
    <w:p>
      <w:pPr>
        <w:ind w:left="380" w:right="2420"/>
        <w:spacing w:after="0" w:line="210" w:lineRule="auto"/>
        <w:rPr>
          <w:sz w:val="20"/>
          <w:szCs w:val="20"/>
          <w:color w:val="auto"/>
        </w:rPr>
      </w:pPr>
      <w:r>
        <w:rPr>
          <w:rFonts w:ascii="Arial" w:cs="Arial" w:eastAsia="Arial" w:hAnsi="Arial"/>
          <w:sz w:val="13"/>
          <w:szCs w:val="13"/>
          <w:color w:val="auto"/>
        </w:rPr>
        <w:t>A Phase 2 clinical trial (NCT05864105) evaluating BNT327 in combination with chemotherapy as a first-line treatment for unresectable HCC is ongoing in China.</w:t>
      </w:r>
    </w:p>
    <w:p>
      <w:pPr>
        <w:ind w:left="380"/>
        <w:spacing w:after="0" w:line="212" w:lineRule="auto"/>
        <w:rPr>
          <w:sz w:val="20"/>
          <w:szCs w:val="20"/>
          <w:color w:val="auto"/>
        </w:rPr>
      </w:pPr>
      <w:r>
        <w:rPr>
          <w:rFonts w:ascii="Arial" w:cs="Arial" w:eastAsia="Arial" w:hAnsi="Arial"/>
          <w:sz w:val="13"/>
          <w:szCs w:val="13"/>
          <w:i w:val="1"/>
          <w:iCs w:val="1"/>
          <w:u w:val="single" w:color="auto"/>
          <w:color w:val="auto"/>
        </w:rPr>
        <w:t>Ongoing Phase 1/2 Clinical Trial in Advanced Solid Tumors</w:t>
      </w:r>
    </w:p>
    <w:p>
      <w:pPr>
        <w:spacing w:after="0" w:line="1" w:lineRule="exact"/>
        <w:rPr>
          <w:sz w:val="20"/>
          <w:szCs w:val="20"/>
          <w:color w:val="auto"/>
        </w:rPr>
      </w:pPr>
    </w:p>
    <w:p>
      <w:pPr>
        <w:ind w:left="380" w:right="2220"/>
        <w:spacing w:after="0" w:line="210" w:lineRule="auto"/>
        <w:rPr>
          <w:sz w:val="20"/>
          <w:szCs w:val="20"/>
          <w:color w:val="auto"/>
        </w:rPr>
      </w:pPr>
      <w:r>
        <w:rPr>
          <w:rFonts w:ascii="Arial" w:cs="Arial" w:eastAsia="Arial" w:hAnsi="Arial"/>
          <w:sz w:val="13"/>
          <w:szCs w:val="13"/>
          <w:color w:val="auto"/>
        </w:rPr>
        <w:t>A Phase 1/2 clinical trial (NCT05918445) evaluating BNT327 as a monotherapy in patients with advanced solid tumors is ongoing in China.</w:t>
      </w:r>
    </w:p>
    <w:p>
      <w:pPr>
        <w:spacing w:after="0" w:line="1" w:lineRule="exact"/>
        <w:rPr>
          <w:sz w:val="20"/>
          <w:szCs w:val="20"/>
          <w:color w:val="auto"/>
        </w:rPr>
      </w:pPr>
    </w:p>
    <w:p>
      <w:pPr>
        <w:ind w:left="380" w:right="2560"/>
        <w:spacing w:after="0" w:line="210" w:lineRule="auto"/>
        <w:rPr>
          <w:sz w:val="20"/>
          <w:szCs w:val="20"/>
          <w:color w:val="auto"/>
        </w:rPr>
      </w:pPr>
      <w:r>
        <w:rPr>
          <w:rFonts w:ascii="Arial" w:cs="Arial" w:eastAsia="Arial" w:hAnsi="Arial"/>
          <w:sz w:val="13"/>
          <w:szCs w:val="13"/>
          <w:color w:val="auto"/>
        </w:rPr>
        <w:t>•In June 2024, data from the trial were presented at the ASCO Annual Meeting. Data on 48 patients with advanced cervical cancer, or CC, showed an ORR of 42.2% (52.4% in patients with PD- L1-positive tumors), a DCR of 93.3%, and an mPFS of 8.3 months. Data on 39 patients with PROC showed an ORR of 20.6%, a DCR of 67.7%, and an mPFS of 5.5 months. TRAEs occurred in 95.4% of patients (83/87), with ≥ Grade 3 TRAEs in 36.8% (32/87). 14.9% (13/87) of patients discontinued BNT327 treatment due to TRAEs. Median follow-up time in patients with CC and PROC was 13.8 months and 14.8 months, respectively.</w:t>
      </w:r>
    </w:p>
    <w:p>
      <w:pPr>
        <w:spacing w:after="0" w:line="4" w:lineRule="exact"/>
        <w:rPr>
          <w:sz w:val="20"/>
          <w:szCs w:val="20"/>
          <w:color w:val="auto"/>
        </w:rPr>
      </w:pPr>
    </w:p>
    <w:p>
      <w:pPr>
        <w:ind w:left="380" w:right="2760"/>
        <w:spacing w:after="0" w:line="210" w:lineRule="auto"/>
        <w:rPr>
          <w:sz w:val="20"/>
          <w:szCs w:val="20"/>
          <w:color w:val="auto"/>
        </w:rPr>
      </w:pPr>
      <w:r>
        <w:rPr>
          <w:rFonts w:ascii="Arial" w:cs="Arial" w:eastAsia="Arial" w:hAnsi="Arial"/>
          <w:sz w:val="13"/>
          <w:szCs w:val="13"/>
          <w:color w:val="auto"/>
        </w:rPr>
        <w:t>•At the ASCO Annual Meeting, data on 61 patients with non-squamous NSCLC were also presented. Data on 17 evaluable patients with untreated NSCLC wild-type and PDL1-positive showed an ORR of</w:t>
      </w:r>
    </w:p>
    <w:p>
      <w:pPr>
        <w:spacing w:after="0" w:line="1" w:lineRule="exact"/>
        <w:rPr>
          <w:sz w:val="20"/>
          <w:szCs w:val="20"/>
          <w:color w:val="auto"/>
        </w:rPr>
      </w:pPr>
    </w:p>
    <w:p>
      <w:pPr>
        <w:ind w:left="380" w:right="2620"/>
        <w:spacing w:after="0" w:line="216" w:lineRule="auto"/>
        <w:rPr>
          <w:sz w:val="20"/>
          <w:szCs w:val="20"/>
          <w:color w:val="auto"/>
        </w:rPr>
      </w:pPr>
      <w:r>
        <w:rPr>
          <w:rFonts w:ascii="Arial" w:cs="Arial" w:eastAsia="Arial" w:hAnsi="Arial"/>
          <w:sz w:val="13"/>
          <w:szCs w:val="13"/>
          <w:color w:val="auto"/>
        </w:rPr>
        <w:t>47.1%, a DCR of 100% and an mPFS of 13.6 months at a median follow-up of 11.3 months. Data on 36 evaluable patients with EGFR-mutant NSCLC after progression on prior EGFR -tyrosine kinase inhibitor, or TKI, treatment showed an ORR of 19.4%, a DCR of 69.4% and an mPFS of 5.5 months at a median follow-up of 12.6 months. Data from eight evaluable patients with EGFR/ALK wild- type NSCLC that progressed after anti-PD-1/L1 therapy and platinum-based chemotherapy showed an ORR of 12.5%, a DCR of 62.5%, and an mPFS of 5.8 months at a median follow-up of 5.8 months. TRAEs occurred in 85.2% of patients (52/61), with ≥ Grade 3 TRAEs in 19.7% (12/61) . Serious adverse events were observed in 24.6% (15/61) of patients, and 8.2% (5/61) of patients discontinued BNT327 treatment due to TRAEs.</w:t>
      </w:r>
    </w:p>
    <w:p>
      <w:pPr>
        <w:sectPr>
          <w:pgSz w:w="11900" w:h="16840" w:orient="portrait"/>
          <w:cols w:equalWidth="0" w:num="1">
            <w:col w:w="9020"/>
          </w:cols>
          <w:pgMar w:left="1440" w:top="1440" w:right="1440" w:bottom="1440" w:gutter="0" w:footer="0" w:header="0"/>
        </w:sectPr>
      </w:pPr>
    </w:p>
    <w:bookmarkStart w:id="81" w:name="page82"/>
    <w:bookmarkEnd w:id="81"/>
    <w:p>
      <w:pPr>
        <w:ind w:left="380"/>
        <w:spacing w:after="0"/>
        <w:rPr>
          <w:sz w:val="20"/>
          <w:szCs w:val="20"/>
          <w:color w:val="auto"/>
        </w:rPr>
      </w:pPr>
      <w:r>
        <w:rPr>
          <w:rFonts w:ascii="Arial" w:cs="Arial" w:eastAsia="Arial" w:hAnsi="Arial"/>
          <w:sz w:val="13"/>
          <w:szCs w:val="13"/>
          <w:color w:val="auto"/>
        </w:rPr>
        <w:t>116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560"/>
        <w:spacing w:after="0" w:line="213" w:lineRule="auto"/>
        <w:rPr>
          <w:sz w:val="20"/>
          <w:szCs w:val="20"/>
          <w:color w:val="auto"/>
        </w:rPr>
      </w:pPr>
      <w:r>
        <w:rPr>
          <w:rFonts w:ascii="Arial" w:cs="Arial" w:eastAsia="Arial" w:hAnsi="Arial"/>
          <w:sz w:val="13"/>
          <w:szCs w:val="13"/>
          <w:color w:val="auto"/>
        </w:rPr>
        <w:t>•In September 2024, at the ESMO Congress, data from the trial were presented. 28 patients with clear cell RCC, or ccRCC, who progressed after combination of anti-PD-(L)1 and VEGF-TKI therapy or VEGF-TKI monotherapy, were observed to have an ORR of 25%, a DCR of 82.1%, a mPFS of 10.9 months and a mDOR of 19.6 months. The 22 patients with previously untreated non-clear cell RCC, or nccRCC, were observed to have an ORR of 36.4%, a DCR of 90.9% and a mPFS of 15.1 months. Any-grade and Grade ≥3 TRAEs of the combination regimen occurred in 100% and 41.5% of patients, respectively. TRAEs leading to treatment discontinuation occurred in 1.9% of patients. In summary, BNT327 monotherapy was observed to have encouraging anti-tumor activity and a manageable safety profile in patients with previously untreated advanced nccRCC or previously treated advanced ccRCC.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-751205</wp:posOffset>
            </wp:positionV>
            <wp:extent cx="523113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1" w:lineRule="auto"/>
        <w:rPr>
          <w:sz w:val="20"/>
          <w:szCs w:val="20"/>
          <w:color w:val="auto"/>
        </w:rPr>
      </w:pPr>
      <w:r>
        <w:rPr>
          <w:rFonts w:ascii="Arial" w:cs="Arial" w:eastAsia="Arial" w:hAnsi="Arial"/>
          <w:sz w:val="13"/>
          <w:szCs w:val="13"/>
          <w:i w:val="1"/>
          <w:iCs w:val="1"/>
          <w:u w:val="single" w:color="auto"/>
          <w:color w:val="auto"/>
        </w:rPr>
        <w:t>Ongoing Phase 1/2 Clinical Trial in Locally Advanced/Metastatic TNBC</w:t>
      </w:r>
    </w:p>
    <w:p>
      <w:pPr>
        <w:spacing w:after="0" w:line="1"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A Phase 1b/2 clinical trial (NCT05918133) evaluating BNT327 in combination with chemotherapy in patients with locally advanced or metastatic TNBC without previous systematic treatment is ongoing in China.</w:t>
      </w:r>
    </w:p>
    <w:p>
      <w:pPr>
        <w:spacing w:after="0" w:line="1" w:lineRule="exact"/>
        <w:rPr>
          <w:sz w:val="20"/>
          <w:szCs w:val="20"/>
          <w:color w:val="auto"/>
        </w:rPr>
      </w:pPr>
    </w:p>
    <w:p>
      <w:pPr>
        <w:ind w:left="380" w:right="2660"/>
        <w:spacing w:after="0" w:line="210" w:lineRule="auto"/>
        <w:rPr>
          <w:sz w:val="20"/>
          <w:szCs w:val="20"/>
          <w:color w:val="auto"/>
        </w:rPr>
      </w:pPr>
      <w:r>
        <w:rPr>
          <w:rFonts w:ascii="Arial" w:cs="Arial" w:eastAsia="Arial" w:hAnsi="Arial"/>
          <w:sz w:val="13"/>
          <w:szCs w:val="13"/>
          <w:color w:val="auto"/>
        </w:rPr>
        <w:t>•In September 2024, at the ESMO Congress, data from the trial were presented. The 42 patients were observed to have an ORR of 78.6%, a confirmed ORR, or cORR, of 73.8% with a DCR of 95.2%, an mPFS of 13.5 months and a median duration of response, or mDOR, of 11.7 months. Among the 42 patients treated, 38 patients had available PD-L1 expression results assessed by means of a PD-L1 immunohistochemistry, or IHC, E1L3N assay. cORR was observed to be 76.9% in 13 patients with PD-</w:t>
      </w:r>
    </w:p>
    <w:p>
      <w:pPr>
        <w:spacing w:after="0" w:line="3"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L1 combined positive scores, or CPS, &lt;1, 56.3% in the 16 patients with PD-L1 1≤CPS&lt;10, and 100% in the nine patients with PD-L1 CPS≥10. Any-grade and Grade ≥3 TRAEs of the combination regimen occurred in 100% and 57.1% of patients, respectively. TRAEs leading to treatment discontinuation occurred in 4.8% of patients. The most common TRAEs included neutropenia, leukocytopenia, anemia, proteinuria and alopecia. In summary, first line treatment of locally advanced/metastatic TNBC with BNT327 in combination with nab-paclitaxel was observed to be associated with clinically meaningful antitumor activity regardless of PD-L1 status and manageable toxicity with no new safety signals observed beyond those typically described for anti-PD-(L)1 therapies, anti-VEGF therapies and chemotherapy.</w:t>
      </w:r>
    </w:p>
    <w:p>
      <w:pPr>
        <w:spacing w:after="0" w:line="5" w:lineRule="exact"/>
        <w:rPr>
          <w:sz w:val="20"/>
          <w:szCs w:val="20"/>
          <w:color w:val="auto"/>
        </w:rPr>
      </w:pPr>
    </w:p>
    <w:p>
      <w:pPr>
        <w:ind w:left="380" w:right="2660"/>
        <w:spacing w:after="0" w:line="210" w:lineRule="auto"/>
        <w:rPr>
          <w:sz w:val="20"/>
          <w:szCs w:val="20"/>
          <w:color w:val="auto"/>
        </w:rPr>
      </w:pPr>
      <w:r>
        <w:rPr>
          <w:rFonts w:ascii="Arial" w:cs="Arial" w:eastAsia="Arial" w:hAnsi="Arial"/>
          <w:sz w:val="13"/>
          <w:szCs w:val="13"/>
          <w:color w:val="auto"/>
        </w:rPr>
        <w:t>•In December 2024, at the San Antonio Breast Cancer Symposium, or SABCS, updated data were presented from the trial. In 42 patients with locally advanced or metastatic TNBC, first- line therapy with BNT327 combined with nab -paclitaxel showed clinically meaningful survival outcomes and antitumor activity regardless of PD-L1 status, together with a manageable safety profile. The confirmed ORR was 73.8% with a DCR of 95.2%. The median TTR, or mTTR, was 1.9 months and the mDOR was 11.7 months. The matured mPFS was 13.5 months for the intention to treat, or ITT, population. The median OS, or mOS, was not reached, while the matured 12-month OS rate was 80.8%, the matured 15-month OS rate was 78.1%, and the nearly matured 18-month OS rate was 69.7%.</w:t>
      </w:r>
    </w:p>
    <w:p>
      <w:pPr>
        <w:ind w:left="380"/>
        <w:spacing w:after="0" w:line="218" w:lineRule="auto"/>
        <w:rPr>
          <w:sz w:val="20"/>
          <w:szCs w:val="20"/>
          <w:color w:val="auto"/>
        </w:rPr>
      </w:pPr>
      <w:r>
        <w:rPr>
          <w:rFonts w:ascii="Arial" w:cs="Arial" w:eastAsia="Arial" w:hAnsi="Arial"/>
          <w:sz w:val="13"/>
          <w:szCs w:val="13"/>
          <w:i w:val="1"/>
          <w:iCs w:val="1"/>
          <w:u w:val="single" w:color="auto"/>
          <w:color w:val="auto"/>
        </w:rPr>
        <w:t>Ongoing Phase 1/2 Clinical Trial in First Line HCC</w:t>
      </w:r>
    </w:p>
    <w:p>
      <w:pPr>
        <w:ind w:left="380" w:right="2140"/>
        <w:spacing w:after="0" w:line="210" w:lineRule="auto"/>
        <w:rPr>
          <w:sz w:val="20"/>
          <w:szCs w:val="20"/>
          <w:color w:val="auto"/>
        </w:rPr>
      </w:pPr>
      <w:r>
        <w:rPr>
          <w:rFonts w:ascii="Arial" w:cs="Arial" w:eastAsia="Arial" w:hAnsi="Arial"/>
          <w:sz w:val="13"/>
          <w:szCs w:val="13"/>
          <w:color w:val="auto"/>
        </w:rPr>
        <w:t>A Phase 1/2 clinical trial (NCT06584071) evaluating BNT327 in combination with PM1009 in patients with locally advanced or metastatic HCC is ongoing in China. The study is divided into two parts. The first part is a Phase 1b, single-arm study. The second part is a Phase II randomized controlled study.</w:t>
      </w:r>
    </w:p>
    <w:p>
      <w:pPr>
        <w:ind w:left="380"/>
        <w:spacing w:after="0" w:line="213" w:lineRule="auto"/>
        <w:rPr>
          <w:sz w:val="20"/>
          <w:szCs w:val="20"/>
          <w:color w:val="auto"/>
        </w:rPr>
      </w:pPr>
      <w:r>
        <w:rPr>
          <w:rFonts w:ascii="Arial" w:cs="Arial" w:eastAsia="Arial" w:hAnsi="Arial"/>
          <w:sz w:val="13"/>
          <w:szCs w:val="13"/>
          <w:i w:val="1"/>
          <w:iCs w:val="1"/>
          <w:u w:val="single" w:color="auto"/>
          <w:color w:val="auto"/>
        </w:rPr>
        <w:t>Ongoing BNT325/DB-1305 Phase 1/2 Clinical Trial in Advanced Solid Tumors</w:t>
      </w:r>
    </w:p>
    <w:p>
      <w:pPr>
        <w:spacing w:after="0" w:line="1" w:lineRule="exact"/>
        <w:rPr>
          <w:sz w:val="20"/>
          <w:szCs w:val="20"/>
          <w:color w:val="auto"/>
        </w:rPr>
      </w:pPr>
    </w:p>
    <w:p>
      <w:pPr>
        <w:ind w:left="380" w:right="2220" w:firstLine="3"/>
        <w:spacing w:after="0" w:line="210" w:lineRule="auto"/>
        <w:tabs>
          <w:tab w:leader="none" w:pos="504" w:val="left"/>
        </w:tabs>
        <w:numPr>
          <w:ilvl w:val="0"/>
          <w:numId w:val="15"/>
        </w:numPr>
        <w:rPr>
          <w:rFonts w:ascii="Arial" w:cs="Arial" w:eastAsia="Arial" w:hAnsi="Arial"/>
          <w:sz w:val="13"/>
          <w:szCs w:val="13"/>
          <w:color w:val="auto"/>
        </w:rPr>
      </w:pPr>
      <w:r>
        <w:rPr>
          <w:rFonts w:ascii="Arial" w:cs="Arial" w:eastAsia="Arial" w:hAnsi="Arial"/>
          <w:sz w:val="13"/>
          <w:szCs w:val="13"/>
          <w:color w:val="auto"/>
        </w:rPr>
        <w:t>multi-center, non-randomized, open-label, multiple-dose, first-in-human Phase 1/2a clinical trial (NCT05438329) evaluating BNT325/DB-1305 in patients with advanced solid tumors is ongoing. As part of this clinical trial, BNT325/DB-1305 is being studied in combination with BNT327 in various solid tumor indications. We plan to present first clinical data from the ongoing global Phase 1/2 expansion cohorts evaluating BNT327 plus BNT325/DB-1305 in multiple solid tumors in 2025.</w:t>
      </w:r>
    </w:p>
    <w:p>
      <w:pPr>
        <w:spacing w:after="0" w:line="2" w:lineRule="exact"/>
        <w:rPr>
          <w:rFonts w:ascii="Arial" w:cs="Arial" w:eastAsia="Arial" w:hAnsi="Arial"/>
          <w:sz w:val="13"/>
          <w:szCs w:val="13"/>
          <w:color w:val="auto"/>
        </w:rPr>
      </w:pPr>
    </w:p>
    <w:p>
      <w:pPr>
        <w:ind w:left="380" w:right="2700"/>
        <w:spacing w:after="0" w:line="210" w:lineRule="auto"/>
        <w:rPr>
          <w:rFonts w:ascii="Arial" w:cs="Arial" w:eastAsia="Arial" w:hAnsi="Arial"/>
          <w:sz w:val="13"/>
          <w:szCs w:val="13"/>
          <w:color w:val="auto"/>
        </w:rPr>
      </w:pPr>
      <w:r>
        <w:rPr>
          <w:rFonts w:ascii="Arial" w:cs="Arial" w:eastAsia="Arial" w:hAnsi="Arial"/>
          <w:sz w:val="13"/>
          <w:szCs w:val="13"/>
          <w:i w:val="1"/>
          <w:iCs w:val="1"/>
          <w:color w:val="3C9673"/>
        </w:rPr>
        <w:t>ix. BNT316/ONC-392 (gotistobart), an Anti-CTLA-4 Monoclonal Antibody Candidate in Development in Collaboration with OncoC4</w:t>
      </w:r>
    </w:p>
    <w:p>
      <w:pPr>
        <w:spacing w:after="0" w:line="1" w:lineRule="exact"/>
        <w:rPr>
          <w:rFonts w:ascii="Arial" w:cs="Arial" w:eastAsia="Arial" w:hAnsi="Arial"/>
          <w:sz w:val="13"/>
          <w:szCs w:val="13"/>
          <w:color w:val="auto"/>
        </w:rPr>
      </w:pPr>
    </w:p>
    <w:p>
      <w:pPr>
        <w:ind w:left="380" w:right="2260"/>
        <w:spacing w:after="0" w:line="234" w:lineRule="auto"/>
        <w:rPr>
          <w:rFonts w:ascii="Arial" w:cs="Arial" w:eastAsia="Arial" w:hAnsi="Arial"/>
          <w:sz w:val="13"/>
          <w:szCs w:val="13"/>
          <w:color w:val="auto"/>
        </w:rPr>
      </w:pPr>
      <w:r>
        <w:rPr>
          <w:rFonts w:ascii="Arial" w:cs="Arial" w:eastAsia="Arial" w:hAnsi="Arial"/>
          <w:sz w:val="13"/>
          <w:szCs w:val="13"/>
          <w:color w:val="auto"/>
        </w:rPr>
        <w:t>BNT316/ONC-392 (gotistobart) is an anti-cytotoxic T-lymphocyte associated protein 4, or CTLA-4, monoclonal antibody candidate being developed in collaboration with OncoC4. CTLA-4 is a molecule which inhibits T-cell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117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line="214" w:lineRule="auto"/>
        <w:rPr>
          <w:sz w:val="20"/>
          <w:szCs w:val="20"/>
          <w:color w:val="auto"/>
        </w:rPr>
      </w:pPr>
      <w:r>
        <w:rPr>
          <w:rFonts w:ascii="Arial" w:cs="Arial" w:eastAsia="Arial" w:hAnsi="Arial"/>
          <w:sz w:val="13"/>
          <w:szCs w:val="13"/>
          <w:color w:val="auto"/>
        </w:rPr>
        <w:t>immune response and reduces the activity of T cells in recognizing and eliminating cancer cells. Blocking CTLA- 4 preserves T -cell activity and enhances anti- tumor activity. BNT316/ONC-392 (gotistobart) is designed to offer a differentiated safety profile that may allow for higher dosing and longer duration of treatment both as monotherapy and in combination with other therapies. The program received Fast Track Designation from the FDA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-416560</wp:posOffset>
            </wp:positionV>
            <wp:extent cx="523113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5" w:lineRule="auto"/>
        <w:rPr>
          <w:sz w:val="20"/>
          <w:szCs w:val="20"/>
          <w:color w:val="auto"/>
        </w:rPr>
      </w:pPr>
      <w:r>
        <w:rPr>
          <w:rFonts w:ascii="Arial" w:cs="Arial" w:eastAsia="Arial" w:hAnsi="Arial"/>
          <w:sz w:val="13"/>
          <w:szCs w:val="13"/>
          <w:i w:val="1"/>
          <w:iCs w:val="1"/>
          <w:u w:val="single" w:color="auto"/>
          <w:color w:val="auto"/>
        </w:rPr>
        <w:t>Ongoing Phase 3 Clinical Trial in Metastatic, Immunotherapy-resistant NSCLC</w:t>
      </w:r>
    </w:p>
    <w:p>
      <w:pPr>
        <w:ind w:left="380" w:right="2140"/>
        <w:spacing w:after="0" w:line="210" w:lineRule="auto"/>
        <w:rPr>
          <w:sz w:val="20"/>
          <w:szCs w:val="20"/>
          <w:color w:val="auto"/>
        </w:rPr>
      </w:pPr>
      <w:r>
        <w:rPr>
          <w:rFonts w:ascii="Arial" w:cs="Arial" w:eastAsia="Arial" w:hAnsi="Arial"/>
          <w:sz w:val="13"/>
          <w:szCs w:val="13"/>
          <w:color w:val="auto"/>
        </w:rPr>
        <w:t>In December 2024, we were informed by our partner OncoC4 that the FDA had lifted the partial clinical hold on PRESERVE-003 (NCT05671510), a two-stage, open-label, randomized Phase 3 trial evaluating the efficacy and safety of BNT316/ONC-392 (gotistobart) as monotherapy in patients with metastatic NSCLC that progressed under previous platinum-based chemotherapy and PD-(L)1-inhibitor treatment. Based on the available trial data and following an alignment with the FDA, the companies will continue enrollment solely of patients with squamous NSCLC.</w:t>
      </w:r>
    </w:p>
    <w:p>
      <w:pPr>
        <w:spacing w:after="0" w:line="4"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We had previously announced the partial clinical hold on the study in October 2024, following OncoC4’s communication to the FDA after an assessment of the trial data by the independent Data Monitoring Committee which identified a possible variance in results between the squamous and non-squamous NSCLC patient populations. The partial clinical hold only affected new patient enrollment and did not impact patients already enrolled in the trial. Trials evaluating BNT316/ONC-392 in other indications also remained unaffected.</w:t>
      </w:r>
    </w:p>
    <w:p>
      <w:pPr>
        <w:ind w:left="380"/>
        <w:spacing w:after="0" w:line="215" w:lineRule="auto"/>
        <w:rPr>
          <w:sz w:val="20"/>
          <w:szCs w:val="20"/>
          <w:color w:val="auto"/>
        </w:rPr>
      </w:pPr>
      <w:r>
        <w:rPr>
          <w:rFonts w:ascii="Arial" w:cs="Arial" w:eastAsia="Arial" w:hAnsi="Arial"/>
          <w:sz w:val="13"/>
          <w:szCs w:val="13"/>
          <w:i w:val="1"/>
          <w:iCs w:val="1"/>
          <w:u w:val="single" w:color="auto"/>
          <w:color w:val="auto"/>
        </w:rPr>
        <w:t>Ongoing Phase 2 Clinical Trial in Platinum-resistant Ovarian Cancer</w:t>
      </w:r>
    </w:p>
    <w:p>
      <w:pPr>
        <w:ind w:left="380" w:right="2160" w:firstLine="3"/>
        <w:spacing w:after="0" w:line="210" w:lineRule="auto"/>
        <w:tabs>
          <w:tab w:leader="none" w:pos="504" w:val="left"/>
        </w:tabs>
        <w:numPr>
          <w:ilvl w:val="0"/>
          <w:numId w:val="16"/>
        </w:numPr>
        <w:rPr>
          <w:rFonts w:ascii="Arial" w:cs="Arial" w:eastAsia="Arial" w:hAnsi="Arial"/>
          <w:sz w:val="13"/>
          <w:szCs w:val="13"/>
          <w:color w:val="auto"/>
        </w:rPr>
      </w:pPr>
      <w:r>
        <w:rPr>
          <w:rFonts w:ascii="Arial" w:cs="Arial" w:eastAsia="Arial" w:hAnsi="Arial"/>
          <w:sz w:val="13"/>
          <w:szCs w:val="13"/>
          <w:color w:val="auto"/>
        </w:rPr>
        <w:t>Phase 2 clinical trial (PRESERVE-004; NCT05446298) is being conducted to evaluate BNT316/ONC-392 (gotistobart) therapy in combination with pembrolizumab in patients with PROC. The clinical trial is designed to evaluate multiple doses of BNT316/ONC-392 (gotistobart) in combination with a fixed dose of pembrolizumab in participants with ovarian cancer who are resistant to platinum-based chemotherapy. The primary endpoints are ORR and safety. Secondary endpoints include DOR, DCR, PFS and OS.</w:t>
      </w:r>
    </w:p>
    <w:p>
      <w:pPr>
        <w:spacing w:after="0" w:line="2" w:lineRule="exact"/>
        <w:rPr>
          <w:rFonts w:ascii="Arial" w:cs="Arial" w:eastAsia="Arial" w:hAnsi="Arial"/>
          <w:sz w:val="13"/>
          <w:szCs w:val="13"/>
          <w:color w:val="auto"/>
        </w:rPr>
      </w:pPr>
    </w:p>
    <w:p>
      <w:pPr>
        <w:ind w:left="380" w:right="2560"/>
        <w:spacing w:after="0" w:line="210" w:lineRule="auto"/>
        <w:rPr>
          <w:rFonts w:ascii="Arial" w:cs="Arial" w:eastAsia="Arial" w:hAnsi="Arial"/>
          <w:sz w:val="13"/>
          <w:szCs w:val="13"/>
          <w:color w:val="auto"/>
        </w:rPr>
      </w:pPr>
      <w:r>
        <w:rPr>
          <w:rFonts w:ascii="Arial" w:cs="Arial" w:eastAsia="Arial" w:hAnsi="Arial"/>
          <w:sz w:val="13"/>
          <w:szCs w:val="13"/>
          <w:color w:val="auto"/>
        </w:rPr>
        <w:t>•In September 2024, preliminary data from the ongoing trial were presented at the ESMO Congress. The data were also presented at the International Gynecologic Cancer Society Annual Global Meeting in October 2024. 33 and 29 patients in 1 mg/kg and 2 mg/kg BNT316/ONC-392 (gotistobart) dose groups, respectively, were observed to have an unconfirmed ORR of 25% and 27.6%, respectively. Grade ≥3 TEAEs related to either drug were observed in 45.5% and 41.4% of patients in the 1 mg/kg and 2 mg/kg groups, respectively. In summary, these data suggest encouraging preliminary clinical activity and a manageable tolerability profile with no new safety signals detected.</w:t>
      </w:r>
    </w:p>
    <w:p>
      <w:pPr>
        <w:spacing w:after="0" w:line="4" w:lineRule="exact"/>
        <w:rPr>
          <w:rFonts w:ascii="Arial" w:cs="Arial" w:eastAsia="Arial" w:hAnsi="Arial"/>
          <w:sz w:val="13"/>
          <w:szCs w:val="13"/>
          <w:color w:val="auto"/>
        </w:rPr>
      </w:pPr>
    </w:p>
    <w:p>
      <w:pPr>
        <w:ind w:left="380"/>
        <w:spacing w:after="0" w:line="210" w:lineRule="auto"/>
        <w:rPr>
          <w:rFonts w:ascii="Arial" w:cs="Arial" w:eastAsia="Arial" w:hAnsi="Arial"/>
          <w:sz w:val="13"/>
          <w:szCs w:val="13"/>
          <w:color w:val="auto"/>
        </w:rPr>
      </w:pPr>
      <w:r>
        <w:rPr>
          <w:rFonts w:ascii="Arial" w:cs="Arial" w:eastAsia="Arial" w:hAnsi="Arial"/>
          <w:sz w:val="13"/>
          <w:szCs w:val="13"/>
          <w:i w:val="1"/>
          <w:iCs w:val="1"/>
          <w:u w:val="single" w:color="auto"/>
          <w:color w:val="auto"/>
        </w:rPr>
        <w:t>Ongoing Phase 1/2 Clinical Trial in Metastatic Castration Resistant Prostate Cancer</w:t>
      </w:r>
    </w:p>
    <w:p>
      <w:pPr>
        <w:ind w:left="380" w:right="2260" w:firstLine="3"/>
        <w:spacing w:after="0" w:line="226" w:lineRule="auto"/>
        <w:tabs>
          <w:tab w:leader="none" w:pos="504" w:val="left"/>
        </w:tabs>
        <w:numPr>
          <w:ilvl w:val="0"/>
          <w:numId w:val="16"/>
        </w:numPr>
        <w:rPr>
          <w:rFonts w:ascii="Arial" w:cs="Arial" w:eastAsia="Arial" w:hAnsi="Arial"/>
          <w:sz w:val="13"/>
          <w:szCs w:val="13"/>
          <w:color w:val="auto"/>
        </w:rPr>
      </w:pPr>
      <w:r>
        <w:rPr>
          <w:rFonts w:ascii="Arial" w:cs="Arial" w:eastAsia="Arial" w:hAnsi="Arial"/>
          <w:sz w:val="13"/>
          <w:szCs w:val="13"/>
          <w:color w:val="auto"/>
        </w:rPr>
        <w:t>Phase 1/2 clinical trial (PRESERVE-006; NCT05682443) is being conducted to evaluate the safety and efficacy of BNT316/ONC-392 (gotistobart) in combination with lutetium Lu-177 vipivotide tetraxetan in patients with mCRPC who have disease progressed on androgen receptor pathway inhibition. The trial is expected to</w:t>
      </w:r>
    </w:p>
    <w:p>
      <w:pPr>
        <w:sectPr>
          <w:pgSz w:w="11900" w:h="16840" w:orient="portrait"/>
          <w:cols w:equalWidth="0" w:num="1">
            <w:col w:w="9020"/>
          </w:cols>
          <w:pgMar w:left="1440" w:top="553" w:right="1440" w:bottom="7" w:gutter="0" w:footer="0" w:header="0"/>
        </w:sectPr>
      </w:pPr>
    </w:p>
    <w:bookmarkStart w:id="82" w:name="page83"/>
    <w:bookmarkEnd w:id="82"/>
    <w:p>
      <w:pPr>
        <w:ind w:left="380"/>
        <w:spacing w:after="0"/>
        <w:rPr>
          <w:sz w:val="20"/>
          <w:szCs w:val="20"/>
          <w:color w:val="auto"/>
        </w:rPr>
      </w:pPr>
      <w:r>
        <w:rPr>
          <w:rFonts w:ascii="Arial" w:cs="Arial" w:eastAsia="Arial" w:hAnsi="Arial"/>
          <w:sz w:val="13"/>
          <w:szCs w:val="13"/>
          <w:color w:val="auto"/>
        </w:rPr>
        <w:t>enroll approximately 144 patients at clinical trial sites in the United States. The primary endpoint is PFS.</w:t>
      </w:r>
    </w:p>
    <w:p>
      <w:pPr>
        <w:ind w:left="380"/>
        <w:spacing w:after="0" w:line="210" w:lineRule="auto"/>
        <w:rPr>
          <w:sz w:val="20"/>
          <w:szCs w:val="20"/>
          <w:color w:val="auto"/>
        </w:rPr>
      </w:pPr>
      <w:r>
        <w:rPr>
          <w:rFonts w:ascii="Arial" w:cs="Arial" w:eastAsia="Arial" w:hAnsi="Arial"/>
          <w:sz w:val="13"/>
          <w:szCs w:val="13"/>
          <w:i w:val="1"/>
          <w:iCs w:val="1"/>
          <w:u w:val="single" w:color="auto"/>
          <w:color w:val="auto"/>
        </w:rPr>
        <w:t>Ongoing Phase 1/2 Clinical Trial in Advanced or Metastatic Solid Tumors</w:t>
      </w:r>
    </w:p>
    <w:p>
      <w:pPr>
        <w:spacing w:after="0" w:line="1" w:lineRule="exact"/>
        <w:rPr>
          <w:sz w:val="20"/>
          <w:szCs w:val="20"/>
          <w:color w:val="auto"/>
        </w:rPr>
      </w:pPr>
    </w:p>
    <w:p>
      <w:pPr>
        <w:ind w:left="380" w:right="2100" w:firstLine="3"/>
        <w:spacing w:after="0" w:line="210" w:lineRule="auto"/>
        <w:tabs>
          <w:tab w:leader="none" w:pos="504" w:val="left"/>
        </w:tabs>
        <w:numPr>
          <w:ilvl w:val="0"/>
          <w:numId w:val="17"/>
        </w:numPr>
        <w:rPr>
          <w:rFonts w:ascii="Arial" w:cs="Arial" w:eastAsia="Arial" w:hAnsi="Arial"/>
          <w:sz w:val="13"/>
          <w:szCs w:val="13"/>
          <w:color w:val="auto"/>
        </w:rPr>
      </w:pPr>
      <w:r>
        <w:rPr>
          <w:rFonts w:ascii="Arial" w:cs="Arial" w:eastAsia="Arial" w:hAnsi="Arial"/>
          <w:sz w:val="13"/>
          <w:szCs w:val="13"/>
          <w:color w:val="auto"/>
        </w:rPr>
        <w:t>first-in-human Phase 1/2 open-label dose escalation clinical trial (NCT04140526) evaluating BNT316/ONC-392 (gotistobart) as monotherapy and in combination with pembrolizumab in patients with advanced or metastatic solid tumors is ongoing.</w:t>
      </w:r>
    </w:p>
    <w:p>
      <w:pPr>
        <w:spacing w:after="0" w:line="1" w:lineRule="exact"/>
        <w:rPr>
          <w:rFonts w:ascii="Arial" w:cs="Arial" w:eastAsia="Arial" w:hAnsi="Arial"/>
          <w:sz w:val="13"/>
          <w:szCs w:val="13"/>
          <w:color w:val="auto"/>
        </w:rPr>
      </w:pPr>
    </w:p>
    <w:p>
      <w:pPr>
        <w:ind w:left="380"/>
        <w:spacing w:after="0" w:line="210" w:lineRule="auto"/>
        <w:rPr>
          <w:rFonts w:ascii="Arial" w:cs="Arial" w:eastAsia="Arial" w:hAnsi="Arial"/>
          <w:sz w:val="13"/>
          <w:szCs w:val="13"/>
          <w:color w:val="auto"/>
        </w:rPr>
      </w:pPr>
      <w:r>
        <w:rPr>
          <w:rFonts w:ascii="Arial" w:cs="Arial" w:eastAsia="Arial" w:hAnsi="Arial"/>
          <w:sz w:val="13"/>
          <w:szCs w:val="13"/>
          <w:color w:val="3C9673"/>
        </w:rPr>
        <w:t>b) Targeted Cancer Antibodies</w:t>
      </w:r>
    </w:p>
    <w:p>
      <w:pPr>
        <w:ind w:left="380"/>
        <w:spacing w:after="0" w:line="210" w:lineRule="auto"/>
        <w:rPr>
          <w:rFonts w:ascii="Arial" w:cs="Arial" w:eastAsia="Arial" w:hAnsi="Arial"/>
          <w:sz w:val="13"/>
          <w:szCs w:val="13"/>
          <w:color w:val="auto"/>
        </w:rPr>
      </w:pPr>
      <w:r>
        <w:rPr>
          <w:rFonts w:ascii="Arial" w:cs="Arial" w:eastAsia="Arial" w:hAnsi="Arial"/>
          <w:sz w:val="13"/>
          <w:szCs w:val="13"/>
          <w:i w:val="1"/>
          <w:iCs w:val="1"/>
          <w:color w:val="3C9673"/>
        </w:rPr>
        <w:t>i. BNT321 for the Treatment of Pancreatic Cancer</w:t>
      </w:r>
    </w:p>
    <w:p>
      <w:pPr>
        <w:jc w:val="both"/>
        <w:ind w:left="380" w:right="2120"/>
        <w:spacing w:after="0" w:line="210" w:lineRule="auto"/>
        <w:rPr>
          <w:rFonts w:ascii="Arial" w:cs="Arial" w:eastAsia="Arial" w:hAnsi="Arial"/>
          <w:sz w:val="13"/>
          <w:szCs w:val="13"/>
          <w:color w:val="auto"/>
        </w:rPr>
      </w:pPr>
      <w:r>
        <w:rPr>
          <w:rFonts w:ascii="Arial" w:cs="Arial" w:eastAsia="Arial" w:hAnsi="Arial"/>
          <w:sz w:val="13"/>
          <w:szCs w:val="13"/>
          <w:color w:val="auto"/>
        </w:rPr>
        <w:t>BNT321 is a high affinity, fully human IgG1 monoclonal antibody targeting sialyl Lewis A, or sLea, an epitope on CA19-9 which is expressed in pancreatic and other gastrointestinal cancers. sLea plays a role in tumor adhesion and metastasis formation and is a marker of an aggressive cancer phenotype.</w:t>
      </w:r>
    </w:p>
    <w:p>
      <w:pPr>
        <w:spacing w:after="0" w:line="1" w:lineRule="exact"/>
        <w:rPr>
          <w:rFonts w:ascii="Arial" w:cs="Arial" w:eastAsia="Arial" w:hAnsi="Arial"/>
          <w:sz w:val="13"/>
          <w:szCs w:val="13"/>
          <w:color w:val="auto"/>
        </w:rPr>
      </w:pPr>
    </w:p>
    <w:p>
      <w:pPr>
        <w:ind w:left="380"/>
        <w:spacing w:after="0"/>
        <w:rPr>
          <w:rFonts w:ascii="Arial" w:cs="Arial" w:eastAsia="Arial" w:hAnsi="Arial"/>
          <w:sz w:val="13"/>
          <w:szCs w:val="13"/>
          <w:color w:val="auto"/>
        </w:rPr>
      </w:pPr>
      <w:r>
        <w:rPr>
          <w:rFonts w:ascii="Arial" w:cs="Arial" w:eastAsia="Arial" w:hAnsi="Arial"/>
          <w:sz w:val="13"/>
          <w:szCs w:val="13"/>
          <w:color w:val="auto"/>
        </w:rPr>
        <w:t>In January 2025, clinical trials involving BNT321 were discontinued.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118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i w:val="1"/>
          <w:iCs w:val="1"/>
          <w:u w:val="single" w:color="auto"/>
          <w:color w:val="auto"/>
        </w:rPr>
        <w:t>Phase 1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400"/>
        <w:spacing w:after="0" w:line="210" w:lineRule="auto"/>
        <w:rPr>
          <w:sz w:val="20"/>
          <w:szCs w:val="20"/>
          <w:color w:val="auto"/>
        </w:rPr>
      </w:pPr>
      <w:r>
        <w:rPr>
          <w:rFonts w:ascii="Arial" w:cs="Arial" w:eastAsia="Arial" w:hAnsi="Arial"/>
          <w:sz w:val="13"/>
          <w:szCs w:val="13"/>
          <w:color w:val="auto"/>
        </w:rPr>
        <w:t>A Phase 1 trial (NCT02672917) evaluated BNT321 monotherapy and in combination with mFOLFIRINOX in patients with advanced PDAC and other CA19-9+ tumors.</w:t>
      </w:r>
    </w:p>
    <w:p>
      <w:pPr>
        <w:spacing w:after="0" w:line="1" w:lineRule="exact"/>
        <w:rPr>
          <w:sz w:val="20"/>
          <w:szCs w:val="20"/>
          <w:color w:val="auto"/>
        </w:rPr>
      </w:pPr>
    </w:p>
    <w:p>
      <w:pPr>
        <w:ind w:left="380" w:right="2560"/>
        <w:spacing w:after="0"/>
        <w:rPr>
          <w:sz w:val="20"/>
          <w:szCs w:val="20"/>
          <w:color w:val="auto"/>
        </w:rPr>
      </w:pPr>
      <w:r>
        <w:rPr>
          <w:rFonts w:ascii="Arial" w:cs="Arial" w:eastAsia="Arial" w:hAnsi="Arial"/>
          <w:sz w:val="13"/>
          <w:szCs w:val="13"/>
          <w:color w:val="auto"/>
        </w:rPr>
        <w:t>•Data from the trial were presented at the ASCO Gastrointestinal Cancer Symposium 2024. Preclinically, BNT321 binding was observed to be highly specific and restricted to cancer tissues with sLea expression. The most frequent dose- limiting toxicities, or DLTs, for both monotherapy and for mFOLFIRINOX combination therapy were hepatic transaminase elevations. DLTs generally occurred in cycle 1 and did not preclude subsequent BNT321 administration at reduced doses. BNT321 in combination with mFOLFIRINOX was tolerable for multiple cycles. Clinical activity (27% PR, RECIST) was observed in patients receiving the combination as first or subsequent line therapy for advanced disease.</w:t>
      </w:r>
    </w:p>
    <w:p>
      <w:pPr>
        <w:ind w:left="380"/>
        <w:spacing w:after="0" w:line="218" w:lineRule="auto"/>
        <w:rPr>
          <w:sz w:val="20"/>
          <w:szCs w:val="20"/>
          <w:color w:val="auto"/>
        </w:rPr>
      </w:pPr>
      <w:r>
        <w:rPr>
          <w:rFonts w:ascii="Arial" w:cs="Arial" w:eastAsia="Arial" w:hAnsi="Arial"/>
          <w:sz w:val="13"/>
          <w:szCs w:val="13"/>
          <w:i w:val="1"/>
          <w:iCs w:val="1"/>
          <w:u w:val="single" w:color="auto"/>
          <w:color w:val="auto"/>
        </w:rPr>
        <w:t>Phase 1/2 Clinical Trial</w:t>
      </w:r>
    </w:p>
    <w:p>
      <w:pPr>
        <w:jc w:val="both"/>
        <w:ind w:left="380" w:right="2220"/>
        <w:spacing w:after="0" w:line="210" w:lineRule="auto"/>
        <w:rPr>
          <w:sz w:val="20"/>
          <w:szCs w:val="20"/>
          <w:color w:val="auto"/>
        </w:rPr>
      </w:pPr>
      <w:r>
        <w:rPr>
          <w:rFonts w:ascii="Arial" w:cs="Arial" w:eastAsia="Arial" w:hAnsi="Arial"/>
          <w:sz w:val="13"/>
          <w:szCs w:val="13"/>
          <w:color w:val="auto"/>
        </w:rPr>
        <w:t>In April 2024, the first patient was dosed in a Phase 1/2 trial (NCT06069778) evaluating the safety, tolerability, and efficacy of BNT321 in combination with mFOLFIRINOX as an adjuvant therapy following curative resection in patients with PDAC.</w:t>
      </w:r>
    </w:p>
    <w:p>
      <w:pPr>
        <w:ind w:left="380"/>
        <w:spacing w:after="0" w:line="213" w:lineRule="auto"/>
        <w:rPr>
          <w:sz w:val="20"/>
          <w:szCs w:val="20"/>
          <w:color w:val="auto"/>
        </w:rPr>
      </w:pPr>
      <w:r>
        <w:rPr>
          <w:rFonts w:ascii="Arial" w:cs="Arial" w:eastAsia="Arial" w:hAnsi="Arial"/>
          <w:sz w:val="13"/>
          <w:szCs w:val="13"/>
          <w:color w:val="3C9673"/>
        </w:rPr>
        <w:t>c) Antibody Drug Conjugates</w:t>
      </w:r>
    </w:p>
    <w:p>
      <w:pPr>
        <w:ind w:left="380"/>
        <w:spacing w:after="0" w:line="211" w:lineRule="auto"/>
        <w:rPr>
          <w:sz w:val="20"/>
          <w:szCs w:val="20"/>
          <w:color w:val="auto"/>
        </w:rPr>
      </w:pPr>
      <w:r>
        <w:rPr>
          <w:rFonts w:ascii="Arial" w:cs="Arial" w:eastAsia="Arial" w:hAnsi="Arial"/>
          <w:sz w:val="13"/>
          <w:szCs w:val="13"/>
          <w:i w:val="1"/>
          <w:iCs w:val="1"/>
          <w:color w:val="3C9673"/>
        </w:rPr>
        <w:t>i. BNT323/DB-1303, an ADC in Development in Collaboration with DualityBio</w:t>
      </w:r>
    </w:p>
    <w:p>
      <w:pPr>
        <w:ind w:left="380" w:right="2200"/>
        <w:spacing w:after="0" w:line="210" w:lineRule="auto"/>
        <w:rPr>
          <w:sz w:val="20"/>
          <w:szCs w:val="20"/>
          <w:color w:val="auto"/>
        </w:rPr>
      </w:pPr>
      <w:r>
        <w:rPr>
          <w:rFonts w:ascii="Arial" w:cs="Arial" w:eastAsia="Arial" w:hAnsi="Arial"/>
          <w:sz w:val="13"/>
          <w:szCs w:val="13"/>
          <w:color w:val="auto"/>
        </w:rPr>
        <w:t>BNT323/DB -1303 is a topoisomerase-1 inhibitor-based ADC directed against Human Epidermal Growth Factor Receptor 2, or HER2, a target that is over-expressed in a variety of cancers and contributes to the aggressive growth and spread of cancer cells. The program received Fast Track Designation from the FDA for endometrial cancer in 2023. In 2023, the FDA also granted Breakthrough Therapy designation for BNT323/DB-1303 for the potential treatment of advanced endometrial cancer in patients who progressed on or after treatment with immune checkpoint inhibitors.</w:t>
      </w:r>
    </w:p>
    <w:p>
      <w:pPr>
        <w:spacing w:after="0" w:line="4"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i w:val="1"/>
          <w:iCs w:val="1"/>
          <w:u w:val="single" w:color="auto"/>
          <w:color w:val="auto"/>
        </w:rPr>
        <w:t>Ongoing BNT323/DB-1303 Phase 3 Clinical Trial in Advanced or Metastatic Hormone Receptor-positive, or HR+, HER2-low Breast Cancer</w:t>
      </w:r>
    </w:p>
    <w:p>
      <w:pPr>
        <w:spacing w:after="0" w:line="1"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An ongoing randomized, multi-site, open-label, pivotal Phase 3 clinical trial (DYNASTY-Breast02; NCT06018337) is recruiting to evaluate BNT323/DB-1303 versus the investigator’s choice of chemotherapy in advanced or metastatic HR+, HER2-low breast cancer subjects whose disease has progressed on at least two lines of prior endocrine therapy or within six months of first -line endocrine therapy and cyclin-dependent 4/6, or CDK4/6, inhibitor and no prior chemotherapy. The first patient was dosed in January 2024. The trial aims to enroll approximately 532 patients. The primary endpoint is PFS. Secondary endpoints include OS, ORR, DCR, DOR and safety, as well as patient-reported outcomes.</w:t>
      </w:r>
    </w:p>
    <w:p>
      <w:pPr>
        <w:ind w:left="380"/>
        <w:spacing w:after="0" w:line="217" w:lineRule="auto"/>
        <w:rPr>
          <w:sz w:val="20"/>
          <w:szCs w:val="20"/>
          <w:color w:val="auto"/>
        </w:rPr>
      </w:pPr>
      <w:r>
        <w:rPr>
          <w:rFonts w:ascii="Arial" w:cs="Arial" w:eastAsia="Arial" w:hAnsi="Arial"/>
          <w:sz w:val="13"/>
          <w:szCs w:val="13"/>
          <w:color w:val="auto"/>
        </w:rPr>
        <w:t>•In September 2024, a Trial-in-Progress poster was presented at the ESMO Congress.</w:t>
      </w:r>
    </w:p>
    <w:p>
      <w:pPr>
        <w:ind w:left="380" w:right="2220"/>
        <w:spacing w:after="0" w:line="210" w:lineRule="auto"/>
        <w:rPr>
          <w:sz w:val="20"/>
          <w:szCs w:val="20"/>
          <w:color w:val="auto"/>
        </w:rPr>
      </w:pPr>
      <w:r>
        <w:rPr>
          <w:rFonts w:ascii="Arial" w:cs="Arial" w:eastAsia="Arial" w:hAnsi="Arial"/>
          <w:sz w:val="13"/>
          <w:szCs w:val="13"/>
          <w:color w:val="auto"/>
        </w:rPr>
        <w:t>Topline data from the ongoing Phase 3 in patients with HR+ and HER2-low metastatic breast cancer who have progressed on hormone therapy and/or CDK4/6 inhibition is expected in 2026.</w:t>
      </w:r>
    </w:p>
    <w:p>
      <w:pPr>
        <w:spacing w:after="0" w:line="1" w:lineRule="exact"/>
        <w:rPr>
          <w:sz w:val="20"/>
          <w:szCs w:val="20"/>
          <w:color w:val="auto"/>
        </w:rPr>
      </w:pPr>
    </w:p>
    <w:p>
      <w:pPr>
        <w:ind w:left="380" w:right="2260"/>
        <w:spacing w:after="0" w:line="210" w:lineRule="auto"/>
        <w:rPr>
          <w:sz w:val="20"/>
          <w:szCs w:val="20"/>
          <w:color w:val="auto"/>
        </w:rPr>
      </w:pPr>
      <w:r>
        <w:rPr>
          <w:rFonts w:ascii="Arial" w:cs="Arial" w:eastAsia="Arial" w:hAnsi="Arial"/>
          <w:sz w:val="13"/>
          <w:szCs w:val="13"/>
          <w:i w:val="1"/>
          <w:iCs w:val="1"/>
          <w:u w:val="single" w:color="auto"/>
          <w:color w:val="auto"/>
        </w:rPr>
        <w:t xml:space="preserve">Ongoing BNT323/DB-1303 Phase 1/2 Clinical Trial in Advanced or Metastatic HER2-expressing Solid Tumors </w:t>
      </w:r>
      <w:r>
        <w:rPr>
          <w:rFonts w:ascii="Arial" w:cs="Arial" w:eastAsia="Arial" w:hAnsi="Arial"/>
          <w:sz w:val="13"/>
          <w:szCs w:val="13"/>
          <w:color w:val="auto"/>
        </w:rPr>
        <w:t>BNT323/DB-1303 is being evaluated in an ongoing multi-center, non- randomized, open-label, multiple dose, first-in-human Phase 1/2 clinical trial (NCT05150691) in patients with advanced/unresectable, recurrent, or metastatic HER2-expressing solid tumors, including HER2-expressing breast cancer and endometrial cancer. •A potential registrational single-arm trial enrolling HER2-expressing (IHC3+, 2+, 1+ or ISH-positive) patients with endometrial carcinoma has completed enrollment.</w:t>
      </w:r>
    </w:p>
    <w:p>
      <w:pPr>
        <w:spacing w:after="0" w:line="4" w:lineRule="exact"/>
        <w:rPr>
          <w:sz w:val="20"/>
          <w:szCs w:val="20"/>
          <w:color w:val="auto"/>
        </w:rPr>
      </w:pPr>
    </w:p>
    <w:p>
      <w:pPr>
        <w:ind w:left="380" w:right="2740"/>
        <w:spacing w:after="0" w:line="234" w:lineRule="auto"/>
        <w:rPr>
          <w:sz w:val="20"/>
          <w:szCs w:val="20"/>
          <w:color w:val="auto"/>
        </w:rPr>
      </w:pPr>
      <w:r>
        <w:rPr>
          <w:rFonts w:ascii="Arial" w:cs="Arial" w:eastAsia="Arial" w:hAnsi="Arial"/>
          <w:sz w:val="13"/>
          <w:szCs w:val="13"/>
          <w:color w:val="auto"/>
        </w:rPr>
        <w:t>•A confirmatory Phase 3 trial (NCT06340568) to evaluate BNT323/DB-1303 in patients with advanced endometrial cancer is in planning.</w:t>
      </w:r>
    </w:p>
    <w:p>
      <w:pPr>
        <w:sectPr>
          <w:pgSz w:w="11900" w:h="16840" w:orient="portrait"/>
          <w:cols w:equalWidth="0" w:num="1">
            <w:col w:w="9020"/>
          </w:cols>
          <w:pgMar w:left="1440" w:top="554" w:right="1440" w:bottom="1440" w:gutter="0" w:footer="0" w:header="0"/>
        </w:sectPr>
      </w:pPr>
    </w:p>
    <w:bookmarkStart w:id="83" w:name="page84"/>
    <w:bookmarkEnd w:id="83"/>
    <w:p>
      <w:pPr>
        <w:spacing w:after="0" w:line="4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119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i w:val="1"/>
          <w:iCs w:val="1"/>
          <w:color w:val="3C9673"/>
        </w:rPr>
        <w:t>ii. BNT324/DB-1311, an ADC in Development in Collaboration with DualityBio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40"/>
        <w:spacing w:after="0" w:line="210" w:lineRule="auto"/>
        <w:rPr>
          <w:sz w:val="20"/>
          <w:szCs w:val="20"/>
          <w:color w:val="auto"/>
        </w:rPr>
      </w:pPr>
      <w:r>
        <w:rPr>
          <w:rFonts w:ascii="Arial" w:cs="Arial" w:eastAsia="Arial" w:hAnsi="Arial"/>
          <w:sz w:val="13"/>
          <w:szCs w:val="13"/>
          <w:color w:val="auto"/>
        </w:rPr>
        <w:t>BNT324/DB-1311 is a topoisomerase-1 inhibitor-based ADC directed against B7H3. In June 2024, we and DualityBio received Fast Track Designation for BNT324/DB-1311 from the FDA for the treatment of patients with advanced/unresectable, or metastatic CRPC, who have progressed on or after standard systemic regimens. In July 2024, we and DualityBio received Orphan Drug Designation for BNT324/DB-1311 from the FDA for the treatment of patients with advanced or metastatic esophageal squamous cell carcinoma.</w:t>
      </w:r>
    </w:p>
    <w:p>
      <w:pPr>
        <w:ind w:left="380"/>
        <w:spacing w:after="0" w:line="215" w:lineRule="auto"/>
        <w:rPr>
          <w:sz w:val="20"/>
          <w:szCs w:val="20"/>
          <w:color w:val="auto"/>
        </w:rPr>
      </w:pPr>
      <w:r>
        <w:rPr>
          <w:rFonts w:ascii="Arial" w:cs="Arial" w:eastAsia="Arial" w:hAnsi="Arial"/>
          <w:sz w:val="13"/>
          <w:szCs w:val="13"/>
          <w:i w:val="1"/>
          <w:iCs w:val="1"/>
          <w:u w:val="single" w:color="auto"/>
          <w:color w:val="auto"/>
        </w:rPr>
        <w:t>Ongoing BNT324/DB-1311 Phase 1/2 Clinical Trial in Advanced Solid Tumors</w:t>
      </w:r>
    </w:p>
    <w:p>
      <w:pPr>
        <w:ind w:left="380" w:right="2120" w:firstLine="3"/>
        <w:spacing w:after="0" w:line="210" w:lineRule="auto"/>
        <w:tabs>
          <w:tab w:leader="none" w:pos="504" w:val="left"/>
        </w:tabs>
        <w:numPr>
          <w:ilvl w:val="0"/>
          <w:numId w:val="18"/>
        </w:numPr>
        <w:rPr>
          <w:rFonts w:ascii="Arial" w:cs="Arial" w:eastAsia="Arial" w:hAnsi="Arial"/>
          <w:sz w:val="13"/>
          <w:szCs w:val="13"/>
          <w:color w:val="auto"/>
        </w:rPr>
      </w:pPr>
      <w:r>
        <w:rPr>
          <w:rFonts w:ascii="Arial" w:cs="Arial" w:eastAsia="Arial" w:hAnsi="Arial"/>
          <w:sz w:val="13"/>
          <w:szCs w:val="13"/>
          <w:color w:val="auto"/>
        </w:rPr>
        <w:t>first-in-human, multi-center, open-label, dose escalation and dose-expansion Phase 1/2 clinical trial evaluating the safety and tolerability of BNT324/DB-1311 in patients with advanced solid tumors has been initiated and the first patient was dosed in September 2023.</w:t>
      </w:r>
    </w:p>
    <w:p>
      <w:pPr>
        <w:spacing w:after="0" w:line="1" w:lineRule="exact"/>
        <w:rPr>
          <w:rFonts w:ascii="Arial" w:cs="Arial" w:eastAsia="Arial" w:hAnsi="Arial"/>
          <w:sz w:val="13"/>
          <w:szCs w:val="13"/>
          <w:color w:val="auto"/>
        </w:rPr>
      </w:pPr>
    </w:p>
    <w:p>
      <w:pPr>
        <w:ind w:left="380" w:right="2520"/>
        <w:spacing w:after="0" w:line="210" w:lineRule="auto"/>
        <w:rPr>
          <w:rFonts w:ascii="Arial" w:cs="Arial" w:eastAsia="Arial" w:hAnsi="Arial"/>
          <w:sz w:val="13"/>
          <w:szCs w:val="13"/>
          <w:color w:val="auto"/>
        </w:rPr>
      </w:pPr>
      <w:r>
        <w:rPr>
          <w:rFonts w:ascii="Arial" w:cs="Arial" w:eastAsia="Arial" w:hAnsi="Arial"/>
          <w:sz w:val="13"/>
          <w:szCs w:val="13"/>
          <w:color w:val="auto"/>
        </w:rPr>
        <w:t>•In December 2024, preliminary tumor-specific dose optimization data from the trial were presented at the ESMO Asia Congress, demonstrating encouraging efficacy and manageable safety across a range of advanced solid tumors.</w:t>
      </w:r>
    </w:p>
    <w:p>
      <w:pPr>
        <w:spacing w:after="0" w:line="1" w:lineRule="exact"/>
        <w:rPr>
          <w:rFonts w:ascii="Arial" w:cs="Arial" w:eastAsia="Arial" w:hAnsi="Arial"/>
          <w:sz w:val="13"/>
          <w:szCs w:val="13"/>
          <w:color w:val="auto"/>
        </w:rPr>
      </w:pPr>
    </w:p>
    <w:p>
      <w:pPr>
        <w:ind w:left="380"/>
        <w:spacing w:after="0" w:line="210" w:lineRule="auto"/>
        <w:rPr>
          <w:rFonts w:ascii="Arial" w:cs="Arial" w:eastAsia="Arial" w:hAnsi="Arial"/>
          <w:sz w:val="13"/>
          <w:szCs w:val="13"/>
          <w:color w:val="auto"/>
        </w:rPr>
      </w:pPr>
      <w:r>
        <w:rPr>
          <w:rFonts w:ascii="Arial" w:cs="Arial" w:eastAsia="Arial" w:hAnsi="Arial"/>
          <w:sz w:val="13"/>
          <w:szCs w:val="13"/>
          <w:i w:val="1"/>
          <w:iCs w:val="1"/>
          <w:color w:val="3C9673"/>
        </w:rPr>
        <w:t>iii. BNT325/DB-1305, an ADC in Development in Collaboration with DualityBio</w:t>
      </w:r>
    </w:p>
    <w:p>
      <w:pPr>
        <w:ind w:left="380" w:right="2140"/>
        <w:spacing w:after="0" w:line="210" w:lineRule="auto"/>
        <w:rPr>
          <w:rFonts w:ascii="Arial" w:cs="Arial" w:eastAsia="Arial" w:hAnsi="Arial"/>
          <w:sz w:val="13"/>
          <w:szCs w:val="13"/>
          <w:color w:val="auto"/>
        </w:rPr>
      </w:pPr>
      <w:r>
        <w:rPr>
          <w:rFonts w:ascii="Arial" w:cs="Arial" w:eastAsia="Arial" w:hAnsi="Arial"/>
          <w:sz w:val="13"/>
          <w:szCs w:val="13"/>
          <w:color w:val="auto"/>
        </w:rPr>
        <w:t>BNT325/DB-1305 is a topoisomerase-1 inhibitor-based ADC directed against TROP2. In January 2024, we and DualityBio received Fast Track Designation for BNT325/DB-1305 from the FDA for the treatment of patients with PROC, fallopian tube, or primary peritoneal cancer in patients who have received one to three prior systemic treatment regimens.</w:t>
      </w:r>
    </w:p>
    <w:p>
      <w:pPr>
        <w:spacing w:after="0" w:line="2" w:lineRule="exact"/>
        <w:rPr>
          <w:rFonts w:ascii="Arial" w:cs="Arial" w:eastAsia="Arial" w:hAnsi="Arial"/>
          <w:sz w:val="13"/>
          <w:szCs w:val="13"/>
          <w:color w:val="auto"/>
        </w:rPr>
      </w:pPr>
    </w:p>
    <w:p>
      <w:pPr>
        <w:ind w:left="380"/>
        <w:spacing w:after="0" w:line="210" w:lineRule="auto"/>
        <w:rPr>
          <w:rFonts w:ascii="Arial" w:cs="Arial" w:eastAsia="Arial" w:hAnsi="Arial"/>
          <w:sz w:val="13"/>
          <w:szCs w:val="13"/>
          <w:color w:val="auto"/>
        </w:rPr>
      </w:pPr>
      <w:r>
        <w:rPr>
          <w:rFonts w:ascii="Arial" w:cs="Arial" w:eastAsia="Arial" w:hAnsi="Arial"/>
          <w:sz w:val="13"/>
          <w:szCs w:val="13"/>
          <w:i w:val="1"/>
          <w:iCs w:val="1"/>
          <w:u w:val="single" w:color="auto"/>
          <w:color w:val="auto"/>
        </w:rPr>
        <w:t>Ongoing BNT325/DB-1305 Phase 1/2 Clinical Trial in Advanced Solid Tumors</w:t>
      </w:r>
    </w:p>
    <w:p>
      <w:pPr>
        <w:ind w:left="380" w:right="2220" w:firstLine="3"/>
        <w:spacing w:after="0" w:line="210" w:lineRule="auto"/>
        <w:tabs>
          <w:tab w:leader="none" w:pos="504" w:val="left"/>
        </w:tabs>
        <w:numPr>
          <w:ilvl w:val="0"/>
          <w:numId w:val="18"/>
        </w:numPr>
        <w:rPr>
          <w:rFonts w:ascii="Arial" w:cs="Arial" w:eastAsia="Arial" w:hAnsi="Arial"/>
          <w:sz w:val="13"/>
          <w:szCs w:val="13"/>
          <w:color w:val="auto"/>
        </w:rPr>
      </w:pPr>
      <w:r>
        <w:rPr>
          <w:rFonts w:ascii="Arial" w:cs="Arial" w:eastAsia="Arial" w:hAnsi="Arial"/>
          <w:sz w:val="13"/>
          <w:szCs w:val="13"/>
          <w:color w:val="auto"/>
        </w:rPr>
        <w:t>multi-center, non-randomized, open-label, multiple-dose, first-in-human Phase 1/2a clinical trial (NCT05438329) evaluating BNT325/DB-1305 in patients with advanced solid tumors is ongoing. As part of this clinical trial, BNT325/DB-1305 is being studied in combination with BNT327 in various solid tumor indications. We plan to present first clinical data from the ongoing global Phase 1/2 expansion cohorts evaluating BNT327 plus BNT325/DB-1305 in multiple solid tumors in 2025.</w:t>
      </w:r>
    </w:p>
    <w:p>
      <w:pPr>
        <w:spacing w:after="0" w:line="2" w:lineRule="exact"/>
        <w:rPr>
          <w:rFonts w:ascii="Arial" w:cs="Arial" w:eastAsia="Arial" w:hAnsi="Arial"/>
          <w:sz w:val="13"/>
          <w:szCs w:val="13"/>
          <w:color w:val="auto"/>
        </w:rPr>
      </w:pPr>
    </w:p>
    <w:p>
      <w:pPr>
        <w:ind w:left="380"/>
        <w:spacing w:after="0" w:line="210" w:lineRule="auto"/>
        <w:rPr>
          <w:rFonts w:ascii="Arial" w:cs="Arial" w:eastAsia="Arial" w:hAnsi="Arial"/>
          <w:sz w:val="13"/>
          <w:szCs w:val="13"/>
          <w:color w:val="auto"/>
        </w:rPr>
      </w:pPr>
      <w:r>
        <w:rPr>
          <w:rFonts w:ascii="Arial" w:cs="Arial" w:eastAsia="Arial" w:hAnsi="Arial"/>
          <w:sz w:val="13"/>
          <w:szCs w:val="13"/>
          <w:i w:val="1"/>
          <w:iCs w:val="1"/>
          <w:color w:val="3C9673"/>
        </w:rPr>
        <w:t>iv. BNT326/YL202, an ADC in Development in Collaboration with MediLink Therapeutics</w:t>
      </w:r>
    </w:p>
    <w:p>
      <w:pPr>
        <w:ind w:left="380" w:right="2140"/>
        <w:spacing w:after="0" w:line="210" w:lineRule="auto"/>
        <w:rPr>
          <w:rFonts w:ascii="Arial" w:cs="Arial" w:eastAsia="Arial" w:hAnsi="Arial"/>
          <w:sz w:val="13"/>
          <w:szCs w:val="13"/>
          <w:color w:val="auto"/>
        </w:rPr>
      </w:pPr>
      <w:r>
        <w:rPr>
          <w:rFonts w:ascii="Arial" w:cs="Arial" w:eastAsia="Arial" w:hAnsi="Arial"/>
          <w:sz w:val="13"/>
          <w:szCs w:val="13"/>
          <w:color w:val="auto"/>
        </w:rPr>
        <w:t>BNT326/YL202 is a topoisomerase-1 inhibitor-based ADC directed against HER3. HER3 is a target that is overexpressed in various cancer types, such as NSCLC and breast cancer, and is closely associated with tumor metastasis and disease progression. Furthermore, HER3 expression is upregulated after frontline drug therapy, making it an adequate target for cancer treatment resistance.</w:t>
      </w:r>
    </w:p>
    <w:p>
      <w:pPr>
        <w:spacing w:after="0" w:line="2" w:lineRule="exact"/>
        <w:rPr>
          <w:rFonts w:ascii="Arial" w:cs="Arial" w:eastAsia="Arial" w:hAnsi="Arial"/>
          <w:sz w:val="13"/>
          <w:szCs w:val="13"/>
          <w:color w:val="auto"/>
        </w:rPr>
      </w:pPr>
    </w:p>
    <w:p>
      <w:pPr>
        <w:ind w:left="380"/>
        <w:spacing w:after="0" w:line="210" w:lineRule="auto"/>
        <w:rPr>
          <w:rFonts w:ascii="Arial" w:cs="Arial" w:eastAsia="Arial" w:hAnsi="Arial"/>
          <w:sz w:val="13"/>
          <w:szCs w:val="13"/>
          <w:color w:val="auto"/>
        </w:rPr>
      </w:pPr>
      <w:r>
        <w:rPr>
          <w:rFonts w:ascii="Arial" w:cs="Arial" w:eastAsia="Arial" w:hAnsi="Arial"/>
          <w:sz w:val="13"/>
          <w:szCs w:val="13"/>
          <w:i w:val="1"/>
          <w:iCs w:val="1"/>
          <w:u w:val="single" w:color="auto"/>
          <w:color w:val="auto"/>
        </w:rPr>
        <w:t>Ongoing BNT326/YL202 Phase 1 Clinical Trial in NSCLC and Breast Cancer</w:t>
      </w:r>
    </w:p>
    <w:p>
      <w:pPr>
        <w:ind w:left="380" w:right="2080" w:firstLine="3"/>
        <w:spacing w:after="0" w:line="210" w:lineRule="auto"/>
        <w:tabs>
          <w:tab w:leader="none" w:pos="504" w:val="left"/>
        </w:tabs>
        <w:numPr>
          <w:ilvl w:val="0"/>
          <w:numId w:val="18"/>
        </w:numPr>
        <w:rPr>
          <w:rFonts w:ascii="Arial" w:cs="Arial" w:eastAsia="Arial" w:hAnsi="Arial"/>
          <w:sz w:val="13"/>
          <w:szCs w:val="13"/>
          <w:color w:val="auto"/>
        </w:rPr>
      </w:pPr>
      <w:r>
        <w:rPr>
          <w:rFonts w:ascii="Arial" w:cs="Arial" w:eastAsia="Arial" w:hAnsi="Arial"/>
          <w:sz w:val="13"/>
          <w:szCs w:val="13"/>
          <w:color w:val="auto"/>
        </w:rPr>
        <w:t>multi-site, international, open-label, first-in-human Phase 1 clinical trial (NCT05653752), sponsored by MediLink, is being conducted to evaluate BNT326/YL202 as a later-line treatment in patients with locally advanced or metastatic EGFR-mutated NSCLC or HR-positive and HER2-negative breast cancer. On August 15, 2024, the FDA lifted the partial clinical hold that was placed on this trial, initially announced on June 17, 2024. Trial recruitment has been reinitiated, and clinical development will focus on dose levels no higher than 3 mg/kg, where the safety profile was manageable and encouraging clinical activity was observed.</w:t>
      </w:r>
    </w:p>
    <w:p>
      <w:pPr>
        <w:spacing w:after="0" w:line="3" w:lineRule="exact"/>
        <w:rPr>
          <w:rFonts w:ascii="Arial" w:cs="Arial" w:eastAsia="Arial" w:hAnsi="Arial"/>
          <w:sz w:val="13"/>
          <w:szCs w:val="13"/>
          <w:color w:val="auto"/>
        </w:rPr>
      </w:pPr>
    </w:p>
    <w:p>
      <w:pPr>
        <w:ind w:left="380"/>
        <w:spacing w:after="0" w:line="210" w:lineRule="auto"/>
        <w:rPr>
          <w:rFonts w:ascii="Arial" w:cs="Arial" w:eastAsia="Arial" w:hAnsi="Arial"/>
          <w:sz w:val="13"/>
          <w:szCs w:val="13"/>
          <w:color w:val="auto"/>
        </w:rPr>
      </w:pPr>
      <w:r>
        <w:rPr>
          <w:rFonts w:ascii="Arial" w:cs="Arial" w:eastAsia="Arial" w:hAnsi="Arial"/>
          <w:sz w:val="13"/>
          <w:szCs w:val="13"/>
          <w:i w:val="1"/>
          <w:iCs w:val="1"/>
          <w:color w:val="auto"/>
        </w:rPr>
        <w:t>4. Oncology Small Molecule Immunomodulator Product Candidates</w:t>
      </w:r>
    </w:p>
    <w:p>
      <w:pPr>
        <w:ind w:left="380"/>
        <w:spacing w:after="0" w:line="210" w:lineRule="auto"/>
        <w:rPr>
          <w:rFonts w:ascii="Arial" w:cs="Arial" w:eastAsia="Arial" w:hAnsi="Arial"/>
          <w:sz w:val="13"/>
          <w:szCs w:val="13"/>
          <w:color w:val="auto"/>
        </w:rPr>
      </w:pPr>
      <w:r>
        <w:rPr>
          <w:rFonts w:ascii="Arial" w:cs="Arial" w:eastAsia="Arial" w:hAnsi="Arial"/>
          <w:sz w:val="13"/>
          <w:szCs w:val="13"/>
          <w:color w:val="3C9673"/>
        </w:rPr>
        <w:t>a. BNT411, a Small Molecule TLR7 Agonist for the Treatment of Solid Tumors, including SCLC</w:t>
      </w:r>
    </w:p>
    <w:p>
      <w:pPr>
        <w:ind w:left="380" w:right="2160"/>
        <w:spacing w:after="0" w:line="210" w:lineRule="auto"/>
        <w:rPr>
          <w:rFonts w:ascii="Arial" w:cs="Arial" w:eastAsia="Arial" w:hAnsi="Arial"/>
          <w:sz w:val="13"/>
          <w:szCs w:val="13"/>
          <w:color w:val="auto"/>
        </w:rPr>
      </w:pPr>
      <w:r>
        <w:rPr>
          <w:rFonts w:ascii="Arial" w:cs="Arial" w:eastAsia="Arial" w:hAnsi="Arial"/>
          <w:sz w:val="13"/>
          <w:szCs w:val="13"/>
          <w:color w:val="auto"/>
        </w:rPr>
        <w:t>BNT411 is a TLR7 agonist that is designed to activate both the adaptive and innate immune system through the TLR7 pathway. This activity and the release of cytokines and chemokines are designed to result in the potent stimulation of antigen-specific CD8+ T cells, B cells and innate immune cells such as natural killer cells, or NK cells, and macrophages.</w:t>
      </w:r>
    </w:p>
    <w:p>
      <w:pPr>
        <w:spacing w:after="0" w:line="2" w:lineRule="exact"/>
        <w:rPr>
          <w:rFonts w:ascii="Arial" w:cs="Arial" w:eastAsia="Arial" w:hAnsi="Arial"/>
          <w:sz w:val="13"/>
          <w:szCs w:val="13"/>
          <w:color w:val="auto"/>
        </w:rPr>
      </w:pPr>
    </w:p>
    <w:p>
      <w:pPr>
        <w:ind w:left="380"/>
        <w:spacing w:after="0"/>
        <w:rPr>
          <w:rFonts w:ascii="Arial" w:cs="Arial" w:eastAsia="Arial" w:hAnsi="Arial"/>
          <w:sz w:val="13"/>
          <w:szCs w:val="13"/>
          <w:color w:val="auto"/>
        </w:rPr>
      </w:pPr>
      <w:r>
        <w:rPr>
          <w:rFonts w:ascii="Arial" w:cs="Arial" w:eastAsia="Arial" w:hAnsi="Arial"/>
          <w:sz w:val="13"/>
          <w:szCs w:val="13"/>
          <w:i w:val="1"/>
          <w:iCs w:val="1"/>
          <w:u w:val="single" w:color="auto"/>
          <w:color w:val="auto"/>
        </w:rPr>
        <w:t>Phase 1/2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120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firstLine="40"/>
        <w:spacing w:after="0" w:line="214" w:lineRule="auto"/>
        <w:tabs>
          <w:tab w:leader="none" w:pos="5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Phase 1/2, first-in-human, open-label, dose escalation trial (NCT04101357) with expansion cohorts evaluating safety, pharmacokinetics, progression of disease and preliminary efficacy of BNT411 as monotherapy in patients with solid tumors and in combination with atezolizumab, carboplatin and etoposide in patients with chemotherapy-naïve ES-SCLC has been discontinued. Final data of the trial have been gathered and evaluated in a clinical study report. The final data were presented at SITC Annual Meeting 2024 and are expected to be published in a scientific journal.</w:t>
      </w:r>
    </w:p>
    <w:p>
      <w:pPr>
        <w:ind w:left="380"/>
        <w:spacing w:after="0" w:line="210" w:lineRule="auto"/>
        <w:rPr>
          <w:rFonts w:ascii="Arial" w:cs="Arial" w:eastAsia="Arial" w:hAnsi="Arial"/>
          <w:sz w:val="13"/>
          <w:szCs w:val="13"/>
          <w:color w:val="auto"/>
        </w:rPr>
      </w:pPr>
      <w:r>
        <w:rPr>
          <w:rFonts w:ascii="Arial" w:cs="Arial" w:eastAsia="Arial" w:hAnsi="Arial"/>
          <w:sz w:val="13"/>
          <w:szCs w:val="13"/>
          <w:b w:val="1"/>
          <w:bCs w:val="1"/>
          <w:color w:val="auto"/>
        </w:rPr>
        <w:t>B. Infectious Disease Programs</w:t>
      </w:r>
    </w:p>
    <w:p>
      <w:pPr>
        <w:ind w:left="520" w:hanging="137"/>
        <w:spacing w:after="0" w:line="210" w:lineRule="auto"/>
        <w:tabs>
          <w:tab w:leader="none" w:pos="520" w:val="left"/>
        </w:tabs>
        <w:numPr>
          <w:ilvl w:val="0"/>
          <w:numId w:val="19"/>
        </w:numPr>
        <w:rPr>
          <w:rFonts w:ascii="Arial" w:cs="Arial" w:eastAsia="Arial" w:hAnsi="Arial"/>
          <w:sz w:val="13"/>
          <w:szCs w:val="13"/>
          <w:i w:val="1"/>
          <w:iCs w:val="1"/>
          <w:color w:val="auto"/>
        </w:rPr>
      </w:pPr>
      <w:r>
        <w:rPr>
          <w:rFonts w:ascii="Arial" w:cs="Arial" w:eastAsia="Arial" w:hAnsi="Arial"/>
          <w:sz w:val="13"/>
          <w:szCs w:val="13"/>
          <w:i w:val="1"/>
          <w:iCs w:val="1"/>
          <w:color w:val="auto"/>
        </w:rPr>
        <w:t>Next-Generation COVID-19 Vaccine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-668020</wp:posOffset>
            </wp:positionV>
            <wp:extent cx="523113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1" w:lineRule="auto"/>
        <w:rPr>
          <w:sz w:val="20"/>
          <w:szCs w:val="20"/>
          <w:color w:val="auto"/>
        </w:rPr>
      </w:pPr>
      <w:r>
        <w:rPr>
          <w:rFonts w:ascii="Arial" w:cs="Arial" w:eastAsia="Arial" w:hAnsi="Arial"/>
          <w:sz w:val="13"/>
          <w:szCs w:val="13"/>
          <w:color w:val="3C9673"/>
        </w:rPr>
        <w:t>BNT162b2 + BNT162b4</w:t>
      </w:r>
    </w:p>
    <w:p>
      <w:pPr>
        <w:spacing w:after="0" w:line="1" w:lineRule="exact"/>
        <w:rPr>
          <w:sz w:val="20"/>
          <w:szCs w:val="20"/>
          <w:color w:val="auto"/>
        </w:rPr>
      </w:pPr>
    </w:p>
    <w:p>
      <w:pPr>
        <w:jc w:val="both"/>
        <w:ind w:left="380" w:right="2200"/>
        <w:spacing w:after="0" w:line="210" w:lineRule="auto"/>
        <w:rPr>
          <w:sz w:val="20"/>
          <w:szCs w:val="20"/>
          <w:color w:val="auto"/>
        </w:rPr>
      </w:pPr>
      <w:r>
        <w:rPr>
          <w:rFonts w:ascii="Arial" w:cs="Arial" w:eastAsia="Arial" w:hAnsi="Arial"/>
          <w:sz w:val="13"/>
          <w:szCs w:val="13"/>
          <w:color w:val="auto"/>
        </w:rPr>
        <w:t>In collaboration with Pfizer, we are aiming to develop a vaccine candidate that enhances and broadens SARS-CoV-2 T- cell responses. BNT162b4 is a next-generation COVID-19 vaccine component designed to elicit T-cell immunity across epitopes. BNT162b4 encodes variant-conserved, immunogenic segments of the SARS-CoV -2 nucleocapsid, membrane, and ORF1ab proteins, targeting diverse human leukocyte antigen, or HLA, alleles.</w:t>
      </w:r>
    </w:p>
    <w:p>
      <w:pPr>
        <w:spacing w:after="0" w:line="2" w:lineRule="exact"/>
        <w:rPr>
          <w:sz w:val="20"/>
          <w:szCs w:val="20"/>
          <w:color w:val="auto"/>
        </w:rPr>
      </w:pPr>
    </w:p>
    <w:p>
      <w:pPr>
        <w:ind w:left="380" w:right="3020"/>
        <w:spacing w:after="0" w:line="210" w:lineRule="auto"/>
        <w:rPr>
          <w:sz w:val="20"/>
          <w:szCs w:val="20"/>
          <w:color w:val="auto"/>
        </w:rPr>
      </w:pPr>
      <w:r>
        <w:rPr>
          <w:rFonts w:ascii="Arial" w:cs="Arial" w:eastAsia="Arial" w:hAnsi="Arial"/>
          <w:sz w:val="13"/>
          <w:szCs w:val="13"/>
          <w:color w:val="auto"/>
        </w:rPr>
        <w:t>•A Phase 1 clinical trial (NCT05541861) to evaluate the safety, tolerability and immunogenicity of BNT162b4 alone or in combination with BNT162b2 is ongoing.</w:t>
      </w:r>
    </w:p>
    <w:p>
      <w:pPr>
        <w:ind w:left="380"/>
        <w:spacing w:after="0" w:line="212" w:lineRule="auto"/>
        <w:rPr>
          <w:sz w:val="20"/>
          <w:szCs w:val="20"/>
          <w:color w:val="auto"/>
        </w:rPr>
      </w:pPr>
      <w:r>
        <w:rPr>
          <w:rFonts w:ascii="Arial" w:cs="Arial" w:eastAsia="Arial" w:hAnsi="Arial"/>
          <w:sz w:val="13"/>
          <w:szCs w:val="13"/>
          <w:i w:val="1"/>
          <w:iCs w:val="1"/>
          <w:color w:val="auto"/>
        </w:rPr>
        <w:t>2. COVID-19 – Influenza Combination mRNA Vaccine Program – BNT162b2 + BNT161</w:t>
      </w:r>
    </w:p>
    <w:p>
      <w:pPr>
        <w:spacing w:after="0" w:line="1"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We and Pfizer are investigating respiratory combination vaccine approaches that aim to simplify immunization practices for health care providers and recipients, helping to reduce the burden of these diseases. Combination vaccines have been an effective approach in overcoming barriers to vaccination by allowing for simple scheduling and fewer injections compared to vaccinations administered separately and/or at different visits to healthcare providers.</w:t>
      </w:r>
    </w:p>
    <w:p>
      <w:pPr>
        <w:spacing w:after="0" w:line="3" w:lineRule="exact"/>
        <w:rPr>
          <w:sz w:val="20"/>
          <w:szCs w:val="20"/>
          <w:color w:val="auto"/>
        </w:rPr>
      </w:pPr>
    </w:p>
    <w:p>
      <w:pPr>
        <w:ind w:left="380" w:right="2560"/>
        <w:spacing w:after="0" w:line="218" w:lineRule="auto"/>
        <w:rPr>
          <w:sz w:val="20"/>
          <w:szCs w:val="20"/>
          <w:color w:val="auto"/>
        </w:rPr>
      </w:pPr>
      <w:r>
        <w:rPr>
          <w:rFonts w:ascii="Arial" w:cs="Arial" w:eastAsia="Arial" w:hAnsi="Arial"/>
          <w:sz w:val="13"/>
          <w:szCs w:val="13"/>
          <w:color w:val="auto"/>
        </w:rPr>
        <w:t>•In August 2024, we and Pfizer announced top -line results from the Phase 3 clinical trial (NCT06178991) evaluating the companies’ mRNA combination vaccine candidate against influenza and COVID- 19 in healthy individuals 18-64 years of age. In this clinical trial, the vaccine candidate was compared to a licensed influenza vaccine and the companies’ licensed COVID-19 vaccine given at the same visit. The primary immunogenicity objectives were to demonstrate that the antibody responses to influenza (hemagglutination inhibition) and to SARS-CoV-2 (neutralizing titer) elicited by the combination vaccine</w:t>
      </w:r>
    </w:p>
    <w:p>
      <w:pPr>
        <w:sectPr>
          <w:pgSz w:w="11900" w:h="16840" w:orient="portrait"/>
          <w:cols w:equalWidth="0" w:num="1">
            <w:col w:w="9020"/>
          </w:cols>
          <w:pgMar w:left="1440" w:top="1440" w:right="1440" w:bottom="0" w:gutter="0" w:footer="0" w:header="0"/>
        </w:sectPr>
      </w:pPr>
    </w:p>
    <w:bookmarkStart w:id="84" w:name="page85"/>
    <w:bookmarkEnd w:id="84"/>
    <w:p>
      <w:pPr>
        <w:ind w:left="380" w:right="2600"/>
        <w:spacing w:after="0" w:line="215" w:lineRule="auto"/>
        <w:rPr>
          <w:sz w:val="20"/>
          <w:szCs w:val="20"/>
          <w:color w:val="auto"/>
        </w:rPr>
      </w:pPr>
      <w:r>
        <w:rPr>
          <w:rFonts w:ascii="Arial" w:cs="Arial" w:eastAsia="Arial" w:hAnsi="Arial"/>
          <w:sz w:val="13"/>
          <w:szCs w:val="13"/>
          <w:color w:val="auto"/>
        </w:rPr>
        <w:t>candidate were non-inferior to standard of care. The trial did not meet one of its primary immunogenicity objectives of non-inferiority against the influenza B strain despite obtaining higher influenza A responses and comparable COVID-19 responses versus the comparator vaccines. No safety signals with the combination vaccine have been identified in an ongoing safety data review.</w:t>
      </w:r>
    </w:p>
    <w:p>
      <w:pPr>
        <w:spacing w:after="0" w:line="2" w:lineRule="exact"/>
        <w:rPr>
          <w:sz w:val="20"/>
          <w:szCs w:val="20"/>
          <w:color w:val="auto"/>
        </w:rPr>
      </w:pPr>
    </w:p>
    <w:p>
      <w:pPr>
        <w:ind w:left="380" w:right="2760"/>
        <w:spacing w:after="0" w:line="210" w:lineRule="auto"/>
        <w:rPr>
          <w:sz w:val="20"/>
          <w:szCs w:val="20"/>
          <w:color w:val="auto"/>
        </w:rPr>
      </w:pPr>
      <w:r>
        <w:rPr>
          <w:rFonts w:ascii="Arial" w:cs="Arial" w:eastAsia="Arial" w:hAnsi="Arial"/>
          <w:sz w:val="13"/>
          <w:szCs w:val="13"/>
          <w:color w:val="auto"/>
        </w:rPr>
        <w:t>•In November 2024, we and Pfizer initiated a randomized, observer-blinded Phase 1/2 clinical trial (NCT06683352) to evaluate the safety, tolerability and immunogenicity of the companies’ mRNA combination vaccine candidate against influenza and COVID-19. The trial aims to enroll 1350 healthy individuals aged 18 years and older.</w:t>
      </w:r>
    </w:p>
    <w:p>
      <w:pPr>
        <w:spacing w:after="0" w:line="2" w:lineRule="exact"/>
        <w:rPr>
          <w:sz w:val="20"/>
          <w:szCs w:val="20"/>
          <w:color w:val="auto"/>
        </w:rPr>
      </w:pPr>
    </w:p>
    <w:p>
      <w:pPr>
        <w:ind w:left="380" w:right="2580"/>
        <w:spacing w:after="0" w:line="210" w:lineRule="auto"/>
        <w:rPr>
          <w:sz w:val="20"/>
          <w:szCs w:val="20"/>
          <w:color w:val="auto"/>
        </w:rPr>
      </w:pPr>
      <w:r>
        <w:rPr>
          <w:rFonts w:ascii="Arial" w:cs="Arial" w:eastAsia="Arial" w:hAnsi="Arial"/>
          <w:sz w:val="13"/>
          <w:szCs w:val="13"/>
          <w:color w:val="auto"/>
        </w:rPr>
        <w:t>•In February 2025, we and Pfizer initiated a randomized, double-blinded Phase 1/2 clinical trial (NCT06821061) to evaluate the safety, tolerability and immunogenicity of the companies’ mRNA vaccine candidates against influenza and COVID-19. The trial aims to enroll 2050 healthy individuals aged 18 years and older.</w:t>
      </w:r>
    </w:p>
    <w:p>
      <w:pPr>
        <w:ind w:left="380"/>
        <w:spacing w:after="0" w:line="214" w:lineRule="auto"/>
        <w:rPr>
          <w:sz w:val="20"/>
          <w:szCs w:val="20"/>
          <w:color w:val="auto"/>
        </w:rPr>
      </w:pPr>
      <w:r>
        <w:rPr>
          <w:rFonts w:ascii="Arial" w:cs="Arial" w:eastAsia="Arial" w:hAnsi="Arial"/>
          <w:sz w:val="13"/>
          <w:szCs w:val="13"/>
          <w:i w:val="1"/>
          <w:iCs w:val="1"/>
          <w:color w:val="auto"/>
        </w:rPr>
        <w:t>3. Influenza Vaccine Program – BNT161</w:t>
      </w:r>
    </w:p>
    <w:p>
      <w:pPr>
        <w:jc w:val="both"/>
        <w:ind w:left="380" w:right="2200"/>
        <w:spacing w:after="0" w:line="210" w:lineRule="auto"/>
        <w:rPr>
          <w:sz w:val="20"/>
          <w:szCs w:val="20"/>
          <w:color w:val="auto"/>
        </w:rPr>
      </w:pPr>
      <w:r>
        <w:rPr>
          <w:rFonts w:ascii="Arial" w:cs="Arial" w:eastAsia="Arial" w:hAnsi="Arial"/>
          <w:sz w:val="13"/>
          <w:szCs w:val="13"/>
          <w:color w:val="auto"/>
        </w:rPr>
        <w:t>In 2018, we and Pfizer entered into an agreement to collaborate on an mRNA program in influenza for an initial period of three years, which ended in 2021. Pfizer has since had the sole responsibility, authority and control of the development, manufacturing and commercialization of all candidates and products related to the program.</w:t>
      </w:r>
    </w:p>
    <w:p>
      <w:pPr>
        <w:spacing w:after="0" w:line="2" w:lineRule="exact"/>
        <w:rPr>
          <w:sz w:val="20"/>
          <w:szCs w:val="20"/>
          <w:color w:val="auto"/>
        </w:rPr>
      </w:pPr>
    </w:p>
    <w:p>
      <w:pPr>
        <w:ind w:left="380" w:right="2520"/>
        <w:spacing w:after="0" w:line="226" w:lineRule="auto"/>
        <w:rPr>
          <w:sz w:val="20"/>
          <w:szCs w:val="20"/>
          <w:color w:val="auto"/>
        </w:rPr>
      </w:pPr>
      <w:r>
        <w:rPr>
          <w:rFonts w:ascii="Arial" w:cs="Arial" w:eastAsia="Arial" w:hAnsi="Arial"/>
          <w:sz w:val="13"/>
          <w:szCs w:val="13"/>
          <w:color w:val="auto"/>
        </w:rPr>
        <w:t>Upon potential approval and commercialization, BioNTech is eligible to receive royalties on Pfizer’s sales. •A Pfizer-initiated randomized Phase 3 clinical trial (NCT05540522) to evaluate the efficacy, safety, tolerability and immunogenicity of an mRNA influenza immunotherapy candidate has been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121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820"/>
        <w:spacing w:after="0" w:line="217" w:lineRule="auto"/>
        <w:rPr>
          <w:sz w:val="20"/>
          <w:szCs w:val="20"/>
          <w:color w:val="auto"/>
        </w:rPr>
      </w:pPr>
      <w:r>
        <w:rPr>
          <w:rFonts w:ascii="Arial" w:cs="Arial" w:eastAsia="Arial" w:hAnsi="Arial"/>
          <w:sz w:val="13"/>
          <w:szCs w:val="13"/>
          <w:color w:val="auto"/>
        </w:rPr>
        <w:t>•Pfizer is developing second-generation candidates with the goal of improving immunogenicity and potentially breadth of protection, including new trivalent formulations that match updated recommendations by the WHO and the FDA’s VRBPAC. These candidates are currently in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i w:val="1"/>
          <w:iCs w:val="1"/>
          <w:color w:val="auto"/>
        </w:rPr>
        <w:t>4 Herpes Simplex Virus Vaccine Program – BNT163</w:t>
      </w:r>
    </w:p>
    <w:p>
      <w:pPr>
        <w:ind w:left="380" w:right="2100"/>
        <w:spacing w:after="0" w:line="210" w:lineRule="auto"/>
        <w:rPr>
          <w:sz w:val="20"/>
          <w:szCs w:val="20"/>
          <w:color w:val="auto"/>
        </w:rPr>
      </w:pPr>
      <w:r>
        <w:rPr>
          <w:rFonts w:ascii="Arial" w:cs="Arial" w:eastAsia="Arial" w:hAnsi="Arial"/>
          <w:sz w:val="13"/>
          <w:szCs w:val="13"/>
          <w:color w:val="auto"/>
        </w:rPr>
        <w:t>We have an ongoing research collaboration with the University of Pennsylvania, or UPenn, under which we have the exclusive option to develop and commercialize mRNA vaccine candidates for various infectious disease candidates. This agreement was originally executed in 2018.</w:t>
      </w:r>
    </w:p>
    <w:p>
      <w:pPr>
        <w:spacing w:after="0" w:line="2" w:lineRule="exact"/>
        <w:rPr>
          <w:sz w:val="20"/>
          <w:szCs w:val="20"/>
          <w:color w:val="auto"/>
        </w:rPr>
      </w:pPr>
    </w:p>
    <w:p>
      <w:pPr>
        <w:ind w:left="380" w:right="2560"/>
        <w:spacing w:after="0" w:line="210" w:lineRule="auto"/>
        <w:rPr>
          <w:sz w:val="20"/>
          <w:szCs w:val="20"/>
          <w:color w:val="auto"/>
        </w:rPr>
      </w:pPr>
      <w:r>
        <w:rPr>
          <w:rFonts w:ascii="Arial" w:cs="Arial" w:eastAsia="Arial" w:hAnsi="Arial"/>
          <w:sz w:val="13"/>
          <w:szCs w:val="13"/>
          <w:color w:val="auto"/>
        </w:rPr>
        <w:t>•As part of this collaboration, we have the exclusive license to a combination of three HSV antigens for use in a vaccine. This combination of HSV antigens has been further developed into an HSV mRNA vaccine candidate (BNT163), which we are currently evaluating in a Phase 1 clinical trial. This controlled, dose-escalation Phase 1 clinical trial (NCT05432583) aims to evaluate the safety, tolerability and immunogenicity for the prevention of genital lesions caused by HSV -2 and potentially HSV-1. Part A (first -in-human, dose escalation) has been completed. Part B (dose evaluation) has completed dosing, and Part C (population expansion) will start enrollment across sites in the United States.</w:t>
      </w:r>
    </w:p>
    <w:p>
      <w:pPr>
        <w:ind w:left="380"/>
        <w:spacing w:after="0" w:line="217" w:lineRule="auto"/>
        <w:rPr>
          <w:sz w:val="20"/>
          <w:szCs w:val="20"/>
          <w:color w:val="auto"/>
        </w:rPr>
      </w:pPr>
      <w:r>
        <w:rPr>
          <w:rFonts w:ascii="Arial" w:cs="Arial" w:eastAsia="Arial" w:hAnsi="Arial"/>
          <w:sz w:val="13"/>
          <w:szCs w:val="13"/>
          <w:i w:val="1"/>
          <w:iCs w:val="1"/>
          <w:color w:val="auto"/>
        </w:rPr>
        <w:t>5. Tuberculosis Vaccine Program - BNT164</w:t>
      </w:r>
    </w:p>
    <w:p>
      <w:pPr>
        <w:ind w:left="380" w:right="2140"/>
        <w:spacing w:after="0" w:line="210" w:lineRule="auto"/>
        <w:rPr>
          <w:sz w:val="20"/>
          <w:szCs w:val="20"/>
          <w:color w:val="auto"/>
        </w:rPr>
      </w:pPr>
      <w:r>
        <w:rPr>
          <w:rFonts w:ascii="Arial" w:cs="Arial" w:eastAsia="Arial" w:hAnsi="Arial"/>
          <w:sz w:val="13"/>
          <w:szCs w:val="13"/>
          <w:color w:val="auto"/>
        </w:rPr>
        <w:t>We have collaborated with the Gates Foundation since 2019 to develop vaccine candidates aimed at preventing tuberculosis disease.</w:t>
      </w:r>
    </w:p>
    <w:p>
      <w:pPr>
        <w:spacing w:after="0" w:line="1" w:lineRule="exact"/>
        <w:rPr>
          <w:sz w:val="20"/>
          <w:szCs w:val="20"/>
          <w:color w:val="auto"/>
        </w:rPr>
      </w:pPr>
    </w:p>
    <w:p>
      <w:pPr>
        <w:ind w:left="380" w:right="2920"/>
        <w:spacing w:after="0" w:line="210" w:lineRule="auto"/>
        <w:rPr>
          <w:sz w:val="20"/>
          <w:szCs w:val="20"/>
          <w:color w:val="auto"/>
        </w:rPr>
      </w:pPr>
      <w:r>
        <w:rPr>
          <w:rFonts w:ascii="Arial" w:cs="Arial" w:eastAsia="Arial" w:hAnsi="Arial"/>
          <w:sz w:val="13"/>
          <w:szCs w:val="13"/>
          <w:color w:val="auto"/>
        </w:rPr>
        <w:t>•A randomized, controlled, dose-finding Phase 1 clinical trial (NCT05537038, Germany) evaluating BNT164 is fully enrolled and ongoing.</w:t>
      </w:r>
    </w:p>
    <w:p>
      <w:pPr>
        <w:spacing w:after="0" w:line="1" w:lineRule="exact"/>
        <w:rPr>
          <w:sz w:val="20"/>
          <w:szCs w:val="20"/>
          <w:color w:val="auto"/>
        </w:rPr>
      </w:pPr>
    </w:p>
    <w:p>
      <w:pPr>
        <w:ind w:left="380" w:right="2540"/>
        <w:spacing w:after="0" w:line="210" w:lineRule="auto"/>
        <w:rPr>
          <w:sz w:val="20"/>
          <w:szCs w:val="20"/>
          <w:color w:val="auto"/>
        </w:rPr>
      </w:pPr>
      <w:r>
        <w:rPr>
          <w:rFonts w:ascii="Arial" w:cs="Arial" w:eastAsia="Arial" w:hAnsi="Arial"/>
          <w:sz w:val="13"/>
          <w:szCs w:val="13"/>
          <w:color w:val="auto"/>
        </w:rPr>
        <w:t>•A randomized, controlled, dose-finding two -part Phase 1/2 clinical trial (NCT05547464, Republic of South Africa and Republic of Mozambique) evaluating BNT164 is ongoing. Part A of the Phase 1/2 trial is fully enrolled.</w:t>
      </w:r>
    </w:p>
    <w:p>
      <w:pPr>
        <w:spacing w:after="0" w:line="2" w:lineRule="exact"/>
        <w:rPr>
          <w:sz w:val="20"/>
          <w:szCs w:val="20"/>
          <w:color w:val="auto"/>
        </w:rPr>
      </w:pPr>
    </w:p>
    <w:p>
      <w:pPr>
        <w:ind w:left="380" w:right="2780"/>
        <w:spacing w:after="0" w:line="210" w:lineRule="auto"/>
        <w:rPr>
          <w:sz w:val="20"/>
          <w:szCs w:val="20"/>
          <w:color w:val="auto"/>
        </w:rPr>
      </w:pPr>
      <w:r>
        <w:rPr>
          <w:rFonts w:ascii="Arial" w:cs="Arial" w:eastAsia="Arial" w:hAnsi="Arial"/>
          <w:sz w:val="13"/>
          <w:szCs w:val="13"/>
          <w:color w:val="auto"/>
        </w:rPr>
        <w:t>•Both the Phase 1 and Phase 1/2 clinical trials are designed to assess the safety, reactogenicity, and immunogenicity of mRNA vaccine candidates against tuberculosis.</w:t>
      </w:r>
    </w:p>
    <w:p>
      <w:pPr>
        <w:ind w:left="380"/>
        <w:spacing w:after="0" w:line="212" w:lineRule="auto"/>
        <w:rPr>
          <w:sz w:val="20"/>
          <w:szCs w:val="20"/>
          <w:color w:val="auto"/>
        </w:rPr>
      </w:pPr>
      <w:r>
        <w:rPr>
          <w:rFonts w:ascii="Arial" w:cs="Arial" w:eastAsia="Arial" w:hAnsi="Arial"/>
          <w:sz w:val="13"/>
          <w:szCs w:val="13"/>
          <w:i w:val="1"/>
          <w:iCs w:val="1"/>
          <w:color w:val="auto"/>
        </w:rPr>
        <w:t>6. Malaria Vaccine Program – BNT165</w:t>
      </w:r>
    </w:p>
    <w:p>
      <w:pPr>
        <w:spacing w:after="0" w:line="1"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Our malaria program aims to develop a well-tolerated and highly effective mRNA vaccine with durable immunity to prevent P. falciparum malaria infection, thereby aiming to reducing morbidity, mortality and onward transmission. We plan to assess several vaccine candidates, featuring components of known targets such as circumsporozoite protein, or CSP, and conserved, immunogenic segments of liver stage-expressed proteins.</w:t>
      </w:r>
    </w:p>
    <w:p>
      <w:pPr>
        <w:spacing w:after="0" w:line="2" w:lineRule="exact"/>
        <w:rPr>
          <w:sz w:val="20"/>
          <w:szCs w:val="20"/>
          <w:color w:val="auto"/>
        </w:rPr>
      </w:pPr>
    </w:p>
    <w:p>
      <w:pPr>
        <w:ind w:left="380" w:right="2560" w:firstLine="3"/>
        <w:spacing w:after="0" w:line="210" w:lineRule="auto"/>
        <w:tabs>
          <w:tab w:leader="none" w:pos="467" w:val="left"/>
        </w:tabs>
        <w:numPr>
          <w:ilvl w:val="0"/>
          <w:numId w:val="20"/>
        </w:numPr>
        <w:rPr>
          <w:rFonts w:ascii="Arial" w:cs="Arial" w:eastAsia="Arial" w:hAnsi="Arial"/>
          <w:sz w:val="13"/>
          <w:szCs w:val="13"/>
          <w:color w:val="auto"/>
        </w:rPr>
      </w:pPr>
      <w:r>
        <w:rPr>
          <w:rFonts w:ascii="Arial" w:cs="Arial" w:eastAsia="Arial" w:hAnsi="Arial"/>
          <w:sz w:val="13"/>
          <w:szCs w:val="13"/>
          <w:color w:val="auto"/>
        </w:rPr>
        <w:t>A first-in-human Phase 1 clinical trial (NCT05581641) to evaluate the safety, tolerability and exploratory immunogenicity of the vaccine candidate BNT165b1, the first candidate from our BNT165 program, has been completed.</w:t>
      </w:r>
    </w:p>
    <w:p>
      <w:pPr>
        <w:spacing w:after="0" w:line="1" w:lineRule="exact"/>
        <w:rPr>
          <w:rFonts w:ascii="Arial" w:cs="Arial" w:eastAsia="Arial" w:hAnsi="Arial"/>
          <w:sz w:val="13"/>
          <w:szCs w:val="13"/>
          <w:color w:val="auto"/>
        </w:rPr>
      </w:pPr>
    </w:p>
    <w:p>
      <w:pPr>
        <w:ind w:left="380" w:right="2580"/>
        <w:spacing w:after="0" w:line="210" w:lineRule="auto"/>
        <w:rPr>
          <w:rFonts w:ascii="Arial" w:cs="Arial" w:eastAsia="Arial" w:hAnsi="Arial"/>
          <w:sz w:val="13"/>
          <w:szCs w:val="13"/>
          <w:color w:val="auto"/>
        </w:rPr>
      </w:pPr>
      <w:r>
        <w:rPr>
          <w:rFonts w:ascii="Arial" w:cs="Arial" w:eastAsia="Arial" w:hAnsi="Arial"/>
          <w:sz w:val="13"/>
          <w:szCs w:val="13"/>
          <w:color w:val="auto"/>
        </w:rPr>
        <w:t>•A randomized, dose escalation Phase 1/2 trial (NCT06069544) to evaluate the safety, tolerability, immunogenicity and efficacy of a second investigational RNA-based vaccine candidate is on clinical hold by the U.S. FDA, as announced on March 4, 2025. BioNTech has complied with the hold by the FDA and, in accordance with the clinical trial protocol, had proactively paused the study. BioNTech is taking actions to address the U.S. FDA’s requests and will work with the U.S. FDA to assess next steps.</w:t>
      </w:r>
    </w:p>
    <w:p>
      <w:pPr>
        <w:spacing w:after="0" w:line="2" w:lineRule="exact"/>
        <w:rPr>
          <w:rFonts w:ascii="Arial" w:cs="Arial" w:eastAsia="Arial" w:hAnsi="Arial"/>
          <w:sz w:val="13"/>
          <w:szCs w:val="13"/>
          <w:color w:val="auto"/>
        </w:rPr>
      </w:pPr>
    </w:p>
    <w:p>
      <w:pPr>
        <w:ind w:left="380"/>
        <w:spacing w:after="0" w:line="210" w:lineRule="auto"/>
        <w:rPr>
          <w:rFonts w:ascii="Arial" w:cs="Arial" w:eastAsia="Arial" w:hAnsi="Arial"/>
          <w:sz w:val="13"/>
          <w:szCs w:val="13"/>
          <w:color w:val="auto"/>
        </w:rPr>
      </w:pPr>
      <w:r>
        <w:rPr>
          <w:rFonts w:ascii="Arial" w:cs="Arial" w:eastAsia="Arial" w:hAnsi="Arial"/>
          <w:sz w:val="13"/>
          <w:szCs w:val="13"/>
          <w:i w:val="1"/>
          <w:iCs w:val="1"/>
          <w:color w:val="auto"/>
        </w:rPr>
        <w:t>7. Mpox Vaccine Program – BNT166</w:t>
      </w:r>
    </w:p>
    <w:p>
      <w:pPr>
        <w:ind w:left="380" w:right="2140"/>
        <w:spacing w:after="0" w:line="210" w:lineRule="auto"/>
        <w:rPr>
          <w:rFonts w:ascii="Arial" w:cs="Arial" w:eastAsia="Arial" w:hAnsi="Arial"/>
          <w:sz w:val="13"/>
          <w:szCs w:val="13"/>
          <w:color w:val="auto"/>
        </w:rPr>
      </w:pPr>
      <w:r>
        <w:rPr>
          <w:rFonts w:ascii="Arial" w:cs="Arial" w:eastAsia="Arial" w:hAnsi="Arial"/>
          <w:sz w:val="13"/>
          <w:szCs w:val="13"/>
          <w:color w:val="auto"/>
        </w:rPr>
        <w:t>Our fully-owned BNT166 program aims to deliver an effective, well-tolerated and accessible vaccine for the prevention of mpox. The multivalent BNT166 mRNA vaccine candidates encode surface antigens that are expressed in the two infectious forms of the mpox virus to efficiently prevent virus replication and infectivity. The program is supported through a partnership with CEPI to provide equitable access to the vaccine, if successfully developed and approved, in low- and middle-income countries.</w:t>
      </w:r>
    </w:p>
    <w:p>
      <w:pPr>
        <w:spacing w:after="0" w:line="2" w:lineRule="exact"/>
        <w:rPr>
          <w:rFonts w:ascii="Arial" w:cs="Arial" w:eastAsia="Arial" w:hAnsi="Arial"/>
          <w:sz w:val="13"/>
          <w:szCs w:val="13"/>
          <w:color w:val="auto"/>
        </w:rPr>
      </w:pPr>
    </w:p>
    <w:p>
      <w:pPr>
        <w:ind w:left="380" w:right="2620"/>
        <w:spacing w:after="0" w:line="234" w:lineRule="auto"/>
        <w:rPr>
          <w:rFonts w:ascii="Arial" w:cs="Arial" w:eastAsia="Arial" w:hAnsi="Arial"/>
          <w:sz w:val="13"/>
          <w:szCs w:val="13"/>
          <w:color w:val="auto"/>
        </w:rPr>
      </w:pPr>
      <w:r>
        <w:rPr>
          <w:rFonts w:ascii="Arial" w:cs="Arial" w:eastAsia="Arial" w:hAnsi="Arial"/>
          <w:sz w:val="13"/>
          <w:szCs w:val="13"/>
          <w:color w:val="auto"/>
        </w:rPr>
        <w:t>•A Phase 1/2 trial clinical trial (NCT05988203) evaluating the safety, tolerability, reactogenicity and immunogenicity of two mRNA-based multivalent vaccine candidates is ongoing. Phase 1 substudies are</w:t>
      </w:r>
    </w:p>
    <w:p>
      <w:pPr>
        <w:sectPr>
          <w:pgSz w:w="11900" w:h="16840" w:orient="portrait"/>
          <w:cols w:equalWidth="0" w:num="1">
            <w:col w:w="9020"/>
          </w:cols>
          <w:pgMar w:left="1440" w:top="560" w:right="1440"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122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680"/>
        <w:spacing w:after="0" w:line="217" w:lineRule="auto"/>
        <w:rPr>
          <w:sz w:val="20"/>
          <w:szCs w:val="20"/>
          <w:color w:val="auto"/>
        </w:rPr>
      </w:pPr>
      <w:r>
        <w:rPr>
          <w:rFonts w:ascii="Arial" w:cs="Arial" w:eastAsia="Arial" w:hAnsi="Arial"/>
          <w:sz w:val="13"/>
          <w:szCs w:val="13"/>
          <w:color w:val="auto"/>
        </w:rPr>
        <w:t>fully enrolled and enrollment is ongoing for an open-label, Phase 2a substudy. The trial aims to enroll a total of 96 healthy participants with and without prior history of known or suspected smallpox vaccination.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i w:val="1"/>
          <w:iCs w:val="1"/>
          <w:color w:val="auto"/>
        </w:rPr>
        <w:t>8. Shingles Vaccine Program – BNT167</w:t>
      </w:r>
    </w:p>
    <w:p>
      <w:pPr>
        <w:ind w:left="380" w:right="2380"/>
        <w:spacing w:after="0" w:line="210" w:lineRule="auto"/>
        <w:rPr>
          <w:sz w:val="20"/>
          <w:szCs w:val="20"/>
          <w:color w:val="auto"/>
        </w:rPr>
      </w:pPr>
      <w:r>
        <w:rPr>
          <w:rFonts w:ascii="Arial" w:cs="Arial" w:eastAsia="Arial" w:hAnsi="Arial"/>
          <w:sz w:val="13"/>
          <w:szCs w:val="13"/>
          <w:color w:val="auto"/>
        </w:rPr>
        <w:t>We are collaborating with Pfizer to develop the first mRNA-based vaccine candidate against shingles (also known as herpes zoster). While there are currently approved vaccines for shingles, the goal is to develop an mRNA vaccine candidate that potentially shows high efficacy and better tolerability and is more efficient to produce globally.</w:t>
      </w:r>
    </w:p>
    <w:p>
      <w:pPr>
        <w:spacing w:after="0" w:line="2" w:lineRule="exact"/>
        <w:rPr>
          <w:sz w:val="20"/>
          <w:szCs w:val="20"/>
          <w:color w:val="auto"/>
        </w:rPr>
      </w:pPr>
    </w:p>
    <w:p>
      <w:pPr>
        <w:jc w:val="both"/>
        <w:ind w:left="380" w:right="2580"/>
        <w:spacing w:after="0" w:line="210" w:lineRule="auto"/>
        <w:rPr>
          <w:sz w:val="20"/>
          <w:szCs w:val="20"/>
          <w:color w:val="auto"/>
        </w:rPr>
      </w:pPr>
      <w:r>
        <w:rPr>
          <w:rFonts w:ascii="Arial" w:cs="Arial" w:eastAsia="Arial" w:hAnsi="Arial"/>
          <w:sz w:val="13"/>
          <w:szCs w:val="13"/>
          <w:color w:val="auto"/>
        </w:rPr>
        <w:t>•A randomized, controlled, dose -selection Phase 1/2 clinical trial (NCT05703607) to evaluate the safety, tolerability, and immunogenicity of BNT167 in up to 900 healthy volunteers 50 through 69 years of age is ongoing.</w:t>
      </w:r>
    </w:p>
    <w:p>
      <w:pPr>
        <w:ind w:left="380"/>
        <w:spacing w:after="0" w:line="213" w:lineRule="auto"/>
        <w:rPr>
          <w:sz w:val="20"/>
          <w:szCs w:val="20"/>
          <w:color w:val="auto"/>
        </w:rPr>
      </w:pPr>
      <w:r>
        <w:rPr>
          <w:rFonts w:ascii="Arial" w:cs="Arial" w:eastAsia="Arial" w:hAnsi="Arial"/>
          <w:sz w:val="13"/>
          <w:szCs w:val="13"/>
          <w:i w:val="1"/>
          <w:iCs w:val="1"/>
          <w:color w:val="auto"/>
        </w:rPr>
        <w:t>9. Bacterial Vaginosis – BNT331</w:t>
      </w:r>
    </w:p>
    <w:p>
      <w:pPr>
        <w:spacing w:after="0" w:line="1"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BioNTech R&amp;D (Austria) GmbH, a wholly owned subsidiary of BioNTech SE, is focused on developing novel anti-bacterial drugs to treat persistent bacterial infections. Its development programs are based on our proprietary LysinBuilder platform, which allows for the targeted development of precision anti-bacterials. Our development pipeline focuses on chronic bacterial infections where antibiotics fail to cure or destroy the natural microbiomes. •A two-part, randomized, double-blind Phase 1 clinical trial (NCT06469164) is being conducted to</w:t>
      </w:r>
    </w:p>
    <w:p>
      <w:pPr>
        <w:spacing w:after="0" w:line="3" w:lineRule="exact"/>
        <w:rPr>
          <w:sz w:val="20"/>
          <w:szCs w:val="20"/>
          <w:color w:val="auto"/>
        </w:rPr>
      </w:pPr>
    </w:p>
    <w:p>
      <w:pPr>
        <w:jc w:val="both"/>
        <w:ind w:left="380" w:right="2580"/>
        <w:spacing w:after="0" w:line="210" w:lineRule="auto"/>
        <w:rPr>
          <w:sz w:val="20"/>
          <w:szCs w:val="20"/>
          <w:color w:val="auto"/>
        </w:rPr>
      </w:pPr>
      <w:r>
        <w:rPr>
          <w:rFonts w:ascii="Arial" w:cs="Arial" w:eastAsia="Arial" w:hAnsi="Arial"/>
          <w:sz w:val="13"/>
          <w:szCs w:val="13"/>
          <w:color w:val="auto"/>
        </w:rPr>
        <w:t>evaluate the safety, tolerability, pharmacokinetics, and pharmacodynamics of BNT331 in healthy women and women diagnosed with bacterial vaginosis. It also aims to explore the efficacy of BNT331 in women diagnosed with bacterial vaginosis.</w:t>
      </w:r>
    </w:p>
    <w:p>
      <w:pPr>
        <w:ind w:left="380"/>
        <w:spacing w:after="0" w:line="213" w:lineRule="auto"/>
        <w:rPr>
          <w:sz w:val="20"/>
          <w:szCs w:val="20"/>
          <w:color w:val="auto"/>
        </w:rPr>
      </w:pPr>
      <w:r>
        <w:rPr>
          <w:rFonts w:ascii="Arial" w:cs="Arial" w:eastAsia="Arial" w:hAnsi="Arial"/>
          <w:sz w:val="13"/>
          <w:szCs w:val="13"/>
          <w:color w:val="005A64"/>
        </w:rPr>
        <w:t>VII. The mRNA Technology</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In the last decade, mRNA has progressed into a promising new class of medicine, with the potential to treat a wide variety of diseases with high unmet medical needs. mRNA is a long, polymeric molecule, composed of four different building blocks called nucleotides. In mRNA, hundreds or thousands of these nucleotides are linked in a unique order to convey genetic information to cells, where it is used to express proteins with biological effects. Since the COVID-19 pandemic, mRNA -based immunization for the prevention of infectious diseases is considered an innovative alternative to conventional vaccine approaches. mRNA has shown the potential to elicit potent protective immune responses against various pathogens and may offer advantages over the use of live and inactivated virus vaccines, subunit vaccines, and other nucleic-acid-based vaccine formats. According to Beissert et al (2020), “RNA is non-infectious, non- integrating and, by virtue of rapid degradation by normal cellular processes, is only transiently active. RNA can be administered repeatedly to both prime and boost immune responses and is not limited by anti-vector immunity. Moreover, the RNA backbone engages pattern recognition receptors in the host cell, thereby naturally adjuvanting the response to the encoded immunogen.” According to the same study, mRNA can also enable “rapid, cost -efficient, cell- and animal -material-free, scalable production without the use of egg- or cell-based culture. Thus, RNA may facilitate how vaccines are made and has the potential to enable a rapid response to emerging infections.”</w:t>
      </w:r>
    </w:p>
    <w:p>
      <w:pPr>
        <w:spacing w:after="0" w:line="9"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Synthetic mRNA can be engineered to resemble mature and processed mRNA molecules that naturally occur in the cytoplasm of eukaryotic cells and can be used to transiently deliver proteins. Established mRNA manufacturing technologies can be quickly adapted to produce mRNAs of different sequences, allowing for the rapid development of mRNAs with the potential to address a variety of different conditions, including cancer, infectious disease and rare diseases. Our mRNA pipeline addresses each of these therapeutic areas.</w:t>
      </w:r>
    </w:p>
    <w:p>
      <w:pPr>
        <w:ind w:left="380"/>
        <w:spacing w:after="0" w:line="215" w:lineRule="auto"/>
        <w:rPr>
          <w:sz w:val="20"/>
          <w:szCs w:val="20"/>
          <w:color w:val="auto"/>
        </w:rPr>
      </w:pPr>
      <w:r>
        <w:rPr>
          <w:rFonts w:ascii="Arial" w:cs="Arial" w:eastAsia="Arial" w:hAnsi="Arial"/>
          <w:sz w:val="13"/>
          <w:szCs w:val="13"/>
          <w:b w:val="1"/>
          <w:bCs w:val="1"/>
          <w:color w:val="auto"/>
        </w:rPr>
        <w:t>A. General Principles of mRNA Pharmacology</w:t>
      </w:r>
    </w:p>
    <w:p>
      <w:pPr>
        <w:ind w:left="380" w:right="2160"/>
        <w:spacing w:after="0" w:line="222" w:lineRule="auto"/>
        <w:rPr>
          <w:sz w:val="20"/>
          <w:szCs w:val="20"/>
          <w:color w:val="auto"/>
        </w:rPr>
      </w:pPr>
      <w:r>
        <w:rPr>
          <w:rFonts w:ascii="Arial" w:cs="Arial" w:eastAsia="Arial" w:hAnsi="Arial"/>
          <w:sz w:val="13"/>
          <w:szCs w:val="13"/>
          <w:color w:val="auto"/>
        </w:rPr>
        <w:t>As a drug, manufactured mRNA provides instructions to a target cell to produce specific encoded protein(s) or protein chunks with a desired prophylactic or therapeutic effect. Based on these instructions, the proteins will be either secreted, remain intracellular or on the membrane while protein epitopes are being processed to be presented to the immune system. The mRNA drug will eventually be degraded and eliminated from the body.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123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300"/>
        <w:spacing w:after="0" w:line="214" w:lineRule="auto"/>
        <w:rPr>
          <w:sz w:val="20"/>
          <w:szCs w:val="20"/>
          <w:color w:val="auto"/>
        </w:rPr>
      </w:pPr>
      <w:r>
        <w:rPr>
          <w:rFonts w:ascii="Arial" w:cs="Arial" w:eastAsia="Arial" w:hAnsi="Arial"/>
          <w:sz w:val="13"/>
          <w:szCs w:val="13"/>
          <w:color w:val="auto"/>
        </w:rPr>
        <w:t>Our mRNA drugs are synthesized in a cell-free system by in vitro transcription from a DNA template. This template encodes all the structural elements of functional mRNA, except for the 5’ cap structure, which is co-transcriptionally incorporated. After in vitro transcription is performed, the template is then digested by DNase and the mRNA is purified by conventionally used methods for isolating nucleic acids. The mRNA molecule comprises: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-416560</wp:posOffset>
            </wp:positionV>
            <wp:extent cx="523113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5" w:lineRule="auto"/>
        <w:rPr>
          <w:sz w:val="20"/>
          <w:szCs w:val="20"/>
          <w:color w:val="auto"/>
        </w:rPr>
      </w:pPr>
      <w:r>
        <w:rPr>
          <w:rFonts w:ascii="Arial" w:cs="Arial" w:eastAsia="Arial" w:hAnsi="Arial"/>
          <w:sz w:val="13"/>
          <w:szCs w:val="13"/>
          <w:color w:val="auto"/>
        </w:rPr>
        <w:t>•an open reading frame, or ORF, which encodes the protein of interest;</w:t>
      </w:r>
    </w:p>
    <w:p>
      <w:pPr>
        <w:ind w:left="380"/>
        <w:spacing w:after="0" w:line="210" w:lineRule="auto"/>
        <w:rPr>
          <w:sz w:val="20"/>
          <w:szCs w:val="20"/>
          <w:color w:val="auto"/>
        </w:rPr>
      </w:pPr>
      <w:r>
        <w:rPr>
          <w:rFonts w:ascii="Arial" w:cs="Arial" w:eastAsia="Arial" w:hAnsi="Arial"/>
          <w:sz w:val="13"/>
          <w:szCs w:val="13"/>
          <w:color w:val="auto"/>
        </w:rPr>
        <w:t>•untranslated regions, or UTRs, which flank the ORF; and</w:t>
      </w:r>
    </w:p>
    <w:p>
      <w:pPr>
        <w:spacing w:after="0" w:line="1" w:lineRule="exact"/>
        <w:rPr>
          <w:sz w:val="20"/>
          <w:szCs w:val="20"/>
          <w:color w:val="auto"/>
        </w:rPr>
      </w:pPr>
    </w:p>
    <w:p>
      <w:pPr>
        <w:ind w:left="380" w:right="3180"/>
        <w:spacing w:after="0" w:line="210" w:lineRule="auto"/>
        <w:rPr>
          <w:sz w:val="20"/>
          <w:szCs w:val="20"/>
          <w:color w:val="auto"/>
        </w:rPr>
      </w:pPr>
      <w:r>
        <w:rPr>
          <w:rFonts w:ascii="Arial" w:cs="Arial" w:eastAsia="Arial" w:hAnsi="Arial"/>
          <w:sz w:val="13"/>
          <w:szCs w:val="13"/>
          <w:color w:val="auto"/>
        </w:rPr>
        <w:t>•the cap and the poly(A) tail, which are the two terminal structures of the linear mRNA and are responsible for increased stability and translational efficiency of mRNA.</w:t>
      </w:r>
    </w:p>
    <w:p>
      <w:pPr>
        <w:spacing w:after="0" w:line="1"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The mRNA drug needs to be appropriately formulated in order to protect mRNA molecules against enzymatic degradation by ribonucleases and to facilitate their delivery to the target cells. The formulation is selected based on the intended application and route of delivery. After uptake into the target cell, the mRNA molecules are loaded into ribosomes, where translation into protein takes place. Subsequently, the mRNA is degraded by cellular mechanisms. Proteins encoded by the mRNA can be secreted or maintained in or on the cell.</w:t>
      </w:r>
    </w:p>
    <w:p>
      <w:pPr>
        <w:spacing w:after="0" w:line="3" w:lineRule="exact"/>
        <w:rPr>
          <w:sz w:val="20"/>
          <w:szCs w:val="20"/>
          <w:color w:val="auto"/>
        </w:rPr>
      </w:pPr>
    </w:p>
    <w:p>
      <w:pPr>
        <w:ind w:left="380" w:right="2080"/>
        <w:spacing w:after="0" w:line="220" w:lineRule="auto"/>
        <w:rPr>
          <w:sz w:val="20"/>
          <w:szCs w:val="20"/>
          <w:color w:val="auto"/>
        </w:rPr>
      </w:pPr>
      <w:r>
        <w:rPr>
          <w:rFonts w:ascii="Arial" w:cs="Arial" w:eastAsia="Arial" w:hAnsi="Arial"/>
          <w:sz w:val="13"/>
          <w:szCs w:val="13"/>
          <w:color w:val="auto"/>
        </w:rPr>
        <w:t>Encoded proteins can perform functions in the body, for example, replacing deficient activities, or they can trigger immune responses, for example by acting as antigens (as in the case of vaccines), or by directing the immune system to a target of interest (as in the case of many therapeutic antibodies). Also, proteins encoded by the mRNA are processed by the cellular machinery and can be displayed by specialized complexes, namely major histocompatibility complexes, or MHC, I or MHC II complexes, to trigger T-cell responses to epitopes present</w:t>
      </w:r>
    </w:p>
    <w:p>
      <w:pPr>
        <w:sectPr>
          <w:pgSz w:w="11900" w:h="16840" w:orient="portrait"/>
          <w:cols w:equalWidth="0" w:num="1">
            <w:col w:w="9020"/>
          </w:cols>
          <w:pgMar w:left="1440" w:top="1440" w:right="1440" w:bottom="119" w:gutter="0" w:footer="0" w:header="0"/>
        </w:sectPr>
      </w:pPr>
    </w:p>
    <w:bookmarkStart w:id="86" w:name="page87"/>
    <w:bookmarkEnd w:id="86"/>
    <w:p>
      <w:pPr>
        <w:ind w:left="380" w:right="2080"/>
        <w:spacing w:after="0" w:line="217" w:lineRule="auto"/>
        <w:rPr>
          <w:sz w:val="20"/>
          <w:szCs w:val="20"/>
          <w:color w:val="auto"/>
        </w:rPr>
      </w:pPr>
      <w:r>
        <w:rPr>
          <w:rFonts w:ascii="Arial" w:cs="Arial" w:eastAsia="Arial" w:hAnsi="Arial"/>
          <w:sz w:val="13"/>
          <w:szCs w:val="13"/>
          <w:color w:val="auto"/>
        </w:rPr>
        <w:t>within them. These complexes present the epitopes to immune cells to elicit the desired immune response. In the case of other mRNA applications, the mRNA encodes proteins that are secreted from the cells, such as antibodies, and function extracellularly.</w:t>
      </w:r>
    </w:p>
    <w:p>
      <w:pPr>
        <w:spacing w:after="0" w:line="1"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The structural elements of the mRNA have an impact on its performance. This includes potential immunogenicity, efficiency of translation and molecular stability. We leverage our extensive experience to design, synthesize, manufacture and formulate our therapeutic mRNA, and to adapt its composition to suit the desired application. •The cap is added to the 5’ end of the mRNA during its synthesis. Our studies have demonstrated that incorporation of a unique cap analogue into the mRNA helps to achieve superior translational performance by stabilizing the mRNA molecule and directing the immune response.</w:t>
      </w:r>
    </w:p>
    <w:p>
      <w:pPr>
        <w:spacing w:after="0" w:line="4" w:lineRule="exact"/>
        <w:rPr>
          <w:sz w:val="20"/>
          <w:szCs w:val="20"/>
          <w:color w:val="auto"/>
        </w:rPr>
      </w:pPr>
    </w:p>
    <w:p>
      <w:pPr>
        <w:ind w:left="380" w:right="2600"/>
        <w:spacing w:after="0" w:line="210" w:lineRule="auto"/>
        <w:rPr>
          <w:sz w:val="20"/>
          <w:szCs w:val="20"/>
          <w:color w:val="auto"/>
        </w:rPr>
      </w:pPr>
      <w:r>
        <w:rPr>
          <w:rFonts w:ascii="Arial" w:cs="Arial" w:eastAsia="Arial" w:hAnsi="Arial"/>
          <w:sz w:val="13"/>
          <w:szCs w:val="13"/>
          <w:color w:val="auto"/>
        </w:rPr>
        <w:t>•The composition and structure of the 5’ and 3’ UTRs of the mRNA molecule are important determinants of the intracellular stability of mRNA. Through rigorous screening of different mRNA sequences, we identified specific UTRs that promote increased protein translation for long duration.</w:t>
      </w:r>
    </w:p>
    <w:p>
      <w:pPr>
        <w:spacing w:after="0" w:line="2" w:lineRule="exact"/>
        <w:rPr>
          <w:sz w:val="20"/>
          <w:szCs w:val="20"/>
          <w:color w:val="auto"/>
        </w:rPr>
      </w:pPr>
    </w:p>
    <w:p>
      <w:pPr>
        <w:ind w:left="380" w:right="3100"/>
        <w:spacing w:after="0" w:line="210" w:lineRule="auto"/>
        <w:rPr>
          <w:sz w:val="20"/>
          <w:szCs w:val="20"/>
          <w:color w:val="auto"/>
        </w:rPr>
      </w:pPr>
      <w:r>
        <w:rPr>
          <w:rFonts w:ascii="Arial" w:cs="Arial" w:eastAsia="Arial" w:hAnsi="Arial"/>
          <w:sz w:val="13"/>
          <w:szCs w:val="13"/>
          <w:color w:val="auto"/>
        </w:rPr>
        <w:t>•We have performed extensive research on the structure of the poly(A) tail and the translational performance of mRNA and customized our template design accordingly.</w:t>
      </w:r>
    </w:p>
    <w:p>
      <w:pPr>
        <w:spacing w:after="0" w:line="1"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The translational performance of mRNA can be increased by reducing contaminating double-stranded RNA, or dsRNA, from the mRNA. We have extensive expertise in different mRNA purification procedures. We have also invented a novel mRNA purification method that greatly impacts translatability of our mRNA. Depending on the protein characteristics needed for treatment of a disease, we optimize the DNA template through a proprietary codon optimization process, changing the nucleotide sequence of the template without altering the amino acid composition of the encoded protein. We make further adjustments during mRNA production to minimize the occurrence of dsRNA by-products. We believe fine-tuning the respective molecules provides a great benefit to the purpose-adapted performance of our mRNA.</w:t>
      </w:r>
    </w:p>
    <w:p>
      <w:pPr>
        <w:ind w:left="380"/>
        <w:spacing w:after="0" w:line="218" w:lineRule="auto"/>
        <w:rPr>
          <w:sz w:val="20"/>
          <w:szCs w:val="20"/>
          <w:color w:val="auto"/>
        </w:rPr>
      </w:pPr>
      <w:r>
        <w:rPr>
          <w:rFonts w:ascii="Arial" w:cs="Arial" w:eastAsia="Arial" w:hAnsi="Arial"/>
          <w:sz w:val="13"/>
          <w:szCs w:val="13"/>
          <w:b w:val="1"/>
          <w:bCs w:val="1"/>
          <w:color w:val="auto"/>
        </w:rPr>
        <w:t>B. mRNA Formats</w:t>
      </w:r>
    </w:p>
    <w:p>
      <w:pPr>
        <w:ind w:left="380"/>
        <w:spacing w:after="0"/>
        <w:rPr>
          <w:sz w:val="20"/>
          <w:szCs w:val="20"/>
          <w:color w:val="auto"/>
        </w:rPr>
      </w:pPr>
      <w:r>
        <w:rPr>
          <w:rFonts w:ascii="Arial" w:cs="Arial" w:eastAsia="Arial" w:hAnsi="Arial"/>
          <w:sz w:val="13"/>
          <w:szCs w:val="13"/>
          <w:i w:val="1"/>
          <w:iCs w:val="1"/>
          <w:color w:val="auto"/>
        </w:rPr>
        <w:t>1. Optimized Uridine mRNA, or uRNA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124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line="213" w:lineRule="auto"/>
        <w:rPr>
          <w:sz w:val="20"/>
          <w:szCs w:val="20"/>
          <w:color w:val="auto"/>
        </w:rPr>
      </w:pPr>
      <w:r>
        <w:rPr>
          <w:rFonts w:ascii="Arial" w:cs="Arial" w:eastAsia="Arial" w:hAnsi="Arial"/>
          <w:sz w:val="13"/>
          <w:szCs w:val="13"/>
          <w:color w:val="auto"/>
        </w:rPr>
        <w:t xml:space="preserve">The nucleotide sequence of mRNA determines the amino acid sequence of the protein. In addition, the nature of nucleosides used for production of mRNA drugs can also influence recognition of the molecule by the immune system.The presence of naturally occurring uridine (U) in our optimized uRNA makes it immunogenic by activating immune sensors. We have further optimized our uRNA for immunogenicity of the encoded antigen (augmented presentation on MHC I and MHC II) and pharmacological activity (enhanced stability and translational efficiency). Immunogenicity of the mRNA is an added benefit when mRNA is used for immunotherapy applications, by acting as an immunotherapy adjuvant. We believe this makes our therapeutics for iNeST and </w:t>
      </w:r>
      <w:r>
        <w:rPr>
          <w:rFonts w:ascii="Arial" w:cs="Arial" w:eastAsia="Arial" w:hAnsi="Arial"/>
          <w:sz w:val="13"/>
          <w:szCs w:val="13"/>
          <w:i w:val="1"/>
          <w:iCs w:val="1"/>
          <w:color w:val="auto"/>
        </w:rPr>
        <w:t>FixVac</w:t>
      </w:r>
      <w:r>
        <w:rPr>
          <w:rFonts w:ascii="Arial" w:cs="Arial" w:eastAsia="Arial" w:hAnsi="Arial"/>
          <w:sz w:val="13"/>
          <w:szCs w:val="13"/>
          <w:color w:val="auto"/>
        </w:rPr>
        <w:t xml:space="preserve"> even more potent.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-667385</wp:posOffset>
            </wp:positionV>
            <wp:extent cx="523113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3" w:lineRule="auto"/>
        <w:rPr>
          <w:sz w:val="20"/>
          <w:szCs w:val="20"/>
          <w:color w:val="auto"/>
        </w:rPr>
      </w:pPr>
      <w:r>
        <w:rPr>
          <w:rFonts w:ascii="Arial" w:cs="Arial" w:eastAsia="Arial" w:hAnsi="Arial"/>
          <w:sz w:val="13"/>
          <w:szCs w:val="13"/>
          <w:i w:val="1"/>
          <w:iCs w:val="1"/>
          <w:color w:val="auto"/>
        </w:rPr>
        <w:t>2. Nucleoside-modified mRNA, or modRNA</w:t>
      </w:r>
    </w:p>
    <w:p>
      <w:pPr>
        <w:spacing w:after="0" w:line="1"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 xml:space="preserve">Immunogenic reaction against mRNA drugs needs to be avoided in applications where therapeutic proteins are produced, such as in our </w:t>
      </w:r>
      <w:r>
        <w:rPr>
          <w:rFonts w:ascii="Arial" w:cs="Arial" w:eastAsia="Arial" w:hAnsi="Arial"/>
          <w:sz w:val="13"/>
          <w:szCs w:val="13"/>
          <w:i w:val="1"/>
          <w:iCs w:val="1"/>
          <w:color w:val="auto"/>
        </w:rPr>
        <w:t>RiboMab</w:t>
      </w:r>
      <w:r>
        <w:rPr>
          <w:rFonts w:ascii="Arial" w:cs="Arial" w:eastAsia="Arial" w:hAnsi="Arial"/>
          <w:sz w:val="13"/>
          <w:szCs w:val="13"/>
          <w:color w:val="auto"/>
        </w:rPr>
        <w:t xml:space="preserve"> and </w:t>
      </w:r>
      <w:r>
        <w:rPr>
          <w:rFonts w:ascii="Arial" w:cs="Arial" w:eastAsia="Arial" w:hAnsi="Arial"/>
          <w:sz w:val="13"/>
          <w:szCs w:val="13"/>
          <w:i w:val="1"/>
          <w:iCs w:val="1"/>
          <w:color w:val="auto"/>
        </w:rPr>
        <w:t>RiboCytokine</w:t>
      </w:r>
      <w:r>
        <w:rPr>
          <w:rFonts w:ascii="Arial" w:cs="Arial" w:eastAsia="Arial" w:hAnsi="Arial"/>
          <w:sz w:val="13"/>
          <w:szCs w:val="13"/>
          <w:color w:val="auto"/>
        </w:rPr>
        <w:t xml:space="preserve"> platforms. We have profound expertise in incorporating naturally-occurring modified nucleosides into our therapeutic mRNAs. We have demonstrated that the presence of a variety of modified nucleosides in the manufactured mRNA suppresses its intrinsic immune activation, while leading to superior protein production for long duration. Deimmunizing mRNA by incorporating modified nucleosides helps to avoid the production of anti-drug antibodies and to broaden the therapeutic application of these types of mRNA drugs. We believe this customization has resulted in therapeutic mRNA that is both potent and well tolerated. Together with the increased tolerability, we believe the high yield of antigen delivered by mRNA makes this format suitable for prophylactic vaccines against infectious diseases inducing a strong cellular and also humoral immune response.</w:t>
      </w:r>
    </w:p>
    <w:p>
      <w:pPr>
        <w:ind w:left="380"/>
        <w:spacing w:after="0" w:line="220" w:lineRule="auto"/>
        <w:rPr>
          <w:sz w:val="20"/>
          <w:szCs w:val="20"/>
          <w:color w:val="auto"/>
        </w:rPr>
      </w:pPr>
      <w:r>
        <w:rPr>
          <w:rFonts w:ascii="Arial" w:cs="Arial" w:eastAsia="Arial" w:hAnsi="Arial"/>
          <w:sz w:val="13"/>
          <w:szCs w:val="13"/>
          <w:i w:val="1"/>
          <w:iCs w:val="1"/>
          <w:color w:val="auto"/>
        </w:rPr>
        <w:t>3. Self-amplifying mRNA, or saRNA</w:t>
      </w:r>
    </w:p>
    <w:p>
      <w:pPr>
        <w:ind w:left="380" w:right="2160"/>
        <w:spacing w:after="0" w:line="210" w:lineRule="auto"/>
        <w:rPr>
          <w:sz w:val="20"/>
          <w:szCs w:val="20"/>
          <w:color w:val="auto"/>
        </w:rPr>
      </w:pPr>
      <w:r>
        <w:rPr>
          <w:rFonts w:ascii="Arial" w:cs="Arial" w:eastAsia="Arial" w:hAnsi="Arial"/>
          <w:sz w:val="13"/>
          <w:szCs w:val="13"/>
          <w:color w:val="auto"/>
        </w:rPr>
        <w:t>Our saRNA drugs use the concept of viral mRNA replication, while not being infectious, disease-causing agents themselves. saRNA resembles conventional mRNA, encoding the protein of interest, but it also encodes an RNA- dependent RNA-polymerase, called replicase, that multiplies part of the mRNA within the target cell. Thus, lower amounts of saRNA are needed compared to a regular mRNA to obtain the same amount of active protein. As we have demonstrated, our saRNA ensures high levels of sustained antigen production with a small amount of initial mRNA input. Our scientific team has designed this mRNA technology to act as a potent tool for prophylactic vaccination, with the potential for application in infectious diseases.</w:t>
      </w:r>
    </w:p>
    <w:p>
      <w:pPr>
        <w:ind w:left="380"/>
        <w:spacing w:after="0" w:line="217" w:lineRule="auto"/>
        <w:rPr>
          <w:sz w:val="20"/>
          <w:szCs w:val="20"/>
          <w:color w:val="auto"/>
        </w:rPr>
      </w:pPr>
      <w:r>
        <w:rPr>
          <w:rFonts w:ascii="Arial" w:cs="Arial" w:eastAsia="Arial" w:hAnsi="Arial"/>
          <w:sz w:val="13"/>
          <w:szCs w:val="13"/>
          <w:i w:val="1"/>
          <w:iCs w:val="1"/>
          <w:color w:val="auto"/>
        </w:rPr>
        <w:t>4. Trans-amplifying mRNA, or taRNA</w:t>
      </w:r>
    </w:p>
    <w:p>
      <w:pPr>
        <w:ind w:left="380" w:right="2080"/>
        <w:spacing w:after="0" w:line="216" w:lineRule="auto"/>
        <w:rPr>
          <w:sz w:val="20"/>
          <w:szCs w:val="20"/>
          <w:color w:val="auto"/>
        </w:rPr>
      </w:pPr>
      <w:r>
        <w:rPr>
          <w:rFonts w:ascii="Arial" w:cs="Arial" w:eastAsia="Arial" w:hAnsi="Arial"/>
          <w:sz w:val="13"/>
          <w:szCs w:val="13"/>
          <w:color w:val="auto"/>
        </w:rPr>
        <w:t>We have expanded our self-amplifying mRNA capabilities and developed a novel mRNA amplification technology which separates amplification of the target mRNA and the replicase encoding mRNA. This advancement broadens the spectrum of applications by making the development of therapeutic and prophylactic mRNAs even more flexible, as the replicase can amplify multiple mRNAs allowing the expression of multiple proteins with only one replicase encoding mRNA. In the case of vaccines, this allows us to produce the replicase mRNA in advance for use with different vaccines. Our taRNA is a proprietary mRNA format that we believe is particularly well-suited for prophylactic vaccines to prevent infectious diseases. We believe that taRNA-based split-vector systems may be advantageous over saRNA with regard to safety, versatility, and manufacturing.</w:t>
      </w:r>
    </w:p>
    <w:p>
      <w:pPr>
        <w:sectPr>
          <w:pgSz w:w="11900" w:h="16840" w:orient="portrait"/>
          <w:cols w:equalWidth="0" w:num="1">
            <w:col w:w="9020"/>
          </w:cols>
          <w:pgMar w:left="1440" w:top="560" w:right="1440"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125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29845</wp:posOffset>
            </wp:positionV>
            <wp:extent cx="5231130" cy="16497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31130" cy="164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80" w:right="1960"/>
        <w:spacing w:after="0" w:line="222" w:lineRule="auto"/>
        <w:rPr>
          <w:sz w:val="20"/>
          <w:szCs w:val="20"/>
          <w:color w:val="auto"/>
        </w:rPr>
      </w:pPr>
      <w:r>
        <w:rPr>
          <w:rFonts w:ascii="Arial" w:cs="Arial" w:eastAsia="Arial" w:hAnsi="Arial"/>
          <w:sz w:val="12"/>
          <w:szCs w:val="12"/>
          <w:b w:val="1"/>
          <w:bCs w:val="1"/>
          <w:color w:val="005A64"/>
        </w:rPr>
        <w:t xml:space="preserve">mRNA offers a broad technology toolbox: </w:t>
      </w:r>
      <w:r>
        <w:rPr>
          <w:rFonts w:ascii="Arial" w:cs="Arial" w:eastAsia="Arial" w:hAnsi="Arial"/>
          <w:sz w:val="12"/>
          <w:szCs w:val="12"/>
          <w:color w:val="005A64"/>
        </w:rPr>
        <w:t>We have developed and optimized mRNA formats and delivery formulations for</w:t>
      </w:r>
      <w:r>
        <w:rPr>
          <w:rFonts w:ascii="Arial" w:cs="Arial" w:eastAsia="Arial" w:hAnsi="Arial"/>
          <w:sz w:val="12"/>
          <w:szCs w:val="12"/>
          <w:b w:val="1"/>
          <w:bCs w:val="1"/>
          <w:color w:val="005A64"/>
        </w:rPr>
        <w:t xml:space="preserve"> </w:t>
      </w:r>
      <w:r>
        <w:rPr>
          <w:rFonts w:ascii="Arial" w:cs="Arial" w:eastAsia="Arial" w:hAnsi="Arial"/>
          <w:sz w:val="12"/>
          <w:szCs w:val="12"/>
          <w:color w:val="005A64"/>
        </w:rPr>
        <w:t>their potency and performance, each optimized for different therapeutic applications.</w:t>
      </w:r>
    </w:p>
    <w:p>
      <w:pPr>
        <w:ind w:left="380"/>
        <w:spacing w:after="0" w:line="211" w:lineRule="auto"/>
        <w:rPr>
          <w:sz w:val="20"/>
          <w:szCs w:val="20"/>
          <w:color w:val="auto"/>
        </w:rPr>
      </w:pPr>
      <w:r>
        <w:rPr>
          <w:rFonts w:ascii="Arial" w:cs="Arial" w:eastAsia="Arial" w:hAnsi="Arial"/>
          <w:sz w:val="13"/>
          <w:szCs w:val="13"/>
          <w:b w:val="1"/>
          <w:bCs w:val="1"/>
          <w:color w:val="auto"/>
        </w:rPr>
        <w:t>C. mRNA Delivery Formulation Technologies</w:t>
      </w:r>
    </w:p>
    <w:p>
      <w:pPr>
        <w:ind w:left="380" w:right="2320"/>
        <w:spacing w:after="0" w:line="210" w:lineRule="auto"/>
        <w:rPr>
          <w:sz w:val="20"/>
          <w:szCs w:val="20"/>
          <w:color w:val="auto"/>
        </w:rPr>
      </w:pPr>
      <w:r>
        <w:rPr>
          <w:rFonts w:ascii="Arial" w:cs="Arial" w:eastAsia="Arial" w:hAnsi="Arial"/>
          <w:sz w:val="13"/>
          <w:szCs w:val="13"/>
          <w:color w:val="auto"/>
        </w:rPr>
        <w:t>We have deep and broad expertise in the targeted delivery of mRNA therapeutics. We are convinced that the development of suitable delivery formulations in conjunction with our own therapeutic mRNAs is a key competitive advantage.</w:t>
      </w:r>
    </w:p>
    <w:p>
      <w:pPr>
        <w:spacing w:after="0" w:line="2" w:lineRule="exact"/>
        <w:rPr>
          <w:sz w:val="20"/>
          <w:szCs w:val="20"/>
          <w:color w:val="auto"/>
        </w:rPr>
      </w:pPr>
    </w:p>
    <w:p>
      <w:pPr>
        <w:ind w:left="380" w:right="2520"/>
        <w:spacing w:after="0" w:line="210" w:lineRule="auto"/>
        <w:rPr>
          <w:sz w:val="20"/>
          <w:szCs w:val="20"/>
          <w:color w:val="auto"/>
        </w:rPr>
      </w:pPr>
      <w:r>
        <w:rPr>
          <w:rFonts w:ascii="Arial" w:cs="Arial" w:eastAsia="Arial" w:hAnsi="Arial"/>
          <w:sz w:val="13"/>
          <w:szCs w:val="13"/>
          <w:color w:val="auto"/>
        </w:rPr>
        <w:t>Our main mRNA delivery formulations, each designed for different functions and optimized for therapeutic product needs, are described below:</w:t>
      </w:r>
    </w:p>
    <w:p>
      <w:pPr>
        <w:ind w:left="380"/>
        <w:spacing w:after="0" w:line="212" w:lineRule="auto"/>
        <w:rPr>
          <w:sz w:val="20"/>
          <w:szCs w:val="20"/>
          <w:color w:val="auto"/>
        </w:rPr>
      </w:pPr>
      <w:r>
        <w:rPr>
          <w:rFonts w:ascii="Arial" w:cs="Arial" w:eastAsia="Arial" w:hAnsi="Arial"/>
          <w:sz w:val="13"/>
          <w:szCs w:val="13"/>
          <w:i w:val="1"/>
          <w:iCs w:val="1"/>
          <w:color w:val="auto"/>
        </w:rPr>
        <w:t>1. Lipoplex nanoparticles, or lipoplex, or LPX, formulation</w:t>
      </w:r>
    </w:p>
    <w:p>
      <w:pPr>
        <w:spacing w:after="0" w:line="1"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 xml:space="preserve">Our LPX formulation embed the mRNA between a lipid bilayer and is used for our </w:t>
      </w:r>
      <w:r>
        <w:rPr>
          <w:rFonts w:ascii="Arial" w:cs="Arial" w:eastAsia="Arial" w:hAnsi="Arial"/>
          <w:sz w:val="13"/>
          <w:szCs w:val="13"/>
          <w:i w:val="1"/>
          <w:iCs w:val="1"/>
          <w:color w:val="auto"/>
        </w:rPr>
        <w:t>FixVac</w:t>
      </w:r>
      <w:r>
        <w:rPr>
          <w:rFonts w:ascii="Arial" w:cs="Arial" w:eastAsia="Arial" w:hAnsi="Arial"/>
          <w:sz w:val="13"/>
          <w:szCs w:val="13"/>
          <w:color w:val="auto"/>
        </w:rPr>
        <w:t xml:space="preserve"> and iNeST platforms. We use a proprietary size- and charge-based non -viral LPX formulation that we have developed to deliver mRNA to dendritic cells in lymphoid compartments (such as the spleen) for optimal antigen presentation and immune response activation. A synchronized adjuvant effect is mediated by TLR7-triggering and type-I interferon-driven innate and adaptive immune stimulation. Our LPX formulation allows for intravenous administration of our investigational mRNA- based cancer immunotherapies. The LPX formulation protects mRNA from degradation outside of the cell and mediates its efficient uptake and expression of encoded antigens in various DC populations. Our LPX formulation technology is designed to deliver multiple antigens in parallel, enabling the induction of poly-specific T-cell responses. We have demonstrated in the clinic that systemic DC targeting by mRNA-based cancer immunotherapies can result in potent activity against shared tumor-associated antigens at very low doses. Consequently, less material would be required for treating high patient numbers, making manufacturing potentially more cost-effective.</w:t>
      </w:r>
    </w:p>
    <w:p>
      <w:pPr>
        <w:ind w:left="380"/>
        <w:spacing w:after="0" w:line="222" w:lineRule="auto"/>
        <w:rPr>
          <w:sz w:val="20"/>
          <w:szCs w:val="20"/>
          <w:color w:val="auto"/>
        </w:rPr>
      </w:pPr>
      <w:r>
        <w:rPr>
          <w:rFonts w:ascii="Arial" w:cs="Arial" w:eastAsia="Arial" w:hAnsi="Arial"/>
          <w:sz w:val="13"/>
          <w:szCs w:val="13"/>
          <w:i w:val="1"/>
          <w:iCs w:val="1"/>
          <w:color w:val="auto"/>
        </w:rPr>
        <w:t>2. Lipid nanoparticles, or LNP, formulation</w:t>
      </w:r>
    </w:p>
    <w:p>
      <w:pPr>
        <w:ind w:left="380" w:right="2080"/>
        <w:spacing w:after="0" w:line="237" w:lineRule="auto"/>
        <w:rPr>
          <w:sz w:val="20"/>
          <w:szCs w:val="20"/>
          <w:color w:val="auto"/>
        </w:rPr>
      </w:pPr>
      <w:r>
        <w:rPr>
          <w:rFonts w:ascii="Arial" w:cs="Arial" w:eastAsia="Arial" w:hAnsi="Arial"/>
          <w:sz w:val="13"/>
          <w:szCs w:val="13"/>
          <w:color w:val="auto"/>
        </w:rPr>
        <w:t xml:space="preserve">For other applications, we encapsulate our mRNA into LNPs. These LNP formulations are suitable for our </w:t>
      </w:r>
      <w:r>
        <w:rPr>
          <w:rFonts w:ascii="Arial" w:cs="Arial" w:eastAsia="Arial" w:hAnsi="Arial"/>
          <w:sz w:val="13"/>
          <w:szCs w:val="13"/>
          <w:i w:val="1"/>
          <w:iCs w:val="1"/>
          <w:color w:val="auto"/>
        </w:rPr>
        <w:t xml:space="preserve">RiboMab and RiboCytokine </w:t>
      </w:r>
      <w:r>
        <w:rPr>
          <w:rFonts w:ascii="Arial" w:cs="Arial" w:eastAsia="Arial" w:hAnsi="Arial"/>
          <w:sz w:val="13"/>
          <w:szCs w:val="13"/>
          <w:color w:val="auto"/>
        </w:rPr>
        <w:t>oncology therapies and our prophylactic vaccines against infectious disease.</w:t>
      </w:r>
      <w:r>
        <w:rPr>
          <w:rFonts w:ascii="Arial" w:cs="Arial" w:eastAsia="Arial" w:hAnsi="Arial"/>
          <w:sz w:val="13"/>
          <w:szCs w:val="13"/>
          <w:i w:val="1"/>
          <w:iCs w:val="1"/>
          <w:color w:val="auto"/>
        </w:rPr>
        <w:t xml:space="preserve"> </w:t>
      </w:r>
      <w:r>
        <w:rPr>
          <w:rFonts w:ascii="Arial" w:cs="Arial" w:eastAsia="Arial" w:hAnsi="Arial"/>
          <w:sz w:val="13"/>
          <w:szCs w:val="13"/>
          <w:color w:val="auto"/>
        </w:rPr>
        <w:t>Our COVID-19 vaccines are based on an LNP formulation platform encapsulating nucleoside modified RNA, which has blunted innate immune sensor activating capacity and thus augmented antigen expression. Encapsulation of the mRNA into LNPs enables its transfection into host cells after intramuscular injection. These LNP formulations are composed of four different lipids in a defined ratio. During the mixing of the mRNA and dissolved lipids, the lipids form nanoparticles encapsulating the mRNA. After injection, the LNPs are taken up by the cells, and the mRNA is released into the cytosol. In the cytosol, the mRNA is translated into the encoded viral protein.</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3"/>
          <w:szCs w:val="13"/>
          <w:i w:val="1"/>
          <w:iCs w:val="1"/>
          <w:color w:val="auto"/>
        </w:rPr>
        <w:t>3. Polymer nanoparticles, or polyplex, or PLX, formulation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126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700"/>
        <w:spacing w:after="0" w:line="220" w:lineRule="auto"/>
        <w:rPr>
          <w:sz w:val="20"/>
          <w:szCs w:val="20"/>
          <w:color w:val="auto"/>
        </w:rPr>
      </w:pPr>
      <w:r>
        <w:rPr>
          <w:rFonts w:ascii="Arial" w:cs="Arial" w:eastAsia="Arial" w:hAnsi="Arial"/>
          <w:sz w:val="13"/>
          <w:szCs w:val="13"/>
          <w:color w:val="auto"/>
        </w:rPr>
        <w:t>Our portfolio also includes PLX formulations, in which the mRNA is bound to a polymer and then forms nanoparticles, which are being utilized in various of our discovery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b w:val="1"/>
          <w:bCs w:val="1"/>
          <w:color w:val="auto"/>
        </w:rPr>
        <w:t>D. mRNA Platforms</w:t>
      </w:r>
    </w:p>
    <w:p>
      <w:pPr>
        <w:ind w:left="380" w:right="2100"/>
        <w:spacing w:after="0" w:line="210" w:lineRule="auto"/>
        <w:rPr>
          <w:sz w:val="20"/>
          <w:szCs w:val="20"/>
          <w:color w:val="auto"/>
        </w:rPr>
      </w:pPr>
      <w:r>
        <w:rPr>
          <w:rFonts w:ascii="Arial" w:cs="Arial" w:eastAsia="Arial" w:hAnsi="Arial"/>
          <w:sz w:val="13"/>
          <w:szCs w:val="13"/>
          <w:color w:val="auto"/>
        </w:rPr>
        <w:t xml:space="preserve">We are developing multiple mRNA-based therapeutics in the oncology space, including mRNA cancer immunotherapy programs (e.g., </w:t>
      </w:r>
      <w:r>
        <w:rPr>
          <w:rFonts w:ascii="Arial" w:cs="Arial" w:eastAsia="Arial" w:hAnsi="Arial"/>
          <w:sz w:val="13"/>
          <w:szCs w:val="13"/>
          <w:i w:val="1"/>
          <w:iCs w:val="1"/>
          <w:color w:val="auto"/>
        </w:rPr>
        <w:t>FixVac</w:t>
      </w:r>
      <w:r>
        <w:rPr>
          <w:rFonts w:ascii="Arial" w:cs="Arial" w:eastAsia="Arial" w:hAnsi="Arial"/>
          <w:sz w:val="13"/>
          <w:szCs w:val="13"/>
          <w:color w:val="auto"/>
        </w:rPr>
        <w:t xml:space="preserve"> and iNeST), </w:t>
      </w:r>
      <w:r>
        <w:rPr>
          <w:rFonts w:ascii="Arial" w:cs="Arial" w:eastAsia="Arial" w:hAnsi="Arial"/>
          <w:sz w:val="13"/>
          <w:szCs w:val="13"/>
          <w:i w:val="1"/>
          <w:iCs w:val="1"/>
          <w:color w:val="auto"/>
        </w:rPr>
        <w:t>RiboMabs</w:t>
      </w:r>
      <w:r>
        <w:rPr>
          <w:rFonts w:ascii="Arial" w:cs="Arial" w:eastAsia="Arial" w:hAnsi="Arial"/>
          <w:sz w:val="13"/>
          <w:szCs w:val="13"/>
          <w:color w:val="auto"/>
        </w:rPr>
        <w:t xml:space="preserve">, and </w:t>
      </w:r>
      <w:r>
        <w:rPr>
          <w:rFonts w:ascii="Arial" w:cs="Arial" w:eastAsia="Arial" w:hAnsi="Arial"/>
          <w:sz w:val="13"/>
          <w:szCs w:val="13"/>
          <w:i w:val="1"/>
          <w:iCs w:val="1"/>
          <w:color w:val="auto"/>
        </w:rPr>
        <w:t>RiboCytokines</w:t>
      </w:r>
      <w:r>
        <w:rPr>
          <w:rFonts w:ascii="Arial" w:cs="Arial" w:eastAsia="Arial" w:hAnsi="Arial"/>
          <w:sz w:val="13"/>
          <w:szCs w:val="13"/>
          <w:color w:val="auto"/>
        </w:rPr>
        <w:t>, using different RNA formats and delivery formulations. We have also implemented mRNA platforms for the development of infectious disease vaccines.</w:t>
      </w:r>
    </w:p>
    <w:p>
      <w:pPr>
        <w:spacing w:after="0" w:line="2" w:lineRule="exact"/>
        <w:rPr>
          <w:sz w:val="20"/>
          <w:szCs w:val="20"/>
          <w:color w:val="auto"/>
        </w:rPr>
      </w:pPr>
    </w:p>
    <w:p>
      <w:pPr>
        <w:ind w:left="380" w:right="2180"/>
        <w:spacing w:after="0" w:line="234" w:lineRule="auto"/>
        <w:rPr>
          <w:sz w:val="20"/>
          <w:szCs w:val="20"/>
          <w:color w:val="auto"/>
        </w:rPr>
      </w:pPr>
      <w:r>
        <w:rPr>
          <w:rFonts w:ascii="Arial" w:cs="Arial" w:eastAsia="Arial" w:hAnsi="Arial"/>
          <w:sz w:val="13"/>
          <w:szCs w:val="13"/>
          <w:color w:val="auto"/>
        </w:rPr>
        <w:t>Importantly, each of these platforms enables the development of multiple pharmaceutical product candidates or programs.</w:t>
      </w:r>
    </w:p>
    <w:p>
      <w:pPr>
        <w:sectPr>
          <w:pgSz w:w="11900" w:h="16840" w:orient="portrait"/>
          <w:cols w:equalWidth="0" w:num="1">
            <w:col w:w="9020"/>
          </w:cols>
          <w:pgMar w:left="1440" w:top="1440" w:right="1440" w:bottom="502"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1157605</wp:posOffset>
            </wp:positionH>
            <wp:positionV relativeFrom="page">
              <wp:posOffset>361950</wp:posOffset>
            </wp:positionV>
            <wp:extent cx="4262120" cy="11360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4262120" cy="113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80" w:right="2020"/>
        <w:spacing w:after="0" w:line="222" w:lineRule="auto"/>
        <w:rPr>
          <w:sz w:val="20"/>
          <w:szCs w:val="20"/>
          <w:color w:val="auto"/>
        </w:rPr>
      </w:pPr>
      <w:r>
        <w:rPr>
          <w:rFonts w:ascii="Arial" w:cs="Arial" w:eastAsia="Arial" w:hAnsi="Arial"/>
          <w:sz w:val="12"/>
          <w:szCs w:val="12"/>
          <w:b w:val="1"/>
          <w:bCs w:val="1"/>
          <w:color w:val="005A64"/>
        </w:rPr>
        <w:t xml:space="preserve">Our mRNA Platforms. </w:t>
      </w:r>
      <w:r>
        <w:rPr>
          <w:rFonts w:ascii="Arial" w:cs="Arial" w:eastAsia="Arial" w:hAnsi="Arial"/>
          <w:sz w:val="12"/>
          <w:szCs w:val="12"/>
          <w:color w:val="005A64"/>
        </w:rPr>
        <w:t>We have multiple mRNA-based platforms utilizing different mRNA formats and delivery formulations</w:t>
      </w:r>
      <w:r>
        <w:rPr>
          <w:rFonts w:ascii="Arial" w:cs="Arial" w:eastAsia="Arial" w:hAnsi="Arial"/>
          <w:sz w:val="12"/>
          <w:szCs w:val="12"/>
          <w:b w:val="1"/>
          <w:bCs w:val="1"/>
          <w:color w:val="005A64"/>
        </w:rPr>
        <w:t xml:space="preserve"> </w:t>
      </w:r>
      <w:r>
        <w:rPr>
          <w:rFonts w:ascii="Arial" w:cs="Arial" w:eastAsia="Arial" w:hAnsi="Arial"/>
          <w:sz w:val="12"/>
          <w:szCs w:val="12"/>
          <w:color w:val="005A64"/>
        </w:rPr>
        <w:t>that are directed at a range of biological targets in oncology and infectious and rare diseases.</w:t>
      </w:r>
    </w:p>
    <w:p>
      <w:pPr>
        <w:ind w:left="380"/>
        <w:spacing w:after="0" w:line="211" w:lineRule="auto"/>
        <w:rPr>
          <w:sz w:val="20"/>
          <w:szCs w:val="20"/>
          <w:color w:val="auto"/>
        </w:rPr>
      </w:pPr>
      <w:r>
        <w:rPr>
          <w:rFonts w:ascii="Arial" w:cs="Arial" w:eastAsia="Arial" w:hAnsi="Arial"/>
          <w:sz w:val="13"/>
          <w:szCs w:val="13"/>
          <w:color w:val="005A64"/>
        </w:rPr>
        <w:t>VIII. Sales, Marketing and Distribution</w:t>
      </w:r>
    </w:p>
    <w:p>
      <w:pPr>
        <w:ind w:left="380" w:right="2300"/>
        <w:spacing w:after="0" w:line="210" w:lineRule="auto"/>
        <w:rPr>
          <w:sz w:val="20"/>
          <w:szCs w:val="20"/>
          <w:color w:val="auto"/>
        </w:rPr>
      </w:pPr>
      <w:r>
        <w:rPr>
          <w:rFonts w:ascii="Arial" w:cs="Arial" w:eastAsia="Arial" w:hAnsi="Arial"/>
          <w:sz w:val="13"/>
          <w:szCs w:val="13"/>
          <w:color w:val="auto"/>
        </w:rPr>
        <w:t>Our commercial organization currently focuses on supporting sales of our COVID- 19 vaccine in Germany and Türkiye. Our commercial organization is responsible for promoting our products to health care providers and providing information to stakeholders, including governmental organizations, in Germany and Türkiye.</w:t>
      </w:r>
    </w:p>
    <w:p>
      <w:pPr>
        <w:spacing w:after="0" w:line="2" w:lineRule="exact"/>
        <w:rPr>
          <w:sz w:val="20"/>
          <w:szCs w:val="20"/>
          <w:color w:val="auto"/>
        </w:rPr>
      </w:pPr>
    </w:p>
    <w:p>
      <w:pPr>
        <w:ind w:left="380" w:right="2540"/>
        <w:spacing w:after="0" w:line="210" w:lineRule="auto"/>
        <w:rPr>
          <w:sz w:val="20"/>
          <w:szCs w:val="20"/>
          <w:color w:val="auto"/>
        </w:rPr>
      </w:pPr>
      <w:r>
        <w:rPr>
          <w:rFonts w:ascii="Arial" w:cs="Arial" w:eastAsia="Arial" w:hAnsi="Arial"/>
          <w:sz w:val="13"/>
          <w:szCs w:val="13"/>
          <w:color w:val="auto"/>
        </w:rPr>
        <w:t>As a result of our partnership with Pfizer, under which our commercialization responsibilities are limited to Germany and Türkiye, we maintain a lean fixed cost base for our COVID-19 vaccine business.</w:t>
      </w:r>
    </w:p>
    <w:p>
      <w:pPr>
        <w:spacing w:after="0" w:line="1" w:lineRule="exact"/>
        <w:rPr>
          <w:sz w:val="20"/>
          <w:szCs w:val="20"/>
          <w:color w:val="auto"/>
        </w:rPr>
      </w:pPr>
    </w:p>
    <w:p>
      <w:pPr>
        <w:ind w:left="380" w:right="2400"/>
        <w:spacing w:after="0" w:line="210" w:lineRule="auto"/>
        <w:rPr>
          <w:sz w:val="20"/>
          <w:szCs w:val="20"/>
          <w:color w:val="auto"/>
        </w:rPr>
      </w:pPr>
      <w:r>
        <w:rPr>
          <w:rFonts w:ascii="Arial" w:cs="Arial" w:eastAsia="Arial" w:hAnsi="Arial"/>
          <w:sz w:val="13"/>
          <w:szCs w:val="13"/>
          <w:color w:val="auto"/>
        </w:rPr>
        <w:t>Our commercial organization is also responsible for preparing and obtaining reimbursement from third-party payors, including governmental organizations, for our COVID-19 vaccine.</w:t>
      </w:r>
    </w:p>
    <w:p>
      <w:pPr>
        <w:spacing w:after="0" w:line="1"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We aim to build a specialized oncology sales force in major markets, including North America and Europe, while leveraging our commercial partners for co-commercialization. We are working towards being commercial-ready in oncology by the end of 2025, in anticipation of potential commercial oncology launches as soon as 2026, if approved.</w:t>
      </w:r>
    </w:p>
    <w:p>
      <w:pPr>
        <w:ind w:left="380"/>
        <w:spacing w:after="0" w:line="214" w:lineRule="auto"/>
        <w:rPr>
          <w:sz w:val="20"/>
          <w:szCs w:val="20"/>
          <w:color w:val="auto"/>
        </w:rPr>
      </w:pPr>
      <w:r>
        <w:rPr>
          <w:rFonts w:ascii="Arial" w:cs="Arial" w:eastAsia="Arial" w:hAnsi="Arial"/>
          <w:sz w:val="13"/>
          <w:szCs w:val="13"/>
          <w:color w:val="005A64"/>
        </w:rPr>
        <w:t>IX. Manufacturing</w:t>
      </w:r>
    </w:p>
    <w:p>
      <w:pPr>
        <w:ind w:left="380" w:right="2100"/>
        <w:spacing w:after="0" w:line="215" w:lineRule="auto"/>
        <w:rPr>
          <w:sz w:val="20"/>
          <w:szCs w:val="20"/>
          <w:color w:val="auto"/>
        </w:rPr>
      </w:pPr>
      <w:r>
        <w:rPr>
          <w:rFonts w:ascii="Arial" w:cs="Arial" w:eastAsia="Arial" w:hAnsi="Arial"/>
          <w:sz w:val="13"/>
          <w:szCs w:val="13"/>
          <w:color w:val="auto"/>
        </w:rPr>
        <w:t>We are building a fully integrated biotechnology company, with operations spanning from research through clinical development, manufacturing and sales and marketing. To successfully bring individualized immunotherapies and vaccines to people around the world, we believe that it is crucial to have in-house manufacturing capabilities that can be efficiently scaled for global clinical and commercial distribution. We have several manufacturing sites capable of developing automated production processes for on-demand production of our investigational therapies and vaccines. These can be classified into distinct GMP manufacturing capabilities. We operate four GMP-certified manufacturing facilities in Germany, where we manufacture mRNA therapeutics and engineered cell therapies for both, our own pipeline and for external customers, including a state- of-the art, multi-platform, GMP-certified manufacturing facility located in a life science industrial park in Marburg, Germany, which we acquired in October 2020 from Novartis to increase manufacturing capacity of our COVID-19 vaccine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127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40"/>
        <w:spacing w:after="0" w:line="215" w:lineRule="auto"/>
        <w:rPr>
          <w:sz w:val="20"/>
          <w:szCs w:val="20"/>
          <w:color w:val="auto"/>
        </w:rPr>
      </w:pPr>
      <w:r>
        <w:rPr>
          <w:rFonts w:ascii="Arial" w:cs="Arial" w:eastAsia="Arial" w:hAnsi="Arial"/>
          <w:sz w:val="13"/>
          <w:szCs w:val="13"/>
          <w:color w:val="auto"/>
        </w:rPr>
        <w:t>for commercial supply. We also operate a fifth facility in Germany where we manufacture custom peptides both to support our extensive immunomonitoring activities within our development programs and for third parties. Our subsidiary BioNTech Innovative Manufacturing Services GmbH, or BioNTech IMFS, has been manufacturing GMP-certified cellular products since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60"/>
        <w:spacing w:after="0" w:line="210" w:lineRule="auto"/>
        <w:rPr>
          <w:sz w:val="20"/>
          <w:szCs w:val="20"/>
          <w:color w:val="auto"/>
        </w:rPr>
      </w:pPr>
      <w:r>
        <w:rPr>
          <w:rFonts w:ascii="Arial" w:cs="Arial" w:eastAsia="Arial" w:hAnsi="Arial"/>
          <w:sz w:val="13"/>
          <w:szCs w:val="13"/>
          <w:color w:val="auto"/>
        </w:rPr>
        <w:t>Our approach has been to proactively build capacity in anticipation of demand from both internal research and development from our collaborators. We have done so by continuing to make significant investments in our manufacturing infrastructure, including our capacity to manufacture mRNA, viral vectors, cellular products and peptides. We have also collaborated with Siemens AG to develop a process for automated, on-demand production of mRNA therapies. We believe that the development and optimization of our manufacturing processes in parallel to drug development is crucial to our success.</w:t>
      </w:r>
    </w:p>
    <w:p>
      <w:pPr>
        <w:ind w:left="380"/>
        <w:spacing w:after="0" w:line="216" w:lineRule="auto"/>
        <w:rPr>
          <w:sz w:val="20"/>
          <w:szCs w:val="20"/>
          <w:color w:val="auto"/>
        </w:rPr>
      </w:pPr>
      <w:r>
        <w:rPr>
          <w:rFonts w:ascii="Arial" w:cs="Arial" w:eastAsia="Arial" w:hAnsi="Arial"/>
          <w:sz w:val="13"/>
          <w:szCs w:val="13"/>
          <w:b w:val="1"/>
          <w:bCs w:val="1"/>
          <w:color w:val="auto"/>
        </w:rPr>
        <w:t>A. Manufacturing Operations</w:t>
      </w:r>
    </w:p>
    <w:p>
      <w:pPr>
        <w:ind w:left="380" w:right="2200"/>
        <w:spacing w:after="0" w:line="210" w:lineRule="auto"/>
        <w:rPr>
          <w:sz w:val="20"/>
          <w:szCs w:val="20"/>
          <w:color w:val="auto"/>
        </w:rPr>
      </w:pPr>
      <w:r>
        <w:rPr>
          <w:rFonts w:ascii="Arial" w:cs="Arial" w:eastAsia="Arial" w:hAnsi="Arial"/>
          <w:sz w:val="13"/>
          <w:szCs w:val="13"/>
          <w:i w:val="1"/>
          <w:iCs w:val="1"/>
          <w:color w:val="auto"/>
        </w:rPr>
        <w:t>COVID-19 Vaccine</w:t>
      </w:r>
      <w:r>
        <w:rPr>
          <w:rFonts w:ascii="Arial" w:cs="Arial" w:eastAsia="Arial" w:hAnsi="Arial"/>
          <w:sz w:val="13"/>
          <w:szCs w:val="13"/>
          <w:color w:val="auto"/>
        </w:rPr>
        <w:t>. Our manufacturing site in Marburg was approved by the EMA for manufacturing of our</w:t>
      </w:r>
      <w:r>
        <w:rPr>
          <w:rFonts w:ascii="Arial" w:cs="Arial" w:eastAsia="Arial" w:hAnsi="Arial"/>
          <w:sz w:val="13"/>
          <w:szCs w:val="13"/>
          <w:i w:val="1"/>
          <w:iCs w:val="1"/>
          <w:color w:val="auto"/>
        </w:rPr>
        <w:t xml:space="preserve"> </w:t>
      </w:r>
      <w:r>
        <w:rPr>
          <w:rFonts w:ascii="Arial" w:cs="Arial" w:eastAsia="Arial" w:hAnsi="Arial"/>
          <w:sz w:val="13"/>
          <w:szCs w:val="13"/>
          <w:color w:val="auto"/>
        </w:rPr>
        <w:t>COVID-19 drug product in March 2021. This approval made it one of the largest mRNA manufacturing sites worldwide. In addition, we have another GMP facility that currently produces our COVID-19 vaccine candidates for clinical trials. We have a network of sub-contractors established to provide drug products, and fill and finish services to enable production.</w:t>
      </w:r>
    </w:p>
    <w:p>
      <w:pPr>
        <w:spacing w:after="0" w:line="3"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i w:val="1"/>
          <w:iCs w:val="1"/>
          <w:color w:val="auto"/>
        </w:rPr>
        <w:t>mRNA</w:t>
      </w:r>
      <w:r>
        <w:rPr>
          <w:rFonts w:ascii="Arial" w:cs="Arial" w:eastAsia="Arial" w:hAnsi="Arial"/>
          <w:sz w:val="13"/>
          <w:szCs w:val="13"/>
          <w:color w:val="auto"/>
        </w:rPr>
        <w:t>. We believe scaling up manufacturing for mRNA can best be executed as part of a proprietary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manufacturing approach, rather than as part of an outsourcing strategy. We believe this approach allows us to maintain control of our proprietary processes and gives us the flexibility we need for scheduling batch production for our drug substances to match our development plans as they evolve. Our mRNA manufacturing is currently conducted at our in-house BioNTech IMFS facility, our BioNTech East Wing facility, and our Marburg facility. The East Wing facility manufactures iNeST (finished product). In 2024, we undertook sterile filtration and final filling of over 77,000 vials of various sizes in the East Wing and over 22,000 vials at IMFS. Drug substance batch sizes range from a few milligrams for individualized applications (i.e., iNeST) to 10g for standard mRNA applications (i.e., </w:t>
      </w:r>
      <w:r>
        <w:rPr>
          <w:rFonts w:ascii="Arial" w:cs="Arial" w:eastAsia="Arial" w:hAnsi="Arial"/>
          <w:sz w:val="13"/>
          <w:szCs w:val="13"/>
          <w:i w:val="1"/>
          <w:iCs w:val="1"/>
          <w:color w:val="auto"/>
        </w:rPr>
        <w:t>FixVac</w:t>
      </w:r>
      <w:r>
        <w:rPr>
          <w:rFonts w:ascii="Arial" w:cs="Arial" w:eastAsia="Arial" w:hAnsi="Arial"/>
          <w:sz w:val="13"/>
          <w:szCs w:val="13"/>
          <w:color w:val="auto"/>
        </w:rPr>
        <w:t>, intratumoral immunotherapies and infectious diseases), and up to approximately 720g batches for COVID-19. Our manufacturing facility in Marburg is one of the largest mRNA vaccine manufacturing sites worldwide with an annual capacity of up to three billion doses of mRNA drug substance and we believe we are well positioned to supply the quantities required by global market demand.</w:t>
      </w:r>
    </w:p>
    <w:p>
      <w:pPr>
        <w:spacing w:after="0" w:line="7"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To date, we have produced more than 2,000 batches of mRNA drug substance to support our clinical studies. We currently have infrastructure capable of producing about 100 batches of mRNA drug substance and formulated drug product per month with a turnaround time of about 30 to 40 days from sequence identification to released product. We believe we have the capacity to meet the supply needs of our current product candidates in clinical trials through registration.</w:t>
      </w:r>
    </w:p>
    <w:p>
      <w:pPr>
        <w:spacing w:after="0" w:line="3"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We have successfully decreased the time required to deliver iNeST to patients. In 2014, it took us over three months to manually manufacture and deliver individualized immunotherapies to patients. Since December 2017, with the implementation of semiautomatic GMP manufacturing in collaboration with partners, we have been consistently manufacturing and delivering individualized immunotherapies in under six weeks. This advancement represents significant progress toward our target commercial manufacturing turnaround time of less than 28 days, and we were able to demonstrate less than 30 days in 2021. We plan to continue to develop additional process improvements, which we expect will further reduce our turnaround times as we progress through clinical development.</w:t>
      </w:r>
    </w:p>
    <w:p>
      <w:pPr>
        <w:spacing w:after="0" w:line="5" w:lineRule="exact"/>
        <w:rPr>
          <w:sz w:val="20"/>
          <w:szCs w:val="20"/>
          <w:color w:val="auto"/>
        </w:rPr>
      </w:pPr>
    </w:p>
    <w:p>
      <w:pPr>
        <w:ind w:left="380" w:right="2120"/>
        <w:spacing w:after="0" w:line="216" w:lineRule="auto"/>
        <w:rPr>
          <w:sz w:val="20"/>
          <w:szCs w:val="20"/>
          <w:color w:val="auto"/>
        </w:rPr>
      </w:pPr>
      <w:r>
        <w:rPr>
          <w:rFonts w:ascii="Arial" w:cs="Arial" w:eastAsia="Arial" w:hAnsi="Arial"/>
          <w:sz w:val="13"/>
          <w:szCs w:val="13"/>
          <w:i w:val="1"/>
          <w:iCs w:val="1"/>
          <w:color w:val="auto"/>
        </w:rPr>
        <w:t>Cell Therapy Products</w:t>
      </w:r>
      <w:r>
        <w:rPr>
          <w:rFonts w:ascii="Arial" w:cs="Arial" w:eastAsia="Arial" w:hAnsi="Arial"/>
          <w:sz w:val="13"/>
          <w:szCs w:val="13"/>
          <w:color w:val="auto"/>
        </w:rPr>
        <w:t>. We have end- to-end capabilities and teams in Germany and the United States with over</w:t>
      </w:r>
      <w:r>
        <w:rPr>
          <w:rFonts w:ascii="Arial" w:cs="Arial" w:eastAsia="Arial" w:hAnsi="Arial"/>
          <w:sz w:val="13"/>
          <w:szCs w:val="13"/>
          <w:i w:val="1"/>
          <w:iCs w:val="1"/>
          <w:color w:val="auto"/>
        </w:rPr>
        <w:t xml:space="preserve"> </w:t>
      </w:r>
      <w:r>
        <w:rPr>
          <w:rFonts w:ascii="Arial" w:cs="Arial" w:eastAsia="Arial" w:hAnsi="Arial"/>
          <w:sz w:val="13"/>
          <w:szCs w:val="13"/>
          <w:color w:val="auto"/>
        </w:rPr>
        <w:t>20 years of experience in cell therapy manufacturing, quality control and release. Our cell therapy programs target novel and known tumor- specific antigens, including patient-specific mutant neoantigens. We also leverage our mRNA vaccine technology to further boost T-cell activation, expansion, and persistence. Our state-of-the-art manufacturing processes of cellular products involve the isolation of primary human blood cells and subpopulations, such as, e.g., CD3+ T cells. Cell products are cultured, expanded and genetically modified (e.g., CAR-T cells) in aseptic production processes in specialized cleanroom facilities. We also have the capability for in-house mRNA production for the genetic modification of such innovative cell therapy products.</w:t>
      </w:r>
    </w:p>
    <w:p>
      <w:pPr>
        <w:sectPr>
          <w:pgSz w:w="11900" w:h="16840" w:orient="portrait"/>
          <w:cols w:equalWidth="0" w:num="1">
            <w:col w:w="9020"/>
          </w:cols>
          <w:pgMar w:left="1440" w:top="1440" w:right="1440" w:bottom="172"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128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40"/>
        <w:spacing w:after="0" w:line="212" w:lineRule="auto"/>
        <w:rPr>
          <w:sz w:val="20"/>
          <w:szCs w:val="20"/>
          <w:color w:val="auto"/>
        </w:rPr>
      </w:pPr>
      <w:r>
        <w:rPr>
          <w:rFonts w:ascii="Arial" w:cs="Arial" w:eastAsia="Arial" w:hAnsi="Arial"/>
          <w:sz w:val="13"/>
          <w:szCs w:val="13"/>
          <w:i w:val="1"/>
          <w:iCs w:val="1"/>
          <w:color w:val="auto"/>
        </w:rPr>
        <w:t xml:space="preserve">Peptides </w:t>
      </w:r>
      <w:r>
        <w:rPr>
          <w:rFonts w:ascii="Arial" w:cs="Arial" w:eastAsia="Arial" w:hAnsi="Arial"/>
          <w:sz w:val="13"/>
          <w:szCs w:val="13"/>
          <w:b w:val="1"/>
          <w:bCs w:val="1"/>
          <w:i w:val="1"/>
          <w:iCs w:val="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Our custom peptide synthesis business has developed unique technologies to produce several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peptides over the past ten years to support our growing clinical pipeline. These include fast small-scale manufacturing of peptides for target and epitope discovery as well as for neoepitope characterization and production of high content arrays. It is important to synthesize highly purified peptides in order to avoid false positives in immunomonitoring in our mRNA immunotherapy trials. We also use peptides as starting materials in our engineered cell therapies as well as in some drug formulations and biomarker discovery studies. We have developed proprietary technologies to produce highly complex and purified peptide pools that consist of overlapping peptides spanning entire antigens or neoepitopes. In September 2025, we plan to move into a new manufacturing plant of 7,500 square meters in Berlin, which we expect will double our manufacturing capacity to produce Active Pharmaceutical Ingredient peptides and diversify our peptide activities towards new fast-growing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-915670</wp:posOffset>
            </wp:positionV>
            <wp:extent cx="523113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8" w:lineRule="auto"/>
        <w:rPr>
          <w:sz w:val="20"/>
          <w:szCs w:val="20"/>
          <w:color w:val="auto"/>
        </w:rPr>
      </w:pPr>
      <w:r>
        <w:rPr>
          <w:rFonts w:ascii="Arial" w:cs="Arial" w:eastAsia="Arial" w:hAnsi="Arial"/>
          <w:sz w:val="13"/>
          <w:szCs w:val="13"/>
          <w:b w:val="1"/>
          <w:bCs w:val="1"/>
          <w:color w:val="auto"/>
        </w:rPr>
        <w:t>B. Manufacturing Facilities</w:t>
      </w:r>
    </w:p>
    <w:p>
      <w:pPr>
        <w:ind w:left="380" w:right="2200"/>
        <w:spacing w:after="0" w:line="210" w:lineRule="auto"/>
        <w:rPr>
          <w:sz w:val="20"/>
          <w:szCs w:val="20"/>
          <w:color w:val="auto"/>
        </w:rPr>
      </w:pPr>
      <w:r>
        <w:rPr>
          <w:rFonts w:ascii="Arial" w:cs="Arial" w:eastAsia="Arial" w:hAnsi="Arial"/>
          <w:sz w:val="13"/>
          <w:szCs w:val="13"/>
          <w:color w:val="auto"/>
        </w:rPr>
        <w:t>The information included herein is as of the date of this Annual Report. For more information about our plans to implement measures to adjust capacities in some areas, see Item 4.B.III, “Strategic Outlook” of this Annual Report.</w:t>
      </w:r>
    </w:p>
    <w:p>
      <w:pPr>
        <w:ind w:left="380"/>
        <w:spacing w:after="0" w:line="213" w:lineRule="auto"/>
        <w:rPr>
          <w:sz w:val="20"/>
          <w:szCs w:val="20"/>
          <w:color w:val="auto"/>
        </w:rPr>
      </w:pPr>
      <w:r>
        <w:rPr>
          <w:rFonts w:ascii="Arial" w:cs="Arial" w:eastAsia="Arial" w:hAnsi="Arial"/>
          <w:sz w:val="13"/>
          <w:szCs w:val="13"/>
          <w:i w:val="1"/>
          <w:iCs w:val="1"/>
          <w:color w:val="auto"/>
        </w:rPr>
        <w:t>Manufacturing sites in Germany</w:t>
      </w:r>
    </w:p>
    <w:p>
      <w:pPr>
        <w:ind w:left="380"/>
        <w:spacing w:after="0" w:line="211" w:lineRule="auto"/>
        <w:rPr>
          <w:sz w:val="20"/>
          <w:szCs w:val="20"/>
          <w:color w:val="auto"/>
        </w:rPr>
      </w:pPr>
      <w:r>
        <w:rPr>
          <w:rFonts w:ascii="Arial" w:cs="Arial" w:eastAsia="Arial" w:hAnsi="Arial"/>
          <w:sz w:val="13"/>
          <w:szCs w:val="13"/>
          <w:color w:val="3C9673"/>
        </w:rPr>
        <w:t>Marburg</w:t>
      </w:r>
    </w:p>
    <w:p>
      <w:pPr>
        <w:ind w:left="380" w:right="2120"/>
        <w:spacing w:after="0" w:line="210" w:lineRule="auto"/>
        <w:rPr>
          <w:sz w:val="20"/>
          <w:szCs w:val="20"/>
          <w:color w:val="auto"/>
        </w:rPr>
      </w:pPr>
      <w:r>
        <w:rPr>
          <w:rFonts w:ascii="Arial" w:cs="Arial" w:eastAsia="Arial" w:hAnsi="Arial"/>
          <w:sz w:val="13"/>
          <w:szCs w:val="13"/>
          <w:color w:val="auto"/>
        </w:rPr>
        <w:t>Marburg is one of our fully owned, state-of-the- art manufacturing facilities for just-in -time delivery and scalable production. Our Marburg manufacturing facility was acquired from Novartis in 2020 for less than a hundred million euros and comprises eight large and small molecule production suites across more than 100,000 square feet. Within 6 months from acquisition, the facility was retrofitted to produce mRNA vaccines. It is now one of the largest mRNA vaccine manufacturing sites globally. The facility has the capacity to produce up to three billion doses of mRNA drug substance vaccine annually.</w:t>
      </w:r>
    </w:p>
    <w:p>
      <w:pPr>
        <w:spacing w:after="0" w:line="4"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Marburg is our central hub for innovation and development of novel manufacturing solutions. It is a center of excellence, not only in terms of facilities and devices, but as a know-how hub with appropriate and forward-looking staff training. We have about 650 employees on site. To ensure production, we work in flexible/different shift models, e.g. 24/5.</w:t>
      </w:r>
    </w:p>
    <w:p>
      <w:pPr>
        <w:spacing w:after="0" w:line="2"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In 2023, we completed our first proprietary plasmid DNA manufacturing facility in Marburg. This aims to increase our flexibility and autonomy in manufacturing starting materials for our oncology and COVID -19 vaccine pipelines, as well as our independence for pandemic preparedness due to local production. We also expect this manufacturing facility will facilitate faster production cycles and shorter delivery times for plasmid DNA for a number of clinical product candidates and commercial products.</w:t>
      </w:r>
    </w:p>
    <w:p>
      <w:pPr>
        <w:ind w:left="380"/>
        <w:spacing w:after="0" w:line="215" w:lineRule="auto"/>
        <w:rPr>
          <w:sz w:val="20"/>
          <w:szCs w:val="20"/>
          <w:color w:val="auto"/>
        </w:rPr>
      </w:pPr>
      <w:r>
        <w:rPr>
          <w:rFonts w:ascii="Arial" w:cs="Arial" w:eastAsia="Arial" w:hAnsi="Arial"/>
          <w:sz w:val="13"/>
          <w:szCs w:val="13"/>
          <w:color w:val="3C9673"/>
        </w:rPr>
        <w:t>Idar-Oberstein</w:t>
      </w:r>
    </w:p>
    <w:p>
      <w:pPr>
        <w:ind w:left="380" w:right="2080"/>
        <w:spacing w:after="0" w:line="210" w:lineRule="auto"/>
        <w:rPr>
          <w:sz w:val="20"/>
          <w:szCs w:val="20"/>
          <w:color w:val="auto"/>
        </w:rPr>
      </w:pPr>
      <w:r>
        <w:rPr>
          <w:rFonts w:ascii="Arial" w:cs="Arial" w:eastAsia="Arial" w:hAnsi="Arial"/>
          <w:sz w:val="13"/>
          <w:szCs w:val="13"/>
          <w:color w:val="auto"/>
        </w:rPr>
        <w:t>BioNTech IMFS: Our manufacturing operations for cell therapy products and mRNA are housed in our wholly owned subsidiary. Founded in 1997, BioNTech IMFS specializes in services for innovative therapeutic approaches. In 2009, BioNTech IMFS became our wholly owned subsidiary, giving us access to synergistic platforms and complementary expertise for development, testing and manufacturing services. BioNTech IMFS and its predecessors have had GMP-certified cell and gene therapy manufacturing capabilities since 1999, and obtained GMP manufacturing authorization for mRNA production in 2011. In 2017, BioNTech IMFS began automated manufacturing of the iNeST product candidate and entered its first commercial supply contract for retroviral vectors. Located near Mainz, the BioNTech IMFS facility occupies over 30,000 square feet. Over 500 staff members are employed at this facility, with collective expertise in molecular biology, cell biology and virology and a close working relationship with our R&amp;D teams in Mainz. We consider BioNTech IMFS our powerhouse for early-stage mRNA material.</w:t>
      </w:r>
    </w:p>
    <w:p>
      <w:pPr>
        <w:ind w:left="380"/>
        <w:spacing w:after="0" w:line="221" w:lineRule="auto"/>
        <w:rPr>
          <w:sz w:val="20"/>
          <w:szCs w:val="20"/>
          <w:color w:val="auto"/>
        </w:rPr>
      </w:pPr>
      <w:r>
        <w:rPr>
          <w:rFonts w:ascii="Arial" w:cs="Arial" w:eastAsia="Arial" w:hAnsi="Arial"/>
          <w:sz w:val="13"/>
          <w:szCs w:val="13"/>
          <w:color w:val="3C9673"/>
        </w:rPr>
        <w:t>Mainz</w:t>
      </w:r>
    </w:p>
    <w:p>
      <w:pPr>
        <w:ind w:left="380" w:right="2260"/>
        <w:spacing w:after="0" w:line="234" w:lineRule="auto"/>
        <w:rPr>
          <w:sz w:val="20"/>
          <w:szCs w:val="20"/>
          <w:color w:val="auto"/>
        </w:rPr>
      </w:pPr>
      <w:r>
        <w:rPr>
          <w:rFonts w:ascii="Arial" w:cs="Arial" w:eastAsia="Arial" w:hAnsi="Arial"/>
          <w:sz w:val="13"/>
          <w:szCs w:val="13"/>
          <w:color w:val="auto"/>
        </w:rPr>
        <w:t>BioNTech iNeST Clinical Manufacturing (East Wing): We utilize our GMP-certified manufacturing facility at our headquarters in Mainz, Germany for the production of iNeST immunotherapies. In 2015, our wholly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129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jc w:val="both"/>
        <w:ind w:left="380" w:right="2100"/>
        <w:spacing w:after="0" w:line="215" w:lineRule="auto"/>
        <w:rPr>
          <w:sz w:val="20"/>
          <w:szCs w:val="20"/>
          <w:color w:val="auto"/>
        </w:rPr>
      </w:pPr>
      <w:r>
        <w:rPr>
          <w:rFonts w:ascii="Arial" w:cs="Arial" w:eastAsia="Arial" w:hAnsi="Arial"/>
          <w:sz w:val="13"/>
          <w:szCs w:val="13"/>
          <w:color w:val="auto"/>
        </w:rPr>
        <w:t>subsidiary, BioNTech RNA Pharmaceuticals GmbH, or BioNTech RNA, and Siemens announced a collaboration for developing an automated, paperless and digitalized production site for individualized mRNA. We obtained our GMP manufacturing authorization for iNeST production at our East Wing facility in June 2018 and manufactured our first drug product there the following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This facility contains approximately 17,000 square feet of laboratory and office space, including 4,300 square</w:t>
      </w:r>
    </w:p>
    <w:p>
      <w:pPr>
        <w:sectPr>
          <w:pgSz w:w="11900" w:h="16840" w:orient="portrait"/>
          <w:cols w:equalWidth="0" w:num="1">
            <w:col w:w="9020"/>
          </w:cols>
          <w:pgMar w:left="1440" w:top="1440" w:right="1440" w:bottom="108" w:gutter="0" w:footer="0" w:header="0"/>
        </w:sectPr>
      </w:pPr>
    </w:p>
    <w:bookmarkStart w:id="90" w:name="page91"/>
    <w:bookmarkEnd w:id="90"/>
    <w:p>
      <w:pPr>
        <w:ind w:left="380" w:right="2200"/>
        <w:spacing w:after="0" w:line="217" w:lineRule="auto"/>
        <w:rPr>
          <w:sz w:val="20"/>
          <w:szCs w:val="20"/>
          <w:color w:val="auto"/>
        </w:rPr>
      </w:pPr>
      <w:r>
        <w:rPr>
          <w:rFonts w:ascii="Arial" w:cs="Arial" w:eastAsia="Arial" w:hAnsi="Arial"/>
          <w:sz w:val="13"/>
          <w:szCs w:val="13"/>
          <w:color w:val="auto"/>
        </w:rPr>
        <w:t>feet of GMP facilities. Over 300 staff members are employed at this facility and operate it seven days per week. In its first year of operation, the facility manufactured and released more than 250 batches of mRNA and has manufactured and released more than 1,700 batches of mRNA since inception.</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To perform our target identification process to feed into the iNeST downstream GMP manufacturing process, our headquarters also hold our core facility, which operates under Good Clinical Practice, or GCP, for labs. Incoming patients’ materials (blood and tumor samples) are received and analyzed to identify characteristic mutations to generate the patient-specific target list used for individualized mRNA production.</w:t>
      </w:r>
    </w:p>
    <w:p>
      <w:pPr>
        <w:spacing w:after="0" w:line="2"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BioNTech Clinical Manufacturing: Our GMP-certified manufacturing facility in Kupferbergterrasse, Mainz is authorized to conduct secondary packing, labeling, storage and batch release of primary packed investigational medicinal products. This facility contains approximately 11,500 square feet of laboratory and office space, including 1,250 square feet of GMP facilities.</w:t>
      </w:r>
    </w:p>
    <w:p>
      <w:pPr>
        <w:ind w:left="380"/>
        <w:spacing w:after="0" w:line="214" w:lineRule="auto"/>
        <w:rPr>
          <w:sz w:val="20"/>
          <w:szCs w:val="20"/>
          <w:color w:val="auto"/>
        </w:rPr>
      </w:pPr>
      <w:r>
        <w:rPr>
          <w:rFonts w:ascii="Arial" w:cs="Arial" w:eastAsia="Arial" w:hAnsi="Arial"/>
          <w:sz w:val="13"/>
          <w:szCs w:val="13"/>
          <w:color w:val="3C9673"/>
        </w:rPr>
        <w:t>Berlin</w:t>
      </w:r>
    </w:p>
    <w:p>
      <w:pPr>
        <w:jc w:val="both"/>
        <w:ind w:left="380" w:right="2140"/>
        <w:spacing w:after="0" w:line="210" w:lineRule="auto"/>
        <w:rPr>
          <w:sz w:val="20"/>
          <w:szCs w:val="20"/>
          <w:color w:val="auto"/>
        </w:rPr>
      </w:pPr>
      <w:r>
        <w:rPr>
          <w:rFonts w:ascii="Arial" w:cs="Arial" w:eastAsia="Arial" w:hAnsi="Arial"/>
          <w:sz w:val="13"/>
          <w:szCs w:val="13"/>
          <w:color w:val="auto"/>
        </w:rPr>
        <w:t>JPT: JPT, our peptide manufacturing facility, was established in 2004 and became a wholly owned subsidiary of BioNTech in 2008. JPT is located in Berlin and occupies over 16,000 square feet of clean rooms, laboratory and office space.</w:t>
      </w:r>
    </w:p>
    <w:p>
      <w:pPr>
        <w:ind w:left="380"/>
        <w:spacing w:after="0" w:line="213" w:lineRule="auto"/>
        <w:rPr>
          <w:sz w:val="20"/>
          <w:szCs w:val="20"/>
          <w:color w:val="auto"/>
        </w:rPr>
      </w:pPr>
      <w:r>
        <w:rPr>
          <w:rFonts w:ascii="Arial" w:cs="Arial" w:eastAsia="Arial" w:hAnsi="Arial"/>
          <w:sz w:val="13"/>
          <w:szCs w:val="13"/>
          <w:i w:val="1"/>
          <w:iCs w:val="1"/>
          <w:color w:val="auto"/>
        </w:rPr>
        <w:t>Global manufacturing sites</w:t>
      </w:r>
    </w:p>
    <w:p>
      <w:pPr>
        <w:ind w:left="380"/>
        <w:spacing w:after="0" w:line="211" w:lineRule="auto"/>
        <w:rPr>
          <w:sz w:val="20"/>
          <w:szCs w:val="20"/>
          <w:color w:val="auto"/>
        </w:rPr>
      </w:pPr>
      <w:r>
        <w:rPr>
          <w:rFonts w:ascii="Arial" w:cs="Arial" w:eastAsia="Arial" w:hAnsi="Arial"/>
          <w:sz w:val="13"/>
          <w:szCs w:val="13"/>
          <w:color w:val="auto"/>
        </w:rPr>
        <w:t>Outside of Europe, we maintain a site in the United States and a site in Singapore.</w:t>
      </w:r>
    </w:p>
    <w:p>
      <w:pPr>
        <w:ind w:left="380"/>
        <w:spacing w:after="0" w:line="211" w:lineRule="auto"/>
        <w:rPr>
          <w:sz w:val="20"/>
          <w:szCs w:val="20"/>
          <w:color w:val="auto"/>
        </w:rPr>
      </w:pPr>
      <w:r>
        <w:rPr>
          <w:rFonts w:ascii="Arial" w:cs="Arial" w:eastAsia="Arial" w:hAnsi="Arial"/>
          <w:sz w:val="13"/>
          <w:szCs w:val="13"/>
          <w:color w:val="3C9673"/>
        </w:rPr>
        <w:t>Gaithersburg R&amp;D and GMP Manufacturing Facility</w:t>
      </w:r>
    </w:p>
    <w:p>
      <w:pPr>
        <w:ind w:left="380" w:right="2180"/>
        <w:spacing w:after="0" w:line="210" w:lineRule="auto"/>
        <w:rPr>
          <w:sz w:val="20"/>
          <w:szCs w:val="20"/>
          <w:color w:val="auto"/>
        </w:rPr>
      </w:pPr>
      <w:r>
        <w:rPr>
          <w:rFonts w:ascii="Arial" w:cs="Arial" w:eastAsia="Arial" w:hAnsi="Arial"/>
          <w:sz w:val="13"/>
          <w:szCs w:val="13"/>
          <w:color w:val="auto"/>
        </w:rPr>
        <w:t>We acquired our site in Gaithersburg, Maryland from Kite Pharma, Inc., a Gilead Sciences company, in August 2021. Since then, we have been building capabilities for research, late-stage technical development and clinical manufacturing of cell &amp; gene therapy products. In 2024, we added a new R&amp;D facility, expanding our campus footprint to approximately 92,000 square feet, to continue to advance our cell &amp; gene portfolio and further develop U.S. -based technical and operational capabilities in support of our pipeline and commercialization efforts in the United States.</w:t>
      </w:r>
    </w:p>
    <w:p>
      <w:pPr>
        <w:ind w:left="380"/>
        <w:spacing w:after="0" w:line="216" w:lineRule="auto"/>
        <w:rPr>
          <w:sz w:val="20"/>
          <w:szCs w:val="20"/>
          <w:color w:val="auto"/>
        </w:rPr>
      </w:pPr>
      <w:r>
        <w:rPr>
          <w:rFonts w:ascii="Arial" w:cs="Arial" w:eastAsia="Arial" w:hAnsi="Arial"/>
          <w:sz w:val="13"/>
          <w:szCs w:val="13"/>
          <w:color w:val="3C9673"/>
        </w:rPr>
        <w:t>Singapore Manufacturing Facility</w:t>
      </w:r>
    </w:p>
    <w:p>
      <w:pPr>
        <w:ind w:left="380" w:right="2240"/>
        <w:spacing w:after="0" w:line="210" w:lineRule="auto"/>
        <w:rPr>
          <w:sz w:val="20"/>
          <w:szCs w:val="20"/>
          <w:color w:val="auto"/>
        </w:rPr>
      </w:pPr>
      <w:r>
        <w:rPr>
          <w:rFonts w:ascii="Arial" w:cs="Arial" w:eastAsia="Arial" w:hAnsi="Arial"/>
          <w:sz w:val="13"/>
          <w:szCs w:val="13"/>
          <w:color w:val="auto"/>
        </w:rPr>
        <w:t>In November 2022, our Singapore affiliate, BioNTech Pharmaceuticals Asia Pacific Pte. Ltd., entered into an agreement with Novartis Singapore Pharmaceutical Manufacturing Pte. Ltd. to acquire one of its GMP-certified manufacturing facilities. The acquisition is part of our expansion strategy to strengthen our global footprint in Asia. The facility is intended to create regional manufacturing capacities in support of our growing pipeline therapeutics across the Asia Pacific region, with the potential to expand the production to other drug classes, such as cell therapies or anti-bodies.</w:t>
      </w:r>
    </w:p>
    <w:p>
      <w:pPr>
        <w:ind w:left="380"/>
        <w:spacing w:after="0" w:line="216" w:lineRule="auto"/>
        <w:rPr>
          <w:sz w:val="20"/>
          <w:szCs w:val="20"/>
          <w:color w:val="auto"/>
        </w:rPr>
      </w:pPr>
      <w:r>
        <w:rPr>
          <w:rFonts w:ascii="Arial" w:cs="Arial" w:eastAsia="Arial" w:hAnsi="Arial"/>
          <w:sz w:val="13"/>
          <w:szCs w:val="13"/>
          <w:i w:val="1"/>
          <w:iCs w:val="1"/>
          <w:color w:val="3C9673"/>
        </w:rPr>
        <w:t>The BioNTainer: a platform for localized and sustainable mRNA production</w:t>
      </w:r>
    </w:p>
    <w:p>
      <w:pPr>
        <w:ind w:left="380" w:right="2120"/>
        <w:spacing w:after="0" w:line="216" w:lineRule="auto"/>
        <w:rPr>
          <w:sz w:val="20"/>
          <w:szCs w:val="20"/>
          <w:color w:val="auto"/>
        </w:rPr>
      </w:pPr>
      <w:r>
        <w:rPr>
          <w:rFonts w:ascii="Arial" w:cs="Arial" w:eastAsia="Arial" w:hAnsi="Arial"/>
          <w:sz w:val="13"/>
          <w:szCs w:val="13"/>
          <w:color w:val="auto"/>
        </w:rPr>
        <w:t xml:space="preserve">The </w:t>
      </w:r>
      <w:r>
        <w:rPr>
          <w:rFonts w:ascii="Arial" w:cs="Arial" w:eastAsia="Arial" w:hAnsi="Arial"/>
          <w:sz w:val="13"/>
          <w:szCs w:val="13"/>
          <w:i w:val="1"/>
          <w:iCs w:val="1"/>
          <w:color w:val="auto"/>
        </w:rPr>
        <w:t>BioNTainer</w:t>
      </w:r>
      <w:r>
        <w:rPr>
          <w:rFonts w:ascii="Arial" w:cs="Arial" w:eastAsia="Arial" w:hAnsi="Arial"/>
          <w:sz w:val="13"/>
          <w:szCs w:val="13"/>
          <w:color w:val="auto"/>
        </w:rPr>
        <w:t xml:space="preserve"> is an example of our innovative approach to establishing scalable vaccine production. It was developed to ensure sustainable, equitable access to our programs, particularly in low- income countries and regions with limited infrastructure. Introduced in February 2022, the </w:t>
      </w:r>
      <w:r>
        <w:rPr>
          <w:rFonts w:ascii="Arial" w:cs="Arial" w:eastAsia="Arial" w:hAnsi="Arial"/>
          <w:sz w:val="13"/>
          <w:szCs w:val="13"/>
          <w:i w:val="1"/>
          <w:iCs w:val="1"/>
          <w:color w:val="auto"/>
        </w:rPr>
        <w:t>BioNTainer</w:t>
      </w:r>
      <w:r>
        <w:rPr>
          <w:rFonts w:ascii="Arial" w:cs="Arial" w:eastAsia="Arial" w:hAnsi="Arial"/>
          <w:sz w:val="13"/>
          <w:szCs w:val="13"/>
          <w:color w:val="auto"/>
        </w:rPr>
        <w:t xml:space="preserve"> allows scalable vaccine production by developing and delivering mRNA manufacturing facilities based on a containerized clean room solution with a modular design, standardized equipment, and software components. Each </w:t>
      </w:r>
      <w:r>
        <w:rPr>
          <w:rFonts w:ascii="Arial" w:cs="Arial" w:eastAsia="Arial" w:hAnsi="Arial"/>
          <w:sz w:val="13"/>
          <w:szCs w:val="13"/>
          <w:i w:val="1"/>
          <w:iCs w:val="1"/>
          <w:color w:val="auto"/>
        </w:rPr>
        <w:t>BioNTainer</w:t>
      </w:r>
      <w:r>
        <w:rPr>
          <w:rFonts w:ascii="Arial" w:cs="Arial" w:eastAsia="Arial" w:hAnsi="Arial"/>
          <w:sz w:val="13"/>
          <w:szCs w:val="13"/>
          <w:color w:val="auto"/>
        </w:rPr>
        <w:t xml:space="preserve"> unit is a clean room, which we equip with state-of- the-art manufacturing solutions for the manufacture and formulation of mRNA-based vaccines. Each </w:t>
      </w:r>
      <w:r>
        <w:rPr>
          <w:rFonts w:ascii="Arial" w:cs="Arial" w:eastAsia="Arial" w:hAnsi="Arial"/>
          <w:sz w:val="13"/>
          <w:szCs w:val="13"/>
          <w:i w:val="1"/>
          <w:iCs w:val="1"/>
          <w:color w:val="auto"/>
        </w:rPr>
        <w:t>BioNTainer</w:t>
      </w:r>
      <w:r>
        <w:rPr>
          <w:rFonts w:ascii="Arial" w:cs="Arial" w:eastAsia="Arial" w:hAnsi="Arial"/>
          <w:sz w:val="13"/>
          <w:szCs w:val="13"/>
          <w:color w:val="auto"/>
        </w:rPr>
        <w:t xml:space="preserve"> unit is built of six to eight ISO- sized containers. A </w:t>
      </w:r>
      <w:r>
        <w:rPr>
          <w:rFonts w:ascii="Arial" w:cs="Arial" w:eastAsia="Arial" w:hAnsi="Arial"/>
          <w:sz w:val="13"/>
          <w:szCs w:val="13"/>
          <w:i w:val="1"/>
          <w:iCs w:val="1"/>
          <w:color w:val="auto"/>
        </w:rPr>
        <w:t>BioNTainer</w:t>
      </w:r>
      <w:r>
        <w:rPr>
          <w:rFonts w:ascii="Arial" w:cs="Arial" w:eastAsia="Arial" w:hAnsi="Arial"/>
          <w:sz w:val="13"/>
          <w:szCs w:val="13"/>
          <w:color w:val="auto"/>
        </w:rPr>
        <w:t xml:space="preserve"> unit can be equipped to manufacture a range of mRNA-based vaccines targeted to regional needs: for example, our COVID-19 vaccine and our investigational malaria and tuberculosis vaccines, if they are successfully developed,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130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3" w:lineRule="auto"/>
        <w:rPr>
          <w:sz w:val="20"/>
          <w:szCs w:val="20"/>
          <w:color w:val="auto"/>
        </w:rPr>
      </w:pPr>
      <w:r>
        <w:rPr>
          <w:rFonts w:ascii="Arial" w:cs="Arial" w:eastAsia="Arial" w:hAnsi="Arial"/>
          <w:sz w:val="13"/>
          <w:szCs w:val="13"/>
          <w:color w:val="auto"/>
        </w:rPr>
        <w:t xml:space="preserve">approved, and authorized by regulatory authorities and in line with regional demand. Each </w:t>
      </w:r>
      <w:r>
        <w:rPr>
          <w:rFonts w:ascii="Arial" w:cs="Arial" w:eastAsia="Arial" w:hAnsi="Arial"/>
          <w:sz w:val="13"/>
          <w:szCs w:val="13"/>
          <w:i w:val="1"/>
          <w:iCs w:val="1"/>
          <w:color w:val="auto"/>
        </w:rPr>
        <w:t>BioNTainer</w:t>
      </w:r>
      <w:r>
        <w:rPr>
          <w:rFonts w:ascii="Arial" w:cs="Arial" w:eastAsia="Arial" w:hAnsi="Arial"/>
          <w:sz w:val="13"/>
          <w:szCs w:val="13"/>
          <w:color w:val="auto"/>
        </w:rPr>
        <w:t xml:space="preserve"> facility is intended to become a node in our global manufacturing network, aiming to offer greater independence and faster regional vaccine supply. We believe this solution is an important step towards improving global vaccine supply. In addition to our </w:t>
      </w:r>
      <w:r>
        <w:rPr>
          <w:rFonts w:ascii="Arial" w:cs="Arial" w:eastAsia="Arial" w:hAnsi="Arial"/>
          <w:sz w:val="13"/>
          <w:szCs w:val="13"/>
          <w:i w:val="1"/>
          <w:iCs w:val="1"/>
          <w:color w:val="auto"/>
        </w:rPr>
        <w:t>BioNTainer</w:t>
      </w:r>
      <w:r>
        <w:rPr>
          <w:rFonts w:ascii="Arial" w:cs="Arial" w:eastAsia="Arial" w:hAnsi="Arial"/>
          <w:sz w:val="13"/>
          <w:szCs w:val="13"/>
          <w:color w:val="auto"/>
        </w:rPr>
        <w:t xml:space="preserve"> facility in Kigali, Rwanda, in 2023, we announced our intention to set up and operate a clinical-scale mRNA manufacturing facility with </w:t>
      </w:r>
      <w:r>
        <w:rPr>
          <w:rFonts w:ascii="Arial" w:cs="Arial" w:eastAsia="Arial" w:hAnsi="Arial"/>
          <w:sz w:val="13"/>
          <w:szCs w:val="13"/>
          <w:i w:val="1"/>
          <w:iCs w:val="1"/>
          <w:color w:val="auto"/>
        </w:rPr>
        <w:t>BioNTainer</w:t>
      </w:r>
      <w:r>
        <w:rPr>
          <w:rFonts w:ascii="Arial" w:cs="Arial" w:eastAsia="Arial" w:hAnsi="Arial"/>
          <w:sz w:val="13"/>
          <w:szCs w:val="13"/>
          <w:color w:val="auto"/>
        </w:rPr>
        <w:t xml:space="preserve"> units in Melbourne in the State of Victoria, Australia. The site is intended to support R&amp;D and clinical -scale manufacturing of investigational mRNA-based medicines from the local ecosystem as well as from other third parties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-582930</wp:posOffset>
            </wp:positionV>
            <wp:extent cx="523113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5" w:lineRule="auto"/>
        <w:rPr>
          <w:sz w:val="20"/>
          <w:szCs w:val="20"/>
          <w:color w:val="auto"/>
        </w:rPr>
      </w:pPr>
      <w:r>
        <w:rPr>
          <w:rFonts w:ascii="Arial" w:cs="Arial" w:eastAsia="Arial" w:hAnsi="Arial"/>
          <w:sz w:val="13"/>
          <w:szCs w:val="13"/>
          <w:i w:val="1"/>
          <w:iCs w:val="1"/>
          <w:color w:val="3C9673"/>
        </w:rPr>
        <w:t>Kigali Manufacturing Facility</w:t>
      </w:r>
    </w:p>
    <w:p>
      <w:pPr>
        <w:spacing w:after="0" w:line="1" w:lineRule="exact"/>
        <w:rPr>
          <w:sz w:val="20"/>
          <w:szCs w:val="20"/>
          <w:color w:val="auto"/>
        </w:rPr>
      </w:pPr>
    </w:p>
    <w:p>
      <w:pPr>
        <w:ind w:left="380" w:right="2260"/>
        <w:spacing w:after="0" w:line="210" w:lineRule="auto"/>
        <w:rPr>
          <w:sz w:val="20"/>
          <w:szCs w:val="20"/>
          <w:color w:val="auto"/>
        </w:rPr>
      </w:pPr>
      <w:r>
        <w:rPr>
          <w:rFonts w:ascii="Arial" w:cs="Arial" w:eastAsia="Arial" w:hAnsi="Arial"/>
          <w:sz w:val="13"/>
          <w:szCs w:val="13"/>
          <w:color w:val="auto"/>
        </w:rPr>
        <w:t xml:space="preserve">The Kigali facility was planned to initially house two sets of </w:t>
      </w:r>
      <w:r>
        <w:rPr>
          <w:rFonts w:ascii="Arial" w:cs="Arial" w:eastAsia="Arial" w:hAnsi="Arial"/>
          <w:sz w:val="13"/>
          <w:szCs w:val="13"/>
          <w:i w:val="1"/>
          <w:iCs w:val="1"/>
          <w:color w:val="auto"/>
        </w:rPr>
        <w:t>BioNTainer</w:t>
      </w:r>
      <w:r>
        <w:rPr>
          <w:rFonts w:ascii="Arial" w:cs="Arial" w:eastAsia="Arial" w:hAnsi="Arial"/>
          <w:sz w:val="13"/>
          <w:szCs w:val="13"/>
          <w:color w:val="auto"/>
        </w:rPr>
        <w:t xml:space="preserve"> units for commercial- scale bulk production of mRNA vaccines and is intended to enable robust end-to-end manufacturing in Africa for mRNA-based medicines. The first </w:t>
      </w:r>
      <w:r>
        <w:rPr>
          <w:rFonts w:ascii="Arial" w:cs="Arial" w:eastAsia="Arial" w:hAnsi="Arial"/>
          <w:sz w:val="13"/>
          <w:szCs w:val="13"/>
          <w:i w:val="1"/>
          <w:iCs w:val="1"/>
          <w:color w:val="auto"/>
        </w:rPr>
        <w:t>BioNTainer</w:t>
      </w:r>
      <w:r>
        <w:rPr>
          <w:rFonts w:ascii="Arial" w:cs="Arial" w:eastAsia="Arial" w:hAnsi="Arial"/>
          <w:sz w:val="13"/>
          <w:szCs w:val="13"/>
          <w:color w:val="auto"/>
        </w:rPr>
        <w:t xml:space="preserve"> unit arrived in Kigali, Rwanda in 2023. That same year, we inaugurated our Kigali site on the occasion of the set-up of the first </w:t>
      </w:r>
      <w:r>
        <w:rPr>
          <w:rFonts w:ascii="Arial" w:cs="Arial" w:eastAsia="Arial" w:hAnsi="Arial"/>
          <w:sz w:val="13"/>
          <w:szCs w:val="13"/>
          <w:i w:val="1"/>
          <w:iCs w:val="1"/>
          <w:color w:val="auto"/>
        </w:rPr>
        <w:t>BioNTainer</w:t>
      </w:r>
      <w:r>
        <w:rPr>
          <w:rFonts w:ascii="Arial" w:cs="Arial" w:eastAsia="Arial" w:hAnsi="Arial"/>
          <w:sz w:val="13"/>
          <w:szCs w:val="13"/>
          <w:color w:val="auto"/>
        </w:rPr>
        <w:t xml:space="preserve"> unit.</w:t>
      </w:r>
    </w:p>
    <w:p>
      <w:pPr>
        <w:spacing w:after="0" w:line="2"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 xml:space="preserve">In May 2024, we announced that CEPI would be committing up to $145 million to support us to establish mRNA vaccine R&amp;D, clinical and commercial-scale manufacturing capabilities at the Kigali facility. The setup of clinical-scale manufacturing capabilities for mRNA-based vaccine candidates involves the installation of two additional </w:t>
      </w:r>
      <w:r>
        <w:rPr>
          <w:rFonts w:ascii="Arial" w:cs="Arial" w:eastAsia="Arial" w:hAnsi="Arial"/>
          <w:sz w:val="13"/>
          <w:szCs w:val="13"/>
          <w:i w:val="1"/>
          <w:iCs w:val="1"/>
          <w:color w:val="auto"/>
        </w:rPr>
        <w:t xml:space="preserve">BioNTainer </w:t>
      </w:r>
      <w:r>
        <w:rPr>
          <w:rFonts w:ascii="Arial" w:cs="Arial" w:eastAsia="Arial" w:hAnsi="Arial"/>
          <w:sz w:val="13"/>
          <w:szCs w:val="13"/>
          <w:color w:val="auto"/>
        </w:rPr>
        <w:t>units at the Kigali facility. This will allow the facility to manufacture on both a clinical and commercial</w:t>
      </w:r>
      <w:r>
        <w:rPr>
          <w:rFonts w:ascii="Arial" w:cs="Arial" w:eastAsia="Arial" w:hAnsi="Arial"/>
          <w:sz w:val="13"/>
          <w:szCs w:val="13"/>
          <w:i w:val="1"/>
          <w:iCs w:val="1"/>
          <w:color w:val="auto"/>
        </w:rPr>
        <w:t xml:space="preserve"> </w:t>
      </w:r>
      <w:r>
        <w:rPr>
          <w:rFonts w:ascii="Arial" w:cs="Arial" w:eastAsia="Arial" w:hAnsi="Arial"/>
          <w:sz w:val="13"/>
          <w:szCs w:val="13"/>
          <w:color w:val="auto"/>
        </w:rPr>
        <w:t>scale, and thus broaden the manufacturing scope, in support of a sustainable use case for the facility while strengthening the wider African vaccine development ecosystem. Under the terms of the agreement, we intend to provide sustainable supply of our prophylactic vaccines manufactured at the Kigali facility if successfully developed and authorized, such as vaccines against malaria, mpox and tuberculosis, to low and lower middle-income countries, with priority supply to African countries.</w:t>
      </w:r>
    </w:p>
    <w:p>
      <w:pPr>
        <w:spacing w:after="0" w:line="5"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 xml:space="preserve">Once fully operational, the facility’s capacity would depend on the product, production-scale and its dosage. For example, if used to produce the Pfizer-BioNTech COVID-19 vaccine, the first set of </w:t>
      </w:r>
      <w:r>
        <w:rPr>
          <w:rFonts w:ascii="Arial" w:cs="Arial" w:eastAsia="Arial" w:hAnsi="Arial"/>
          <w:sz w:val="13"/>
          <w:szCs w:val="13"/>
          <w:i w:val="1"/>
          <w:iCs w:val="1"/>
          <w:color w:val="auto"/>
        </w:rPr>
        <w:t>BioNTainer</w:t>
      </w:r>
      <w:r>
        <w:rPr>
          <w:rFonts w:ascii="Arial" w:cs="Arial" w:eastAsia="Arial" w:hAnsi="Arial"/>
          <w:sz w:val="13"/>
          <w:szCs w:val="13"/>
          <w:color w:val="auto"/>
        </w:rPr>
        <w:t xml:space="preserve"> units could produce an estimated initial annual capacity of up to 50 million doses. The facility is expected to employ approximately 100 people once operational, spanning a range of disciplines. BioNTech plans to manufacture mRNA-based vaccine batches required for process validation in 2025.</w:t>
      </w:r>
    </w:p>
    <w:p>
      <w:pPr>
        <w:spacing w:after="0" w:line="3" w:lineRule="exact"/>
        <w:rPr>
          <w:sz w:val="20"/>
          <w:szCs w:val="20"/>
          <w:color w:val="auto"/>
        </w:rPr>
      </w:pPr>
    </w:p>
    <w:p>
      <w:pPr>
        <w:ind w:left="380" w:right="2860"/>
        <w:spacing w:after="0" w:line="210" w:lineRule="auto"/>
        <w:rPr>
          <w:sz w:val="20"/>
          <w:szCs w:val="20"/>
          <w:color w:val="auto"/>
        </w:rPr>
      </w:pPr>
      <w:r>
        <w:rPr>
          <w:rFonts w:ascii="Arial" w:cs="Arial" w:eastAsia="Arial" w:hAnsi="Arial"/>
          <w:sz w:val="13"/>
          <w:szCs w:val="13"/>
          <w:color w:val="auto"/>
        </w:rPr>
        <w:t>In line with the continent’s and partner countries’ needs, we are committed to establishing additional manufacturing facilities in Africa upon the successful validation of the facility in Kigali.</w:t>
      </w:r>
    </w:p>
    <w:p>
      <w:pPr>
        <w:ind w:left="380"/>
        <w:spacing w:after="0" w:line="212" w:lineRule="auto"/>
        <w:rPr>
          <w:sz w:val="20"/>
          <w:szCs w:val="20"/>
          <w:color w:val="auto"/>
        </w:rPr>
      </w:pPr>
      <w:r>
        <w:rPr>
          <w:rFonts w:ascii="Arial" w:cs="Arial" w:eastAsia="Arial" w:hAnsi="Arial"/>
          <w:sz w:val="13"/>
          <w:szCs w:val="13"/>
          <w:b w:val="1"/>
          <w:bCs w:val="1"/>
          <w:color w:val="auto"/>
        </w:rPr>
        <w:t>C. Other Certifications</w:t>
      </w:r>
    </w:p>
    <w:p>
      <w:pPr>
        <w:spacing w:after="0" w:line="1" w:lineRule="exact"/>
        <w:rPr>
          <w:sz w:val="20"/>
          <w:szCs w:val="20"/>
          <w:color w:val="auto"/>
        </w:rPr>
      </w:pPr>
    </w:p>
    <w:p>
      <w:pPr>
        <w:jc w:val="both"/>
        <w:ind w:left="380" w:right="2160"/>
        <w:spacing w:after="0" w:line="210" w:lineRule="auto"/>
        <w:rPr>
          <w:sz w:val="20"/>
          <w:szCs w:val="20"/>
          <w:color w:val="auto"/>
        </w:rPr>
      </w:pPr>
      <w:r>
        <w:rPr>
          <w:rFonts w:ascii="Arial" w:cs="Arial" w:eastAsia="Arial" w:hAnsi="Arial"/>
          <w:sz w:val="13"/>
          <w:szCs w:val="13"/>
          <w:color w:val="auto"/>
        </w:rPr>
        <w:t>BioNTech Diagnostics has a quality management system that is certified according to ISO 13485:2016 and JPT maintains an ISO 9001:2015 certified Quality Management System to allow production of European CE marked companion diagnostics.</w:t>
      </w:r>
    </w:p>
    <w:p>
      <w:pPr>
        <w:ind w:left="380"/>
        <w:spacing w:after="0" w:line="213" w:lineRule="auto"/>
        <w:rPr>
          <w:sz w:val="20"/>
          <w:szCs w:val="20"/>
          <w:color w:val="auto"/>
        </w:rPr>
      </w:pPr>
      <w:r>
        <w:rPr>
          <w:rFonts w:ascii="Arial" w:cs="Arial" w:eastAsia="Arial" w:hAnsi="Arial"/>
          <w:sz w:val="13"/>
          <w:szCs w:val="13"/>
          <w:b w:val="1"/>
          <w:bCs w:val="1"/>
          <w:color w:val="auto"/>
        </w:rPr>
        <w:t>D. Quality Assurance</w:t>
      </w:r>
    </w:p>
    <w:p>
      <w:pPr>
        <w:spacing w:after="0" w:line="1"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We have implemented and maintain several Quality Assurance systems. BioNTech IMFS, BioNTech Clinical Manufacturing and BioNTech iNeST Clinical Manufacturing have implemented GMP-certified quality assurance systems. BioNTech Diagnostics has a quality management system that is certified according to ISO 13485:2016 and JPT maintains an ISO 9001:2015 certified Quality Management System.</w:t>
      </w:r>
    </w:p>
    <w:p>
      <w:pPr>
        <w:ind w:left="380"/>
        <w:spacing w:after="0" w:line="214" w:lineRule="auto"/>
        <w:rPr>
          <w:sz w:val="20"/>
          <w:szCs w:val="20"/>
          <w:color w:val="auto"/>
        </w:rPr>
      </w:pPr>
      <w:r>
        <w:rPr>
          <w:rFonts w:ascii="Arial" w:cs="Arial" w:eastAsia="Arial" w:hAnsi="Arial"/>
          <w:sz w:val="13"/>
          <w:szCs w:val="13"/>
          <w:color w:val="005A64"/>
        </w:rPr>
        <w:t>X. Third-Party Collaborations</w:t>
      </w:r>
    </w:p>
    <w:p>
      <w:pPr>
        <w:ind w:left="380" w:right="2140"/>
        <w:spacing w:after="0" w:line="210" w:lineRule="auto"/>
        <w:rPr>
          <w:sz w:val="20"/>
          <w:szCs w:val="20"/>
          <w:color w:val="auto"/>
        </w:rPr>
      </w:pPr>
      <w:r>
        <w:rPr>
          <w:rFonts w:ascii="Arial" w:cs="Arial" w:eastAsia="Arial" w:hAnsi="Arial"/>
          <w:sz w:val="13"/>
          <w:szCs w:val="13"/>
          <w:color w:val="auto"/>
        </w:rPr>
        <w:t>We have forged productive collaborations with pharmaceutical companies and academic research institutions with area expertise and resources in an effort to advance and accelerate our discovery and development programs in oncology, and also to leverage our drug classes into additional disease indications while minimizing our incremental costs.</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Our collaborations include, without limitation:</w:t>
      </w:r>
    </w:p>
    <w:p>
      <w:pPr>
        <w:sectPr>
          <w:pgSz w:w="11900" w:h="16840" w:orient="portrait"/>
          <w:cols w:equalWidth="0" w:num="1">
            <w:col w:w="9020"/>
          </w:cols>
          <w:pgMar w:left="1440" w:top="560" w:right="1440" w:bottom="38" w:gutter="0" w:footer="0" w:header="0"/>
        </w:sectPr>
      </w:pPr>
    </w:p>
    <w:bookmarkStart w:id="91" w:name="page92"/>
    <w:bookmarkEnd w:id="91"/>
    <w:p>
      <w:pPr>
        <w:ind w:left="380"/>
        <w:spacing w:after="0"/>
        <w:rPr>
          <w:sz w:val="20"/>
          <w:szCs w:val="20"/>
          <w:color w:val="auto"/>
        </w:rPr>
      </w:pPr>
      <w:r>
        <w:rPr>
          <w:rFonts w:ascii="Arial" w:cs="Arial" w:eastAsia="Arial" w:hAnsi="Arial"/>
          <w:sz w:val="13"/>
          <w:szCs w:val="13"/>
          <w:color w:val="auto"/>
        </w:rPr>
        <w:t>•Autolus for certain binders and the right to utilize its manufacturing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131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•Biotheus, now our wholly owned subsidiary, for certain antibodies;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3880"/>
        <w:spacing w:after="0" w:line="210" w:lineRule="auto"/>
        <w:rPr>
          <w:sz w:val="20"/>
          <w:szCs w:val="20"/>
          <w:color w:val="auto"/>
        </w:rPr>
      </w:pPr>
      <w:r>
        <w:rPr>
          <w:rFonts w:ascii="Arial" w:cs="Arial" w:eastAsia="Arial" w:hAnsi="Arial"/>
          <w:sz w:val="13"/>
          <w:szCs w:val="13"/>
          <w:color w:val="auto"/>
        </w:rPr>
        <w:t>•DualityBio for the research and development of certain antibody drug conjugates; •Fosun Pharma for our COVID-19 vaccine program; •Genentech for our iNeST platform in our mRNA drug class;</w:t>
      </w:r>
    </w:p>
    <w:p>
      <w:pPr>
        <w:spacing w:after="0" w:line="2" w:lineRule="exact"/>
        <w:rPr>
          <w:sz w:val="20"/>
          <w:szCs w:val="20"/>
          <w:color w:val="auto"/>
        </w:rPr>
      </w:pPr>
    </w:p>
    <w:p>
      <w:pPr>
        <w:ind w:left="380" w:right="3260"/>
        <w:spacing w:after="0" w:line="210" w:lineRule="auto"/>
        <w:rPr>
          <w:sz w:val="20"/>
          <w:szCs w:val="20"/>
          <w:color w:val="auto"/>
        </w:rPr>
      </w:pPr>
      <w:r>
        <w:rPr>
          <w:rFonts w:ascii="Arial" w:cs="Arial" w:eastAsia="Arial" w:hAnsi="Arial"/>
          <w:sz w:val="13"/>
          <w:szCs w:val="13"/>
          <w:color w:val="auto"/>
        </w:rPr>
        <w:t>•Genmab for our next-generation checkpoint immunomodulator platform in our protein-based therapeutics drug class;</w:t>
      </w:r>
    </w:p>
    <w:p>
      <w:pPr>
        <w:ind w:left="380"/>
        <w:spacing w:after="0" w:line="212" w:lineRule="auto"/>
        <w:rPr>
          <w:sz w:val="20"/>
          <w:szCs w:val="20"/>
          <w:color w:val="auto"/>
        </w:rPr>
      </w:pPr>
      <w:r>
        <w:rPr>
          <w:rFonts w:ascii="Arial" w:cs="Arial" w:eastAsia="Arial" w:hAnsi="Arial"/>
          <w:sz w:val="13"/>
          <w:szCs w:val="13"/>
          <w:color w:val="auto"/>
        </w:rPr>
        <w:t>•InstaDeep, our wholly owned subsidiary, for AI and ML;</w:t>
      </w:r>
    </w:p>
    <w:p>
      <w:pPr>
        <w:spacing w:after="0" w:line="1" w:lineRule="exact"/>
        <w:rPr>
          <w:sz w:val="20"/>
          <w:szCs w:val="20"/>
          <w:color w:val="auto"/>
        </w:rPr>
      </w:pPr>
    </w:p>
    <w:p>
      <w:pPr>
        <w:ind w:left="380" w:right="2840"/>
        <w:spacing w:after="0" w:line="210" w:lineRule="auto"/>
        <w:rPr>
          <w:sz w:val="20"/>
          <w:szCs w:val="20"/>
          <w:color w:val="auto"/>
        </w:rPr>
      </w:pPr>
      <w:r>
        <w:rPr>
          <w:rFonts w:ascii="Arial" w:cs="Arial" w:eastAsia="Arial" w:hAnsi="Arial"/>
          <w:sz w:val="13"/>
          <w:szCs w:val="13"/>
          <w:color w:val="auto"/>
        </w:rPr>
        <w:t>•OncoC4 for the research and development of certain monoclonal anti-CTLA4 antibodies; and •Pfizer for our COVID-19, influenza and joint COVID- 19/influenza vaccine programs, which leverage technology from our infectious disease mRNA-based platform.</w:t>
      </w:r>
    </w:p>
    <w:p>
      <w:pPr>
        <w:spacing w:after="0" w:line="2"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We either wholly own or retain significant rights to all of our clinical stage programs, either in the form of a global share of profit and co-commercialization rights with our collaborators in certain markets or significant royalties and milestones. We plan to continue to identify potential collaborators who can contribute meaningful resources and insights to our programs and allow us to more rapidly expand our impact to broader patient populations.</w:t>
      </w:r>
    </w:p>
    <w:p>
      <w:pPr>
        <w:ind w:left="380"/>
        <w:spacing w:after="0" w:line="214" w:lineRule="auto"/>
        <w:rPr>
          <w:sz w:val="20"/>
          <w:szCs w:val="20"/>
          <w:color w:val="auto"/>
        </w:rPr>
      </w:pPr>
      <w:r>
        <w:rPr>
          <w:rFonts w:ascii="Arial" w:cs="Arial" w:eastAsia="Arial" w:hAnsi="Arial"/>
          <w:sz w:val="13"/>
          <w:szCs w:val="13"/>
          <w:b w:val="1"/>
          <w:bCs w:val="1"/>
          <w:color w:val="auto"/>
        </w:rPr>
        <w:t>A. Autolus Collaboration</w:t>
      </w:r>
    </w:p>
    <w:p>
      <w:pPr>
        <w:ind w:left="380"/>
        <w:spacing w:after="0" w:line="211" w:lineRule="auto"/>
        <w:rPr>
          <w:sz w:val="20"/>
          <w:szCs w:val="20"/>
          <w:color w:val="auto"/>
        </w:rPr>
      </w:pPr>
      <w:r>
        <w:rPr>
          <w:rFonts w:ascii="Arial" w:cs="Arial" w:eastAsia="Arial" w:hAnsi="Arial"/>
          <w:sz w:val="13"/>
          <w:szCs w:val="13"/>
          <w:i w:val="1"/>
          <w:iCs w:val="1"/>
          <w:color w:val="auto"/>
        </w:rPr>
        <w:t>License and Option Agreement</w:t>
      </w:r>
    </w:p>
    <w:p>
      <w:pPr>
        <w:ind w:left="380" w:right="2120"/>
        <w:spacing w:after="0" w:line="210" w:lineRule="auto"/>
        <w:rPr>
          <w:sz w:val="20"/>
          <w:szCs w:val="20"/>
          <w:color w:val="auto"/>
        </w:rPr>
      </w:pPr>
      <w:r>
        <w:rPr>
          <w:rFonts w:ascii="Arial" w:cs="Arial" w:eastAsia="Arial" w:hAnsi="Arial"/>
          <w:sz w:val="13"/>
          <w:szCs w:val="13"/>
          <w:color w:val="auto"/>
        </w:rPr>
        <w:t>On February 6, 2024 (with effect as of February 13, 2024), we entered into a License and Option Agreement, or the Autolus License Agreement, with Autolus Therapeutics plc’s wholly-owned subsidiaries Autolus Limited and Autolus Holdings (UK) Limited, which collectively we refer to as Autolus, pursuant to which Autolus granted to us an exclusive, worldwide, sublicensable license, which we refer to as the Autolus License, to certain binders and to exploit products that express in vivo such binders, which we refer to as the Binder Licensed Products. Autolus also granted to us several time-limited options, or the Autolus Options, to acquire additional rights to specified clinical-stage product candidates, binders and technologies of Autolus, described in more detail below.</w:t>
      </w:r>
    </w:p>
    <w:p>
      <w:pPr>
        <w:spacing w:after="0" w:line="4"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In the event that all Autolus Options are fully exercised, Autolus would be eligible to receive maximum aggregate payments of up to $582 million pursuant to the Autolus License Agreement. This maximum amount includes upfront payments, the potential milestone payments for the Binder Licensed Products described below, all option exercise fees and potential milestone payments for licenses to optioned products and technologies, and additional payments that we may pay to Autolus for an increased revenue interest with respect to Autolus’s product candidate, obe-cel, as described below.</w:t>
      </w:r>
    </w:p>
    <w:p>
      <w:pPr>
        <w:spacing w:after="0" w:line="4"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In consideration for the Autolus License and the Autolus Options, we made an initial payment to Autolus of $10 million. Autolus is eligible to receive milestone payments of up to $32 million in the aggregate upon the achievement of specified clinical development and regulatory milestones for each Binder Licensed Product that achieves such milestones. Autolus is also eligible to receive a low single-digit royalty on net sales of Binder Licensed Products, subject to customary reductions, which reductions are subject to specified limits. The royalty will be increased if we, our affiliates or our sublicensees commercialize a Binder Licensed Product in an indication and country in which Autolus or its affiliates or licensees also commercializes a product containing the same binders. Under the License Agreement, we are solely responsible for, and have sole decision-making authority with respect to, at our own expense, the exploitation of Binder Licensed Products.</w:t>
      </w:r>
    </w:p>
    <w:p>
      <w:pPr>
        <w:spacing w:after="0" w:line="5" w:lineRule="exact"/>
        <w:rPr>
          <w:sz w:val="20"/>
          <w:szCs w:val="20"/>
          <w:color w:val="auto"/>
        </w:rPr>
      </w:pPr>
    </w:p>
    <w:p>
      <w:pPr>
        <w:ind w:left="380" w:right="2360"/>
        <w:spacing w:after="0" w:line="210" w:lineRule="auto"/>
        <w:rPr>
          <w:sz w:val="20"/>
          <w:szCs w:val="20"/>
          <w:color w:val="auto"/>
        </w:rPr>
      </w:pPr>
      <w:r>
        <w:rPr>
          <w:rFonts w:ascii="Arial" w:cs="Arial" w:eastAsia="Arial" w:hAnsi="Arial"/>
          <w:sz w:val="13"/>
          <w:szCs w:val="13"/>
          <w:color w:val="auto"/>
        </w:rPr>
        <w:t>Under the terms of the License Agreement, Autolus has agreed to grant us the following time-limited Autolus Options:</w:t>
      </w:r>
    </w:p>
    <w:p>
      <w:pPr>
        <w:spacing w:after="0" w:line="1" w:lineRule="exact"/>
        <w:rPr>
          <w:sz w:val="20"/>
          <w:szCs w:val="20"/>
          <w:color w:val="auto"/>
        </w:rPr>
      </w:pPr>
    </w:p>
    <w:p>
      <w:pPr>
        <w:ind w:left="380" w:right="2860"/>
        <w:spacing w:after="0" w:line="234" w:lineRule="auto"/>
        <w:rPr>
          <w:sz w:val="20"/>
          <w:szCs w:val="20"/>
          <w:color w:val="auto"/>
        </w:rPr>
      </w:pPr>
      <w:r>
        <w:rPr>
          <w:rFonts w:ascii="Arial" w:cs="Arial" w:eastAsia="Arial" w:hAnsi="Arial"/>
          <w:sz w:val="13"/>
          <w:szCs w:val="13"/>
          <w:color w:val="auto"/>
        </w:rPr>
        <w:t>•an option to obtain exclusive rights to co-fund development costs of Autolus’s development-stage programs AUTO1/22 and AUTO6NG, in return for agreed upon economic terms, including an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132</w:t>
      </w:r>
    </w:p>
    <w:p>
      <w:pPr>
        <w:sectPr>
          <w:pgSz w:w="11900" w:h="16840" w:orient="portrait"/>
          <w:cols w:equalWidth="0" w:num="1">
            <w:col w:w="9020"/>
          </w:cols>
          <w:pgMar w:left="1440" w:top="560" w:right="1440" w:bottom="10" w:gutter="0" w:footer="0" w:header="0"/>
        </w:sectPr>
      </w:pPr>
    </w:p>
    <w:p>
      <w:pPr>
        <w:ind w:left="380"/>
        <w:spacing w:after="0"/>
        <w:rPr>
          <w:sz w:val="20"/>
          <w:szCs w:val="20"/>
          <w:color w:val="auto"/>
        </w:rPr>
      </w:pPr>
      <w:r>
        <w:rPr>
          <w:rFonts w:ascii="Arial" w:cs="Arial" w:eastAsia="Arial" w:hAnsi="Arial"/>
          <w:sz w:val="12"/>
          <w:szCs w:val="12"/>
          <w:b w:val="1"/>
          <w:bCs w:val="1"/>
          <w:color w:val="3C9673"/>
        </w:rPr>
        <w:t>Annual Report on Form 20-F for the year ended December 31, 2024</w:t>
      </w:r>
    </w:p>
    <w:p>
      <w:pPr>
        <w:sectPr>
          <w:pgSz w:w="11900" w:h="16840" w:orient="portrait"/>
          <w:cols w:equalWidth="0" w:num="1">
            <w:col w:w="9020"/>
          </w:cols>
          <w:pgMar w:left="1440" w:top="560" w:right="1440" w:bottom="10" w:gutter="0" w:footer="0" w:header="0"/>
          <w:type w:val="continuous"/>
        </w:sectPr>
      </w:pPr>
    </w:p>
    <w:bookmarkStart w:id="92" w:name="page93"/>
    <w:bookmarkEnd w:id="92"/>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48" w:lineRule="exact"/>
        <w:rPr>
          <w:sz w:val="20"/>
          <w:szCs w:val="20"/>
          <w:color w:val="auto"/>
        </w:rPr>
      </w:pPr>
    </w:p>
    <w:p>
      <w:pPr>
        <w:ind w:left="380" w:right="2800"/>
        <w:spacing w:after="0" w:line="220" w:lineRule="auto"/>
        <w:rPr>
          <w:sz w:val="20"/>
          <w:szCs w:val="20"/>
          <w:color w:val="auto"/>
        </w:rPr>
      </w:pPr>
      <w:r>
        <w:rPr>
          <w:rFonts w:ascii="Arial" w:cs="Arial" w:eastAsia="Arial" w:hAnsi="Arial"/>
          <w:sz w:val="13"/>
          <w:szCs w:val="13"/>
          <w:color w:val="auto"/>
        </w:rPr>
        <w:t>exercise fee, milestone payments and a profit-sharing arrangement for each such product candidate, with additional options to co-promote or co-commercialize such 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740"/>
        <w:spacing w:after="0" w:line="210" w:lineRule="auto"/>
        <w:rPr>
          <w:sz w:val="20"/>
          <w:szCs w:val="20"/>
          <w:color w:val="auto"/>
        </w:rPr>
      </w:pPr>
      <w:r>
        <w:rPr>
          <w:rFonts w:ascii="Arial" w:cs="Arial" w:eastAsia="Arial" w:hAnsi="Arial"/>
          <w:sz w:val="13"/>
          <w:szCs w:val="13"/>
          <w:color w:val="auto"/>
        </w:rPr>
        <w:t>•an option to obtain an exclusive worldwide license to exploit products that express certain additional binders in vivo or, with respect to certain binders, in an antibody drug conjugate, or the Binder Option; •an option to obtain a co-exclusive worldwide license to exploit products that express in vivo Autolus’s modules for activity enhancement, with a non-exclusive right, in certain agreed instances, to exploit products that include Autolus’s modules for activity enhancement but do not express in vivo such modules, or the Activity Enhancement Option; and</w:t>
      </w:r>
    </w:p>
    <w:p>
      <w:pPr>
        <w:spacing w:after="0" w:line="4" w:lineRule="exact"/>
        <w:rPr>
          <w:sz w:val="20"/>
          <w:szCs w:val="20"/>
          <w:color w:val="auto"/>
        </w:rPr>
      </w:pPr>
    </w:p>
    <w:p>
      <w:pPr>
        <w:ind w:left="380" w:right="2560"/>
        <w:spacing w:after="0" w:line="210" w:lineRule="auto"/>
        <w:rPr>
          <w:sz w:val="20"/>
          <w:szCs w:val="20"/>
          <w:color w:val="auto"/>
        </w:rPr>
      </w:pPr>
      <w:r>
        <w:rPr>
          <w:rFonts w:ascii="Arial" w:cs="Arial" w:eastAsia="Arial" w:hAnsi="Arial"/>
          <w:sz w:val="13"/>
          <w:szCs w:val="13"/>
          <w:color w:val="auto"/>
        </w:rPr>
        <w:t>•an option to obtain a non-exclusive worldwide license to exploit products that contain Autolus’s safety switches or the Safety Switch Option, and, together with the Binder Option and the Activity Enhancement Option, the Technology Options.</w:t>
      </w:r>
    </w:p>
    <w:p>
      <w:pPr>
        <w:spacing w:after="0" w:line="2"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The option exercise fee for each Technology Option is a low seven-digit amount. Each of the Activity Enhancement Option and the Safety Switch Option must be exercised with respect to a given biological target or combination of targets. There is a cap on the total option exercise fee if multiple Technology Options are exercised with respect to a given target.</w:t>
      </w:r>
    </w:p>
    <w:p>
      <w:pPr>
        <w:spacing w:after="0" w:line="2"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There is also a cap on milestone payments across all agreements entered into as the result of our exercising one or more of the Technology Options and a cap on royalties payable on any given product for which multiple Technology Options are exercised.</w:t>
      </w:r>
    </w:p>
    <w:p>
      <w:pPr>
        <w:spacing w:after="0" w:line="2"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Under the Autolus License Agreement, we have also agreed to financially support the expansion of the clinical development program for, and planned commercialization of, Autolus’s lead product candidate obecabtagene autoleucel, known as obe-cel. On November 8, 2024, the FDA approved obe-cel for the treatment of adults with relapsed or refractory B-cell precursor acute lymphoblastic leukemia. In exchange for Autolus’s grant of rights to future revenues from the sales of obe-cel products, we made an upfront payment to Autolus of $40 million. Autolus will pay us a low single-digit percentage of annual net sales of obe-cel products, which may be increased up to a mid-single digit percentage in exchange for milestone payments of up to $100 million in the aggregate on achievement of certain regulatory events for specific new indications.</w:t>
      </w:r>
    </w:p>
    <w:p>
      <w:pPr>
        <w:spacing w:after="0" w:line="5"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Under the terms of the Autolus License Agreement, Autolus has agreed to grant to us the option to negotiate a joint manufacturing and commercial services agreement pursuant to which the parties may access and leverage each other’s manufacturing and commercial capabilities, in addition to Autolus’s commercial site network and infrastructure, with respect to certain of each parties’ CAR- T products, including our product candidate, BNT211, or the Autolus Manufacturing and Commercial Agreement.</w:t>
      </w:r>
    </w:p>
    <w:p>
      <w:pPr>
        <w:spacing w:after="0" w:line="3"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Unless earlier terminated, the Autolus License Agreement will continue for so long as royalties are payable in respect of Binder Licensed Products and the revenue interest is payable in respect of obe- cel products. Subject to a cure period, either party may terminate the Autolus License Agreement in the event of the other party’s uncured material breach or the insolvency of the other party. We may terminate the Autolus License Agreement, in whole or in part, for any or no reason upon a specified period of prior written notice to Autolus.</w:t>
      </w:r>
    </w:p>
    <w:p>
      <w:pPr>
        <w:ind w:left="380"/>
        <w:spacing w:after="0" w:line="215" w:lineRule="auto"/>
        <w:rPr>
          <w:sz w:val="20"/>
          <w:szCs w:val="20"/>
          <w:color w:val="auto"/>
        </w:rPr>
      </w:pPr>
      <w:r>
        <w:rPr>
          <w:rFonts w:ascii="Arial" w:cs="Arial" w:eastAsia="Arial" w:hAnsi="Arial"/>
          <w:sz w:val="13"/>
          <w:szCs w:val="13"/>
          <w:color w:val="3C9673"/>
        </w:rPr>
        <w:t>Securities Purchase Agreement, Registration Rights Agreement and Letter Agreement</w:t>
      </w:r>
    </w:p>
    <w:p>
      <w:pPr>
        <w:jc w:val="both"/>
        <w:ind w:left="380" w:right="2520"/>
        <w:spacing w:after="0" w:line="210" w:lineRule="auto"/>
        <w:rPr>
          <w:sz w:val="20"/>
          <w:szCs w:val="20"/>
          <w:color w:val="auto"/>
        </w:rPr>
      </w:pPr>
      <w:r>
        <w:rPr>
          <w:rFonts w:ascii="Arial" w:cs="Arial" w:eastAsia="Arial" w:hAnsi="Arial"/>
          <w:sz w:val="13"/>
          <w:szCs w:val="13"/>
          <w:color w:val="auto"/>
        </w:rPr>
        <w:t>Concurrently with the execution of the Autolus License Agreement, we entered into a Securities Purchase Agreement, or the Autolus Purchase Agreement, pursuant to which we purchased from Autolus American Depositary Shares, or the Autolus ADSs, each representing one ordinary share of Autolus, or the Autolus Ordinary Shares, in a private placement transaction, or the Autolus Private Placement.</w:t>
      </w:r>
    </w:p>
    <w:p>
      <w:pPr>
        <w:spacing w:after="0" w:line="2" w:lineRule="exact"/>
        <w:rPr>
          <w:sz w:val="20"/>
          <w:szCs w:val="20"/>
          <w:color w:val="auto"/>
        </w:rPr>
      </w:pPr>
    </w:p>
    <w:p>
      <w:pPr>
        <w:ind w:left="380" w:right="2080"/>
        <w:spacing w:after="0" w:line="222" w:lineRule="auto"/>
        <w:rPr>
          <w:sz w:val="20"/>
          <w:szCs w:val="20"/>
          <w:color w:val="auto"/>
        </w:rPr>
      </w:pPr>
      <w:r>
        <w:rPr>
          <w:rFonts w:ascii="Arial" w:cs="Arial" w:eastAsia="Arial" w:hAnsi="Arial"/>
          <w:sz w:val="13"/>
          <w:szCs w:val="13"/>
          <w:color w:val="auto"/>
        </w:rPr>
        <w:t>At the initial closing on February 13, 2024, or the Initial Closing, Autolus issued 33,333,333 Autolus ADSs, or the Initial ADSs, to us for a total aggregate purchase price of $200 million. In the event that we and Autolus enter into a an Autolus Manufacturing and Commercial Agreement within 18 months of the Initial Closing, we have agreed to purchase additional Autolus ADSs, or the Subsequent ADSs and, together with the Initial ADSs, the Private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133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jc w:val="both"/>
        <w:ind w:left="380" w:right="2080"/>
        <w:spacing w:after="0" w:line="217" w:lineRule="auto"/>
        <w:rPr>
          <w:sz w:val="20"/>
          <w:szCs w:val="20"/>
          <w:color w:val="auto"/>
        </w:rPr>
      </w:pPr>
      <w:r>
        <w:rPr>
          <w:rFonts w:ascii="Arial" w:cs="Arial" w:eastAsia="Arial" w:hAnsi="Arial"/>
          <w:sz w:val="13"/>
          <w:szCs w:val="13"/>
          <w:color w:val="auto"/>
        </w:rPr>
        <w:t>Placement ADSs, not to exceed 15,000,000 Autolus ADSs, for an aggregate purchase price of up to $20 million. The total number of Subsequent ADSs that may be issued is subject to additional limitations and restrictions. The Autolus Purchase Agreement contains customary representations, warranties, and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20"/>
        <w:spacing w:after="0" w:line="210" w:lineRule="auto"/>
        <w:rPr>
          <w:sz w:val="20"/>
          <w:szCs w:val="20"/>
          <w:color w:val="auto"/>
        </w:rPr>
      </w:pPr>
      <w:r>
        <w:rPr>
          <w:rFonts w:ascii="Arial" w:cs="Arial" w:eastAsia="Arial" w:hAnsi="Arial"/>
          <w:sz w:val="13"/>
          <w:szCs w:val="13"/>
          <w:color w:val="auto"/>
        </w:rPr>
        <w:t>Concurrently with entry into the Purchase Agreement, we entered into a letter agreement, or the Autolus Letter Agreement, providing us with certain additional rights and subjecting our investment in Autolus to certain restrictions. Pursuant to the Autolus Letter Agreement, we received the right to nominate a director to Autolus’s board of directors. If we acquire beneficial ownership of at least 30% of the issued and outstanding Autolus Ordinary Shares within five years of the date of the Autolus Letter Agreement, we will have the right to designate an additional director, who shall be independent. Our director nomination rights under the Autolus Letter Agreement shall automatically terminate upon our ownership of Autolus Ordinary Shares dropping below certain specified percentages. Additionally, pursuant to the Autolus Letter Agreement, we have the right to purchase equity securities sold by Autolus in bona fide financing transactions in amounts that are based on our maintaining specified ownership thresholds following such financing transactions. Pursuant to the Autolus Letter Agreement, subject to specified exceptions, we may not sell the Private Placement ADSs without Autolus’s approval for a period of six months following the applicable closing date for such Autolus ADSs. The Autolus Letter Agreement terminates upon the earlier of (a) the later of (i) three years from its signing date and (ii) such time as no securities of Autolus are held by us or our affiliates and (b) the consummation of a change of control transaction involving Autolus.</w:t>
      </w:r>
    </w:p>
    <w:p>
      <w:pPr>
        <w:spacing w:after="0" w:line="9"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We and Autolus also entered into a registration rights agreement, pursuant to which Autolus filed a registration statement with the SEC to register the resale of the Private Placement ADSs.</w:t>
      </w:r>
    </w:p>
    <w:p>
      <w:pPr>
        <w:ind w:left="380"/>
        <w:spacing w:after="0" w:line="212" w:lineRule="auto"/>
        <w:rPr>
          <w:sz w:val="20"/>
          <w:szCs w:val="20"/>
          <w:color w:val="auto"/>
        </w:rPr>
      </w:pPr>
      <w:r>
        <w:rPr>
          <w:rFonts w:ascii="Arial" w:cs="Arial" w:eastAsia="Arial" w:hAnsi="Arial"/>
          <w:sz w:val="13"/>
          <w:szCs w:val="13"/>
          <w:b w:val="1"/>
          <w:bCs w:val="1"/>
          <w:color w:val="auto"/>
        </w:rPr>
        <w:t>B. Biotheus Acquisition</w:t>
      </w:r>
    </w:p>
    <w:p>
      <w:pPr>
        <w:spacing w:after="0" w:line="1"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On November 13, 2024, our subsidiary, BioNTech Collaborations GmbH, entered into an agreement and plan of merger, or the Merger Agreement, with Biotheus, a clinical -stage biotechnology company dedicated to the discovery and development of novel antibodies to address unmet medical needs of patients with oncological or inflammatory diseases. The acquisition supports the global execution of our oncology strategy and provides full global rights to BNT327/PM8002, an investigational PD-L1 x VEGF -A bispecific antibody, with potential to replace current checkpoint inhibitor standard of care treatments for solid tumors.</w:t>
      </w:r>
    </w:p>
    <w:p>
      <w:pPr>
        <w:spacing w:after="0" w:line="4" w:lineRule="exact"/>
        <w:rPr>
          <w:sz w:val="20"/>
          <w:szCs w:val="20"/>
          <w:color w:val="auto"/>
        </w:rPr>
      </w:pPr>
    </w:p>
    <w:p>
      <w:pPr>
        <w:ind w:left="380" w:right="2380"/>
        <w:spacing w:after="0" w:line="210" w:lineRule="auto"/>
        <w:rPr>
          <w:sz w:val="20"/>
          <w:szCs w:val="20"/>
          <w:color w:val="auto"/>
        </w:rPr>
      </w:pPr>
      <w:r>
        <w:rPr>
          <w:rFonts w:ascii="Arial" w:cs="Arial" w:eastAsia="Arial" w:hAnsi="Arial"/>
          <w:sz w:val="13"/>
          <w:szCs w:val="13"/>
          <w:color w:val="auto"/>
        </w:rPr>
        <w:t>Following the satisfaction of several customary closing conditions and regulatory approvals as defined in the Merger Agreement, the acquisition closed on January 31, 2025.</w:t>
      </w:r>
    </w:p>
    <w:p>
      <w:pPr>
        <w:spacing w:after="0" w:line="1"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Upon closing and under the terms of the agreement, we paid Biotheus shareholders upfront of approximately $850.0 million, predominantly in cash, with a small portion in ADSs, to acquire 100% of the issued share capital of Biotheus, subject to customary purchase price adjustments, and agreed to pay additional performance-based contingent payments of up to $150.0 million if certain milestones are met.</w:t>
      </w:r>
    </w:p>
    <w:p>
      <w:pPr>
        <w:spacing w:after="0" w:line="2" w:lineRule="exact"/>
        <w:rPr>
          <w:sz w:val="20"/>
          <w:szCs w:val="20"/>
          <w:color w:val="auto"/>
        </w:rPr>
      </w:pPr>
    </w:p>
    <w:p>
      <w:pPr>
        <w:ind w:left="380" w:right="2160"/>
        <w:spacing w:after="0" w:line="226" w:lineRule="auto"/>
        <w:rPr>
          <w:sz w:val="20"/>
          <w:szCs w:val="20"/>
          <w:color w:val="auto"/>
        </w:rPr>
      </w:pPr>
      <w:r>
        <w:rPr>
          <w:rFonts w:ascii="Arial" w:cs="Arial" w:eastAsia="Arial" w:hAnsi="Arial"/>
          <w:sz w:val="13"/>
          <w:szCs w:val="13"/>
          <w:color w:val="auto"/>
        </w:rPr>
        <w:t>By closing the acquisition, we gained full rights to Biotheus’s pipeline candidates and its in-house bispecific antibody drug conjugate capability. The acquisition has expanded our footprint in China, adding a local research and development hub to conduct clinical trials. In addition, we have gained a biologics manufacturing facility to</w:t>
      </w:r>
    </w:p>
    <w:p>
      <w:pPr>
        <w:sectPr>
          <w:pgSz w:w="11900" w:h="16840" w:orient="portrait"/>
          <w:cols w:equalWidth="0" w:num="1">
            <w:col w:w="9020"/>
          </w:cols>
          <w:pgMar w:left="1440" w:top="569" w:right="1440" w:bottom="18" w:gutter="0" w:footer="0" w:header="0"/>
        </w:sectPr>
      </w:pPr>
    </w:p>
    <w:bookmarkStart w:id="93" w:name="page94"/>
    <w:bookmarkEnd w:id="93"/>
    <w:p>
      <w:pPr>
        <w:ind w:left="380" w:right="2500"/>
        <w:spacing w:after="0" w:line="220" w:lineRule="auto"/>
        <w:rPr>
          <w:sz w:val="20"/>
          <w:szCs w:val="20"/>
          <w:color w:val="auto"/>
        </w:rPr>
      </w:pPr>
      <w:r>
        <w:rPr>
          <w:rFonts w:ascii="Arial" w:cs="Arial" w:eastAsia="Arial" w:hAnsi="Arial"/>
          <w:sz w:val="13"/>
          <w:szCs w:val="13"/>
          <w:color w:val="auto"/>
        </w:rPr>
        <w:t>contribute to our future global manufacturing and supply, and more than 300 Biotheus employees in R&amp;D, manufacturing and enabling functions have joined the BioNTech workforce.</w:t>
      </w:r>
    </w:p>
    <w:p>
      <w:pPr>
        <w:ind w:left="380"/>
        <w:spacing w:after="0" w:line="212" w:lineRule="auto"/>
        <w:rPr>
          <w:sz w:val="20"/>
          <w:szCs w:val="20"/>
          <w:color w:val="auto"/>
        </w:rPr>
      </w:pPr>
      <w:r>
        <w:rPr>
          <w:rFonts w:ascii="Arial" w:cs="Arial" w:eastAsia="Arial" w:hAnsi="Arial"/>
          <w:sz w:val="13"/>
          <w:szCs w:val="13"/>
          <w:b w:val="1"/>
          <w:bCs w:val="1"/>
          <w:color w:val="auto"/>
        </w:rPr>
        <w:t>C. DualityBio Global Strategic Partnership</w:t>
      </w:r>
    </w:p>
    <w:p>
      <w:pPr>
        <w:ind w:left="380" w:right="2160"/>
        <w:spacing w:after="0" w:line="218" w:lineRule="auto"/>
        <w:rPr>
          <w:sz w:val="20"/>
          <w:szCs w:val="20"/>
          <w:color w:val="auto"/>
        </w:rPr>
      </w:pPr>
      <w:r>
        <w:rPr>
          <w:rFonts w:ascii="Arial" w:cs="Arial" w:eastAsia="Arial" w:hAnsi="Arial"/>
          <w:sz w:val="13"/>
          <w:szCs w:val="13"/>
          <w:color w:val="auto"/>
        </w:rPr>
        <w:t>In 2023, we entered into three License and Collaboration Agreements with DualityBio, which we refer to as the DualityBio Agreements. Each of the DualityBio Agreements relates to specific ADC assets. The first agreement, the HER2 Agreement, relates to the ADC asset targeting HER2 and was entered into on March 16, 2023. The second agreement, the B7H3 Agreement, relates to the ADC asset targeting B7H3 and was entered into on March 31, 2023. The third agreement, the TROP2 Agreement, relates to the ADC asset targeting TROP2 and was entered into on August 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134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40"/>
        <w:spacing w:after="0" w:line="217" w:lineRule="auto"/>
        <w:rPr>
          <w:sz w:val="20"/>
          <w:szCs w:val="20"/>
          <w:color w:val="auto"/>
        </w:rPr>
      </w:pPr>
      <w:r>
        <w:rPr>
          <w:rFonts w:ascii="Arial" w:cs="Arial" w:eastAsia="Arial" w:hAnsi="Arial"/>
          <w:sz w:val="13"/>
          <w:szCs w:val="13"/>
          <w:color w:val="auto"/>
        </w:rPr>
        <w:t>Each of the three DualityBio Agreements relates to a license granted to us with respect to certain patents and know-how owned or otherwise controlled by DualityBio and our collaboration with DualityBio in the research and development of ADC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80"/>
        <w:spacing w:after="0" w:line="210" w:lineRule="auto"/>
        <w:rPr>
          <w:sz w:val="20"/>
          <w:szCs w:val="20"/>
          <w:color w:val="auto"/>
        </w:rPr>
      </w:pPr>
      <w:r>
        <w:rPr>
          <w:rFonts w:ascii="Arial" w:cs="Arial" w:eastAsia="Arial" w:hAnsi="Arial"/>
          <w:sz w:val="13"/>
          <w:szCs w:val="13"/>
          <w:color w:val="auto"/>
        </w:rPr>
        <w:t>In each of the DualityBio Agreements, DualityBio granted us the exclusive, royalty-bearing and sublicensable right to exploit certain patents and know-how, which we refer to as the DualityBio IP, for the research, development, manufacture and commercialization of the respective ADC compound and pharmaceutical products comprising such compound, which we refer to as the DualityBio Products, in any field in the territory, which is all countries of the world except for mainland China, Hong Kong and Macau, which we refer to as the DualityBio Retained Territory. We were also granted the sole right to exploit the DualityBio IP to develop and manufacture the DualityBio Products in the DualityBio Retained Territory solely for the purpose of developing, manufacturing and commercializing the DualityBio Products in the territory.</w:t>
      </w:r>
    </w:p>
    <w:p>
      <w:pPr>
        <w:spacing w:after="0" w:line="5" w:lineRule="exact"/>
        <w:rPr>
          <w:sz w:val="20"/>
          <w:szCs w:val="20"/>
          <w:color w:val="auto"/>
        </w:rPr>
      </w:pPr>
    </w:p>
    <w:p>
      <w:pPr>
        <w:ind w:left="380" w:right="2420"/>
        <w:spacing w:after="0" w:line="210" w:lineRule="auto"/>
        <w:rPr>
          <w:sz w:val="20"/>
          <w:szCs w:val="20"/>
          <w:color w:val="auto"/>
        </w:rPr>
      </w:pPr>
      <w:r>
        <w:rPr>
          <w:rFonts w:ascii="Arial" w:cs="Arial" w:eastAsia="Arial" w:hAnsi="Arial"/>
          <w:sz w:val="13"/>
          <w:szCs w:val="13"/>
          <w:color w:val="auto"/>
        </w:rPr>
        <w:t>Each party has final decision-making authority and is generally responsible for clinical trial supply costs and regulatory activities and costs with respect to their respective territory.</w:t>
      </w:r>
    </w:p>
    <w:p>
      <w:pPr>
        <w:ind w:left="380"/>
        <w:spacing w:after="0" w:line="212" w:lineRule="auto"/>
        <w:rPr>
          <w:sz w:val="20"/>
          <w:szCs w:val="20"/>
          <w:color w:val="auto"/>
        </w:rPr>
      </w:pPr>
      <w:r>
        <w:rPr>
          <w:rFonts w:ascii="Arial" w:cs="Arial" w:eastAsia="Arial" w:hAnsi="Arial"/>
          <w:sz w:val="13"/>
          <w:szCs w:val="13"/>
          <w:color w:val="auto"/>
        </w:rPr>
        <w:t>We are responsible for the commercialization of any DualityBio Products in the territory.</w:t>
      </w:r>
    </w:p>
    <w:p>
      <w:pPr>
        <w:spacing w:after="0" w:line="1"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The B7H3 Agreement also grants DualityBio the option to share the development and commercialization costs and the profits and losses from the exploitation of the first original DualityBio Product in the United States. Under the B7H3 Agreement, we have further granted to DualityBio the option to assume a percentage of the total sales force of the first original DualityBio Product in the United States.</w:t>
      </w:r>
    </w:p>
    <w:p>
      <w:pPr>
        <w:spacing w:after="0" w:line="2"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In partial consideration of DualityBio’s granting of the licenses and rights to us under the DualityBio Agreements, we have made upfront payments to DualityBio in an aggregate amount of $220 million. In addition, we agreed to make potential payments upon the achievement of specified development, regulatory and commercial milestones. Such milestone payments could amount up to $ 2.6 billion in the aggregate (the TROP2 Agreement also provides for additional sales milestone payments in the event DualityBio works on, and we exercise, the option regarding the next-generation product). We further agreed to between single-digit to double-digit tiered royalties on net sales of all DualityBio Products, which also differ between the DualityBio Agreements. Royalties are subject to stacking provisions and will be reduced in case of respective biosimilar products entering the market. Furthermore, we agreed to reimburse DualityBio for certain development costs.</w:t>
      </w:r>
    </w:p>
    <w:p>
      <w:pPr>
        <w:spacing w:after="0" w:line="5"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The DualityBio Agreements end on a country-by -country and DualityBio Product-by-DualityBio Product basis upon expiration of the respective last DualityBio royalty term for a DualityBio Product in that country. Thereafter, the licenses granted to us with respect to such product in such country will convert into a perpetual, exclusive, fully paid-up and royalty-free license. In addition to termination rights granted to each party in the case of the other party’s uncured material breach or insolvency, we may terminate each DualityBio Agreement, in whole or in part, for convenience upon prior written notice.</w:t>
      </w:r>
    </w:p>
    <w:p>
      <w:pPr>
        <w:spacing w:after="0" w:line="4"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On November 12, 2024, we and DualityBio entered into a side letter to the DualityBio Agreements to undertake certain development activities in the territory and DualityBio Retained Territory with DualityBio Products in combination with other product(s) that are proprietary to or owned or controlled by us or our affiliates.</w:t>
      </w:r>
    </w:p>
    <w:p>
      <w:pPr>
        <w:ind w:left="380"/>
        <w:spacing w:after="0" w:line="213" w:lineRule="auto"/>
        <w:rPr>
          <w:sz w:val="20"/>
          <w:szCs w:val="20"/>
          <w:color w:val="auto"/>
        </w:rPr>
      </w:pPr>
      <w:r>
        <w:rPr>
          <w:rFonts w:ascii="Arial" w:cs="Arial" w:eastAsia="Arial" w:hAnsi="Arial"/>
          <w:sz w:val="13"/>
          <w:szCs w:val="13"/>
          <w:b w:val="1"/>
          <w:bCs w:val="1"/>
          <w:color w:val="auto"/>
        </w:rPr>
        <w:t>D. Fosun COVID-19 Vaccine Collaboration</w:t>
      </w:r>
    </w:p>
    <w:p>
      <w:pPr>
        <w:spacing w:after="0" w:line="1"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On March 13, 2020, we entered into a Development and License Agreement with Fosun Pharma for the development and commercialization in mainland China, Hong Kong special administrative region, or SAR, Macau SAR and in the region of Taiwan, or collectively the Fosun Collaboration Territory, of immunogenic compositions generated by BioNTech and comprising uridine RNA, modified RNA and/or replicon technology for prophylaxis against SARS-CoV-2 in humans. We refer to this agreement as the Fosun Agreement.</w:t>
      </w:r>
    </w:p>
    <w:p>
      <w:pPr>
        <w:spacing w:after="0" w:line="3" w:lineRule="exact"/>
        <w:rPr>
          <w:sz w:val="20"/>
          <w:szCs w:val="20"/>
          <w:color w:val="auto"/>
        </w:rPr>
      </w:pPr>
    </w:p>
    <w:p>
      <w:pPr>
        <w:ind w:left="380" w:right="2100"/>
        <w:spacing w:after="0" w:line="226" w:lineRule="auto"/>
        <w:rPr>
          <w:sz w:val="20"/>
          <w:szCs w:val="20"/>
          <w:color w:val="auto"/>
        </w:rPr>
      </w:pPr>
      <w:r>
        <w:rPr>
          <w:rFonts w:ascii="Arial" w:cs="Arial" w:eastAsia="Arial" w:hAnsi="Arial"/>
          <w:sz w:val="13"/>
          <w:szCs w:val="13"/>
          <w:color w:val="auto"/>
        </w:rPr>
        <w:t>The details of the development activities to be undertaken by Fosun Pharma are to be set forth in a development plan that is being overseen by a Joint Steering Committee. Fosun Pharma’s development activities are to be undertaken at its own cost and expense. Fosun Pharma has the sole responsibility to prepare, obtain and</w:t>
      </w:r>
    </w:p>
    <w:p>
      <w:pPr>
        <w:sectPr>
          <w:pgSz w:w="11900" w:h="16840" w:orient="portrait"/>
          <w:cols w:equalWidth="0" w:num="1">
            <w:col w:w="9020"/>
          </w:cols>
          <w:pgMar w:left="1440" w:top="560" w:right="1440" w:bottom="1440" w:gutter="0" w:footer="0" w:header="0"/>
        </w:sectPr>
      </w:pPr>
    </w:p>
    <w:bookmarkStart w:id="94" w:name="page95"/>
    <w:bookmarkEnd w:id="94"/>
    <w:p>
      <w:pPr>
        <w:ind w:left="380"/>
        <w:spacing w:after="0"/>
        <w:rPr>
          <w:sz w:val="20"/>
          <w:szCs w:val="20"/>
          <w:color w:val="auto"/>
        </w:rPr>
      </w:pPr>
      <w:r>
        <w:rPr>
          <w:rFonts w:ascii="Arial" w:cs="Arial" w:eastAsia="Arial" w:hAnsi="Arial"/>
          <w:sz w:val="13"/>
          <w:szCs w:val="13"/>
          <w:color w:val="auto"/>
        </w:rPr>
        <w:t>135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540"/>
        <w:spacing w:after="0" w:line="220" w:lineRule="auto"/>
        <w:rPr>
          <w:sz w:val="20"/>
          <w:szCs w:val="20"/>
          <w:color w:val="auto"/>
        </w:rPr>
      </w:pPr>
      <w:r>
        <w:rPr>
          <w:rFonts w:ascii="Arial" w:cs="Arial" w:eastAsia="Arial" w:hAnsi="Arial"/>
          <w:sz w:val="13"/>
          <w:szCs w:val="13"/>
          <w:color w:val="auto"/>
        </w:rPr>
        <w:t>maintain regulatory approvals for the vaccine candidates in the Fosun Territory. We agreed to give Fosun Pharma reasonable assistance with the regulatory aspects of these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60"/>
        <w:spacing w:after="0" w:line="210" w:lineRule="auto"/>
        <w:rPr>
          <w:sz w:val="20"/>
          <w:szCs w:val="20"/>
          <w:color w:val="auto"/>
        </w:rPr>
      </w:pPr>
      <w:r>
        <w:rPr>
          <w:rFonts w:ascii="Arial" w:cs="Arial" w:eastAsia="Arial" w:hAnsi="Arial"/>
          <w:sz w:val="13"/>
          <w:szCs w:val="13"/>
          <w:color w:val="auto"/>
        </w:rPr>
        <w:t>Fosun Pharma has the sole responsibility, authority and control of the commercialization of a vaccine candidate in the Fosun Collaboration Territory, but must use commercially reasonable efforts to do so in accordance with an agreed commercialization plan, including by launching a vaccine product in the Fosun Collaboration Territory within three months after receiving marketing approval for it, provided sufficient quantities of the vaccine have been delivered.</w:t>
      </w:r>
    </w:p>
    <w:p>
      <w:pPr>
        <w:spacing w:after="0" w:line="3"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We retain the sole right to manufacture (or have manufactured) and supply any vaccine candidates and products for development purposes and commercial sale in the Fosun Territory. We agreed to manufacture and supply all quantities of vaccine from a GMP-certified RNA manufacturing facility. As compensation for supply of the vaccine Fosun Pharma will reimburse us our manufacturing costs plus an administrative fee that is between 10 and 19 percent.</w:t>
      </w:r>
    </w:p>
    <w:p>
      <w:pPr>
        <w:spacing w:after="0" w:line="3"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Under the Fosun Agreement, we granted Fosun Pharma an exclusive license under certain of our owned or in-licensed intellectual property, including our patents relating to replicons, uridine RNA and modified RNA and other mRNA technology or a vaccine to use, develop, commercialize and otherwise exploit the vaccine candidates in the Fosun Territory. In the event of any failure of the development of a vaccine, we agreed to grant Fosun Pharma a right of first negotiation on a separate competent vaccine for the prophylaxis of COVID-19 in the Fosun Collaboration Territory.</w:t>
      </w:r>
    </w:p>
    <w:p>
      <w:pPr>
        <w:spacing w:after="0" w:line="4"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In consideration of the rights granted to Fosun Pharma under the Fosun Agreement, Fosun Pharma subscribed for $50 million of our ordinary shares under a separate investment agreement. In addition, under the Fosun Agreement, Fosun Pharma made an upfront payment of $1 million and agreed to potential payments of up to $14 million upon the achievement of specified development and regulatory milestones and up to $70 million upon the achievement of specified sales milestones. Fosun Pharma further agreed to pay us a royalty rate that is between 30 and 50 percent of its profits on net sales of a vaccine product, if approved, for a period of 15 years from launch of that vaccine in the Fosun Territory.</w:t>
      </w:r>
    </w:p>
    <w:p>
      <w:pPr>
        <w:spacing w:after="0" w:line="4"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The Fosun Agreement ends upon expiration of the royalty term. Fosun Pharma may elect to continue to pay royalties and extend the agreement and its rights thereunder. In addition to termination rights granted to each party in the case of the other party’s uncured material breach or insolvency, Fosun Pharma may terminate the agreement, in whole, for convenience and with or without reason at any time upon 180 days’ prior written notice. If the agreement is terminated by Fosun Pharma for cause, the licenses to Fosun Pharma survive, we will manufacture and deliver the vaccine candidate or product for one year and we will grant a non-exclusive license to a reasonably acceptable contract manufacturing organization for manufacturing of the vaccine candidate or product thereafter for development and commercialization by Fosun Pharma in the Fosun Collaboration Territory. During the term of the Fosun Agreement, we have committed not to license to any other third party in the Fosun Collaboration Territory the intellectual property licensed to Fosun for the same purpose and not to develop or commercialize the same vaccine candidate or any coronavirus vaccine in the Fosun Collaboration Territory.</w:t>
      </w:r>
    </w:p>
    <w:p>
      <w:pPr>
        <w:ind w:left="380"/>
        <w:spacing w:after="0" w:line="221" w:lineRule="auto"/>
        <w:rPr>
          <w:sz w:val="20"/>
          <w:szCs w:val="20"/>
          <w:color w:val="auto"/>
        </w:rPr>
      </w:pPr>
      <w:r>
        <w:rPr>
          <w:rFonts w:ascii="Arial" w:cs="Arial" w:eastAsia="Arial" w:hAnsi="Arial"/>
          <w:sz w:val="13"/>
          <w:szCs w:val="13"/>
          <w:b w:val="1"/>
          <w:bCs w:val="1"/>
          <w:color w:val="auto"/>
        </w:rPr>
        <w:t>E. Genentech iNeST Collaboration</w:t>
      </w:r>
    </w:p>
    <w:p>
      <w:pPr>
        <w:ind w:left="380"/>
        <w:spacing w:after="0" w:line="211" w:lineRule="auto"/>
        <w:rPr>
          <w:sz w:val="20"/>
          <w:szCs w:val="20"/>
          <w:color w:val="auto"/>
        </w:rPr>
      </w:pPr>
      <w:r>
        <w:rPr>
          <w:rFonts w:ascii="Arial" w:cs="Arial" w:eastAsia="Arial" w:hAnsi="Arial"/>
          <w:sz w:val="13"/>
          <w:szCs w:val="13"/>
          <w:i w:val="1"/>
          <w:iCs w:val="1"/>
          <w:color w:val="auto"/>
        </w:rPr>
        <w:t>Collaboration Agreement</w:t>
      </w:r>
    </w:p>
    <w:p>
      <w:pPr>
        <w:ind w:left="380" w:right="2080"/>
        <w:spacing w:after="0" w:line="216" w:lineRule="auto"/>
        <w:rPr>
          <w:sz w:val="20"/>
          <w:szCs w:val="20"/>
          <w:color w:val="auto"/>
        </w:rPr>
      </w:pPr>
      <w:r>
        <w:rPr>
          <w:rFonts w:ascii="Arial" w:cs="Arial" w:eastAsia="Arial" w:hAnsi="Arial"/>
          <w:sz w:val="13"/>
          <w:szCs w:val="13"/>
          <w:color w:val="auto"/>
        </w:rPr>
        <w:t>On September 20, 2016, we entered into a Collaboration Agreement with Genentech and F. Hoffman-La Roche Ltd, together with all amendments thereto, collectively referred to as the Genentech Collaboration Agreement, to jointly research, develop, manufacture and commercialize certain pharmaceutical products that comprise neoepitope RNAs, or the Genentech Collaboration Products, which include our iNeST development candidates, for any use worldwide. Under the Genentech Collaboration Agreement, we and Genentech agreed to perform joint research under a research plan to further improve our technology platform for the manufacturing of Genentech Collaboration Products. Under the terms of the Genentech Collaboration Agreement, Genentech paid us $310 million in upfront and near-term milestone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136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60"/>
        <w:spacing w:after="0" w:line="214" w:lineRule="auto"/>
        <w:rPr>
          <w:sz w:val="20"/>
          <w:szCs w:val="20"/>
          <w:color w:val="auto"/>
        </w:rPr>
      </w:pPr>
      <w:r>
        <w:rPr>
          <w:rFonts w:ascii="Arial" w:cs="Arial" w:eastAsia="Arial" w:hAnsi="Arial"/>
          <w:sz w:val="13"/>
          <w:szCs w:val="13"/>
          <w:color w:val="auto"/>
        </w:rPr>
        <w:t>We and Genentech must use commercially reasonable efforts to jointly develop one or more Genentech Collaboration Products in accordance with an agreed global development plan, with the costs of such development to be shared equally. We continued certain clinical studies that were initiated prior to the execution of the Genentech Collaboration Agreement at our sole expense. Genentech may access and use any data generated in these clinical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-416560</wp:posOffset>
            </wp:positionV>
            <wp:extent cx="523113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color w:val="auto"/>
        </w:rPr>
        <w:t>In addition to the clinical studies included in the global development plan, we may propose certain additional clinical studies for indications not included in the global development plan, and if the joint development committee formed by the parties does not elect to include the proposed studies in the global development plan, then we may conduct the study at our sole expense under certain conditions, and subject to certain restrictions. Genentech has the option to select any candidate in such studies for potential further joint development and/or commercialization by Genentech as a Genentech Collaboration Product. In the case that Genentech wishes to pursue the clinical development of a Genentech Collaboration Product in an indication that we are not interested in pursuing, then under certain conditions, we may opt out of the co -funding of such development and Genentech may continue do so at its own costs, except that we are obligated to repay Genentech’s development costs in the event that such product subsequently receives regulatory approval.</w:t>
      </w:r>
    </w:p>
    <w:p>
      <w:pPr>
        <w:spacing w:after="0" w:line="6" w:lineRule="exact"/>
        <w:rPr>
          <w:sz w:val="20"/>
          <w:szCs w:val="20"/>
          <w:color w:val="auto"/>
        </w:rPr>
      </w:pPr>
    </w:p>
    <w:p>
      <w:pPr>
        <w:ind w:left="380" w:right="2100"/>
        <w:spacing w:after="0" w:line="214" w:lineRule="auto"/>
        <w:rPr>
          <w:sz w:val="20"/>
          <w:szCs w:val="20"/>
          <w:color w:val="auto"/>
        </w:rPr>
      </w:pPr>
      <w:r>
        <w:rPr>
          <w:rFonts w:ascii="Arial" w:cs="Arial" w:eastAsia="Arial" w:hAnsi="Arial"/>
          <w:sz w:val="13"/>
          <w:szCs w:val="13"/>
          <w:color w:val="auto"/>
        </w:rPr>
        <w:t>Genentech has the sole right to commercialize the Genentech Collaboration Products on a worldwide basis, with all profits and losses from such commercialization to be split equally with us. If we exercise our right to opt out of sharing equally in future development costs for any Genentech Collaboration Products, then we will no longer split all such profits and losses for such Genentech Collaboration Products equally with Genentech and will instead receive a royalty on annual worldwide net sales of such Genentech Collaboration Products that are covered by a valid claim included in certain of our patents and certain joint patents that arise out of the collaboration. Furthermore, for certain Genentech Collaboration Products for which we share co-promotion rights with Genentech, we have the option to assume a percentage to be determined of the total sales force in the United States and certain other countries, including Germany and other major European markets. In addition, under certain regulatory and other circumstances, we have the right to independently commercialize Genentech Collaboration Products in indications that the joint development committee declines to pursue and that Genentech does not subsequently elect to commercialize, provided that we market such Genentech Collaboration Products under a separate brand and trademark that is approved by the joint commercialization committee established by the parties as not confusingly similar to the Genentech Collaboration Products being</w:t>
      </w:r>
    </w:p>
    <w:p>
      <w:pPr>
        <w:sectPr>
          <w:pgSz w:w="11900" w:h="16840" w:orient="portrait"/>
          <w:cols w:equalWidth="0" w:num="1">
            <w:col w:w="9020"/>
          </w:cols>
          <w:pgMar w:left="1440" w:top="1210" w:right="1440" w:bottom="9" w:gutter="0" w:footer="0" w:header="0"/>
        </w:sectPr>
      </w:pPr>
    </w:p>
    <w:bookmarkStart w:id="95" w:name="page96"/>
    <w:bookmarkEnd w:id="95"/>
    <w:p>
      <w:pPr>
        <w:ind w:left="380" w:right="2100"/>
        <w:spacing w:after="0" w:line="213" w:lineRule="auto"/>
        <w:rPr>
          <w:sz w:val="20"/>
          <w:szCs w:val="20"/>
          <w:color w:val="auto"/>
        </w:rPr>
      </w:pPr>
      <w:r>
        <w:rPr>
          <w:rFonts w:ascii="Arial" w:cs="Arial" w:eastAsia="Arial" w:hAnsi="Arial"/>
          <w:sz w:val="13"/>
          <w:szCs w:val="13"/>
          <w:color w:val="auto"/>
        </w:rPr>
        <w:t>commercialized by Genentech. Our ability to research, develop, co -promote and/or independently commercialize Genentech Collaboration Products may be terminated or limited in the event we undergo a change of control. We granted to Genentech an exclusive license under certain of our intellectual property, and our interest in any jointly-owned intellectual property developed under this agreement, to research, develop, make, sell and import any pharmaceutical products that comprise neoepitope RNA. Genentech granted to us an exclusive, non-transferable, sublicensable licenses under certain Genentech intellectual property, our intellectual property exclusively licensed to Genentech, and their interest in any jointly- owned intellectual property developed under this agreement for the performance of our ongoing clinical studies and the exercise of our rights and obligations under the Genentech Collaboration Agreement.</w:t>
      </w:r>
    </w:p>
    <w:p>
      <w:pPr>
        <w:spacing w:after="0" w:line="1" w:lineRule="exact"/>
        <w:rPr>
          <w:sz w:val="20"/>
          <w:szCs w:val="20"/>
          <w:color w:val="auto"/>
        </w:rPr>
      </w:pPr>
    </w:p>
    <w:p>
      <w:pPr>
        <w:ind w:left="380" w:right="2280"/>
        <w:spacing w:after="0" w:line="210" w:lineRule="auto"/>
        <w:rPr>
          <w:sz w:val="20"/>
          <w:szCs w:val="20"/>
          <w:color w:val="auto"/>
        </w:rPr>
      </w:pPr>
      <w:r>
        <w:rPr>
          <w:rFonts w:ascii="Arial" w:cs="Arial" w:eastAsia="Arial" w:hAnsi="Arial"/>
          <w:sz w:val="13"/>
          <w:szCs w:val="13"/>
          <w:color w:val="auto"/>
        </w:rPr>
        <w:t>Until the first marketing approval for a Genentech Collaboration Product, we have granted Genentech the first right to negotiate an exclusive license to develop, manufacture and commercialize combination therapies involving pharmaceutical products based on neoepitope RNA and pharmaceutical products based on non-neoepitope RNA for the treatment of cancer in humans.</w:t>
      </w:r>
    </w:p>
    <w:p>
      <w:pPr>
        <w:spacing w:after="0" w:line="2" w:lineRule="exact"/>
        <w:rPr>
          <w:sz w:val="20"/>
          <w:szCs w:val="20"/>
          <w:color w:val="auto"/>
        </w:rPr>
      </w:pPr>
    </w:p>
    <w:p>
      <w:pPr>
        <w:ind w:left="380" w:right="2160"/>
        <w:spacing w:after="0" w:line="216" w:lineRule="auto"/>
        <w:rPr>
          <w:sz w:val="20"/>
          <w:szCs w:val="20"/>
          <w:color w:val="auto"/>
        </w:rPr>
      </w:pPr>
      <w:r>
        <w:rPr>
          <w:rFonts w:ascii="Arial" w:cs="Arial" w:eastAsia="Arial" w:hAnsi="Arial"/>
          <w:sz w:val="13"/>
          <w:szCs w:val="13"/>
          <w:color w:val="auto"/>
        </w:rPr>
        <w:t>The Genentech Collaboration Agreement will remain in effect so as long as Genentech Collaboration Products are in development or commercialization, or until the date of the expiration of the last royalty term if BioNTech has exercised its option to opt-out of joint development of Genentech Collaboration Products. If the agreement expires, the licenses granted to Genentech become fully-paid up, royalty-free and irrevocable. Genentech may terminate the Collaboration Agreement if we fail to achieve certain milestone targets or at any time for convenience with or without reason upon 60 days’ prior written notice. In the event of any such termination, all rights to the development and commercialization of Genentech Collaboration Products developed under the collaboration would revert to us and Genentech would grant us licenses under its intellectual property to further develop and commercialize Genentech Collaboration Products. We would be required to pay certain royalties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137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420"/>
        <w:spacing w:after="0" w:line="220" w:lineRule="auto"/>
        <w:rPr>
          <w:sz w:val="20"/>
          <w:szCs w:val="20"/>
          <w:color w:val="auto"/>
        </w:rPr>
      </w:pPr>
      <w:r>
        <w:rPr>
          <w:rFonts w:ascii="Arial" w:cs="Arial" w:eastAsia="Arial" w:hAnsi="Arial"/>
          <w:sz w:val="13"/>
          <w:szCs w:val="13"/>
          <w:color w:val="auto"/>
        </w:rPr>
        <w:t>Genentech for such license(s). In addition, either party may terminate the agreement upon the other party’s uncured material breach or insolvency.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i w:val="1"/>
          <w:iCs w:val="1"/>
          <w:color w:val="auto"/>
        </w:rPr>
        <w:t>Manufacturing Development and Supply Agreement</w:t>
      </w:r>
    </w:p>
    <w:p>
      <w:pPr>
        <w:ind w:left="380" w:right="2180"/>
        <w:spacing w:after="0" w:line="210" w:lineRule="auto"/>
        <w:rPr>
          <w:sz w:val="20"/>
          <w:szCs w:val="20"/>
          <w:color w:val="auto"/>
        </w:rPr>
      </w:pPr>
      <w:r>
        <w:rPr>
          <w:rFonts w:ascii="Arial" w:cs="Arial" w:eastAsia="Arial" w:hAnsi="Arial"/>
          <w:sz w:val="13"/>
          <w:szCs w:val="13"/>
          <w:color w:val="auto"/>
        </w:rPr>
        <w:t>Concurrent with the Genentech Collaboration Agreement, we entered into a Manufacturing Development and Supply Agreement with Genentech and F. Hoffman-La Roche Ltd, or the Genentech Manufacturing Agreement, which governs the manufacturing, related manufacturing development activities and supply of Genentech Collaboration Products. Pursuant to the Genentech Manufacturing Agreement, we are responsible for clinical manufacturing and supply, for developing and implementing manufacturing processes (including pursuant to specified target turnaround times), and for constructing, commissioning, qualifying and obtaining permits for the clinical facilities. We are permitted to subcontract certain steps in the clinical manufacturing process to our affiliate, BioNTech IMFS.</w:t>
      </w:r>
    </w:p>
    <w:p>
      <w:pPr>
        <w:spacing w:after="0" w:line="5" w:lineRule="exact"/>
        <w:rPr>
          <w:sz w:val="20"/>
          <w:szCs w:val="20"/>
          <w:color w:val="auto"/>
        </w:rPr>
      </w:pPr>
    </w:p>
    <w:p>
      <w:pPr>
        <w:ind w:left="380" w:right="2220"/>
        <w:spacing w:after="0" w:line="210" w:lineRule="auto"/>
        <w:rPr>
          <w:sz w:val="20"/>
          <w:szCs w:val="20"/>
          <w:color w:val="auto"/>
        </w:rPr>
      </w:pPr>
      <w:r>
        <w:rPr>
          <w:rFonts w:ascii="Arial" w:cs="Arial" w:eastAsia="Arial" w:hAnsi="Arial"/>
          <w:sz w:val="13"/>
          <w:szCs w:val="13"/>
          <w:color w:val="auto"/>
        </w:rPr>
        <w:t>In addition, we are responsible for developing the commercial manufacturing process, which requires more stringent turnaround times than the clinical manufacturing process. Genentech will generally be responsible for conducting commercial manufacturing. We are obligated to use commercially reasonable efforts to achieve certain predetermined clinical manufacturing capacity commitments.</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Under the Genentech Manufacturing Agreement, we and Genentech will jointly develop a manufacturing network plan detailing the location, capacity, scale-out, associated timing and other appropriate details of the commercial manufacturing facilities. We may participate in commercial manufacturing through our right to include as part of the commercial manufacturing network one of our own facilities in the European Union or the United States and one of our own facilities in another region to be agreed upon with Genentech (provided that in each region our facility is not the first facility to be included in the commercial manufacturing network).</w:t>
      </w:r>
    </w:p>
    <w:p>
      <w:pPr>
        <w:ind w:left="380"/>
        <w:spacing w:after="0" w:line="216" w:lineRule="auto"/>
        <w:rPr>
          <w:sz w:val="20"/>
          <w:szCs w:val="20"/>
          <w:color w:val="auto"/>
        </w:rPr>
      </w:pPr>
      <w:r>
        <w:rPr>
          <w:rFonts w:ascii="Arial" w:cs="Arial" w:eastAsia="Arial" w:hAnsi="Arial"/>
          <w:sz w:val="13"/>
          <w:szCs w:val="13"/>
          <w:b w:val="1"/>
          <w:bCs w:val="1"/>
          <w:color w:val="auto"/>
        </w:rPr>
        <w:t>F. Genmab Next-generation Immunomodulator Collaboration</w:t>
      </w:r>
    </w:p>
    <w:p>
      <w:pPr>
        <w:ind w:left="380" w:right="2160"/>
        <w:spacing w:after="0" w:line="210" w:lineRule="auto"/>
        <w:rPr>
          <w:sz w:val="20"/>
          <w:szCs w:val="20"/>
          <w:color w:val="auto"/>
        </w:rPr>
      </w:pPr>
      <w:r>
        <w:rPr>
          <w:rFonts w:ascii="Arial" w:cs="Arial" w:eastAsia="Arial" w:hAnsi="Arial"/>
          <w:sz w:val="13"/>
          <w:szCs w:val="13"/>
          <w:color w:val="auto"/>
        </w:rPr>
        <w:t>On May 19, 2015, we entered into a License and Collaboration Agreement with Genmab, which was subsequently amended and supplemented by side letters, to jointly research, develop and commercialize polypeptide-based bispecific antibodies against certain target combinations for the treatment of cancer worldwide, or the Genmab Agreement Field, using certain Genmab technology. In connection with our entry into that License and Collaboration Agreement, Genmab paid us an upfront fee of $10 million. On July 18, 2022, this agreement was amended and restated by an Amended and Restated License and Collaboration Agreement (which, as amended, is referred to as the Genmab Agreement).</w:t>
      </w:r>
    </w:p>
    <w:p>
      <w:pPr>
        <w:spacing w:after="0" w:line="4"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Under the Genmab Agreement, we and Genmab must use commercially reasonable efforts to research and develop clinical candidates, including our next-generation checkpoint immunomodulators, with costs split equally during the research and evaluation phase. Our joint activities in this phase were governed by a research plan, which was subject to annual review and updates, and which specifies the clinical candidates to be developed. This research and evaluation phase expired on September 18, 2022.</w:t>
      </w:r>
    </w:p>
    <w:p>
      <w:pPr>
        <w:spacing w:after="0" w:line="3"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We and Genmab must use commercially reasonable efforts to develop candidates selected by the joint research committee, or the LCA Products, through preclinical and clinical development. The preclinical and clinical development of the LCA Products would be performed pursuant to a development plan to be agreed upon by us and Genmab, with costs to be split equally. The joint steering committee may designate a third party as a manufacturer of an LCA Product or of any of its components.</w:t>
      </w:r>
    </w:p>
    <w:p>
      <w:pPr>
        <w:spacing w:after="0" w:line="3" w:lineRule="exact"/>
        <w:rPr>
          <w:sz w:val="20"/>
          <w:szCs w:val="20"/>
          <w:color w:val="auto"/>
        </w:rPr>
      </w:pPr>
    </w:p>
    <w:p>
      <w:pPr>
        <w:ind w:left="380" w:right="2160"/>
        <w:spacing w:after="0" w:line="218" w:lineRule="auto"/>
        <w:rPr>
          <w:sz w:val="20"/>
          <w:szCs w:val="20"/>
          <w:color w:val="auto"/>
        </w:rPr>
      </w:pPr>
      <w:r>
        <w:rPr>
          <w:rFonts w:ascii="Arial" w:cs="Arial" w:eastAsia="Arial" w:hAnsi="Arial"/>
          <w:sz w:val="13"/>
          <w:szCs w:val="13"/>
          <w:color w:val="auto"/>
        </w:rPr>
        <w:t>We and Genmab must use commercially reasonable efforts to jointly commercialize all LCA Products and share equally all expenses and profits arising from such commercialization. We and Genmab, on a product- by-product basis and at least 12 months prior to the anticipated start of a pivotal clinical trial for an LCA Product, will jointly designate between the two of us a lead party responsible for establishing the distribution and marketing operations in each geographical region. Each party would be entitled to equally co-commercialize the products pursuant to a separately negotiated global commercialization agreement that the parties agree to negotiate.</w:t>
      </w:r>
    </w:p>
    <w:p>
      <w:pPr>
        <w:sectPr>
          <w:pgSz w:w="11900" w:h="16840" w:orient="portrait"/>
          <w:cols w:equalWidth="0" w:num="1">
            <w:col w:w="9020"/>
          </w:cols>
          <w:pgMar w:left="1440" w:top="560" w:right="1440" w:bottom="1440" w:gutter="0" w:footer="0" w:header="0"/>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138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480"/>
        <w:spacing w:after="0" w:line="217" w:lineRule="auto"/>
        <w:rPr>
          <w:sz w:val="20"/>
          <w:szCs w:val="20"/>
          <w:color w:val="auto"/>
        </w:rPr>
      </w:pPr>
      <w:r>
        <w:rPr>
          <w:rFonts w:ascii="Arial" w:cs="Arial" w:eastAsia="Arial" w:hAnsi="Arial"/>
          <w:sz w:val="13"/>
          <w:szCs w:val="13"/>
          <w:color w:val="auto"/>
        </w:rPr>
        <w:t>Unless otherwise agreed by the joint steering committee established under the agreement, Genmab is responsible for all regulatory actions and shall own all regulatory approvals obtained for the LCA Products. Genmab is obligated to provides regular updates to us on regulatory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20"/>
        <w:spacing w:after="0" w:line="210" w:lineRule="auto"/>
        <w:rPr>
          <w:sz w:val="20"/>
          <w:szCs w:val="20"/>
          <w:color w:val="auto"/>
        </w:rPr>
      </w:pPr>
      <w:r>
        <w:rPr>
          <w:rFonts w:ascii="Arial" w:cs="Arial" w:eastAsia="Arial" w:hAnsi="Arial"/>
          <w:sz w:val="13"/>
          <w:szCs w:val="13"/>
          <w:color w:val="auto"/>
        </w:rPr>
        <w:t>Each party grants to the other party a worldwide, co-exclusive, sublicensable, royalty-free license under certain of such first party’s intellectual property, including certain patents and know-how, to perform the research under this agreement and to research, develop, make, import, use and sell LCA Products in the Genmab Agreement Field pursuant to the terms of the Genmab Agreement. These licenses shall continue on a country-by-country and product- by-product basis for as long as development or commercialization activities are contemplated under the Genmab Agreement.</w:t>
      </w:r>
    </w:p>
    <w:p>
      <w:pPr>
        <w:spacing w:after="0" w:line="4"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During the preclinical and clinical development phase for any LCA Product, engagement in research and development activities in the Genmab Agreement Field unilaterally by a party relating to an LCA Product or its Back-up Candidate or any bispecific antibody which targets the same target combination for which such LCA Product or Back-up Candidate has been developed would require the other party’s prior written consent. Each party has the right to discontinue its participation in the further development and commercialization of an LCA Product at two points: (i) when an IND submission package has been agreed upon by the parties and (ii) when the draft clinical trial report from the first Phase 1/2 clinical trial becomes available. The other party may elect to continue the development and commercialization of the LCA Product or divest its interest in such LCA Product. If the other party elects to pursue development and commercialization of such LCA Product alone as a Unilateral Product, at its sole cost and subject to pre-defined milestone and royalty payments and certain additional pre-defined terms. If the other party wishes to not pursue such continued development and commercialization on such pre- defined payment and additional terms, then the parties will jointly divest their interest in such LCA Product to a third party, and if such divestiture fails, the parties will cease all development and commercialization of such LCA Product.</w:t>
      </w:r>
    </w:p>
    <w:p>
      <w:pPr>
        <w:spacing w:after="0" w:line="8"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The Genmab Agreement will remain in effect until the later of (i) the expiration of the last-to-expire royalty term for any Unilateral Product or (ii) the time when no LCA Products, Joint Combination Products or Proprietary Combination Products are being developed or commercialized under this agreement. Either party may terminate the agreement in its entirety or on a product-by-product basis with immediate effect upon the other party’s uncured material breach or insolvency.</w:t>
      </w:r>
    </w:p>
    <w:p>
      <w:pPr>
        <w:spacing w:after="0" w:line="3"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On August 5, 2022, we and Genmab expanded our global strategic collaboration to develop and commercialize novel immunotherapies for the treatment of cancer patients. Under this expansion, we and Genmab will jointly work to research, develop and commercialize novel monospecific antibody candidates for various cancer indications.</w:t>
      </w:r>
    </w:p>
    <w:p>
      <w:pPr>
        <w:spacing w:after="0" w:line="2"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Under the expanded collaboration, the companies will jointly develop and commercialize, subject to regulatory approval, monospecific antibodies leveraging Genmab’s proprietary HexaBody technology platform. The first monospecific antibody candidate, GEN1053/BNT313, entered clinical trials in late 2022. GEN1053/BNT313 is a CD27 antibody based on the HexaBody technology, specifically engineered to form an antibody hexamer (a formation of six antibodies) upon binding its target on the cell membrane of the T cells. Under the terms of the agreement, the companies will equally share the development costs and potential future profit deriving from GEN1053/BNT313.</w:t>
      </w:r>
    </w:p>
    <w:p>
      <w:pPr>
        <w:ind w:left="380"/>
        <w:spacing w:after="0" w:line="217" w:lineRule="auto"/>
        <w:rPr>
          <w:sz w:val="20"/>
          <w:szCs w:val="20"/>
          <w:color w:val="auto"/>
        </w:rPr>
      </w:pPr>
      <w:r>
        <w:rPr>
          <w:rFonts w:ascii="Arial" w:cs="Arial" w:eastAsia="Arial" w:hAnsi="Arial"/>
          <w:sz w:val="13"/>
          <w:szCs w:val="13"/>
          <w:b w:val="1"/>
          <w:bCs w:val="1"/>
          <w:color w:val="auto"/>
        </w:rPr>
        <w:t>G. InstaDeep Acquisition</w:t>
      </w:r>
    </w:p>
    <w:p>
      <w:pPr>
        <w:ind w:left="380" w:right="2140"/>
        <w:spacing w:after="0" w:line="210" w:lineRule="auto"/>
        <w:rPr>
          <w:sz w:val="20"/>
          <w:szCs w:val="20"/>
          <w:color w:val="auto"/>
        </w:rPr>
      </w:pPr>
      <w:r>
        <w:rPr>
          <w:rFonts w:ascii="Arial" w:cs="Arial" w:eastAsia="Arial" w:hAnsi="Arial"/>
          <w:sz w:val="13"/>
          <w:szCs w:val="13"/>
          <w:color w:val="auto"/>
        </w:rPr>
        <w:t>On January 10, 2023, we entered into a share purchase agreement, or SPA, with the shareholders of InstaDeep Ltd., or InstaDeep, a leading global technology company in the field of AI and ML, under which we agreed to acquire 100% of the remaining shares in InstaDeep, excluding the shares already owned by us. The SPA was amended on July 31, 2023 to deal with certain matters arising after its execution.</w:t>
      </w:r>
    </w:p>
    <w:p>
      <w:pPr>
        <w:spacing w:after="0" w:line="2" w:lineRule="exact"/>
        <w:rPr>
          <w:sz w:val="20"/>
          <w:szCs w:val="20"/>
          <w:color w:val="auto"/>
        </w:rPr>
      </w:pPr>
    </w:p>
    <w:p>
      <w:pPr>
        <w:ind w:left="380" w:right="2380"/>
        <w:spacing w:after="0" w:line="234" w:lineRule="auto"/>
        <w:rPr>
          <w:sz w:val="20"/>
          <w:szCs w:val="20"/>
          <w:color w:val="auto"/>
        </w:rPr>
      </w:pPr>
      <w:r>
        <w:rPr>
          <w:rFonts w:ascii="Arial" w:cs="Arial" w:eastAsia="Arial" w:hAnsi="Arial"/>
          <w:sz w:val="13"/>
          <w:szCs w:val="13"/>
          <w:color w:val="auto"/>
        </w:rPr>
        <w:t>Following the satisfaction of several customary closing conditions and regulatory approvals as defined in the SPA, the acquisition closed on July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139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380"/>
        <w:spacing w:after="0" w:line="217" w:lineRule="auto"/>
        <w:rPr>
          <w:sz w:val="20"/>
          <w:szCs w:val="20"/>
          <w:color w:val="auto"/>
        </w:rPr>
      </w:pPr>
      <w:r>
        <w:rPr>
          <w:rFonts w:ascii="Arial" w:cs="Arial" w:eastAsia="Arial" w:hAnsi="Arial"/>
          <w:sz w:val="13"/>
          <w:szCs w:val="13"/>
          <w:color w:val="auto"/>
        </w:rPr>
        <w:t>The total consideration to acquire the remaining InstaDeep shares, excluding the shares already owned by BioNTech, amounts to approximately €500 million in cash, BioNTech shares, and performance-based future milestone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080"/>
        <w:spacing w:after="0" w:line="210" w:lineRule="auto"/>
        <w:rPr>
          <w:sz w:val="20"/>
          <w:szCs w:val="20"/>
          <w:color w:val="auto"/>
        </w:rPr>
      </w:pPr>
      <w:r>
        <w:rPr>
          <w:rFonts w:ascii="Arial" w:cs="Arial" w:eastAsia="Arial" w:hAnsi="Arial"/>
          <w:sz w:val="13"/>
          <w:szCs w:val="13"/>
          <w:color w:val="auto"/>
        </w:rPr>
        <w:t>InstaDeep now operates as a UK-based global subsidiary and will continue to provide its services to clients around the world in diverse industries, including in the Technology, Transport &amp; Logistics, Industrial and Financial Services sectors. Additionally, the acquisition is enabling the creation of a fully integrated, enterprise-wide capability that leverages AI and ML technologies across our therapeutic platforms and operations.</w:t>
      </w:r>
    </w:p>
    <w:p>
      <w:pPr>
        <w:ind w:left="380"/>
        <w:spacing w:after="0" w:line="214" w:lineRule="auto"/>
        <w:rPr>
          <w:sz w:val="20"/>
          <w:szCs w:val="20"/>
          <w:color w:val="auto"/>
        </w:rPr>
      </w:pPr>
      <w:r>
        <w:rPr>
          <w:rFonts w:ascii="Arial" w:cs="Arial" w:eastAsia="Arial" w:hAnsi="Arial"/>
          <w:sz w:val="13"/>
          <w:szCs w:val="13"/>
          <w:b w:val="1"/>
          <w:bCs w:val="1"/>
          <w:color w:val="auto"/>
        </w:rPr>
        <w:t>H. OncoC4 Collaboration</w:t>
      </w:r>
    </w:p>
    <w:p>
      <w:pPr>
        <w:ind w:left="380" w:right="2200"/>
        <w:spacing w:after="0" w:line="210" w:lineRule="auto"/>
        <w:rPr>
          <w:sz w:val="20"/>
          <w:szCs w:val="20"/>
          <w:color w:val="auto"/>
        </w:rPr>
      </w:pPr>
      <w:r>
        <w:rPr>
          <w:rFonts w:ascii="Arial" w:cs="Arial" w:eastAsia="Arial" w:hAnsi="Arial"/>
          <w:sz w:val="13"/>
          <w:szCs w:val="13"/>
          <w:color w:val="auto"/>
        </w:rPr>
        <w:t>On March 17, 2023, we and OncoC4 entered into a License and Collaboration Agreement, or the OncoC4 Agreement, for the license, development and commercialization of ONC-392 and all other monoclonal anti-CTLA4 antibodies owned or controlled by OncoC4 (referred to as OncoC4 Licensed Compounds) as of the execution date, including development of combinations of such antibody with other products, for use in humans or animals, or the OncoC4 Field.</w:t>
      </w:r>
    </w:p>
    <w:p>
      <w:pPr>
        <w:spacing w:after="0" w:line="3"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OncoC4 granted us an exclusive license under ONC-392 and OncoC4’s interest in joint intellectual property to exploit OncoC4 Licensed Compounds and any pharmaceutical or biologic product containing OncoC4 Licensed Compound (referred to as OncoC4 Licensed Products) in the OncoC4 Field in the entire world, which we refer to as the OncoC4 Territory. Furthermore, OncoC4 granted us an exclusive option that ended June 30, 2024 to license AI-061, which is a biopharmaceutical composition containing as its sole active ingredients both ONC-392 and an anti-PD-1 antibody. OncoC4 retains all rights to the anti-PD-1 antibody outside of the combination with ONC-392.</w:t>
      </w:r>
    </w:p>
    <w:p>
      <w:pPr>
        <w:spacing w:after="0" w:line="4" w:lineRule="exact"/>
        <w:rPr>
          <w:sz w:val="20"/>
          <w:szCs w:val="20"/>
          <w:color w:val="auto"/>
        </w:rPr>
      </w:pPr>
    </w:p>
    <w:p>
      <w:pPr>
        <w:ind w:left="380" w:right="2100"/>
        <w:spacing w:after="0" w:line="234" w:lineRule="auto"/>
        <w:rPr>
          <w:sz w:val="20"/>
          <w:szCs w:val="20"/>
          <w:color w:val="auto"/>
        </w:rPr>
      </w:pPr>
      <w:r>
        <w:rPr>
          <w:rFonts w:ascii="Arial" w:cs="Arial" w:eastAsia="Arial" w:hAnsi="Arial"/>
          <w:sz w:val="13"/>
          <w:szCs w:val="13"/>
          <w:color w:val="auto"/>
        </w:rPr>
        <w:t>We agreed to collaborate on research, development, and commercialization of ONC-392 in the OncoC4 Territory and to use commercially reasonable efforts to conduct development activities of OncoC4 Licensed Compounds</w:t>
      </w:r>
    </w:p>
    <w:p>
      <w:pPr>
        <w:sectPr>
          <w:pgSz w:w="11900" w:h="16840" w:orient="portrait"/>
          <w:cols w:equalWidth="0" w:num="1">
            <w:col w:w="9020"/>
          </w:cols>
          <w:pgMar w:left="1440" w:top="1440" w:right="1440" w:bottom="0" w:gutter="0" w:footer="0" w:header="0"/>
        </w:sectPr>
      </w:pPr>
    </w:p>
    <w:bookmarkStart w:id="97" w:name="page98"/>
    <w:bookmarkEnd w:id="97"/>
    <w:p>
      <w:pPr>
        <w:ind w:left="380" w:right="2160"/>
        <w:spacing w:after="0" w:line="215" w:lineRule="auto"/>
        <w:rPr>
          <w:sz w:val="20"/>
          <w:szCs w:val="20"/>
          <w:color w:val="auto"/>
        </w:rPr>
      </w:pPr>
      <w:r>
        <w:rPr>
          <w:rFonts w:ascii="Arial" w:cs="Arial" w:eastAsia="Arial" w:hAnsi="Arial"/>
          <w:sz w:val="13"/>
          <w:szCs w:val="13"/>
          <w:color w:val="auto"/>
        </w:rPr>
        <w:t>and OncoC4 Licensed Products either as a monotherapy or in combination with an anti-PD-(L)1 antibody and/or standard of care product (which we refer to collectively as the Mono/PD-1/SOC Combinations) in accordance with a joint clinical development plan which is governed by a joint steering committee. All costs associated with the joint development responsibilities are shared equally between us and OncoC4.</w:t>
      </w:r>
    </w:p>
    <w:p>
      <w:pPr>
        <w:spacing w:after="0" w:line="2"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We are solely responsible for all development activities for the OncoC4 Licensed Compounds and OncoC4 Licensed Products in any other form or combination other than the Mono/PD-1/SOC Combinations (we refer to such other combinations as OncoC4 Other Combinations) at our own expense and in accordance with a research and development plan prepared by us and shared with OncoC4 through the joint steering committee. We agreed to use commercially reasonable efforts to develop an OncoC4 Licensed Product in at least one indication for an OncoC4 Other Combination. We agreed to first offer OncoC4 the opportunity to co-fund any development of a PD-1 Combination prior to pursing such development independently or with a third party. We agreed to be solely responsible, at our expense, for commercialization of OncoC4 Licensed Products worldwide and to use commercially reasonable efforts to commercialize OncoC4 Licensed Products for each approved indication in certain major markets.</w:t>
      </w:r>
    </w:p>
    <w:p>
      <w:pPr>
        <w:spacing w:after="0" w:line="6"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In consideration for the rights granted to us by OncoC4, we made an upfront payment of $200 million, with a portion of the upfront payment to be used to fund OncoC4’s share of the joint research and development costs related to ONC -392, and agreed to make potential payments upon the achievement of specified development and regulatory milestones and upon the achievement of specified sales milestones. We have further agreed to pay OncoC4 double digit, tiered royalties on annual net sales of OncoC4 Licensed Products during a certain royalty term starting from launch of product.</w:t>
      </w:r>
    </w:p>
    <w:p>
      <w:pPr>
        <w:spacing w:after="0" w:line="4" w:lineRule="exact"/>
        <w:rPr>
          <w:sz w:val="20"/>
          <w:szCs w:val="20"/>
          <w:color w:val="auto"/>
        </w:rPr>
      </w:pPr>
    </w:p>
    <w:p>
      <w:pPr>
        <w:ind w:left="380" w:right="2080"/>
        <w:spacing w:after="0" w:line="220" w:lineRule="auto"/>
        <w:rPr>
          <w:sz w:val="20"/>
          <w:szCs w:val="20"/>
          <w:color w:val="auto"/>
        </w:rPr>
      </w:pPr>
      <w:r>
        <w:rPr>
          <w:rFonts w:ascii="Arial" w:cs="Arial" w:eastAsia="Arial" w:hAnsi="Arial"/>
          <w:sz w:val="13"/>
          <w:szCs w:val="13"/>
          <w:color w:val="auto"/>
        </w:rPr>
        <w:t>The OncoC4 Agreement shall continue until the last-to- expire royalty term in all countries in the OncoC4 Territory for all OncoC4 Licensed Products. Upon the expiration of the royalty term for an OncoC4 Licensed Product in a given country in the OncoC4 Territory, the exclusive license granted to us will become a perpetual, irrevocable, non-exclusive, fully paid-up, and royalty-free license with respect to such OncoC4 Licensed Product in such country. In addition to termination rights granted to each party in the case of the other party’s uncured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140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200"/>
        <w:spacing w:after="0" w:line="220" w:lineRule="auto"/>
        <w:rPr>
          <w:sz w:val="20"/>
          <w:szCs w:val="20"/>
          <w:color w:val="auto"/>
        </w:rPr>
      </w:pPr>
      <w:r>
        <w:rPr>
          <w:rFonts w:ascii="Arial" w:cs="Arial" w:eastAsia="Arial" w:hAnsi="Arial"/>
          <w:sz w:val="13"/>
          <w:szCs w:val="13"/>
          <w:color w:val="auto"/>
        </w:rPr>
        <w:t>breach or insolvency, we have the right to terminate the OncoC4 Agreement in its entirety for convenience with prior written notice to OncoC4.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b w:val="1"/>
          <w:bCs w:val="1"/>
          <w:color w:val="auto"/>
        </w:rPr>
        <w:t>I. Pfizer COVID-19 Vaccine Collaboration</w:t>
      </w:r>
    </w:p>
    <w:p>
      <w:pPr>
        <w:ind w:left="380" w:right="2140"/>
        <w:spacing w:after="0" w:line="210" w:lineRule="auto"/>
        <w:rPr>
          <w:sz w:val="20"/>
          <w:szCs w:val="20"/>
          <w:color w:val="auto"/>
        </w:rPr>
      </w:pPr>
      <w:r>
        <w:rPr>
          <w:rFonts w:ascii="Arial" w:cs="Arial" w:eastAsia="Arial" w:hAnsi="Arial"/>
          <w:sz w:val="13"/>
          <w:szCs w:val="13"/>
          <w:color w:val="auto"/>
        </w:rPr>
        <w:t>On April 9, 2020, effective as of March 17, 2020, we entered into a Collaboration Agreement with Pfizer for the research and development of immunogenic compositions comprising RNA encoding a SARS-CoV-2 polypeptide or fragment thereof for prophylaxis against SARS- CoV-2 in humans, which we refer to as the Pfizer Corona Field. On January 29, 2021, effective as of March 17, 2020, we entered into an amended and restated Collaboration Agreement with Pfizer for the research, development and commercialization of immunogenic compositions comprising RNA in the Pfizer Corona Field, which we refer to as the Pfizer Agreement.</w:t>
      </w:r>
    </w:p>
    <w:p>
      <w:pPr>
        <w:spacing w:after="0" w:line="4"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We and Pfizer agreed to collaborate on research, development and commercialization in the Pfizer Corona Field worldwide (excluding the Fosun Collaboration Territory), which we refer to as the Pfizer Collaboration Territory. The details of such activities are set forth in a research and development plan that is governed by a joint steering committee. Each party bears its own personnel and capital expenditures costs, but the parties will share the costs of all other agreed development activities (including the costs of manufacturing material for use in clinical trials) evenly. Each party will, in good faith, seek funding from government funds, non-governmental organizations and other third-party organizations to support their research and development activities. Under the Pfizer Agreement, Pfizer is leading clinical development of and is seeking regulatory approval for any candidates or products in the United States and we are leading clinical development of and are seeking regulatory approval for any candidates or products in the European Union, and we will agree on a strategy for all other countries in the Pfizer Collaboration Territory on an ongoing basis through the joint steering committees.</w:t>
      </w:r>
    </w:p>
    <w:p>
      <w:pPr>
        <w:spacing w:after="0" w:line="7" w:lineRule="exact"/>
        <w:rPr>
          <w:sz w:val="20"/>
          <w:szCs w:val="20"/>
          <w:color w:val="auto"/>
        </w:rPr>
      </w:pPr>
    </w:p>
    <w:p>
      <w:pPr>
        <w:ind w:left="380" w:right="2040"/>
        <w:spacing w:after="0" w:line="210" w:lineRule="auto"/>
        <w:rPr>
          <w:sz w:val="20"/>
          <w:szCs w:val="20"/>
          <w:color w:val="auto"/>
        </w:rPr>
      </w:pPr>
      <w:r>
        <w:rPr>
          <w:rFonts w:ascii="Arial" w:cs="Arial" w:eastAsia="Arial" w:hAnsi="Arial"/>
          <w:sz w:val="13"/>
          <w:szCs w:val="13"/>
          <w:color w:val="auto"/>
        </w:rPr>
        <w:t>BioNTech can solely commercialize the vaccine in Germany and Türkiye (collectively referred to as the BioNTech Commercialization Territory, which is a subset of the Pfizer-Collaboration Territory). We have the option to opt-out of commercializing the vaccine in Germany and/or Türkiye, whereupon such countries will become part of the Pfizer Commercialization Territory of the Pfizer Collaboration Territory.</w:t>
      </w:r>
    </w:p>
    <w:p>
      <w:pPr>
        <w:spacing w:after="0" w:line="2"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Pfizer has the right to commercialize any approved COVID-19 vaccine in the rest of the Pfizer Collaboration Territory. On a country- by-country basis in relation to the United Arab Emirates, Southeast Asia, and certain developing countries, if we obtain funding from a third- party organization that obligates us to commercialize an approved vaccine in such country, we are obligated to request from Pfizer in writing a decision as to whether Pfizer wishes to commercialize or distribute such vaccine in such country in accordance with the requirements agreed with the third-party funder. If Pfizer elects not to commercialize the vaccine in such country, then such country shall become a part of the BioNTech Commercialization Territory.</w:t>
      </w:r>
    </w:p>
    <w:p>
      <w:pPr>
        <w:spacing w:after="0" w:line="4"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If our Collaboration Agreement with Fosun expires or is otherwise terminated for any reason, as between us and any international pharmaceutical group headquartered outside of China, we have granted Pfizer a right of first negotiation to expand the Pfizer Commercialization Territory to include the Fosun Territory. See “Fosun-COVID-19 Collaboration” below for more information on the Fosun Agreement.</w:t>
      </w:r>
    </w:p>
    <w:p>
      <w:pPr>
        <w:spacing w:after="0" w:line="2"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We and Pfizer share responsibilities for manufacturing and supplying our approved COVID-19 vaccines. If there is insufficient supply to satisfy the entire demand for vaccines in the Pfizer Collaboration Territory, we and Pfizer have agreed to determine by mutual consent the allocation of supplies on a fair and equitable basis, subject also to any applicable law, export controls, and taking into account any government supply obligations, or supply obligations included in any agreement reached with a third-party funding organization.</w:t>
      </w:r>
    </w:p>
    <w:p>
      <w:pPr>
        <w:spacing w:after="0" w:line="3" w:lineRule="exact"/>
        <w:rPr>
          <w:sz w:val="20"/>
          <w:szCs w:val="20"/>
          <w:color w:val="auto"/>
        </w:rPr>
      </w:pPr>
    </w:p>
    <w:p>
      <w:pPr>
        <w:ind w:left="380" w:right="2100"/>
        <w:spacing w:after="0" w:line="216" w:lineRule="auto"/>
        <w:rPr>
          <w:sz w:val="20"/>
          <w:szCs w:val="20"/>
          <w:color w:val="auto"/>
        </w:rPr>
      </w:pPr>
      <w:r>
        <w:rPr>
          <w:rFonts w:ascii="Arial" w:cs="Arial" w:eastAsia="Arial" w:hAnsi="Arial"/>
          <w:sz w:val="13"/>
          <w:szCs w:val="13"/>
          <w:color w:val="auto"/>
        </w:rPr>
        <w:t>Under the Pfizer Agreement, we have granted Pfizer an exclusive, sublicensable license in the Pfizer Collaboration Territory under certain of our intellectual property, including our patents and know-how, relating to uridine RNA, modified RNA and replicons in the Pfizer Corona Field as well as certain intellectual property in-licensed by us from third parties, to use, research, develop, manufacture, commercialize and otherwise exploit candidates and products selected under the Pfizer Agreement. We undertake to maintain in full effect all intellectual property licenses held by us at the time we entered into the Pfizer Agreement and not to modify or amend any such license in a manner that would adversely affect any of the rights granted to Pfizer under the Pfizer Agreement. We are obligated to notify Pfizer of any breach of our current licenses and may be obligated to</w:t>
      </w:r>
    </w:p>
    <w:p>
      <w:pPr>
        <w:sectPr>
          <w:pgSz w:w="11900" w:h="16840" w:orient="portrait"/>
          <w:cols w:equalWidth="0" w:num="1">
            <w:col w:w="9020"/>
          </w:cols>
          <w:pgMar w:left="1440" w:top="560" w:right="1440"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141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40"/>
        <w:spacing w:after="0" w:line="217" w:lineRule="auto"/>
        <w:rPr>
          <w:sz w:val="20"/>
          <w:szCs w:val="20"/>
          <w:color w:val="auto"/>
        </w:rPr>
      </w:pPr>
      <w:r>
        <w:rPr>
          <w:rFonts w:ascii="Arial" w:cs="Arial" w:eastAsia="Arial" w:hAnsi="Arial"/>
          <w:sz w:val="13"/>
          <w:szCs w:val="13"/>
          <w:color w:val="auto"/>
        </w:rPr>
        <w:t>take steps to maintain Pfizer’s access to any intellectual property licensed under such licenses. Under the Pfizer Agreement, we are obligated to indemnify Pfizer with respect to certain patent infringement claims that Pfizer elects to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color w:val="auto"/>
        </w:rPr>
        <w:t>During the term of the Pfizer Agreement and a certain period thereafter, we and Pfizer have committed not to research, develop, manufacture, commercialize or otherwise exploit immunogenic compositions comprising RNA in the Pfizer Corona Field, or exploit vaccine candidates or products developed under the agreement for any use, other than pursuant to the Pfizer Agreement, provided, however, that Pfizer shall have the right to work as a contract manufacturer for a third party and Pfizer shall not be precluded from acquiring a third party, or being acquired by a third party, that at the time of acquisition is active in the development or commercialization of an immunogenic composition comprising mRNA in the Pfizer Corona Field.</w:t>
      </w:r>
    </w:p>
    <w:p>
      <w:pPr>
        <w:spacing w:after="0" w:line="4"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On April 9, 2020, Pfizer also subscribed for $113 million of our ordinary shares under a separate investment agreement. In addition, under the Pfizer Agreement, Pfizer made an upfront payment of $72 million and agreed to make potential payments of up to $563 million upon the achievement of specified regulatory and commercial milestones. We and Pfizer agreed to share development costs equally. We and Pfizer will share the gross profits from commercializing a vaccine evenly, as well as the costs for shipping. The Pfizer Agreement continues for so long as either at least a vaccine is being developed for use in the Pfizer Collaboration Territory or a vaccine is being commercialized anywhere in the Pfizer Collaboration Territory. In addition to termination rights granted to each party in the case of the other party’s uncured material breach, Pfizer may terminate the agreement (i) upon our insolvency or (ii) on a country-by- country basis or in its entirety for convenience upon one (1) year’s prior written notice provided that any such termination shall not become effective less than two (2) years from the first commercial sale of an approved vaccine.</w:t>
      </w:r>
    </w:p>
    <w:p>
      <w:pPr>
        <w:ind w:left="380"/>
        <w:spacing w:after="0" w:line="221" w:lineRule="auto"/>
        <w:rPr>
          <w:sz w:val="20"/>
          <w:szCs w:val="20"/>
          <w:color w:val="auto"/>
        </w:rPr>
      </w:pPr>
      <w:r>
        <w:rPr>
          <w:rFonts w:ascii="Arial" w:cs="Arial" w:eastAsia="Arial" w:hAnsi="Arial"/>
          <w:sz w:val="13"/>
          <w:szCs w:val="13"/>
          <w:b w:val="1"/>
          <w:bCs w:val="1"/>
          <w:color w:val="auto"/>
        </w:rPr>
        <w:t>J. Pfizer-Influenza Collaboration</w:t>
      </w:r>
    </w:p>
    <w:p>
      <w:pPr>
        <w:ind w:left="380" w:right="2280"/>
        <w:spacing w:after="0" w:line="210" w:lineRule="auto"/>
        <w:rPr>
          <w:sz w:val="20"/>
          <w:szCs w:val="20"/>
          <w:color w:val="auto"/>
        </w:rPr>
      </w:pPr>
      <w:r>
        <w:rPr>
          <w:rFonts w:ascii="Arial" w:cs="Arial" w:eastAsia="Arial" w:hAnsi="Arial"/>
          <w:sz w:val="13"/>
          <w:szCs w:val="13"/>
          <w:color w:val="auto"/>
        </w:rPr>
        <w:t>On July 20, 2018, we and BioNTech RNA entered into a Research Collaboration and License Agreement with Pfizer, or the Pfizer Influenza Agreement, for the research, development and Pfizer’s commercialization of immunogenic compositions comprising modified RNA and/or replicon technology for prophylaxis against influenza in humans, which we refer to as the Pfizer Influenza Agreement Field.</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We and Pfizer agreed to collaborate on the research in the Pfizer Influenza Agreement Field for an initial period of three years, ending in August 2021. The details of such research were set forth in a research plan that is governed by a Joint Steering Committee, with Pfizer holding the final decision-making right. Each party will bear its own costs under the research plan. The research term will be extended automatically by a reasonable amount of time if the activities or deliverables under the research plan are delayed due to our material breach of our research obligations under the research plan. In addition, Pfizer may unilaterally extend the research term by up to a year by making an additional payment to us.</w:t>
      </w:r>
    </w:p>
    <w:p>
      <w:pPr>
        <w:spacing w:after="0" w:line="4" w:lineRule="exact"/>
        <w:rPr>
          <w:sz w:val="20"/>
          <w:szCs w:val="20"/>
          <w:color w:val="auto"/>
        </w:rPr>
      </w:pPr>
    </w:p>
    <w:p>
      <w:pPr>
        <w:ind w:left="380" w:right="2300"/>
        <w:spacing w:after="0" w:line="210" w:lineRule="auto"/>
        <w:rPr>
          <w:sz w:val="20"/>
          <w:szCs w:val="20"/>
          <w:color w:val="auto"/>
        </w:rPr>
      </w:pPr>
      <w:r>
        <w:rPr>
          <w:rFonts w:ascii="Arial" w:cs="Arial" w:eastAsia="Arial" w:hAnsi="Arial"/>
          <w:sz w:val="13"/>
          <w:szCs w:val="13"/>
          <w:color w:val="auto"/>
        </w:rPr>
        <w:t>After the research term expires, Pfizer has the sole responsibility, authority and control of the development, manufacturing and commercialization of all candidates and products. Pfizer undertakes to use commercially reasonable efforts to seek regulatory approval for one product in the United States and in two countries out of France, Germany, Italy, Spain, the United Kingdom and Japan, and to commercialize such product in such countries where such product has received regulatory approval.</w:t>
      </w:r>
    </w:p>
    <w:p>
      <w:pPr>
        <w:spacing w:after="0" w:line="3" w:lineRule="exact"/>
        <w:rPr>
          <w:sz w:val="20"/>
          <w:szCs w:val="20"/>
          <w:color w:val="auto"/>
        </w:rPr>
      </w:pPr>
    </w:p>
    <w:p>
      <w:pPr>
        <w:ind w:left="380" w:right="2080"/>
        <w:spacing w:after="0" w:line="215" w:lineRule="auto"/>
        <w:rPr>
          <w:sz w:val="20"/>
          <w:szCs w:val="20"/>
          <w:color w:val="auto"/>
        </w:rPr>
      </w:pPr>
      <w:r>
        <w:rPr>
          <w:rFonts w:ascii="Arial" w:cs="Arial" w:eastAsia="Arial" w:hAnsi="Arial"/>
          <w:sz w:val="13"/>
          <w:szCs w:val="13"/>
          <w:color w:val="auto"/>
        </w:rPr>
        <w:t>Under the Pfizer Influenza Agreement, we grant to Pfizer an exclusive, worldwide, sublicensable license under certain of our intellectual property, including our patents and know -how, relating to replicons and modified RNA in the Pfizer Influenza Agreement Field as well as certain intellectual property in -licensed by us from third parties, to use, research, develop, manufacture, commercialize and otherwise exploit candidates and products selected under the Pfizer Influenza Agreement. We also grant to Pfizer a non- exclusive, royalty-free, sublicensable license under all intellectual property controlled by us or our affiliates to use, develop, manufacture, commercialize and otherwise exploit candidates and products selected under the Pfizer Influenza Agreement in the Pfizer Influenza Agreement Field. We undertake to maintain in full effect all intellectual property licenses held by us at the time we entered into the agreement and to not modify or amend any such license in a manner that would adversely affect any of the rights granted to Pfizer under the Pfizer Influenza Agreement. We are obligated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142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420"/>
        <w:spacing w:after="0" w:line="220" w:lineRule="auto"/>
        <w:rPr>
          <w:sz w:val="20"/>
          <w:szCs w:val="20"/>
          <w:color w:val="auto"/>
        </w:rPr>
      </w:pPr>
      <w:r>
        <w:rPr>
          <w:rFonts w:ascii="Arial" w:cs="Arial" w:eastAsia="Arial" w:hAnsi="Arial"/>
          <w:sz w:val="13"/>
          <w:szCs w:val="13"/>
          <w:color w:val="auto"/>
        </w:rPr>
        <w:t>to notify Pfizer of any breach of our current licenses and may be obligated to take steps to maintain Pfizer’s access to any intellectual property licensed under such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20"/>
        <w:spacing w:after="0" w:line="210" w:lineRule="auto"/>
        <w:rPr>
          <w:sz w:val="20"/>
          <w:szCs w:val="20"/>
          <w:color w:val="auto"/>
        </w:rPr>
      </w:pPr>
      <w:r>
        <w:rPr>
          <w:rFonts w:ascii="Arial" w:cs="Arial" w:eastAsia="Arial" w:hAnsi="Arial"/>
          <w:sz w:val="13"/>
          <w:szCs w:val="13"/>
          <w:color w:val="auto"/>
        </w:rPr>
        <w:t>We also granted Pfizer a right of first negotiation to acquire an exclusive worldwide license under certain intellectual property controlled by us for Pfizer to develop, manufacture and commercialize immunogenic products comprising RNA for prophylaxis against respiratory syncytial virus or human cytomegalovirus. The right of first negotiation may be exercised until the end of the research term.</w:t>
      </w:r>
    </w:p>
    <w:p>
      <w:pPr>
        <w:spacing w:after="0" w:line="2" w:lineRule="exact"/>
        <w:rPr>
          <w:sz w:val="20"/>
          <w:szCs w:val="20"/>
          <w:color w:val="auto"/>
        </w:rPr>
      </w:pPr>
    </w:p>
    <w:p>
      <w:pPr>
        <w:ind w:left="380" w:right="2100"/>
        <w:spacing w:after="0" w:line="216" w:lineRule="auto"/>
        <w:rPr>
          <w:sz w:val="20"/>
          <w:szCs w:val="20"/>
          <w:color w:val="auto"/>
        </w:rPr>
      </w:pPr>
      <w:r>
        <w:rPr>
          <w:rFonts w:ascii="Arial" w:cs="Arial" w:eastAsia="Arial" w:hAnsi="Arial"/>
          <w:sz w:val="13"/>
          <w:szCs w:val="13"/>
          <w:color w:val="auto"/>
        </w:rPr>
        <w:t>In consideration of the rights granted to Pfizer under the agreement, Pfizer subscribed to shares in BioNTech AG under a separate investment agreement. In addition, under the Pfizer Influenza Agreement, Pfizer made an upfront payment of $50 million and agreed to potential payments of up to $325 million upon the achievement of specified development, regulatory and commercial milestones. Pfizer further agreed to a mid-single digit to very low double-digit tiered royalty on net sales if a product is commercialized. Royalties are subject to stacking provisions. The obligation of Pfizer to pay royalties ends, on a country-by-country and a product-by -product, basis upon the later of (i) the expiration of the last valid licensed patent right covering such product category in such country, (ii) 10 years after the first commercial sale of a product of such product category in such country</w:t>
      </w:r>
    </w:p>
    <w:p>
      <w:pPr>
        <w:sectPr>
          <w:pgSz w:w="11900" w:h="16840" w:orient="portrait"/>
          <w:cols w:equalWidth="0" w:num="1">
            <w:col w:w="9020"/>
          </w:cols>
          <w:pgMar w:left="1440" w:top="1440" w:right="1440" w:bottom="122" w:gutter="0" w:footer="0" w:header="0"/>
        </w:sectPr>
      </w:pPr>
    </w:p>
    <w:bookmarkStart w:id="99" w:name="page100"/>
    <w:bookmarkEnd w:id="99"/>
    <w:p>
      <w:pPr>
        <w:ind w:left="380"/>
        <w:spacing w:after="0"/>
        <w:rPr>
          <w:sz w:val="20"/>
          <w:szCs w:val="20"/>
          <w:color w:val="auto"/>
        </w:rPr>
      </w:pPr>
      <w:r>
        <w:rPr>
          <w:rFonts w:ascii="Arial" w:cs="Arial" w:eastAsia="Arial" w:hAnsi="Arial"/>
          <w:sz w:val="13"/>
          <w:szCs w:val="13"/>
          <w:color w:val="auto"/>
        </w:rPr>
        <w:t>and (iii) the lapse of regulatory data exclusivity for the first product in such product category in such country.</w:t>
      </w:r>
    </w:p>
    <w:p>
      <w:pPr>
        <w:ind w:left="380"/>
        <w:spacing w:after="0" w:line="210" w:lineRule="auto"/>
        <w:rPr>
          <w:sz w:val="20"/>
          <w:szCs w:val="20"/>
          <w:color w:val="auto"/>
        </w:rPr>
      </w:pPr>
      <w:r>
        <w:rPr>
          <w:rFonts w:ascii="Arial" w:cs="Arial" w:eastAsia="Arial" w:hAnsi="Arial"/>
          <w:sz w:val="13"/>
          <w:szCs w:val="13"/>
          <w:color w:val="auto"/>
        </w:rPr>
        <w:t>There are only two product categories: one for modified RNA and a second for replicon products.</w:t>
      </w:r>
    </w:p>
    <w:p>
      <w:pPr>
        <w:spacing w:after="0" w:line="1" w:lineRule="exact"/>
        <w:rPr>
          <w:sz w:val="20"/>
          <w:szCs w:val="20"/>
          <w:color w:val="auto"/>
        </w:rPr>
      </w:pPr>
    </w:p>
    <w:p>
      <w:pPr>
        <w:ind w:left="380" w:right="2260"/>
        <w:spacing w:after="0" w:line="210" w:lineRule="auto"/>
        <w:rPr>
          <w:sz w:val="20"/>
          <w:szCs w:val="20"/>
          <w:color w:val="auto"/>
        </w:rPr>
      </w:pPr>
      <w:r>
        <w:rPr>
          <w:rFonts w:ascii="Arial" w:cs="Arial" w:eastAsia="Arial" w:hAnsi="Arial"/>
          <w:sz w:val="13"/>
          <w:szCs w:val="13"/>
          <w:color w:val="auto"/>
        </w:rPr>
        <w:t>During the term of the Pfizer Influenza Agreement, we have committed not to research, develop, manufacture, commercialize or otherwise exploit immunogenic compositions compromising RNA in the Pfizer Influenza Agreement Field other than pursuant to the Pfizer Influenza Agreement.</w:t>
      </w:r>
    </w:p>
    <w:p>
      <w:pPr>
        <w:spacing w:after="0" w:line="2" w:lineRule="exact"/>
        <w:rPr>
          <w:sz w:val="20"/>
          <w:szCs w:val="20"/>
          <w:color w:val="auto"/>
        </w:rPr>
      </w:pPr>
    </w:p>
    <w:p>
      <w:pPr>
        <w:ind w:left="380" w:right="2260"/>
        <w:spacing w:after="0" w:line="210" w:lineRule="auto"/>
        <w:rPr>
          <w:sz w:val="20"/>
          <w:szCs w:val="20"/>
          <w:color w:val="auto"/>
        </w:rPr>
      </w:pPr>
      <w:r>
        <w:rPr>
          <w:rFonts w:ascii="Arial" w:cs="Arial" w:eastAsia="Arial" w:hAnsi="Arial"/>
          <w:sz w:val="13"/>
          <w:szCs w:val="13"/>
          <w:color w:val="auto"/>
        </w:rPr>
        <w:t>The Pfizer Influenza Agreement ends on a country-by-country basis upon expiration of the last royalty term for any product in that country. Thereafter, the licenses granted to Pfizer with respect to such product in such country will convert into a perpetual, exclusive, fully paid-up and royalty-free license. In addition to termination rights granted to each party in the case of the other party’s uncured material breach, Pfizer may terminate the agreement, in whole or in part, for convenience and with or without reason at any time upon 60 days’ prior written notice. In addition, Pfizer is entitled to terminate the agreement and initiate a technology transfer of certain intellectual property if one of its key competitors acquires control over us.</w:t>
      </w:r>
    </w:p>
    <w:p>
      <w:pPr>
        <w:ind w:left="380"/>
        <w:spacing w:after="0" w:line="217" w:lineRule="auto"/>
        <w:rPr>
          <w:sz w:val="20"/>
          <w:szCs w:val="20"/>
          <w:color w:val="auto"/>
        </w:rPr>
      </w:pPr>
      <w:r>
        <w:rPr>
          <w:rFonts w:ascii="Arial" w:cs="Arial" w:eastAsia="Arial" w:hAnsi="Arial"/>
          <w:sz w:val="13"/>
          <w:szCs w:val="13"/>
          <w:color w:val="005A64"/>
        </w:rPr>
        <w:t>X. Government Regulation</w:t>
      </w:r>
    </w:p>
    <w:p>
      <w:pPr>
        <w:ind w:left="380" w:right="2100"/>
        <w:spacing w:after="0" w:line="210" w:lineRule="auto"/>
        <w:rPr>
          <w:sz w:val="20"/>
          <w:szCs w:val="20"/>
          <w:color w:val="auto"/>
        </w:rPr>
      </w:pPr>
      <w:r>
        <w:rPr>
          <w:rFonts w:ascii="Arial" w:cs="Arial" w:eastAsia="Arial" w:hAnsi="Arial"/>
          <w:sz w:val="13"/>
          <w:szCs w:val="13"/>
          <w:color w:val="auto"/>
        </w:rPr>
        <w:t>Government authorities in the United States at the federal, state and local levels, and in the European Union and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including biological products. In addition, some jurisdictions regulate the pricing of pharmaceutical products. The processes for obtaining marketing approvals in the United States and in other jurisdictions, along with subsequent compliance with applicable statutes and regulations and other requirements of regulatory authorities, require the expenditure of substantial time and financial resources.</w:t>
      </w:r>
    </w:p>
    <w:p>
      <w:pPr>
        <w:spacing w:after="0" w:line="5" w:lineRule="exact"/>
        <w:rPr>
          <w:sz w:val="20"/>
          <w:szCs w:val="20"/>
          <w:color w:val="auto"/>
        </w:rPr>
      </w:pPr>
    </w:p>
    <w:p>
      <w:pPr>
        <w:ind w:left="380" w:right="2100"/>
        <w:spacing w:after="0" w:line="214" w:lineRule="auto"/>
        <w:rPr>
          <w:sz w:val="20"/>
          <w:szCs w:val="20"/>
          <w:color w:val="auto"/>
        </w:rPr>
      </w:pPr>
      <w:r>
        <w:rPr>
          <w:rFonts w:ascii="Arial" w:cs="Arial" w:eastAsia="Arial" w:hAnsi="Arial"/>
          <w:sz w:val="13"/>
          <w:szCs w:val="13"/>
          <w:b w:val="1"/>
          <w:bCs w:val="1"/>
          <w:color w:val="auto"/>
        </w:rPr>
        <w:t xml:space="preserve">A. Regulation and Procedures Governing Approval of Drug and Biological Products in the United States </w:t>
      </w:r>
      <w:r>
        <w:rPr>
          <w:rFonts w:ascii="Arial" w:cs="Arial" w:eastAsia="Arial" w:hAnsi="Arial"/>
          <w:sz w:val="13"/>
          <w:szCs w:val="13"/>
          <w:color w:val="auto"/>
        </w:rPr>
        <w:t>In the United States, the FDA regulates drugs under the Federal Food, Drug, and Cosmetic Act, or the FDCA, and its implementing regulations and biologics under the FDCA, the Public Health Service Act, or the PHSA, and their implementing regulations. Both drugs and biologics are subject to other federal, state and local statutes and regulations. The process of obtaining regulatory approvals and the subsequent compliance with applicable federal, state and local statutes and regulations requires the expenditure of substantial time and financial resources. Failure to comply with the applicable U.S. requirements at any time during the product development process, approval process or following approval may subject a sponsor or marketing authorization (BLA/NDA) holder to administrative or judicial sanctions. These sanctions could include, among other actions, the FDA’s refusal to approve pending applications, withdrawal of an approval, license revocation, clinical hold, untitled or warning letters, voluntary or mandatory product recalls,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143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540"/>
        <w:spacing w:after="0" w:line="220" w:lineRule="auto"/>
        <w:rPr>
          <w:sz w:val="20"/>
          <w:szCs w:val="20"/>
          <w:color w:val="auto"/>
        </w:rPr>
      </w:pPr>
      <w:r>
        <w:rPr>
          <w:rFonts w:ascii="Arial" w:cs="Arial" w:eastAsia="Arial" w:hAnsi="Arial"/>
          <w:sz w:val="13"/>
          <w:szCs w:val="13"/>
          <w:color w:val="auto"/>
        </w:rPr>
        <w:t>A sponsor seeking approval to market and distribute a new drug or biological product in the United States generally must satisfactorily complete each of the following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780"/>
        <w:spacing w:after="0" w:line="210" w:lineRule="auto"/>
        <w:rPr>
          <w:sz w:val="20"/>
          <w:szCs w:val="20"/>
          <w:color w:val="auto"/>
        </w:rPr>
      </w:pPr>
      <w:r>
        <w:rPr>
          <w:rFonts w:ascii="Arial" w:cs="Arial" w:eastAsia="Arial" w:hAnsi="Arial"/>
          <w:sz w:val="13"/>
          <w:szCs w:val="13"/>
          <w:color w:val="auto"/>
        </w:rPr>
        <w:t>•preclinical laboratory tests, animal studies and formulation studies all performed in accordance with applicable regulations, including the FDA’s good laboratory practices, or GLP, regulations; •submission to the FDA of an IND application for human clinical testing, which must become effective before human clinical trials may begin;</w:t>
      </w:r>
    </w:p>
    <w:p>
      <w:pPr>
        <w:spacing w:after="0" w:line="2" w:lineRule="exact"/>
        <w:rPr>
          <w:sz w:val="20"/>
          <w:szCs w:val="20"/>
          <w:color w:val="auto"/>
        </w:rPr>
      </w:pPr>
    </w:p>
    <w:p>
      <w:pPr>
        <w:ind w:left="380" w:right="2720"/>
        <w:spacing w:after="0" w:line="210" w:lineRule="auto"/>
        <w:rPr>
          <w:sz w:val="20"/>
          <w:szCs w:val="20"/>
          <w:color w:val="auto"/>
        </w:rPr>
      </w:pPr>
      <w:r>
        <w:rPr>
          <w:rFonts w:ascii="Arial" w:cs="Arial" w:eastAsia="Arial" w:hAnsi="Arial"/>
          <w:sz w:val="13"/>
          <w:szCs w:val="13"/>
          <w:color w:val="auto"/>
        </w:rPr>
        <w:t>•approval by the IRB representing each clinical site before each clinical trial may be initiated; •performance of adequate and well-controlled human clinical trials to establish the safety, potency and purity of the product candidate for each proposed indication, in accordance applicable regulations, including GCP;</w:t>
      </w:r>
    </w:p>
    <w:p>
      <w:pPr>
        <w:spacing w:after="0" w:line="2" w:lineRule="exact"/>
        <w:rPr>
          <w:sz w:val="20"/>
          <w:szCs w:val="20"/>
          <w:color w:val="auto"/>
        </w:rPr>
      </w:pPr>
    </w:p>
    <w:p>
      <w:pPr>
        <w:ind w:left="380" w:right="2720"/>
        <w:spacing w:after="0" w:line="210" w:lineRule="auto"/>
        <w:rPr>
          <w:sz w:val="20"/>
          <w:szCs w:val="20"/>
          <w:color w:val="auto"/>
        </w:rPr>
      </w:pPr>
      <w:r>
        <w:rPr>
          <w:rFonts w:ascii="Arial" w:cs="Arial" w:eastAsia="Arial" w:hAnsi="Arial"/>
          <w:sz w:val="13"/>
          <w:szCs w:val="13"/>
          <w:color w:val="auto"/>
        </w:rPr>
        <w:t>•preparation and submission to the FDA of a NDA for a drug product, or a BLA for a biological product requesting marketing approval for one or more proposed indications, including submission of detailed information on the manufacture and composition of the product in clinical development, evidence of safety, purity and potency from preclinical testing and clinical trials, and proposed labeling; •review of the product by an FDA advisory committee, if applicable;</w:t>
      </w:r>
    </w:p>
    <w:p>
      <w:pPr>
        <w:spacing w:after="0" w:line="3" w:lineRule="exact"/>
        <w:rPr>
          <w:sz w:val="20"/>
          <w:szCs w:val="20"/>
          <w:color w:val="auto"/>
        </w:rPr>
      </w:pPr>
    </w:p>
    <w:p>
      <w:pPr>
        <w:ind w:left="380" w:right="2760"/>
        <w:spacing w:after="0" w:line="210" w:lineRule="auto"/>
        <w:rPr>
          <w:sz w:val="20"/>
          <w:szCs w:val="20"/>
          <w:color w:val="auto"/>
        </w:rPr>
      </w:pPr>
      <w:r>
        <w:rPr>
          <w:rFonts w:ascii="Arial" w:cs="Arial" w:eastAsia="Arial" w:hAnsi="Arial"/>
          <w:sz w:val="13"/>
          <w:szCs w:val="13"/>
          <w:color w:val="auto"/>
        </w:rPr>
        <w:t>•satisfactory completion of one or more FDA inspections of the manufacturing facility or facilities, including those of third parties, at which the product, or components thereof, are produced to assess compliance with current GMP requirements and to assure that the facilities, methods and controls are adequate to preserve the product’s identity, strength, quality and purity;</w:t>
      </w:r>
    </w:p>
    <w:p>
      <w:pPr>
        <w:spacing w:after="0" w:line="2" w:lineRule="exact"/>
        <w:rPr>
          <w:sz w:val="20"/>
          <w:szCs w:val="20"/>
          <w:color w:val="auto"/>
        </w:rPr>
      </w:pPr>
    </w:p>
    <w:p>
      <w:pPr>
        <w:ind w:left="380" w:right="2540"/>
        <w:spacing w:after="0" w:line="210" w:lineRule="auto"/>
        <w:rPr>
          <w:sz w:val="20"/>
          <w:szCs w:val="20"/>
          <w:color w:val="auto"/>
        </w:rPr>
      </w:pPr>
      <w:r>
        <w:rPr>
          <w:rFonts w:ascii="Arial" w:cs="Arial" w:eastAsia="Arial" w:hAnsi="Arial"/>
          <w:sz w:val="13"/>
          <w:szCs w:val="13"/>
          <w:color w:val="auto"/>
        </w:rPr>
        <w:t>•satisfactory completion of any FDA audits of the clinical study sites to assure compliance with applicable regulations and GCP, and the integrity of clinical data in support of the NDA or BLA; •payment of user fees and securing FDA approval of the NDA or BLA; and</w:t>
      </w:r>
    </w:p>
    <w:p>
      <w:pPr>
        <w:spacing w:after="0" w:line="2" w:lineRule="exact"/>
        <w:rPr>
          <w:sz w:val="20"/>
          <w:szCs w:val="20"/>
          <w:color w:val="auto"/>
        </w:rPr>
      </w:pPr>
    </w:p>
    <w:p>
      <w:pPr>
        <w:ind w:left="380" w:right="2520"/>
        <w:spacing w:after="0" w:line="210" w:lineRule="auto"/>
        <w:rPr>
          <w:sz w:val="20"/>
          <w:szCs w:val="20"/>
          <w:color w:val="auto"/>
        </w:rPr>
      </w:pPr>
      <w:r>
        <w:rPr>
          <w:rFonts w:ascii="Arial" w:cs="Arial" w:eastAsia="Arial" w:hAnsi="Arial"/>
          <w:sz w:val="13"/>
          <w:szCs w:val="13"/>
          <w:color w:val="auto"/>
        </w:rPr>
        <w:t>•compliance with applicable regulations post approval, including any post-approval requirements, such as the potential requirement to implement a REMS and to conduct any post-approval studies required by the FDA.</w:t>
      </w:r>
    </w:p>
    <w:p>
      <w:pPr>
        <w:spacing w:after="0" w:line="2"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The preclinical and clinical testing and approval process requires substantial time, effort and financial resources, and we cannot be certain that any approvals for our product candidates and any future product candidates will be granted on a timely basis, or at all.</w:t>
      </w:r>
    </w:p>
    <w:p>
      <w:pPr>
        <w:ind w:left="380"/>
        <w:spacing w:after="0" w:line="213" w:lineRule="auto"/>
        <w:rPr>
          <w:sz w:val="20"/>
          <w:szCs w:val="20"/>
          <w:color w:val="auto"/>
        </w:rPr>
      </w:pPr>
      <w:r>
        <w:rPr>
          <w:rFonts w:ascii="Arial" w:cs="Arial" w:eastAsia="Arial" w:hAnsi="Arial"/>
          <w:sz w:val="13"/>
          <w:szCs w:val="13"/>
          <w:i w:val="1"/>
          <w:iCs w:val="1"/>
          <w:color w:val="auto"/>
        </w:rPr>
        <w:t>Preclinical Studies and Investigational New Drug Application</w:t>
      </w:r>
    </w:p>
    <w:p>
      <w:pPr>
        <w:spacing w:after="0" w:line="1"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Before testing any drug or biological product candidate in humans, the product candidate must undergo preclinical testing. Preclinical tests include laboratory evaluations of product chemistry, formulation and stability, as well as animal studies to evaluate the potential for activity and toxicity. The conduct of the preclinical tests and formulation of the compounds for testing must comply with federal regulations and requirements. The results of the preclinical tests, together with manufacturing information, analytical data, any available clinical data or literature and a proposed clinical protocol, are submitted to the FDA as part of an IND application. The IND automatically becomes effective 30 days after receipt by the FDA, unless before that time the FDA raises concerns or questions about the product or conduct of the proposed clinical trial, including concerns that patients will be exposed to unreasonable health risks, and places the trial on a clinical hold. In that case, the IND sponsor and the FDA must resolve any outstanding FDA concerns before the clinical trial can begin.</w:t>
      </w:r>
    </w:p>
    <w:p>
      <w:pPr>
        <w:spacing w:after="0" w:line="6" w:lineRule="exact"/>
        <w:rPr>
          <w:sz w:val="20"/>
          <w:szCs w:val="20"/>
          <w:color w:val="auto"/>
        </w:rPr>
      </w:pPr>
    </w:p>
    <w:p>
      <w:pPr>
        <w:ind w:left="380" w:right="2140"/>
        <w:spacing w:after="0" w:line="222" w:lineRule="auto"/>
        <w:rPr>
          <w:sz w:val="20"/>
          <w:szCs w:val="20"/>
          <w:color w:val="auto"/>
        </w:rPr>
      </w:pPr>
      <w:r>
        <w:rPr>
          <w:rFonts w:ascii="Arial" w:cs="Arial" w:eastAsia="Arial" w:hAnsi="Arial"/>
          <w:sz w:val="13"/>
          <w:szCs w:val="13"/>
          <w:color w:val="auto"/>
        </w:rPr>
        <w:t>As a result, submission of the IND may result in the FDA not allowing the trial to commence or not be conducted on the terms originally specified by the sponsor in the IND. If the FDA raises concerns or questions either during this initial 30 -day period, or at any time during the IND process, it may choose to impose a partial or complete clinical hold. If the FDA imposes a clinical hold, trials may not recommence without FDA authorization and then</w:t>
      </w:r>
    </w:p>
    <w:p>
      <w:pPr>
        <w:sectPr>
          <w:pgSz w:w="11900" w:h="16840" w:orient="portrait"/>
          <w:cols w:equalWidth="0" w:num="1">
            <w:col w:w="9020"/>
          </w:cols>
          <w:pgMar w:left="1440" w:top="554" w:right="1440" w:bottom="1440" w:gutter="0" w:footer="0" w:header="0"/>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144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080"/>
        <w:spacing w:after="0" w:line="215" w:lineRule="auto"/>
        <w:rPr>
          <w:sz w:val="20"/>
          <w:szCs w:val="20"/>
          <w:color w:val="auto"/>
        </w:rPr>
      </w:pPr>
      <w:r>
        <w:rPr>
          <w:rFonts w:ascii="Arial" w:cs="Arial" w:eastAsia="Arial" w:hAnsi="Arial"/>
          <w:sz w:val="13"/>
          <w:szCs w:val="13"/>
          <w:color w:val="auto"/>
        </w:rPr>
        <w:t>only under terms authorized by the FDA. A clinical hold issued by the FDA may therefore delay either a proposed clinical study or cause suspension of an ongoing study, until all outstanding concerns have been adequately addressed and the FDA has notified the company that investigation may proceed. This could cause significant difficulties in completing planned clinical trials in a timely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420"/>
        <w:spacing w:after="0" w:line="210" w:lineRule="auto"/>
        <w:rPr>
          <w:sz w:val="20"/>
          <w:szCs w:val="20"/>
          <w:color w:val="auto"/>
        </w:rPr>
      </w:pPr>
      <w:r>
        <w:rPr>
          <w:rFonts w:ascii="Arial" w:cs="Arial" w:eastAsia="Arial" w:hAnsi="Arial"/>
          <w:sz w:val="13"/>
          <w:szCs w:val="13"/>
          <w:color w:val="auto"/>
        </w:rPr>
        <w:t>The FDA may impose clinical holds on a product candidate at any time before or during clinical trials due to safety concerns or non-compliance.</w:t>
      </w:r>
    </w:p>
    <w:p>
      <w:pPr>
        <w:ind w:left="380"/>
        <w:spacing w:after="0" w:line="212" w:lineRule="auto"/>
        <w:rPr>
          <w:sz w:val="20"/>
          <w:szCs w:val="20"/>
          <w:color w:val="auto"/>
        </w:rPr>
      </w:pPr>
      <w:r>
        <w:rPr>
          <w:rFonts w:ascii="Arial" w:cs="Arial" w:eastAsia="Arial" w:hAnsi="Arial"/>
          <w:sz w:val="13"/>
          <w:szCs w:val="13"/>
          <w:i w:val="1"/>
          <w:iCs w:val="1"/>
          <w:color w:val="auto"/>
        </w:rPr>
        <w:t>Human Clinical Trials in Support of an NDA or a BLA</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Clinical trials involve the administration of the investigational product candidate to healthy volunteers or patients with the disease to be treated under the supervision of qualified principal investigators, generally physicians not employed by or under the trial sponsor’s control, in accordance with GCP requirements, which include the requirement that all patients provide their informed consent for their participation. Clinical trials are conducted under study protocols detailing, among other things, the objectives of the study, inclusion and exclusion criteria, the parameters to be used in monitoring safety, dosing procedures and the effectiveness criteria to be evaluated. A protocol for each clinical trial and any subsequent protocol amendments must be submitted to the FDA as part of the IND.</w:t>
      </w:r>
    </w:p>
    <w:p>
      <w:pPr>
        <w:spacing w:after="0" w:line="5" w:lineRule="exact"/>
        <w:rPr>
          <w:sz w:val="20"/>
          <w:szCs w:val="20"/>
          <w:color w:val="auto"/>
        </w:rPr>
      </w:pPr>
    </w:p>
    <w:p>
      <w:pPr>
        <w:ind w:left="380" w:right="2100"/>
        <w:spacing w:after="0"/>
        <w:rPr>
          <w:sz w:val="20"/>
          <w:szCs w:val="20"/>
          <w:color w:val="auto"/>
        </w:rPr>
      </w:pPr>
      <w:r>
        <w:rPr>
          <w:rFonts w:ascii="Arial" w:cs="Arial" w:eastAsia="Arial" w:hAnsi="Arial"/>
          <w:sz w:val="13"/>
          <w:szCs w:val="13"/>
          <w:color w:val="auto"/>
        </w:rPr>
        <w:t>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the NDA or BLA so long as the clinical trial is well-designed and well-conducted in accordance with GCP, including review and approval by an independent ethics committee, and the FDA is able to validate the study data through an onsite inspection, if necessary.</w:t>
      </w:r>
    </w:p>
    <w:p>
      <w:pPr>
        <w:spacing w:after="0" w:line="4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and the safety of patients. An IRB must operate in compliance with FDA regulations. The FDA, IRB, or the clinical trial sponsor may suspend or discontinue a clinical trial at any time for various reasons, including a finding that the clinical trial is not being conducted in accordance with FDA requirements or that the patients are being exposed to an unacceptable health risk. Clinical testing also must satisfy extensive GCP rules and the requirements for informed consent. The IRB also approves the form and content of the informed consent that must be signed by each clinical trial subject or his or her legal representative and receive periodic reports regarding the investigation from the investigators. Additionally, some clinical trials are overseen by an independent group of qualified experts organized by the clinical trial sponsor, known as a data safety monitoring board or committee, or DSMB. This group may recommend continuation of the study as planned, changes in study conduct, or cessation of the study at designated check points based on access to certain data from the study.</w:t>
      </w:r>
    </w:p>
    <w:p>
      <w:pPr>
        <w:ind w:left="380"/>
        <w:spacing w:after="0" w:line="223" w:lineRule="auto"/>
        <w:rPr>
          <w:sz w:val="20"/>
          <w:szCs w:val="20"/>
          <w:color w:val="auto"/>
        </w:rPr>
      </w:pPr>
      <w:r>
        <w:rPr>
          <w:rFonts w:ascii="Arial" w:cs="Arial" w:eastAsia="Arial" w:hAnsi="Arial"/>
          <w:sz w:val="13"/>
          <w:szCs w:val="13"/>
          <w:color w:val="auto"/>
        </w:rPr>
        <w:t>Clinical trials typically are conducted in three sequential phases, but the phases may overlap or be combined.</w:t>
      </w:r>
    </w:p>
    <w:p>
      <w:pPr>
        <w:ind w:left="380"/>
        <w:spacing w:after="0" w:line="211" w:lineRule="auto"/>
        <w:rPr>
          <w:sz w:val="20"/>
          <w:szCs w:val="20"/>
          <w:color w:val="auto"/>
        </w:rPr>
      </w:pPr>
      <w:r>
        <w:rPr>
          <w:rFonts w:ascii="Arial" w:cs="Arial" w:eastAsia="Arial" w:hAnsi="Arial"/>
          <w:sz w:val="13"/>
          <w:szCs w:val="13"/>
          <w:color w:val="auto"/>
        </w:rPr>
        <w:t>Additional studies may be required after approval.</w:t>
      </w:r>
    </w:p>
    <w:p>
      <w:pPr>
        <w:ind w:left="380" w:right="2640"/>
        <w:spacing w:after="0" w:line="210" w:lineRule="auto"/>
        <w:rPr>
          <w:sz w:val="20"/>
          <w:szCs w:val="20"/>
          <w:color w:val="auto"/>
        </w:rPr>
      </w:pPr>
      <w:r>
        <w:rPr>
          <w:rFonts w:ascii="Arial" w:cs="Arial" w:eastAsia="Arial" w:hAnsi="Arial"/>
          <w:sz w:val="13"/>
          <w:szCs w:val="13"/>
          <w:color w:val="auto"/>
        </w:rPr>
        <w:t>•Phase 1 clinical trials (or Phase 1) are initially conducted in a limited population to test the product candidate for safety, including adverse effects, dose tolerance, absorption, metabolism, distribution, excretion and pharmacodynamics in healthy humans or, on occasion, in patients, such as in the case of some products for severe or life-threatening diseases, especially when the product may be too inherently toxic to ethically administer to healthy volunteers.</w:t>
      </w:r>
    </w:p>
    <w:p>
      <w:pPr>
        <w:spacing w:after="0" w:line="3" w:lineRule="exact"/>
        <w:rPr>
          <w:sz w:val="20"/>
          <w:szCs w:val="20"/>
          <w:color w:val="auto"/>
        </w:rPr>
      </w:pPr>
    </w:p>
    <w:p>
      <w:pPr>
        <w:ind w:left="380" w:right="2600"/>
        <w:spacing w:after="0" w:line="216" w:lineRule="auto"/>
        <w:rPr>
          <w:sz w:val="20"/>
          <w:szCs w:val="20"/>
          <w:color w:val="auto"/>
        </w:rPr>
      </w:pPr>
      <w:r>
        <w:rPr>
          <w:rFonts w:ascii="Arial" w:cs="Arial" w:eastAsia="Arial" w:hAnsi="Arial"/>
          <w:sz w:val="13"/>
          <w:szCs w:val="13"/>
          <w:color w:val="auto"/>
        </w:rPr>
        <w:t>•Phase 2 clinical trials (or Phase 2) are generally conducted in a limited patient population to identify possible adverse effects and safety risks, preliminarily evaluate the efficacy of the product candidate for specific targeted indications and determine dose tolerance and optimal dosage. Multiple Phase 2 clinical trials may be conducted by the sponsor to obtain information prior to beginning larger Phase 3 clinical trials. When a drug is intended to treat life-threatening or severely debilitating illnesses, and particularly for rare diseases, the FDA may accept well-controlled Phase 2 clinical trials as adequate to provide sufficient data on the drug’s safety and effectiveness to support a decision on its approvability for marketing, in which case Phase 3 clinical trials would not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145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480"/>
        <w:spacing w:after="0" w:line="220" w:lineRule="auto"/>
        <w:rPr>
          <w:sz w:val="20"/>
          <w:szCs w:val="20"/>
          <w:color w:val="auto"/>
        </w:rPr>
      </w:pPr>
      <w:r>
        <w:rPr>
          <w:rFonts w:ascii="Arial" w:cs="Arial" w:eastAsia="Arial" w:hAnsi="Arial"/>
          <w:sz w:val="13"/>
          <w:szCs w:val="13"/>
          <w:color w:val="auto"/>
        </w:rPr>
        <w:t>•Phase 3 clinical trials (or Phase 3) proceed if the Phase 2 clinical trials demonstrate that a certain dose or dose range of the product candidate is potentially effective and has an acceptable safety profile. Phase 3 clinical trials are undertaken within an expanded patient population, often at geographically dispersed clinical trial sites, to gather additional information about safety and effectiveness necessary to evaluate the overall benefit-risk relationship of the product and to provide the basis for product labeling. In some cases, the FDA may approve an NDA or a BLA for a product candidate but require the sponsor to conduct additional clinical trials to further assess the product candidate’s safety and/or effectiveness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-602615</wp:posOffset>
            </wp:positionV>
            <wp:extent cx="523113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1440" w:right="1440" w:bottom="109" w:gutter="0" w:footer="0" w:header="0"/>
        </w:sectPr>
      </w:pPr>
    </w:p>
    <w:bookmarkStart w:id="101" w:name="page102"/>
    <w:bookmarkEnd w:id="101"/>
    <w:p>
      <w:pPr>
        <w:ind w:left="380" w:right="2160"/>
        <w:spacing w:after="0" w:line="213" w:lineRule="auto"/>
        <w:rPr>
          <w:sz w:val="20"/>
          <w:szCs w:val="20"/>
          <w:color w:val="auto"/>
        </w:rPr>
      </w:pPr>
      <w:r>
        <w:rPr>
          <w:rFonts w:ascii="Arial" w:cs="Arial" w:eastAsia="Arial" w:hAnsi="Arial"/>
          <w:sz w:val="13"/>
          <w:szCs w:val="13"/>
          <w:color w:val="auto"/>
        </w:rPr>
        <w:t>approval. Such post- approval trials are typically referred to as Phase 4 clinical trials (or Phase 4). These studies may be used to gain additional experience from the treatment of patients in the intended therapeutic indication and to 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Failure to exhibit due diligence with regard to conducting required Phase 4 clinical trials or to comply with post approval commitments could result in withdrawal of approval for products.</w:t>
      </w:r>
    </w:p>
    <w:p>
      <w:pPr>
        <w:spacing w:after="0" w:line="2"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trials, tests in laboratory animals or in vitro testing that suggest a significant risk for patients,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DSMB may suspend a clinical trial at any time on various grounds, including a finding that the patients are being exposed to an unacceptable health risk. Similarly, an IRB can suspend or terminate approval of a clinical trial at its institution if the clinical trial is not being conducted in accordance with the IRB’s requirements or if the new drug candidate or biological product candidate has been associated with unexpected serious harm to patients.</w:t>
      </w:r>
    </w:p>
    <w:p>
      <w:pPr>
        <w:spacing w:after="0" w:line="8"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There are also requirements governing the reporting of ongoing clinical trials and completed clinical trial results to public registries. Sponsors of clinical trials of FDA- regulated products, including biologics, are required to register and disclose certain clinical trial information, which is publicly available at www.clinicaltrials.gov.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w:t>
      </w:r>
    </w:p>
    <w:p>
      <w:pPr>
        <w:ind w:left="380"/>
        <w:spacing w:after="0" w:line="217" w:lineRule="auto"/>
        <w:rPr>
          <w:sz w:val="20"/>
          <w:szCs w:val="20"/>
          <w:color w:val="auto"/>
        </w:rPr>
      </w:pPr>
      <w:r>
        <w:rPr>
          <w:rFonts w:ascii="Arial" w:cs="Arial" w:eastAsia="Arial" w:hAnsi="Arial"/>
          <w:sz w:val="13"/>
          <w:szCs w:val="13"/>
          <w:i w:val="1"/>
          <w:iCs w:val="1"/>
          <w:color w:val="auto"/>
        </w:rPr>
        <w:t>Compliance with GMP Requirements</w:t>
      </w:r>
    </w:p>
    <w:p>
      <w:pPr>
        <w:ind w:left="380" w:right="2160"/>
        <w:spacing w:after="0" w:line="210" w:lineRule="auto"/>
        <w:rPr>
          <w:sz w:val="20"/>
          <w:szCs w:val="20"/>
          <w:color w:val="auto"/>
        </w:rPr>
      </w:pPr>
      <w:r>
        <w:rPr>
          <w:rFonts w:ascii="Arial" w:cs="Arial" w:eastAsia="Arial" w:hAnsi="Arial"/>
          <w:sz w:val="13"/>
          <w:szCs w:val="13"/>
          <w:color w:val="auto"/>
        </w:rPr>
        <w:t>Before approving an NDA or a BLA, the FDA typically will inspect the facility or facilities where the product is manufactured. The FDA will not approve an application unless it determines that the manufacturing processes and facilities are in full compliance with GMP requirements and adequate to assure consistent production of the product within required specifications. Among other things, the sponsor must develop methods for testing the identity, strength, quality, potency and purity of the final drug or biological product. Additionally, appropriate packaging must be selected and tested, and stability studies must be conducted to demonstrate that the drug or biological product does not undergo unacceptable deterioration over its shelf life. In particular, the PHSA emphasizes the importance of manufacturing control for products like biologics whose attributes cannot be precisely defined.</w:t>
      </w:r>
    </w:p>
    <w:p>
      <w:pPr>
        <w:spacing w:after="0" w:line="5" w:lineRule="exact"/>
        <w:rPr>
          <w:sz w:val="20"/>
          <w:szCs w:val="20"/>
          <w:color w:val="auto"/>
        </w:rPr>
      </w:pPr>
    </w:p>
    <w:p>
      <w:pPr>
        <w:ind w:left="380" w:right="2360"/>
        <w:spacing w:after="0" w:line="222" w:lineRule="auto"/>
        <w:rPr>
          <w:sz w:val="20"/>
          <w:szCs w:val="20"/>
          <w:color w:val="auto"/>
        </w:rPr>
      </w:pPr>
      <w:r>
        <w:rPr>
          <w:rFonts w:ascii="Arial" w:cs="Arial" w:eastAsia="Arial" w:hAnsi="Arial"/>
          <w:sz w:val="13"/>
          <w:szCs w:val="13"/>
          <w:color w:val="auto"/>
        </w:rPr>
        <w:t>Manufacturers and others involved in the manufacture and distribution of drugs and biological products must also register their establishments with the FDA and certain state agencies. Both domestic and foreign manufacturing establishments must register and provide additional information to the FDA upon their initial participation in the manufacturing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146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5" w:lineRule="auto"/>
        <w:rPr>
          <w:sz w:val="20"/>
          <w:szCs w:val="20"/>
          <w:color w:val="auto"/>
        </w:rPr>
      </w:pPr>
      <w:r>
        <w:rPr>
          <w:rFonts w:ascii="Arial" w:cs="Arial" w:eastAsia="Arial" w:hAnsi="Arial"/>
          <w:sz w:val="13"/>
          <w:szCs w:val="13"/>
          <w:color w:val="auto"/>
        </w:rPr>
        <w:t>The manufacturing facilities may be subject to periodic announced and unannounced inspections by government authorities to ensure compliance with GMPs and other laws. Manufacturers may have to provide, on request, electronic or physical records regarding their establishments. Delaying, denying, limiting or refusing inspection by the FDA may lead to a product being deemed to be adulterated.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4" w:lineRule="auto"/>
        <w:rPr>
          <w:sz w:val="20"/>
          <w:szCs w:val="20"/>
          <w:color w:val="auto"/>
        </w:rPr>
      </w:pPr>
      <w:r>
        <w:rPr>
          <w:rFonts w:ascii="Arial" w:cs="Arial" w:eastAsia="Arial" w:hAnsi="Arial"/>
          <w:sz w:val="13"/>
          <w:szCs w:val="13"/>
          <w:i w:val="1"/>
          <w:iCs w:val="1"/>
          <w:color w:val="auto"/>
        </w:rPr>
        <w:t>Review and Approval of an NDA or a BLA</w:t>
      </w:r>
    </w:p>
    <w:p>
      <w:pPr>
        <w:ind w:left="380" w:right="2080"/>
        <w:spacing w:after="0" w:line="210" w:lineRule="auto"/>
        <w:rPr>
          <w:sz w:val="20"/>
          <w:szCs w:val="20"/>
          <w:color w:val="auto"/>
        </w:rPr>
      </w:pPr>
      <w:r>
        <w:rPr>
          <w:rFonts w:ascii="Arial" w:cs="Arial" w:eastAsia="Arial" w:hAnsi="Arial"/>
          <w:sz w:val="13"/>
          <w:szCs w:val="13"/>
          <w:color w:val="auto"/>
        </w:rPr>
        <w:t>The results of product candidate development, preclinical testing and clinical trials, including negative or ambiguous results as well as positive findings, are submitted to the FDA as part of an NDA or a BLA requesting a license to market the product. These applications must contain extensive manufacturing information and detailed information on the composition of the product and proposed labeling. The FDA adjusts the Prescription Drug User Fee Act, or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5"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The FDA has 60 days after submission of the application to conduct an initial review to determine whether the NDA or BLA is sufficient to accept for filing based on the agency’s threshold determination that it is substantially complete so as to permit substantive review. Once the submission has been accepted for filing, the FDA begins an in -depth review of the application. Under the goals and policies agreed to by the FDA under PDUFA, the FDA aims to complete its initial review of a standard application and respond to the sponsor within ten months of the 60-day filing date, and for a priority review application within six months. The FDA does not always meet its PDUFA goal dates for standard and priority NDA or BLA applications, and its review goals are subject to change from time to time. The review process may often be significantly extended by FDA requests for additional information or clarification. The review process and the PDUFA goal date may also be extended by three months if the FDA requests or if the sponsor otherwise provides additional information or clarification regarding information already provided in the submission within the last three months before the PDUFA goal date.</w:t>
      </w:r>
    </w:p>
    <w:p>
      <w:pPr>
        <w:spacing w:after="0" w:line="7" w:lineRule="exact"/>
        <w:rPr>
          <w:sz w:val="20"/>
          <w:szCs w:val="20"/>
          <w:color w:val="auto"/>
        </w:rPr>
      </w:pPr>
    </w:p>
    <w:p>
      <w:pPr>
        <w:ind w:left="380" w:right="2060"/>
        <w:spacing w:after="0" w:line="210" w:lineRule="auto"/>
        <w:rPr>
          <w:sz w:val="20"/>
          <w:szCs w:val="20"/>
          <w:color w:val="auto"/>
        </w:rPr>
      </w:pPr>
      <w:r>
        <w:rPr>
          <w:rFonts w:ascii="Arial" w:cs="Arial" w:eastAsia="Arial" w:hAnsi="Arial"/>
          <w:sz w:val="13"/>
          <w:szCs w:val="13"/>
          <w:color w:val="auto"/>
        </w:rPr>
        <w:t>The FDA reviews NDA and BLA applications to determine, among other things, whether the proposed product is safe and potent, and/or effective, for its intended use, and has an acceptable purity profile, and whether the product is being manufactured in accordance with GMP requirements to assure and preserve the product’s identity, safety, strength, quality, potency and purity. On the basis of the FDA’s evaluation of the application and accompanying information, including the results of the inspection of the manufacturing facilities and any FDA audits of clinical trial sites to assure compliance with GCPs, the FDA may issue an approval letter or a complete response letter. An approval letter authorizes commercial marketing of the product with specific prescribing information for specific indications. Under the FDCA, the FDA may approve an NDA if it determines that the product is safe and effective for its intended use, the benefits of the drug outweigh any risks, and the methods used in manufacturing the drug and the controls used to maintain the drug’s quality are adequate to preserve the drug’s identity, strength, quality and purity. Under the PHSA, the FDA may approve a BLA if it determines that the product is safe, pure and potent and the facility where the product will be manufactured meets standards designed to ensure that it continues to be safe, pure and potent. If the application is not approved, the FDA may issue a complete response letter, which will contain the conditions that must be met in order to secure final approval of the application, and when possible will outline recommended actions the sponsor might take to obtain approval of the application. If a complete response letter is issued, the sponsor may either resubmit the NDA or BLA, addressing all of the deficiencies identified in the letter, or withdraw the application.</w:t>
      </w:r>
    </w:p>
    <w:p>
      <w:pPr>
        <w:spacing w:after="0" w:line="10" w:lineRule="exact"/>
        <w:rPr>
          <w:sz w:val="20"/>
          <w:szCs w:val="20"/>
          <w:color w:val="auto"/>
        </w:rPr>
      </w:pPr>
    </w:p>
    <w:p>
      <w:pPr>
        <w:ind w:left="380" w:right="2100"/>
        <w:spacing w:after="0" w:line="222" w:lineRule="auto"/>
        <w:rPr>
          <w:sz w:val="20"/>
          <w:szCs w:val="20"/>
          <w:color w:val="auto"/>
        </w:rPr>
      </w:pPr>
      <w:r>
        <w:rPr>
          <w:rFonts w:ascii="Arial" w:cs="Arial" w:eastAsia="Arial" w:hAnsi="Arial"/>
          <w:sz w:val="13"/>
          <w:szCs w:val="13"/>
          <w:color w:val="auto"/>
        </w:rPr>
        <w:t>Sponsors that receive a complete response letter who elect to address the deficiencies may submit to the FDA information that represents a complete response to the issues identified by the FDA in the response letter. Such resubmissions are classified under PDUFA as either Class 1 or Class 2, based on the information submitted by a sponsor in response to an action letter. Under the goals and policies agreed to by the FDA under PDUFA, the</w:t>
      </w:r>
    </w:p>
    <w:p>
      <w:pPr>
        <w:sectPr>
          <w:pgSz w:w="11900" w:h="16840" w:orient="portrait"/>
          <w:cols w:equalWidth="0" w:num="1">
            <w:col w:w="9020"/>
          </w:cols>
          <w:pgMar w:left="1440" w:top="560" w:right="1440" w:bottom="38" w:gutter="0" w:footer="0" w:header="0"/>
        </w:sectPr>
      </w:pPr>
    </w:p>
    <w:bookmarkStart w:id="102" w:name="page103"/>
    <w:bookmarkEnd w:id="102"/>
    <w:p>
      <w:pPr>
        <w:ind w:left="380" w:right="2140"/>
        <w:spacing w:after="0" w:line="217" w:lineRule="auto"/>
        <w:rPr>
          <w:sz w:val="20"/>
          <w:szCs w:val="20"/>
          <w:color w:val="auto"/>
        </w:rPr>
      </w:pPr>
      <w:r>
        <w:rPr>
          <w:rFonts w:ascii="Arial" w:cs="Arial" w:eastAsia="Arial" w:hAnsi="Arial"/>
          <w:sz w:val="13"/>
          <w:szCs w:val="13"/>
          <w:color w:val="auto"/>
        </w:rPr>
        <w:t>FDA aims to review and act on a Class 1 resubmission with two months of receipt and, with respect to a Class 2 resubmission, within six months of receipt. The FDA will not approve an application until issues identified in the complete response letter have been addressed.</w:t>
      </w:r>
    </w:p>
    <w:p>
      <w:pPr>
        <w:spacing w:after="0" w:line="1" w:lineRule="exact"/>
        <w:rPr>
          <w:sz w:val="20"/>
          <w:szCs w:val="20"/>
          <w:color w:val="auto"/>
        </w:rPr>
      </w:pPr>
    </w:p>
    <w:p>
      <w:pPr>
        <w:ind w:left="380" w:right="2100"/>
        <w:spacing w:after="0" w:line="226" w:lineRule="auto"/>
        <w:rPr>
          <w:sz w:val="20"/>
          <w:szCs w:val="20"/>
          <w:color w:val="auto"/>
        </w:rPr>
      </w:pPr>
      <w:r>
        <w:rPr>
          <w:rFonts w:ascii="Arial" w:cs="Arial" w:eastAsia="Arial" w:hAnsi="Arial"/>
          <w:sz w:val="13"/>
          <w:szCs w:val="13"/>
          <w:color w:val="auto"/>
        </w:rPr>
        <w:t>The FDA may also refer the application to an Advisory Committee for review, evaluation and recommendation as to whether the application should be approved and under what conditions. In particular, the FDA may refer applications for novel drug or biological products or drug or biological products that present difficult questions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147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40"/>
        <w:spacing w:after="0" w:line="217" w:lineRule="auto"/>
        <w:rPr>
          <w:sz w:val="20"/>
          <w:szCs w:val="20"/>
          <w:color w:val="auto"/>
        </w:rPr>
      </w:pPr>
      <w:r>
        <w:rPr>
          <w:rFonts w:ascii="Arial" w:cs="Arial" w:eastAsia="Arial" w:hAnsi="Arial"/>
          <w:sz w:val="13"/>
          <w:szCs w:val="13"/>
          <w:color w:val="auto"/>
        </w:rPr>
        <w:t>safety or efficacy to an advisory committee. Typically, an Advisory Committee is a panel of independent experts, including clinicians and other scientific experts. The FDA is not bound by the recommendations of an Advisory Committee, but it considers such recommendations carefully when making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20"/>
        <w:spacing w:after="0" w:line="210" w:lineRule="auto"/>
        <w:rPr>
          <w:sz w:val="20"/>
          <w:szCs w:val="20"/>
          <w:color w:val="auto"/>
        </w:rPr>
      </w:pPr>
      <w:r>
        <w:rPr>
          <w:rFonts w:ascii="Arial" w:cs="Arial" w:eastAsia="Arial" w:hAnsi="Arial"/>
          <w:sz w:val="13"/>
          <w:szCs w:val="13"/>
          <w:color w:val="auto"/>
        </w:rPr>
        <w:t>If the FDA approves a new product, it may limit the approved indications for use of the product, or limit the approval to specific dosages. It may also require that certain contraindications, warnings or precautions be included in the product labeling. In addition, the FDA may call for post- approval studies, including Phase 4 clinical trials, to further assess the product’s safety after approval. The agency may also require testing and surveillance programs to monitor the product after commercialization, or impose other conditions, including distribution restrictions or other risk management mechanisms, including risk evaluation and mitigation strategies, or REMS, to help ensure that the benefits of the product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If the FDA concludes a REMS is needed, the sponsor of the NDA or BLA must submit a proposed REMS; the FDA will not approve the NDA or BLA without a REMS, if required. The FDA may prevent or limit further marketing of a product based on the results of post-marketing studies or surveillance programs. After approval, many types of changes to the approved product, such as adding new indications, manufacturing changes and additional labeling claims, are subject to further testing requirements and FDA review and approval.</w:t>
      </w:r>
    </w:p>
    <w:p>
      <w:pPr>
        <w:ind w:left="380"/>
        <w:spacing w:after="0" w:line="225" w:lineRule="auto"/>
        <w:rPr>
          <w:sz w:val="20"/>
          <w:szCs w:val="20"/>
          <w:color w:val="auto"/>
        </w:rPr>
      </w:pPr>
      <w:r>
        <w:rPr>
          <w:rFonts w:ascii="Arial" w:cs="Arial" w:eastAsia="Arial" w:hAnsi="Arial"/>
          <w:sz w:val="13"/>
          <w:szCs w:val="13"/>
          <w:i w:val="1"/>
          <w:iCs w:val="1"/>
          <w:color w:val="auto"/>
        </w:rPr>
        <w:t>Fast Track, Breakthrough Therapy and Priority Review Designations</w:t>
      </w:r>
    </w:p>
    <w:p>
      <w:pPr>
        <w:ind w:left="380" w:right="2160"/>
        <w:spacing w:after="0" w:line="210" w:lineRule="auto"/>
        <w:rPr>
          <w:sz w:val="20"/>
          <w:szCs w:val="20"/>
          <w:color w:val="auto"/>
        </w:rPr>
      </w:pPr>
      <w:r>
        <w:rPr>
          <w:rFonts w:ascii="Arial" w:cs="Arial" w:eastAsia="Arial" w:hAnsi="Arial"/>
          <w:sz w:val="13"/>
          <w:szCs w:val="13"/>
          <w:color w:val="auto"/>
        </w:rPr>
        <w:t>The FDA may designate certain products for expedited review if they are intended to address an unmet medical need in the treatment of a serious or life-threatening disease or condition. These programs include fast track designation, breakthrough therapy designation and priority review designation.</w:t>
      </w:r>
    </w:p>
    <w:p>
      <w:pPr>
        <w:spacing w:after="0" w:line="2" w:lineRule="exact"/>
        <w:rPr>
          <w:sz w:val="20"/>
          <w:szCs w:val="20"/>
          <w:color w:val="auto"/>
        </w:rPr>
      </w:pPr>
    </w:p>
    <w:p>
      <w:pPr>
        <w:ind w:left="380" w:right="2100"/>
        <w:spacing w:after="0" w:line="227" w:lineRule="auto"/>
        <w:rPr>
          <w:sz w:val="20"/>
          <w:szCs w:val="20"/>
          <w:color w:val="auto"/>
        </w:rPr>
      </w:pPr>
      <w:r>
        <w:rPr>
          <w:rFonts w:ascii="Arial" w:cs="Arial" w:eastAsia="Arial" w:hAnsi="Arial"/>
          <w:sz w:val="13"/>
          <w:szCs w:val="13"/>
          <w:color w:val="auto"/>
        </w:rPr>
        <w:t>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disease or condition. Fast track designation applies to the combination of the product and the specific indication for which it is being studied. The sponsor of a new drug or biologic may request that the FDA designate the drug or biologic as a fast track product at any time during the clinical development of the product.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Fast track designation may be withdrawn by the FDA if the FDA believes that the designation is no longer supported by data emerging in the clinical trial process.</w:t>
      </w:r>
    </w:p>
    <w:p>
      <w:pPr>
        <w:spacing w:after="0" w:line="2"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In 2012, Congress enacted the Food and Drug Administration Safety and Innovation Act, or the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additional meetings with the sponsor throughout the development process; providing timely advice to the product sponsor regarding development and approval; involving more senior staff in the review process; assigning a cross -disciplinary project lead for the review team; and taking other steps to facilitate the design of clinical trials in an efficient manner.</w:t>
      </w:r>
    </w:p>
    <w:p>
      <w:pPr>
        <w:spacing w:after="0" w:line="7" w:lineRule="exact"/>
        <w:rPr>
          <w:sz w:val="20"/>
          <w:szCs w:val="20"/>
          <w:color w:val="auto"/>
        </w:rPr>
      </w:pPr>
    </w:p>
    <w:p>
      <w:pPr>
        <w:ind w:left="380" w:right="2240"/>
        <w:spacing w:after="0" w:line="222" w:lineRule="auto"/>
        <w:rPr>
          <w:sz w:val="20"/>
          <w:szCs w:val="20"/>
          <w:color w:val="auto"/>
        </w:rPr>
      </w:pPr>
      <w:r>
        <w:rPr>
          <w:rFonts w:ascii="Arial" w:cs="Arial" w:eastAsia="Arial" w:hAnsi="Arial"/>
          <w:sz w:val="13"/>
          <w:szCs w:val="13"/>
          <w:color w:val="auto"/>
        </w:rPr>
        <w:t>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148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sectPr>
          <w:pgSz w:w="11900" w:h="16840" w:orient="portrait"/>
          <w:cols w:equalWidth="0" w:num="1">
            <w:col w:w="9020"/>
          </w:cols>
          <w:pgMar w:left="1440" w:top="560" w:right="1440" w:bottom="188" w:gutter="0" w:footer="0" w:header="0"/>
        </w:sectPr>
      </w:pPr>
    </w:p>
    <w:p>
      <w:pPr>
        <w:ind w:left="1120"/>
        <w:spacing w:after="0"/>
        <w:rPr>
          <w:rFonts w:ascii="Arial" w:cs="Arial" w:eastAsia="Arial" w:hAnsi="Arial"/>
          <w:sz w:val="9"/>
          <w:szCs w:val="9"/>
          <w:b w:val="1"/>
          <w:bCs w:val="1"/>
          <w:color w:val="005A64"/>
        </w:rPr>
      </w:pPr>
      <w:hyperlink w:anchor="page3">
        <w:r>
          <w:rPr>
            <w:rFonts w:ascii="Arial" w:cs="Arial" w:eastAsia="Arial" w:hAnsi="Arial"/>
            <w:sz w:val="9"/>
            <w:szCs w:val="9"/>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37465</wp:posOffset>
            </wp:positionV>
            <wp:extent cx="523113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560" w:right="1440" w:bottom="188" w:gutter="0" w:footer="0" w:header="0"/>
          <w:type w:val="continuous"/>
        </w:sectPr>
      </w:pPr>
    </w:p>
    <w:bookmarkStart w:id="103" w:name="page104"/>
    <w:bookmarkEnd w:id="103"/>
    <w:p>
      <w:pPr>
        <w:ind w:left="380" w:right="2100"/>
        <w:spacing w:after="0" w:line="214" w:lineRule="auto"/>
        <w:rPr>
          <w:sz w:val="20"/>
          <w:szCs w:val="20"/>
          <w:color w:val="auto"/>
        </w:rPr>
      </w:pPr>
      <w:r>
        <w:rPr>
          <w:rFonts w:ascii="Arial" w:cs="Arial" w:eastAsia="Arial" w:hAnsi="Arial"/>
          <w:sz w:val="13"/>
          <w:szCs w:val="13"/>
          <w:color w:val="auto"/>
        </w:rPr>
        <w:t>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to six months (compared to 10 months under standard review).</w:t>
      </w:r>
    </w:p>
    <w:p>
      <w:pPr>
        <w:spacing w:after="0" w:line="3"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Fast track designation, priority review and breakthrough therapy designation may expedite the development or approval process, but do not change the standards for approval.</w:t>
      </w:r>
    </w:p>
    <w:p>
      <w:pPr>
        <w:ind w:left="380"/>
        <w:spacing w:after="0" w:line="212" w:lineRule="auto"/>
        <w:rPr>
          <w:sz w:val="20"/>
          <w:szCs w:val="20"/>
          <w:color w:val="auto"/>
        </w:rPr>
      </w:pPr>
      <w:r>
        <w:rPr>
          <w:rFonts w:ascii="Arial" w:cs="Arial" w:eastAsia="Arial" w:hAnsi="Arial"/>
          <w:sz w:val="13"/>
          <w:szCs w:val="13"/>
          <w:i w:val="1"/>
          <w:iCs w:val="1"/>
          <w:color w:val="auto"/>
        </w:rPr>
        <w:t>Accelerated Approval Pathway</w:t>
      </w:r>
    </w:p>
    <w:p>
      <w:pPr>
        <w:spacing w:after="0" w:line="1"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5"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stated that although it has limited experience with accelerated approvals based on intermediate clinical endpoints,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5"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The accelerated approval pathway is most often used in settings in which the course of a disease is long and an extended period of time is required to measure the intended clinical benefit of a product.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4"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a clinical benefit during post-marketing studies, may lead the FDA to withdraw the product from the market under expedited withdrawal procedures applicable to products approved under accelerated approval. All promotional materials for product candidates approved under accelerated regulations are subject to prior review by the FDA.</w:t>
      </w:r>
    </w:p>
    <w:p>
      <w:pPr>
        <w:spacing w:after="0" w:line="5"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Accelerated approval pathways are available for regenerative medicine therapies that meet certain conditions. Regenerative medicine therapies include cell therapies (both allogeneic and autologous), therapeutic tissue engineering products, human cell and tissue products, and combination products using any such therapies or products, except those regulated under section 361 of the PHSA. Human gene therapies, including genetically modified cells, that lead to a sustained effect on cells or tissues, may also meet the definition of a regenerative medicine therapy, as may xenogeneic cell products.</w:t>
      </w:r>
    </w:p>
    <w:p>
      <w:pPr>
        <w:spacing w:after="0" w:line="4" w:lineRule="exact"/>
        <w:rPr>
          <w:sz w:val="20"/>
          <w:szCs w:val="20"/>
          <w:color w:val="auto"/>
        </w:rPr>
      </w:pPr>
    </w:p>
    <w:p>
      <w:pPr>
        <w:ind w:left="380" w:right="2300"/>
        <w:spacing w:after="0" w:line="234" w:lineRule="auto"/>
        <w:rPr>
          <w:sz w:val="20"/>
          <w:szCs w:val="20"/>
          <w:color w:val="auto"/>
        </w:rPr>
      </w:pPr>
      <w:r>
        <w:rPr>
          <w:rFonts w:ascii="Arial" w:cs="Arial" w:eastAsia="Arial" w:hAnsi="Arial"/>
          <w:sz w:val="13"/>
          <w:szCs w:val="13"/>
          <w:color w:val="auto"/>
        </w:rPr>
        <w:t>Regenerative medicine therapies designed to treat, modify, reverse or cure serious conditions are eligible for FDA’s expedited programs, including fast track designation, breakthrough therapy designation, priority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149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20" w:lineRule="auto"/>
        <w:rPr>
          <w:sz w:val="20"/>
          <w:szCs w:val="20"/>
          <w:color w:val="auto"/>
        </w:rPr>
      </w:pPr>
      <w:r>
        <w:rPr>
          <w:rFonts w:ascii="Arial" w:cs="Arial" w:eastAsia="Arial" w:hAnsi="Arial"/>
          <w:sz w:val="13"/>
          <w:szCs w:val="13"/>
          <w:color w:val="auto"/>
        </w:rPr>
        <w:t>and accelerated approval, if they meet the criteria for such programs. They may also be eligible for Regenerative Medicine Advanced Therapy Designation, or RMAT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60"/>
        <w:spacing w:after="0" w:line="210" w:lineRule="auto"/>
        <w:rPr>
          <w:sz w:val="20"/>
          <w:szCs w:val="20"/>
          <w:color w:val="auto"/>
        </w:rPr>
      </w:pPr>
      <w:r>
        <w:rPr>
          <w:rFonts w:ascii="Arial" w:cs="Arial" w:eastAsia="Arial" w:hAnsi="Arial"/>
          <w:sz w:val="13"/>
          <w:szCs w:val="13"/>
          <w:color w:val="auto"/>
        </w:rPr>
        <w:t>An investigational drug is eligible for RMAT designation if it meets the definition of regenerative medicine therapy, it is intended to treat, modify, reverse or cure a serious condition, and preliminary clinical evidence indicates that the regenerative medicine therapy has the potential to address unmet medical needs for such condition. An unmet medical need is a condition whose treatment or diagnosis is not addressed adequately by available therapy.</w:t>
      </w:r>
    </w:p>
    <w:p>
      <w:pPr>
        <w:spacing w:after="0" w:line="3"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RMAT designation confers all the benefits of the fast track and breakthrough therapy designation programs, including early interactions with the FDA. The FDA reviews each application on a case-by-case basis to determine whether the clinical evidence is sufficient to support RMAT designation, considering factors such as the rigor of data collection, the consistency and persuasiveness of the outcomes, the number of patients, and the severity, rarity or prevalence of the condition, among other factors. The FDA may decline to grant RMAT designation if it finds the clinical evidence insufficient.</w:t>
      </w:r>
    </w:p>
    <w:p>
      <w:pPr>
        <w:spacing w:after="0" w:line="4"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RMAT designation may expedite the development or approval process, but it does not change the standards for approval.</w:t>
      </w:r>
    </w:p>
    <w:p>
      <w:pPr>
        <w:ind w:left="380"/>
        <w:spacing w:after="0" w:line="212" w:lineRule="auto"/>
        <w:rPr>
          <w:sz w:val="20"/>
          <w:szCs w:val="20"/>
          <w:color w:val="auto"/>
        </w:rPr>
      </w:pPr>
      <w:r>
        <w:rPr>
          <w:rFonts w:ascii="Arial" w:cs="Arial" w:eastAsia="Arial" w:hAnsi="Arial"/>
          <w:sz w:val="13"/>
          <w:szCs w:val="13"/>
          <w:i w:val="1"/>
          <w:iCs w:val="1"/>
          <w:color w:val="auto"/>
        </w:rPr>
        <w:t>Emergency Use Authorizations</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The Secretary of Health and Human Services has the authority to authorize unapproved medical products, including vaccines, to be marketed in the context of an actual or potential emergency that has been designated by government officials. The COVID-19 pandemic has been designated such a national emergency. After an emergency has been announced, the Secretary of Health and Human Services may authorize the issuance of, and the FDA Commissioner may issue, Emergency Use Authorizations, or EUAs, for the use of specific products based on criteria established by statute, including that the product at issue may be effective in diagnosing, treating, or preventing serious or life-threatening diseases when there are no adequate, approved, and available alternatives. An EUA is subject to additional conditions and restrictions and is product-specific. An EUA terminates when the emergency determination underlying the EUA terminates or full approval is obtained. An EUA is not a long-term alternative to obtaining FDA approval, licensure, or clearance for a product. FDA may revoke an EUA where it is determined that the underlying health emergency no longer exists or warrants such authorization, so it is not possible to predict how long an EUA may remain in place.</w:t>
      </w:r>
    </w:p>
    <w:p>
      <w:pPr>
        <w:ind w:left="380"/>
        <w:spacing w:after="0" w:line="222" w:lineRule="auto"/>
        <w:rPr>
          <w:sz w:val="20"/>
          <w:szCs w:val="20"/>
          <w:color w:val="auto"/>
        </w:rPr>
      </w:pPr>
      <w:r>
        <w:rPr>
          <w:rFonts w:ascii="Arial" w:cs="Arial" w:eastAsia="Arial" w:hAnsi="Arial"/>
          <w:sz w:val="13"/>
          <w:szCs w:val="13"/>
          <w:i w:val="1"/>
          <w:iCs w:val="1"/>
          <w:color w:val="auto"/>
        </w:rPr>
        <w:t>Post-Approval Regulation</w:t>
      </w:r>
    </w:p>
    <w:p>
      <w:pPr>
        <w:ind w:left="380" w:right="2100"/>
        <w:spacing w:after="0" w:line="216" w:lineRule="auto"/>
        <w:rPr>
          <w:sz w:val="20"/>
          <w:szCs w:val="20"/>
          <w:color w:val="auto"/>
        </w:rPr>
      </w:pPr>
      <w:r>
        <w:rPr>
          <w:rFonts w:ascii="Arial" w:cs="Arial" w:eastAsia="Arial" w:hAnsi="Arial"/>
          <w:sz w:val="13"/>
          <w:szCs w:val="13"/>
          <w:color w:val="auto"/>
        </w:rPr>
        <w:t>If regulatory approval for marketing of a product or for a new indication for an existing product is obtained, the sponsor will be required to comply with rigorous and extensive post-approval regulatory requirements as well as any post-approval requirements that the FDA has imposed on the particular product as part of the approval process. The sponsor will be required, among other things, to report certain adverse reactions and manufacturing problems, or certain other events to the FDA, provide updated safety and efficacy information and comply with requirements concerning advertising and promotional labeling.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GMP regulations, which impose certain procedural and documentation</w:t>
      </w:r>
    </w:p>
    <w:p>
      <w:pPr>
        <w:sectPr>
          <w:pgSz w:w="11900" w:h="16840" w:orient="portrait"/>
          <w:cols w:equalWidth="0" w:num="1">
            <w:col w:w="9020"/>
          </w:cols>
          <w:pgMar w:left="1440" w:top="560" w:right="1440" w:bottom="28" w:gutter="0" w:footer="0" w:header="0"/>
        </w:sectPr>
      </w:pPr>
    </w:p>
    <w:bookmarkStart w:id="104" w:name="page105"/>
    <w:bookmarkEnd w:id="104"/>
    <w:p>
      <w:pPr>
        <w:ind w:left="380" w:right="2120"/>
        <w:spacing w:after="0" w:line="214" w:lineRule="auto"/>
        <w:rPr>
          <w:sz w:val="20"/>
          <w:szCs w:val="20"/>
          <w:color w:val="auto"/>
        </w:rPr>
      </w:pPr>
      <w:r>
        <w:rPr>
          <w:rFonts w:ascii="Arial" w:cs="Arial" w:eastAsia="Arial" w:hAnsi="Arial"/>
          <w:sz w:val="13"/>
          <w:szCs w:val="13"/>
          <w:color w:val="auto"/>
        </w:rPr>
        <w:t>requirements upon manufacturers. Accordingly, the BLA holder and its third-party manufacturers must continue to expend time, money and effort in the areas of production and quality control to maintain compliance with GMP regulations and other regulatory requirements.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 w:lineRule="exact"/>
        <w:rPr>
          <w:sz w:val="20"/>
          <w:szCs w:val="20"/>
          <w:color w:val="auto"/>
        </w:rPr>
      </w:pPr>
    </w:p>
    <w:p>
      <w:pPr>
        <w:ind w:left="380" w:right="2080"/>
        <w:spacing w:after="0" w:line="220" w:lineRule="auto"/>
        <w:rPr>
          <w:sz w:val="20"/>
          <w:szCs w:val="20"/>
          <w:color w:val="auto"/>
        </w:rPr>
      </w:pPr>
      <w:r>
        <w:rPr>
          <w:rFonts w:ascii="Arial" w:cs="Arial" w:eastAsia="Arial" w:hAnsi="Arial"/>
          <w:sz w:val="13"/>
          <w:szCs w:val="13"/>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study requirements or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150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requirements to assess new safety risks; or imposition of distribution restrictions or other restrictions under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0" w:lineRule="auto"/>
        <w:rPr>
          <w:sz w:val="20"/>
          <w:szCs w:val="20"/>
          <w:color w:val="auto"/>
        </w:rPr>
      </w:pPr>
      <w:r>
        <w:rPr>
          <w:rFonts w:ascii="Arial" w:cs="Arial" w:eastAsia="Arial" w:hAnsi="Arial"/>
          <w:sz w:val="13"/>
          <w:szCs w:val="13"/>
          <w:color w:val="auto"/>
        </w:rPr>
        <w:t>REMS program. Other potential consequences include, among other things:</w:t>
      </w:r>
    </w:p>
    <w:p>
      <w:pPr>
        <w:spacing w:after="0" w:line="1" w:lineRule="exact"/>
        <w:rPr>
          <w:sz w:val="20"/>
          <w:szCs w:val="20"/>
          <w:color w:val="auto"/>
        </w:rPr>
      </w:pPr>
    </w:p>
    <w:p>
      <w:pPr>
        <w:ind w:left="380" w:right="2680"/>
        <w:spacing w:after="0" w:line="210" w:lineRule="auto"/>
        <w:rPr>
          <w:sz w:val="20"/>
          <w:szCs w:val="20"/>
          <w:color w:val="auto"/>
        </w:rPr>
      </w:pPr>
      <w:r>
        <w:rPr>
          <w:rFonts w:ascii="Arial" w:cs="Arial" w:eastAsia="Arial" w:hAnsi="Arial"/>
          <w:sz w:val="13"/>
          <w:szCs w:val="13"/>
          <w:color w:val="auto"/>
        </w:rPr>
        <w:t>•restrictions on the marketing or manufacturing of the product, complete withdrawal of the product from the market or product recalls;</w:t>
      </w:r>
    </w:p>
    <w:p>
      <w:pPr>
        <w:spacing w:after="0" w:line="1" w:lineRule="exact"/>
        <w:rPr>
          <w:sz w:val="20"/>
          <w:szCs w:val="20"/>
          <w:color w:val="auto"/>
        </w:rPr>
      </w:pPr>
    </w:p>
    <w:p>
      <w:pPr>
        <w:jc w:val="both"/>
        <w:ind w:left="380" w:right="4080"/>
        <w:spacing w:after="0" w:line="210" w:lineRule="auto"/>
        <w:rPr>
          <w:sz w:val="20"/>
          <w:szCs w:val="20"/>
          <w:color w:val="auto"/>
        </w:rPr>
      </w:pPr>
      <w:r>
        <w:rPr>
          <w:rFonts w:ascii="Arial" w:cs="Arial" w:eastAsia="Arial" w:hAnsi="Arial"/>
          <w:sz w:val="13"/>
          <w:szCs w:val="13"/>
          <w:color w:val="auto"/>
        </w:rPr>
        <w:t>•fines, untitled letters or warning letters or holds on post-approval clinical trials; •adverse publicity, including FDA statements regarding the safety of products;</w:t>
      </w:r>
    </w:p>
    <w:p>
      <w:pPr>
        <w:spacing w:after="0" w:line="1" w:lineRule="exact"/>
        <w:rPr>
          <w:sz w:val="20"/>
          <w:szCs w:val="20"/>
          <w:color w:val="auto"/>
        </w:rPr>
      </w:pPr>
    </w:p>
    <w:p>
      <w:pPr>
        <w:ind w:left="380" w:right="3060"/>
        <w:spacing w:after="0" w:line="210" w:lineRule="auto"/>
        <w:rPr>
          <w:sz w:val="20"/>
          <w:szCs w:val="20"/>
          <w:color w:val="auto"/>
        </w:rPr>
      </w:pPr>
      <w:r>
        <w:rPr>
          <w:rFonts w:ascii="Arial" w:cs="Arial" w:eastAsia="Arial" w:hAnsi="Arial"/>
          <w:sz w:val="13"/>
          <w:szCs w:val="13"/>
          <w:color w:val="auto"/>
        </w:rPr>
        <w:t>•refusal of the FDA to approve pending applications or supplements to approved applications, or suspension or revocation of product license approvals;</w:t>
      </w:r>
    </w:p>
    <w:p>
      <w:pPr>
        <w:ind w:left="380"/>
        <w:spacing w:after="0" w:line="212" w:lineRule="auto"/>
        <w:rPr>
          <w:sz w:val="20"/>
          <w:szCs w:val="20"/>
          <w:color w:val="auto"/>
        </w:rPr>
      </w:pPr>
      <w:r>
        <w:rPr>
          <w:rFonts w:ascii="Arial" w:cs="Arial" w:eastAsia="Arial" w:hAnsi="Arial"/>
          <w:sz w:val="13"/>
          <w:szCs w:val="13"/>
          <w:color w:val="auto"/>
        </w:rPr>
        <w:t>•product seizure or detention, or refusal to permit the import or export of products; or</w:t>
      </w:r>
    </w:p>
    <w:p>
      <w:pPr>
        <w:ind w:left="380"/>
        <w:spacing w:after="0" w:line="211" w:lineRule="auto"/>
        <w:rPr>
          <w:sz w:val="20"/>
          <w:szCs w:val="20"/>
          <w:color w:val="auto"/>
        </w:rPr>
      </w:pPr>
      <w:r>
        <w:rPr>
          <w:rFonts w:ascii="Arial" w:cs="Arial" w:eastAsia="Arial" w:hAnsi="Arial"/>
          <w:sz w:val="13"/>
          <w:szCs w:val="13"/>
          <w:color w:val="auto"/>
        </w:rPr>
        <w:t>•injunctions, fines, debarment, disgorgement of profits or the imposition of civil or criminal penalties.</w:t>
      </w:r>
    </w:p>
    <w:p>
      <w:pPr>
        <w:spacing w:after="0" w:line="1"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The FDA strictly regulates marketing, labeling, advertising and promotion of products that are placed on the market. Pharmaceutical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ind w:left="380"/>
        <w:spacing w:after="0" w:line="215" w:lineRule="auto"/>
        <w:rPr>
          <w:sz w:val="20"/>
          <w:szCs w:val="20"/>
          <w:color w:val="auto"/>
        </w:rPr>
      </w:pPr>
      <w:r>
        <w:rPr>
          <w:rFonts w:ascii="Arial" w:cs="Arial" w:eastAsia="Arial" w:hAnsi="Arial"/>
          <w:sz w:val="13"/>
          <w:szCs w:val="13"/>
          <w:i w:val="1"/>
          <w:iCs w:val="1"/>
          <w:color w:val="auto"/>
        </w:rPr>
        <w:t>Orphan Drug Designation</w:t>
      </w:r>
    </w:p>
    <w:p>
      <w:pPr>
        <w:ind w:left="380" w:right="2220"/>
        <w:spacing w:after="0" w:line="210" w:lineRule="auto"/>
        <w:rPr>
          <w:sz w:val="20"/>
          <w:szCs w:val="20"/>
          <w:color w:val="auto"/>
        </w:rPr>
      </w:pPr>
      <w:r>
        <w:rPr>
          <w:rFonts w:ascii="Arial" w:cs="Arial" w:eastAsia="Arial" w:hAnsi="Arial"/>
          <w:sz w:val="13"/>
          <w:szCs w:val="13"/>
          <w:color w:val="auto"/>
        </w:rPr>
        <w:t>Orphan drug designation in the United States is designed to encourage sponsors to develop products intended for rare diseases or conditions. In the United States, a rare disease or condition is statutorily defined as a disease or condition that affects fewer than 200,000 individuals in the United States or that affects more than 200,000 individuals in the United States but for which there is no reasonable expectation that the cost of developing and making available the product for the disease or condition will be recovered from sales of the product in the United States.</w:t>
      </w:r>
    </w:p>
    <w:p>
      <w:pPr>
        <w:spacing w:after="0" w:line="4"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Orphan drug designation qualifies a company for certain financial incentives, including tax advantages and, if the product receives the first FDA approval for the indication for which it has orphan designation, market exclusivity for seven years following the date of the product’s marketing approval. An application for designation as an orphan product can be made any time prior to the filing of an application for approval to market the product. Once a product receives orphan drug designation from the Office of Orphan Products Development at the FDA, the product must then go through the review and approval process like any other product.</w:t>
      </w:r>
    </w:p>
    <w:p>
      <w:pPr>
        <w:spacing w:after="0" w:line="4" w:lineRule="exact"/>
        <w:rPr>
          <w:sz w:val="20"/>
          <w:szCs w:val="20"/>
          <w:color w:val="auto"/>
        </w:rPr>
      </w:pPr>
    </w:p>
    <w:p>
      <w:pPr>
        <w:jc w:val="both"/>
        <w:ind w:left="380" w:right="2180"/>
        <w:spacing w:after="0" w:line="210" w:lineRule="auto"/>
        <w:rPr>
          <w:sz w:val="20"/>
          <w:szCs w:val="20"/>
          <w:color w:val="auto"/>
        </w:rPr>
      </w:pPr>
      <w:r>
        <w:rPr>
          <w:rFonts w:ascii="Arial" w:cs="Arial" w:eastAsia="Arial" w:hAnsi="Arial"/>
          <w:sz w:val="13"/>
          <w:szCs w:val="13"/>
          <w:color w:val="auto"/>
        </w:rPr>
        <w:t>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product. More than one sponsor may receive orphan drug designation for the same product for the same rare disease or condition, but each sponsor seeking orphan drug designation must file a complete request for designation.</w:t>
      </w:r>
    </w:p>
    <w:p>
      <w:pPr>
        <w:spacing w:after="0" w:line="3"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the manufacturer makes a showing of clinical superiority over the product with orphan exclusivity, or the sponsor is unable to provide sufficient quantities.</w:t>
      </w:r>
    </w:p>
    <w:p>
      <w:pPr>
        <w:spacing w:after="0" w:line="4"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Orphan product designation does not convey any advantage in or shorten the duration of the regulatory review and approval process.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3"/>
          <w:szCs w:val="13"/>
          <w:i w:val="1"/>
          <w:iCs w:val="1"/>
          <w:color w:val="auto"/>
        </w:rPr>
        <w:t>Pediatric Studies and Exclusivity</w:t>
      </w:r>
    </w:p>
    <w:p>
      <w:pPr>
        <w:sectPr>
          <w:pgSz w:w="11900" w:h="16840" w:orient="portrait"/>
          <w:cols w:equalWidth="0" w:num="1">
            <w:col w:w="9020"/>
          </w:cols>
          <w:pgMar w:left="1440" w:top="560" w:right="1440" w:bottom="1440" w:gutter="0" w:footer="0" w:header="0"/>
        </w:sectPr>
      </w:pPr>
    </w:p>
    <w:bookmarkStart w:id="105" w:name="page106"/>
    <w:bookmarkEnd w:id="105"/>
    <w:p>
      <w:pPr>
        <w:ind w:left="380"/>
        <w:spacing w:after="0"/>
        <w:rPr>
          <w:sz w:val="20"/>
          <w:szCs w:val="20"/>
          <w:color w:val="auto"/>
        </w:rPr>
      </w:pPr>
      <w:r>
        <w:rPr>
          <w:rFonts w:ascii="Arial" w:cs="Arial" w:eastAsia="Arial" w:hAnsi="Arial"/>
          <w:sz w:val="13"/>
          <w:szCs w:val="13"/>
          <w:color w:val="auto"/>
        </w:rPr>
        <w:t>151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2" w:lineRule="auto"/>
        <w:rPr>
          <w:sz w:val="20"/>
          <w:szCs w:val="20"/>
          <w:color w:val="auto"/>
        </w:rPr>
      </w:pPr>
      <w:r>
        <w:rPr>
          <w:rFonts w:ascii="Arial" w:cs="Arial" w:eastAsia="Arial" w:hAnsi="Arial"/>
          <w:sz w:val="13"/>
          <w:szCs w:val="13"/>
          <w:color w:val="auto"/>
        </w:rPr>
        <w:t>Under the Pediatric Research Equity Act of 2003, an NDA or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who are planning to submit a marketing application for a drug or biological product that includes a new active ingredient, new indication, new dosage form, new dosing regimen or new route of administration must also submit pediatric study plans prior to the assessment data, and no later than 60 calendar days following an end- of-Phase 2 meeting with the FDA or, if there is no such meeting, as early as practicable before the initiation of the Phase 3 or Phase 2/3 study. Pediatric study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FDA or the sponsor may request an amendment to the plan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-999490</wp:posOffset>
            </wp:positionV>
            <wp:extent cx="523113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color w:val="auto"/>
        </w:rPr>
        <w:t>The FDA may, on its own initiative or at the request of the sponsor,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3"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or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ind w:left="380"/>
        <w:spacing w:after="0" w:line="220" w:lineRule="auto"/>
        <w:rPr>
          <w:sz w:val="20"/>
          <w:szCs w:val="20"/>
          <w:color w:val="auto"/>
        </w:rPr>
      </w:pPr>
      <w:r>
        <w:rPr>
          <w:rFonts w:ascii="Arial" w:cs="Arial" w:eastAsia="Arial" w:hAnsi="Arial"/>
          <w:sz w:val="13"/>
          <w:szCs w:val="13"/>
          <w:i w:val="1"/>
          <w:iCs w:val="1"/>
          <w:color w:val="auto"/>
        </w:rPr>
        <w:t>Biosimilars and Reference Product Exclusivity</w:t>
      </w:r>
    </w:p>
    <w:p>
      <w:pPr>
        <w:ind w:left="380" w:right="2140"/>
        <w:spacing w:after="0" w:line="210" w:lineRule="auto"/>
        <w:rPr>
          <w:sz w:val="20"/>
          <w:szCs w:val="20"/>
          <w:color w:val="auto"/>
        </w:rPr>
      </w:pPr>
      <w:r>
        <w:rPr>
          <w:rFonts w:ascii="Arial" w:cs="Arial" w:eastAsia="Arial" w:hAnsi="Arial"/>
          <w:sz w:val="13"/>
          <w:szCs w:val="13"/>
          <w:color w:val="auto"/>
        </w:rPr>
        <w:t>The Patient Protection and Affordable Care Act, as amended by the Health Care and Education Reconciliation Act, or collectively, the ACA, signed into law in 2010, includes a subtitle called the Biologics Price Competition and Innovation Act of 2009, or the BPCIA,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w:t>
      </w:r>
    </w:p>
    <w:p>
      <w:pPr>
        <w:spacing w:after="0" w:line="4"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sponsor’s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5" w:lineRule="exact"/>
        <w:rPr>
          <w:sz w:val="20"/>
          <w:szCs w:val="20"/>
          <w:color w:val="auto"/>
        </w:rPr>
      </w:pPr>
    </w:p>
    <w:p>
      <w:pPr>
        <w:ind w:left="380" w:right="2120"/>
        <w:spacing w:after="0" w:line="216" w:lineRule="auto"/>
        <w:rPr>
          <w:sz w:val="20"/>
          <w:szCs w:val="20"/>
          <w:color w:val="auto"/>
        </w:rPr>
      </w:pPr>
      <w:r>
        <w:rPr>
          <w:rFonts w:ascii="Arial" w:cs="Arial" w:eastAsia="Arial" w:hAnsi="Arial"/>
          <w:sz w:val="13"/>
          <w:szCs w:val="13"/>
          <w:color w:val="auto"/>
        </w:rPr>
        <w:t>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152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7" w:lineRule="auto"/>
        <w:rPr>
          <w:sz w:val="20"/>
          <w:szCs w:val="20"/>
          <w:color w:val="auto"/>
        </w:rPr>
      </w:pPr>
      <w:r>
        <w:rPr>
          <w:rFonts w:ascii="Arial" w:cs="Arial" w:eastAsia="Arial" w:hAnsi="Arial"/>
          <w:sz w:val="13"/>
          <w:szCs w:val="13"/>
          <w:color w:val="auto"/>
        </w:rPr>
        <w:t>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60"/>
        <w:spacing w:after="0" w:line="210" w:lineRule="auto"/>
        <w:rPr>
          <w:sz w:val="20"/>
          <w:szCs w:val="20"/>
          <w:color w:val="auto"/>
        </w:rPr>
      </w:pPr>
      <w:r>
        <w:rPr>
          <w:rFonts w:ascii="Arial" w:cs="Arial" w:eastAsia="Arial" w:hAnsi="Arial"/>
          <w:sz w:val="13"/>
          <w:szCs w:val="13"/>
          <w:color w:val="auto"/>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ind w:left="380"/>
        <w:spacing w:after="0" w:line="214" w:lineRule="auto"/>
        <w:rPr>
          <w:sz w:val="20"/>
          <w:szCs w:val="20"/>
          <w:color w:val="auto"/>
        </w:rPr>
      </w:pPr>
      <w:r>
        <w:rPr>
          <w:rFonts w:ascii="Arial" w:cs="Arial" w:eastAsia="Arial" w:hAnsi="Arial"/>
          <w:sz w:val="13"/>
          <w:szCs w:val="13"/>
          <w:b w:val="1"/>
          <w:bCs w:val="1"/>
          <w:color w:val="auto"/>
        </w:rPr>
        <w:t>B. Regulation and Procedures Governing Approval of Medicinal Products in the European Union</w:t>
      </w:r>
    </w:p>
    <w:p>
      <w:pPr>
        <w:ind w:left="380" w:right="2140"/>
        <w:spacing w:after="0" w:line="210" w:lineRule="auto"/>
        <w:rPr>
          <w:sz w:val="20"/>
          <w:szCs w:val="20"/>
          <w:color w:val="auto"/>
        </w:rPr>
      </w:pPr>
      <w:r>
        <w:rPr>
          <w:rFonts w:ascii="Arial" w:cs="Arial" w:eastAsia="Arial" w:hAnsi="Arial"/>
          <w:sz w:val="13"/>
          <w:szCs w:val="13"/>
          <w:color w:val="auto"/>
        </w:rPr>
        <w:t>The process governing approval of medicinal products, including biological medicinal products and advanced therapy medicinal products, or ATMPs, which comprise gene therapy products, somatic cell therapy products and tissue-engineered products, in the European Union generally follows the same lines as in the United States. It entails satisfactory completion of pharmaceutical development, nonclinical and clinical studies to establish the safety and efficacy of the medicinal product for each proposed indication. Moreover, an applicant must also demonstrate the ability to manufacture the product to a suitable quality.</w:t>
      </w:r>
    </w:p>
    <w:p>
      <w:pPr>
        <w:ind w:left="380"/>
        <w:spacing w:after="0" w:line="216" w:lineRule="auto"/>
        <w:rPr>
          <w:sz w:val="20"/>
          <w:szCs w:val="20"/>
          <w:color w:val="auto"/>
        </w:rPr>
      </w:pPr>
      <w:r>
        <w:rPr>
          <w:rFonts w:ascii="Arial" w:cs="Arial" w:eastAsia="Arial" w:hAnsi="Arial"/>
          <w:sz w:val="13"/>
          <w:szCs w:val="13"/>
          <w:i w:val="1"/>
          <w:iCs w:val="1"/>
          <w:color w:val="auto"/>
        </w:rPr>
        <w:t>Clinical Trial Approval</w:t>
      </w:r>
    </w:p>
    <w:p>
      <w:pPr>
        <w:ind w:left="380" w:right="2100"/>
        <w:spacing w:after="0" w:line="213" w:lineRule="auto"/>
        <w:rPr>
          <w:sz w:val="20"/>
          <w:szCs w:val="20"/>
          <w:color w:val="auto"/>
        </w:rPr>
      </w:pPr>
      <w:r>
        <w:rPr>
          <w:rFonts w:ascii="Arial" w:cs="Arial" w:eastAsia="Arial" w:hAnsi="Arial"/>
          <w:sz w:val="13"/>
          <w:szCs w:val="13"/>
          <w:color w:val="auto"/>
        </w:rPr>
        <w:t>Until recently, pursuant to the Clinical Trials Directive 2001/20/EC and the Directive 2005/28/EC on GCP, a system for the approval of clinical trials in the European Union has been implemented through national legislation of the member states. Under this system, a sponsor must obtain approval from the competent national authority of a European Union member state in which the clinical trial is to be conducted or in multiple member states if the clinical trial is to be conducted in a number of member states. Furthermore, the sponsor may only start a clinical trial at a specific study site after the independent ethics committee has issued a favorable opinion. In April 2014, the European Union adopted a new Clinical Trials Regulation (EU) No 536/2014, which took effect on January 31, 2022 and replaced the Clinical Trials Directive 2001/20/EC. Commission Implementing Regulation (EU) 2017/556 replaced the GCP Directive 2005/28/EC. The Regulation has overhauled the former system of approvals for clinical trials in the European Union. Specifically, the Regulation, which is directly applicable in all member states, aims to simplify and streamline the approval of clinical trials in the European Union. For instance, Regulation (EU) No 536/2014 enables sponsors to submit one online application via a single online platform known as the Clinical Trials Information System (CTIS) for approval to run a clinical trial in several European countries, making it more efficient to carry out such multinational trials. It provides for strictly defined deadlines for the assessment of clinical trial applications. This means that one national authority takes the lead in reviewing the application and the other national authorities have only a limited involvement, although</w:t>
      </w:r>
    </w:p>
    <w:p>
      <w:pPr>
        <w:sectPr>
          <w:pgSz w:w="11900" w:h="16840" w:orient="portrait"/>
          <w:cols w:equalWidth="0" w:num="1">
            <w:col w:w="9020"/>
          </w:cols>
          <w:pgMar w:left="1440" w:top="937" w:right="1440" w:bottom="25" w:gutter="0" w:footer="0" w:header="0"/>
        </w:sectPr>
      </w:pPr>
    </w:p>
    <w:bookmarkStart w:id="106" w:name="page107"/>
    <w:bookmarkEnd w:id="106"/>
    <w:p>
      <w:pPr>
        <w:ind w:left="380" w:right="2100"/>
        <w:spacing w:after="0" w:line="217" w:lineRule="auto"/>
        <w:rPr>
          <w:sz w:val="20"/>
          <w:szCs w:val="20"/>
          <w:color w:val="auto"/>
        </w:rPr>
      </w:pPr>
      <w:r>
        <w:rPr>
          <w:rFonts w:ascii="Arial" w:cs="Arial" w:eastAsia="Arial" w:hAnsi="Arial"/>
          <w:sz w:val="13"/>
          <w:szCs w:val="13"/>
          <w:color w:val="auto"/>
        </w:rPr>
        <w:t>the clinical trial approval is still granted by each national competent authority. Any substantial changes to the trial protocol or other information submitted with the clinical trial applications must be notified to or approved by the relevant competent authorities and ethics committees.</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Pursuant to transitional provisions under Regulation (EU) No 536/2014, trials for which a request for approval was submitted prior to January 31, 2022 could continue under the national implementations of the Directives until January 31, 2025. In addition, until January 30, 2023, clinical trial sponsors could use CTIS to apply to run a clinical trial under the Regulation or could choose to apply to run a trial under the Clinical Trials Directive. However, since January 31, 2023, clinical trial sponsors have needed to use CTIS as the single-entry point to apply to start a new clinical trial in the EU/EEA and such trials must be run under the Regulation. By January 31, 2025, any ongoing trials approved under the Clinical Trial Directive will fall under the Regulation and information about them must be transferred to CTIS.</w:t>
      </w:r>
    </w:p>
    <w:p>
      <w:pPr>
        <w:spacing w:after="0" w:line="5" w:lineRule="exact"/>
        <w:rPr>
          <w:sz w:val="20"/>
          <w:szCs w:val="20"/>
          <w:color w:val="auto"/>
        </w:rPr>
      </w:pPr>
    </w:p>
    <w:p>
      <w:pPr>
        <w:ind w:left="380" w:right="2300"/>
        <w:spacing w:after="0" w:line="220" w:lineRule="auto"/>
        <w:rPr>
          <w:sz w:val="20"/>
          <w:szCs w:val="20"/>
          <w:color w:val="auto"/>
        </w:rPr>
      </w:pPr>
      <w:r>
        <w:rPr>
          <w:rFonts w:ascii="Arial" w:cs="Arial" w:eastAsia="Arial" w:hAnsi="Arial"/>
          <w:sz w:val="13"/>
          <w:szCs w:val="13"/>
          <w:color w:val="auto"/>
        </w:rPr>
        <w:t>Under either regime, clinical trials must be conducted in accordance with European Union and national regulations and the International Conference on Harmonization, or ICH, guidelines on GCP. Additional GCP guidelines from the European Commission, with a focus on traceability, apply to clinical trials of ATMPs. If the sponsor of the clinical trial is not established within the European Union, it must appoint an entity within the European Union to act as its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153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4" w:lineRule="auto"/>
        <w:rPr>
          <w:sz w:val="20"/>
          <w:szCs w:val="20"/>
          <w:color w:val="auto"/>
        </w:rPr>
      </w:pPr>
      <w:r>
        <w:rPr>
          <w:rFonts w:ascii="Arial" w:cs="Arial" w:eastAsia="Arial" w:hAnsi="Arial"/>
          <w:sz w:val="13"/>
          <w:szCs w:val="13"/>
          <w:color w:val="auto"/>
        </w:rPr>
        <w:t>The clinical trial application must be accompanied by a copy of the trial protocol and an investigational medicinal product dossier with supporting information prescribed by applicable legislation as further detailed in applicable guidance documents. Moreover, the sponsor must take out a clinical trial insurance policy, and in most European Union countries the sponsor is liable to provide ‘no fault’ compensation to any study subject injured in the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-416560</wp:posOffset>
            </wp:positionV>
            <wp:extent cx="523113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60"/>
        <w:spacing w:after="0" w:line="210" w:lineRule="auto"/>
        <w:rPr>
          <w:sz w:val="20"/>
          <w:szCs w:val="20"/>
          <w:color w:val="auto"/>
        </w:rPr>
      </w:pPr>
      <w:r>
        <w:rPr>
          <w:rFonts w:ascii="Arial" w:cs="Arial" w:eastAsia="Arial" w:hAnsi="Arial"/>
          <w:sz w:val="13"/>
          <w:szCs w:val="13"/>
          <w:color w:val="auto"/>
        </w:rPr>
        <w:t>The sponsor of a clinical trial must register the clinical trial in advance, and information related to the product, patient population, phase of investigation, study sites and investigators, and other aspects of the clinical trial will be made public as part of the registration. The results of the clinical trial must be submitted to the competent authorities and, with the exception of non-pediatric Phase 1 trials, will be made public at the latest within 12 months after the end of the trial.</w:t>
      </w:r>
    </w:p>
    <w:p>
      <w:pPr>
        <w:spacing w:after="0" w:line="3"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During the development of a medicinal product, the European Medicines Agency, or EMA, and national medicines regulators within the European Union provide the opportunity for dialogue and guidance on the development program. At the EMA level, this is usually done in the form of scientific advice, which is given by the Scientific Advice Working Party of the Committee for Medicinal Products for Human Use, or CHMP. A fee is incurred with each scientific advice procedure.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of the product concerned.</w:t>
      </w:r>
    </w:p>
    <w:p>
      <w:pPr>
        <w:ind w:left="380"/>
        <w:spacing w:after="0" w:line="218" w:lineRule="auto"/>
        <w:rPr>
          <w:sz w:val="20"/>
          <w:szCs w:val="20"/>
          <w:color w:val="auto"/>
        </w:rPr>
      </w:pPr>
      <w:r>
        <w:rPr>
          <w:rFonts w:ascii="Arial" w:cs="Arial" w:eastAsia="Arial" w:hAnsi="Arial"/>
          <w:sz w:val="13"/>
          <w:szCs w:val="13"/>
          <w:i w:val="1"/>
          <w:iCs w:val="1"/>
          <w:color w:val="auto"/>
        </w:rPr>
        <w:t>Marketing Authorization</w:t>
      </w:r>
    </w:p>
    <w:p>
      <w:pPr>
        <w:ind w:left="380" w:right="2100"/>
        <w:spacing w:after="0" w:line="210" w:lineRule="auto"/>
        <w:rPr>
          <w:sz w:val="20"/>
          <w:szCs w:val="20"/>
          <w:color w:val="auto"/>
        </w:rPr>
      </w:pPr>
      <w:r>
        <w:rPr>
          <w:rFonts w:ascii="Arial" w:cs="Arial" w:eastAsia="Arial" w:hAnsi="Arial"/>
          <w:sz w:val="13"/>
          <w:szCs w:val="13"/>
          <w:color w:val="auto"/>
        </w:rPr>
        <w:t>To obtain a marketing authorization for a product under the European Union regulatory system, a sponsor must submit a marketing authorization application, or MAA, either under the centralized procedure administered by the EMA or one of the procedures administered by competent authorities in European Union member states (decentralized procedure, mutual recognition procedure, or if the product is to be approved in only one member state, the national procedure).</w:t>
      </w:r>
    </w:p>
    <w:p>
      <w:pPr>
        <w:spacing w:after="0" w:line="3"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All application procedures require an application in the common technical document, or CTD, format, which includes the submission of detailed information about the manufacturing and quality of the product, and nonclinical and clinical trial information. There is an increasing trend in the European Union toward greater transparency and, while certain of the manufacturing or quality information is currently generally protected as commercially confidential information, the EMA and national regulatory authorities are now liable to disclose much of the nonclinical and clinical information in marketing authorization dossiers, including the full clinical study reports, in response to freedom of information requests after the marketing authorization has been granted. In October 2014, the EMA adopted a policy under which clinical study reports would be posted on the agency’s website following the grant, denial or withdrawal of a MAA, subject to procedures for limited redactions and protection against unfair commercial use. The operation of this policy has been suspended in recent years due to priorities. However, it continues to apply the policy to COVID-19 vaccines and therapeutics. A similar transparency requirement is contained in the Clinical Trials Regulation (EU) No 536/2014.</w:t>
      </w:r>
    </w:p>
    <w:p>
      <w:pPr>
        <w:spacing w:after="0" w:line="7"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A marketing authorization may be granted only to a sponsor established in the European Union. Regulation (EC) No. 1901/2006 on medicinal products for pediatric use provides that prior to obtaining a marketing authorization in the European Union in the centralized procedure, a sponsor must demonstrate compliance with all measures included in an EMA-approved Pediatric Investigation Plan covering all subsets of the pediatric population, unless the EMA has granted a product-specific waiver, class waiver or deferral for one or more of the measures included in the Pediatric Investigation Plan.</w:t>
      </w:r>
    </w:p>
    <w:p>
      <w:pPr>
        <w:spacing w:after="0" w:line="4" w:lineRule="exact"/>
        <w:rPr>
          <w:sz w:val="20"/>
          <w:szCs w:val="20"/>
          <w:color w:val="auto"/>
        </w:rPr>
      </w:pPr>
    </w:p>
    <w:p>
      <w:pPr>
        <w:ind w:left="380" w:right="2180"/>
        <w:spacing w:after="0" w:line="216" w:lineRule="auto"/>
        <w:rPr>
          <w:sz w:val="20"/>
          <w:szCs w:val="20"/>
          <w:color w:val="auto"/>
        </w:rPr>
      </w:pPr>
      <w:r>
        <w:rPr>
          <w:rFonts w:ascii="Arial" w:cs="Arial" w:eastAsia="Arial" w:hAnsi="Arial"/>
          <w:sz w:val="13"/>
          <w:szCs w:val="13"/>
          <w:color w:val="auto"/>
        </w:rPr>
        <w:t>The centralized procedure provides for the grant of a single marketing authorization by the European Commission that is valid for all European Union and European Economic Area member states. Pursuant to Regulation (EC) No. 726/2004, the centralized procedure is compulsory for specific products, including for medicines (including vaccines) produced by certain biotechnological processes, products designated as orphan medicinal products, advanced therapy medicinal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is optional.</w:t>
      </w:r>
    </w:p>
    <w:p>
      <w:pPr>
        <w:sectPr>
          <w:pgSz w:w="11900" w:h="16840" w:orient="portrait"/>
          <w:cols w:equalWidth="0" w:num="1">
            <w:col w:w="9020"/>
          </w:cols>
          <w:pgMar w:left="1440" w:top="560" w:right="1440" w:bottom="1440" w:gutter="0" w:footer="0" w:header="0"/>
        </w:sectPr>
      </w:pPr>
    </w:p>
    <w:bookmarkStart w:id="107" w:name="page108"/>
    <w:bookmarkEnd w:id="107"/>
    <w:p>
      <w:pPr>
        <w:spacing w:after="0" w:line="200" w:lineRule="exact"/>
        <w:rPr>
          <w:sz w:val="20"/>
          <w:szCs w:val="20"/>
          <w:color w:val="auto"/>
        </w:rPr>
      </w:pPr>
    </w:p>
    <w:p>
      <w:pPr>
        <w:spacing w:after="0" w:line="22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154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40"/>
        <w:spacing w:after="0" w:line="213" w:lineRule="auto"/>
        <w:rPr>
          <w:sz w:val="20"/>
          <w:szCs w:val="20"/>
          <w:color w:val="auto"/>
        </w:rPr>
      </w:pPr>
      <w:r>
        <w:rPr>
          <w:rFonts w:ascii="Arial" w:cs="Arial" w:eastAsia="Arial" w:hAnsi="Arial"/>
          <w:sz w:val="13"/>
          <w:szCs w:val="13"/>
          <w:color w:val="auto"/>
        </w:rPr>
        <w:t>Under the centralized procedure, the CHMP established at the EMA is responsible for conducting the assessment of a product to define its risk/benefit profile. Under the centralized procedure, the maximum timeframe for the evaluation of an MAA is 210 days, excluding clock stops when additional information or written or oral explanation is to be provided by the applicant in response to questions from the CHMP. Accelerated evaluation may be granted by the CHMP in exceptional cases, when a medicinal product is of major interest from the point of view of public health determined by three cumulative criteria: (i) the seriousness of the disease (e.g., heavy disabling or life-threatening diseases) to be treated, (ii) the absence or insufficiency of an appropriate alternative therapeutic approach, and (iii) anticipation of high therapeutic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-667385</wp:posOffset>
            </wp:positionV>
            <wp:extent cx="523113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20"/>
        <w:spacing w:after="0" w:line="210" w:lineRule="auto"/>
        <w:rPr>
          <w:sz w:val="20"/>
          <w:szCs w:val="20"/>
          <w:color w:val="auto"/>
        </w:rPr>
      </w:pPr>
      <w:r>
        <w:rPr>
          <w:rFonts w:ascii="Arial" w:cs="Arial" w:eastAsia="Arial" w:hAnsi="Arial"/>
          <w:sz w:val="13"/>
          <w:szCs w:val="13"/>
          <w:color w:val="auto"/>
        </w:rPr>
        <w:t>If the CHMP accepts such a request, the time limit of 210 days will be reduced to 150 days, but it is possible that the CHMP may revert to the standard time limit for the centralized procedure if it determines that it is no longer appropriate to conduct an accelerated assessment. The Committee for Advanced Therapies, or CAT, is responsible in conjunction with the CHMP for the evaluation of ATMPs. The CAT is primarily responsible for the scientific evaluation of ATMPs and prepares a draft opinion on the quality, safety and efficacy of each ATMP for which a MAA is submitted. The CAT’s opinion is then taken into account by the CHMP when giving its final recommendation regarding the authorization of a product in view of the balance of benefits and risks identified. Although the CAT’s draft opinion is submitted to the CHMP for final approval, the CHMP may depart from the draft opinion if it provides detailed scientific justification. The CHMP and CAT are also responsible for providing guidelines on ATMPs and have published numerous guidelines, including specific guidelines on gene therapies and cell therapies. These guidelines, which are not legally binding, provide additional guidance on the factors that the EMA will consider in relation to the development and evaluation of ATMPs and include, inter alia, the preclinical studies required to characterize ATMPs, the manufacturing and control information that should be submitted in a MAA; and post- approval measures required to monitor patients and evaluate the long term efficacy and potential adverse reactions of ATMPs.</w:t>
      </w:r>
    </w:p>
    <w:p>
      <w:pPr>
        <w:spacing w:after="0" w:line="9"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The European Commission may grant a so -called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w:t>
      </w:r>
    </w:p>
    <w:p>
      <w:pPr>
        <w:ind w:left="380"/>
        <w:spacing w:after="0" w:line="218" w:lineRule="auto"/>
        <w:rPr>
          <w:sz w:val="20"/>
          <w:szCs w:val="20"/>
          <w:color w:val="auto"/>
        </w:rPr>
      </w:pPr>
      <w:r>
        <w:rPr>
          <w:rFonts w:ascii="Arial" w:cs="Arial" w:eastAsia="Arial" w:hAnsi="Arial"/>
          <w:sz w:val="13"/>
          <w:szCs w:val="13"/>
          <w:color w:val="auto"/>
        </w:rPr>
        <w:t>•the applicant must complete an identified program of studies within a time period specified by the</w:t>
      </w:r>
    </w:p>
    <w:p>
      <w:pPr>
        <w:ind w:left="380"/>
        <w:spacing w:after="0" w:line="211" w:lineRule="auto"/>
        <w:rPr>
          <w:sz w:val="20"/>
          <w:szCs w:val="20"/>
          <w:color w:val="auto"/>
        </w:rPr>
      </w:pPr>
      <w:r>
        <w:rPr>
          <w:rFonts w:ascii="Arial" w:cs="Arial" w:eastAsia="Arial" w:hAnsi="Arial"/>
          <w:sz w:val="13"/>
          <w:szCs w:val="13"/>
          <w:color w:val="auto"/>
        </w:rPr>
        <w:t>competent authority, the results of which form the basis of a reassessment of the benefit/risk profile;</w:t>
      </w:r>
    </w:p>
    <w:p>
      <w:pPr>
        <w:ind w:left="380"/>
        <w:spacing w:after="0" w:line="211" w:lineRule="auto"/>
        <w:rPr>
          <w:sz w:val="20"/>
          <w:szCs w:val="20"/>
          <w:color w:val="auto"/>
        </w:rPr>
      </w:pPr>
      <w:r>
        <w:rPr>
          <w:rFonts w:ascii="Arial" w:cs="Arial" w:eastAsia="Arial" w:hAnsi="Arial"/>
          <w:sz w:val="13"/>
          <w:szCs w:val="13"/>
          <w:color w:val="auto"/>
        </w:rPr>
        <w:t>•the medicinal product in question may be supplied on medical prescription only and may in certain cases</w:t>
      </w:r>
    </w:p>
    <w:p>
      <w:pPr>
        <w:ind w:left="380"/>
        <w:spacing w:after="0" w:line="211" w:lineRule="auto"/>
        <w:rPr>
          <w:sz w:val="20"/>
          <w:szCs w:val="20"/>
          <w:color w:val="auto"/>
        </w:rPr>
      </w:pPr>
      <w:r>
        <w:rPr>
          <w:rFonts w:ascii="Arial" w:cs="Arial" w:eastAsia="Arial" w:hAnsi="Arial"/>
          <w:sz w:val="13"/>
          <w:szCs w:val="13"/>
          <w:color w:val="auto"/>
        </w:rPr>
        <w:t>be administered only under strict medical supervision, possibly in a hospital, and in the case of a radio-</w:t>
      </w:r>
    </w:p>
    <w:p>
      <w:pPr>
        <w:ind w:left="380"/>
        <w:spacing w:after="0" w:line="211" w:lineRule="auto"/>
        <w:rPr>
          <w:sz w:val="20"/>
          <w:szCs w:val="20"/>
          <w:color w:val="auto"/>
        </w:rPr>
      </w:pPr>
      <w:r>
        <w:rPr>
          <w:rFonts w:ascii="Arial" w:cs="Arial" w:eastAsia="Arial" w:hAnsi="Arial"/>
          <w:sz w:val="13"/>
          <w:szCs w:val="13"/>
          <w:color w:val="auto"/>
        </w:rPr>
        <w:t>pharmaceutical, by an authorized person; and</w:t>
      </w:r>
    </w:p>
    <w:p>
      <w:pPr>
        <w:ind w:left="380" w:right="2600"/>
        <w:spacing w:after="0" w:line="210" w:lineRule="auto"/>
        <w:rPr>
          <w:sz w:val="20"/>
          <w:szCs w:val="20"/>
          <w:color w:val="auto"/>
        </w:rPr>
      </w:pPr>
      <w:r>
        <w:rPr>
          <w:rFonts w:ascii="Arial" w:cs="Arial" w:eastAsia="Arial" w:hAnsi="Arial"/>
          <w:sz w:val="13"/>
          <w:szCs w:val="13"/>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2"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the marketing authorization of a medicinal product under exceptional circumstances follows the same rules as a “normal” marketing authorization. After five years, the marketing authorization will then be renewed under exceptional circumstances for an unlimited period, unless the EMA decides, on justified grounds, to proceed with one additional five-year renewal.</w:t>
      </w:r>
    </w:p>
    <w:p>
      <w:pPr>
        <w:spacing w:after="0" w:line="4" w:lineRule="exact"/>
        <w:rPr>
          <w:sz w:val="20"/>
          <w:szCs w:val="20"/>
          <w:color w:val="auto"/>
        </w:rPr>
      </w:pPr>
    </w:p>
    <w:p>
      <w:pPr>
        <w:ind w:left="380" w:right="2100"/>
        <w:spacing w:after="0" w:line="234" w:lineRule="auto"/>
        <w:rPr>
          <w:sz w:val="20"/>
          <w:szCs w:val="20"/>
          <w:color w:val="auto"/>
        </w:rPr>
      </w:pPr>
      <w:r>
        <w:rPr>
          <w:rFonts w:ascii="Arial" w:cs="Arial" w:eastAsia="Arial" w:hAnsi="Arial"/>
          <w:sz w:val="13"/>
          <w:szCs w:val="13"/>
          <w:color w:val="auto"/>
        </w:rPr>
        <w:t>The European Commission may also grant a so-called “conditional marketing authorization” prior to obtaining the comprehensive clinical data required for an application for a full marketing authorization. Such conditional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155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400"/>
        <w:spacing w:after="0" w:line="217" w:lineRule="auto"/>
        <w:rPr>
          <w:sz w:val="20"/>
          <w:szCs w:val="20"/>
          <w:color w:val="auto"/>
        </w:rPr>
      </w:pPr>
      <w:r>
        <w:rPr>
          <w:rFonts w:ascii="Arial" w:cs="Arial" w:eastAsia="Arial" w:hAnsi="Arial"/>
          <w:sz w:val="13"/>
          <w:szCs w:val="13"/>
          <w:color w:val="auto"/>
        </w:rPr>
        <w:t>marketing authorizations may be granted for product candidates (including medicines designated as orphan medicinal products and vaccines) if the CHMP finds that all the following requirements are met: •the benefit-risk balance of the product is positive;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color w:val="auto"/>
        </w:rPr>
        <w:t>•it is likely that the applicant will be able to provide comprehensive data;</w:t>
      </w:r>
    </w:p>
    <w:p>
      <w:pPr>
        <w:ind w:left="380"/>
        <w:spacing w:after="0" w:line="211" w:lineRule="auto"/>
        <w:rPr>
          <w:sz w:val="20"/>
          <w:szCs w:val="20"/>
          <w:color w:val="auto"/>
        </w:rPr>
      </w:pPr>
      <w:r>
        <w:rPr>
          <w:rFonts w:ascii="Arial" w:cs="Arial" w:eastAsia="Arial" w:hAnsi="Arial"/>
          <w:sz w:val="13"/>
          <w:szCs w:val="13"/>
          <w:color w:val="auto"/>
        </w:rPr>
        <w:t>•unmet medical needs will be fulfilled; and</w:t>
      </w:r>
    </w:p>
    <w:p>
      <w:pPr>
        <w:ind w:left="380" w:right="2560"/>
        <w:spacing w:after="0" w:line="210" w:lineRule="auto"/>
        <w:rPr>
          <w:sz w:val="20"/>
          <w:szCs w:val="20"/>
          <w:color w:val="auto"/>
        </w:rPr>
      </w:pPr>
      <w:r>
        <w:rPr>
          <w:rFonts w:ascii="Arial" w:cs="Arial" w:eastAsia="Arial" w:hAnsi="Arial"/>
          <w:sz w:val="13"/>
          <w:szCs w:val="13"/>
          <w:color w:val="auto"/>
        </w:rPr>
        <w:t>•the benefit to public health of the medicinal product’s immediate availability on the market outweighs the risks due to need for further data.</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A conditional marketing authorization will contain specific obligations to be fulfilled by the marketing authorization holder, including obligations with respect to the completion of ongoing or new studies, manufacturing information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 Once comprehensive data on the medicinal product have been obtained, the marketing authorization may be converted into a standard marketing authorization which is no longer subject to specific obligations. Initially, this is valid for five years, but can be renewed for unlimited validity.</w:t>
      </w:r>
    </w:p>
    <w:p>
      <w:pPr>
        <w:spacing w:after="0" w:line="5"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During the COVID-19 pandemic, the EMA followed a “rolling review” process for COVID-19 vaccines, which is an ad hoc procedure by which data is assessed as it becomes available with the aim of granting a conditional marketing authorization.</w:t>
      </w:r>
    </w:p>
    <w:p>
      <w:pPr>
        <w:spacing w:after="0" w:line="2" w:lineRule="exact"/>
        <w:rPr>
          <w:sz w:val="20"/>
          <w:szCs w:val="20"/>
          <w:color w:val="auto"/>
        </w:rPr>
      </w:pPr>
    </w:p>
    <w:p>
      <w:pPr>
        <w:jc w:val="both"/>
        <w:ind w:left="380" w:right="2100"/>
        <w:spacing w:after="0" w:line="210" w:lineRule="auto"/>
        <w:rPr>
          <w:sz w:val="20"/>
          <w:szCs w:val="20"/>
          <w:color w:val="auto"/>
        </w:rPr>
      </w:pPr>
      <w:r>
        <w:rPr>
          <w:rFonts w:ascii="Arial" w:cs="Arial" w:eastAsia="Arial" w:hAnsi="Arial"/>
          <w:sz w:val="13"/>
          <w:szCs w:val="13"/>
          <w:color w:val="auto"/>
        </w:rPr>
        <w:t>The European Union medicines rules expressly permit the member states to adopt national legislation prohibiting or restricting the sale, supply or use of any medicinal products containing, consisting of or derived from a specific type of human or animal cell, such as embryonic stem cells.</w:t>
      </w:r>
    </w:p>
    <w:p>
      <w:pPr>
        <w:ind w:left="380"/>
        <w:spacing w:after="0" w:line="213" w:lineRule="auto"/>
        <w:rPr>
          <w:sz w:val="20"/>
          <w:szCs w:val="20"/>
          <w:color w:val="auto"/>
        </w:rPr>
      </w:pPr>
      <w:r>
        <w:rPr>
          <w:rFonts w:ascii="Arial" w:cs="Arial" w:eastAsia="Arial" w:hAnsi="Arial"/>
          <w:sz w:val="13"/>
          <w:szCs w:val="13"/>
          <w:i w:val="1"/>
          <w:iCs w:val="1"/>
          <w:color w:val="auto"/>
        </w:rPr>
        <w:t>Periods of Authorization and Renewals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 marketing authorization is valid for five years, in principle, and it may be renewed after five years on the basis</w:t>
      </w:r>
    </w:p>
    <w:p>
      <w:pPr>
        <w:sectPr>
          <w:pgSz w:w="11900" w:h="16840" w:orient="portrait"/>
          <w:cols w:equalWidth="0" w:num="1">
            <w:col w:w="9020"/>
          </w:cols>
          <w:pgMar w:left="1440" w:top="1440" w:right="1440" w:bottom="17" w:gutter="0" w:footer="0" w:header="0"/>
        </w:sectPr>
      </w:pPr>
    </w:p>
    <w:bookmarkStart w:id="108" w:name="page109"/>
    <w:bookmarkEnd w:id="108"/>
    <w:p>
      <w:pPr>
        <w:ind w:left="380" w:right="2120"/>
        <w:spacing w:after="0" w:line="212" w:lineRule="auto"/>
        <w:rPr>
          <w:sz w:val="20"/>
          <w:szCs w:val="20"/>
          <w:color w:val="auto"/>
        </w:rPr>
      </w:pPr>
      <w:r>
        <w:rPr>
          <w:rFonts w:ascii="Arial" w:cs="Arial" w:eastAsia="Arial" w:hAnsi="Arial"/>
          <w:sz w:val="13"/>
          <w:szCs w:val="13"/>
          <w:color w:val="auto"/>
        </w:rPr>
        <w:t>of a reevaluation of the risk benefit balance by the EMA or by the competent authority of the authorizing member states.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product on the European Union market (in the case of the centralized procedure) or on the market of the authorizing member state within three years after authorization ceases to be valid (referred to as the “sunset” clause).</w:t>
      </w:r>
    </w:p>
    <w:p>
      <w:pPr>
        <w:ind w:left="380"/>
        <w:spacing w:after="0" w:line="219" w:lineRule="auto"/>
        <w:rPr>
          <w:sz w:val="20"/>
          <w:szCs w:val="20"/>
          <w:color w:val="auto"/>
        </w:rPr>
      </w:pPr>
      <w:r>
        <w:rPr>
          <w:rFonts w:ascii="Arial" w:cs="Arial" w:eastAsia="Arial" w:hAnsi="Arial"/>
          <w:sz w:val="13"/>
          <w:szCs w:val="13"/>
          <w:i w:val="1"/>
          <w:iCs w:val="1"/>
          <w:color w:val="auto"/>
        </w:rPr>
        <w:t>Emergency Use Distribution</w:t>
      </w:r>
    </w:p>
    <w:p>
      <w:pPr>
        <w:spacing w:after="0" w:line="1"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The European Union medicines rules, as implemented into the national laws of the EU member states, permit national authorities to authorize temporarily the distribution of an unapproved medicinal product in certain emergency situations, including suspected or confirmed spread of pathogenic agents. Such an emergency use distribution, or EUD (sometimes referred to as a “temporary exemption,” i.e., a temporary exemption from the requirement to obtain a marketing authorization), would apply for the duration of the emergency only and would be limited to the member state in which it has been issued. When considering whether to grant an EUD, the relevant member state decides, which data it requires for the grant of the EUD. COVID-19 vaccines to date have followed the centralized procedure, which was previously combined with a rolling review of data with a view to granting conditional marketing authorizations.</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3"/>
          <w:szCs w:val="13"/>
          <w:i w:val="1"/>
          <w:iCs w:val="1"/>
          <w:color w:val="auto"/>
        </w:rPr>
        <w:t>Regulatory Requirements after Marketing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156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40"/>
        <w:spacing w:after="0" w:line="212" w:lineRule="auto"/>
        <w:rPr>
          <w:sz w:val="20"/>
          <w:szCs w:val="20"/>
          <w:color w:val="auto"/>
        </w:rPr>
      </w:pPr>
      <w:r>
        <w:rPr>
          <w:rFonts w:ascii="Arial" w:cs="Arial" w:eastAsia="Arial" w:hAnsi="Arial"/>
          <w:sz w:val="13"/>
          <w:szCs w:val="13"/>
          <w:color w:val="auto"/>
        </w:rPr>
        <w:t>Following approval, the holder of the marketing authorization is required to comply with a range of requirements applicable to the manufacturing, marketing, promotion and sale of the medicinal product. These include compliance with the European Union’s stringent pharmacovigilance or safety reporting rules, pursuant to which post-authorization studies and additional monitoring obligations can be imposed. 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 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 authorization obligations may include additional safety monitoring, more frequent submission of PSURs, or the conduct of additional clinical trials or post-authorization safety or efficacy studies. RMPs and PSURs are routinely available to third parties requesting access, subject to limited redactions.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-1167130</wp:posOffset>
            </wp:positionV>
            <wp:extent cx="523113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20"/>
        <w:spacing w:after="0" w:line="232" w:lineRule="auto"/>
        <w:rPr>
          <w:sz w:val="20"/>
          <w:szCs w:val="20"/>
          <w:color w:val="auto"/>
        </w:rPr>
      </w:pPr>
      <w:r>
        <w:rPr>
          <w:rFonts w:ascii="Arial" w:cs="Arial" w:eastAsia="Arial" w:hAnsi="Arial"/>
          <w:sz w:val="13"/>
          <w:szCs w:val="13"/>
          <w:color w:val="auto"/>
        </w:rPr>
        <w:t>In addition, the manufacturing of authorized products, for which a separate manufacturer’s license is mandatory, must also be conducted in strict compliance with the EMA’s GMP requirements and comparable requirements of other regulatory bodies in the European Union, which mandate the methods, facilities and controls used in the manufacturing, processing and packing of products to assure their safety and identity. Specifically, medicinal products may only be manufactured in the European Union, or imported into the European Union from another country, by the holder of a manufacturing/import authorization from the competent national authority. The manufacturer or importer must have a qualified person who is responsible for certifying that each batch of product has been manufactured in accordance with European Union standards of good manufacturing practice, or GMP, before releasing the product for commercial distribution in the European Union or for use in a clinical trial. Manufacturing facilities are subject to periodic inspections by the competent authorities for compliance with GMP.</w:t>
      </w:r>
    </w:p>
    <w:p>
      <w:pPr>
        <w:ind w:left="380" w:right="2140"/>
        <w:spacing w:after="0" w:line="210" w:lineRule="auto"/>
        <w:rPr>
          <w:sz w:val="20"/>
          <w:szCs w:val="20"/>
          <w:color w:val="auto"/>
        </w:rPr>
      </w:pPr>
      <w:r>
        <w:rPr>
          <w:rFonts w:ascii="Arial" w:cs="Arial" w:eastAsia="Arial" w:hAnsi="Arial"/>
          <w:sz w:val="13"/>
          <w:szCs w:val="13"/>
          <w:color w:val="auto"/>
        </w:rPr>
        <w:t>Finally, the marketing and promotion of authorized products, including industry-sponsored continuing medical education and advertising directed toward the prescribers of products and/or the general public, are strictly regulated in the European Union. In principle, all advertising and promotional activities for the product must be consistent with the approved summary of product characteristics, and therefore all off-label promotion is prohibited. Direct -to-consumer advertising of prescription medicines (including vaccines) is also prohibited in the European Union. Although general requirements for advertising and promotion of medicinal products are established under Directive 2001/83/EC, as amended, the details and the enforcement of these rules are governed by regulations in each member state and can differ from one country to another.</w:t>
      </w:r>
    </w:p>
    <w:p>
      <w:pPr>
        <w:spacing w:after="0" w:line="5"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The enforcement actions and consequences for non-compliance with the EU legislation are similar to those listed above for the United States. For centrally approved products in the EU, there is the possibility of fines for regulatory non-compliance with certain of the legal requirements, including in relation to obligations regarding placing the product on the market, safety monitoring and pediatric compliance.</w:t>
      </w:r>
    </w:p>
    <w:p>
      <w:pPr>
        <w:ind w:left="380"/>
        <w:spacing w:after="0" w:line="214" w:lineRule="auto"/>
        <w:rPr>
          <w:sz w:val="20"/>
          <w:szCs w:val="20"/>
          <w:color w:val="auto"/>
        </w:rPr>
      </w:pPr>
      <w:r>
        <w:rPr>
          <w:rFonts w:ascii="Arial" w:cs="Arial" w:eastAsia="Arial" w:hAnsi="Arial"/>
          <w:sz w:val="13"/>
          <w:szCs w:val="13"/>
          <w:i w:val="1"/>
          <w:iCs w:val="1"/>
          <w:color w:val="auto"/>
        </w:rPr>
        <w:t>Human Cells and Tissues</w:t>
      </w:r>
    </w:p>
    <w:p>
      <w:pPr>
        <w:ind w:left="380" w:right="2180"/>
        <w:spacing w:after="0" w:line="210" w:lineRule="auto"/>
        <w:rPr>
          <w:sz w:val="20"/>
          <w:szCs w:val="20"/>
          <w:color w:val="auto"/>
        </w:rPr>
      </w:pPr>
      <w:r>
        <w:rPr>
          <w:rFonts w:ascii="Arial" w:cs="Arial" w:eastAsia="Arial" w:hAnsi="Arial"/>
          <w:sz w:val="13"/>
          <w:szCs w:val="13"/>
          <w:color w:val="auto"/>
        </w:rPr>
        <w:t>Human cells and tissues that are intended for human applications but that do not fall within the scope of rules governing medicinal products or medical devices are not subject to premarket review and approval, nor do they require extensive preclinical and clinical testing. However, there are European Union rules governing the donation, procurement, testing and storage of human cells and tissues intended for human application, whether or not they are ATMPs. These rules also cover the processing, preservation and distribution of human cell and tissues that are not ATMPs. Establishments that conduct such activities must be licensed and are subject to inspection by regulatory authorities. Such establishments must implement appropriate quality systems and maintain appropriate records to ensure that cells and tissues can be traced from the donor to the recipient and vice versa. There are also requirements to report serious adverse events and reactions linked to the quality and safety of cells and tissues. More detailed rules may exist at the national level.</w:t>
      </w:r>
    </w:p>
    <w:p>
      <w:pPr>
        <w:ind w:left="380"/>
        <w:spacing w:after="0" w:line="220" w:lineRule="auto"/>
        <w:rPr>
          <w:sz w:val="20"/>
          <w:szCs w:val="20"/>
          <w:color w:val="auto"/>
        </w:rPr>
      </w:pPr>
      <w:r>
        <w:rPr>
          <w:rFonts w:ascii="Arial" w:cs="Arial" w:eastAsia="Arial" w:hAnsi="Arial"/>
          <w:sz w:val="13"/>
          <w:szCs w:val="13"/>
          <w:i w:val="1"/>
          <w:iCs w:val="1"/>
          <w:color w:val="auto"/>
        </w:rPr>
        <w:t>Named Patient Supplies and Compassionate Use Programs</w:t>
      </w:r>
    </w:p>
    <w:p>
      <w:pPr>
        <w:ind w:left="380" w:right="2100"/>
        <w:spacing w:after="0" w:line="234" w:lineRule="auto"/>
        <w:rPr>
          <w:sz w:val="20"/>
          <w:szCs w:val="20"/>
          <w:color w:val="auto"/>
        </w:rPr>
      </w:pPr>
      <w:r>
        <w:rPr>
          <w:rFonts w:ascii="Arial" w:cs="Arial" w:eastAsia="Arial" w:hAnsi="Arial"/>
          <w:sz w:val="13"/>
          <w:szCs w:val="13"/>
          <w:color w:val="auto"/>
        </w:rPr>
        <w:t>The European Union medicines rules allow individual member states to permit the supply of a medicinal product without a marketing authorization to fulfill special needs, where the product is supplied in response to a bona fide</w:t>
      </w:r>
    </w:p>
    <w:p>
      <w:pPr>
        <w:sectPr>
          <w:pgSz w:w="11900" w:h="16840" w:orient="portrait"/>
          <w:cols w:equalWidth="0" w:num="1">
            <w:col w:w="9020"/>
          </w:cols>
          <w:pgMar w:left="1440" w:top="560" w:right="1440" w:bottom="144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157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line="215" w:lineRule="auto"/>
        <w:rPr>
          <w:sz w:val="20"/>
          <w:szCs w:val="20"/>
          <w:color w:val="auto"/>
        </w:rPr>
      </w:pPr>
      <w:r>
        <w:rPr>
          <w:rFonts w:ascii="Arial" w:cs="Arial" w:eastAsia="Arial" w:hAnsi="Arial"/>
          <w:sz w:val="13"/>
          <w:szCs w:val="13"/>
          <w:color w:val="auto"/>
        </w:rPr>
        <w:t>unsolicited order, formulated in accordance with the specifications of a healthcare professional and for use by an individual patient under his direct personal responsibility. This may in certain countries also apply to products manufactured in a country outside the European Union and imported to treat specific patients or small groups of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620"/>
        <w:spacing w:after="0" w:line="210" w:lineRule="auto"/>
        <w:rPr>
          <w:sz w:val="20"/>
          <w:szCs w:val="20"/>
          <w:color w:val="auto"/>
        </w:rPr>
      </w:pPr>
      <w:r>
        <w:rPr>
          <w:rFonts w:ascii="Arial" w:cs="Arial" w:eastAsia="Arial" w:hAnsi="Arial"/>
          <w:sz w:val="13"/>
          <w:szCs w:val="13"/>
          <w:color w:val="auto"/>
        </w:rPr>
        <w:t>Some member state laws also provide for compassionate use on a “cohort” basis, subject to review and approval of the cohort program based on the local laws in the member state.</w:t>
      </w:r>
    </w:p>
    <w:p>
      <w:pPr>
        <w:ind w:left="380"/>
        <w:spacing w:after="0" w:line="212" w:lineRule="auto"/>
        <w:rPr>
          <w:sz w:val="20"/>
          <w:szCs w:val="20"/>
          <w:color w:val="auto"/>
        </w:rPr>
      </w:pPr>
      <w:r>
        <w:rPr>
          <w:rFonts w:ascii="Arial" w:cs="Arial" w:eastAsia="Arial" w:hAnsi="Arial"/>
          <w:sz w:val="13"/>
          <w:szCs w:val="13"/>
          <w:i w:val="1"/>
          <w:iCs w:val="1"/>
          <w:color w:val="auto"/>
        </w:rPr>
        <w:t>Orphan Drug Designation and Exclusivity</w:t>
      </w:r>
    </w:p>
    <w:p>
      <w:pPr>
        <w:spacing w:after="0" w:line="1"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Regulation (EC) No. 141/2000 and Regulation (EC) No. 847/2000 provide that a product can be designated as an orphan drug by the European Commission if its sponsor can establish: that the product is intended for the diagnosis, prevention or treatment of (i) a life-threatening or chronically debilitating condition affecting not more than five in 10,000 persons in the European Union when the application is made, or (ii) a life-threatening, seriously debilitating or serious and chronic condition in the European Union and that without incentives it is unlikely that the marketing of the product in the European Union would generate sufficient return to justify the necessary investment. For either of these conditions, the sponsor must demonstrate that there exists no satisfactory method of diagnosis, prevention or treatment of the condition in question that has been authorized in the European Union or, if such method exists, the product has to be of significant benefit compared to products available for the condition.</w:t>
      </w:r>
    </w:p>
    <w:p>
      <w:pPr>
        <w:spacing w:after="0" w:line="6"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An orphan drug designation provides a number of benefits, including fee reductions, regulatory assistance and the possibility to apply for a centralized European Union marketing authorization. Marketing authorization for an orphan drug leads to a 10-year period of orphan market exclusivity. During this orphan market exclusivity period, neither the EMA nor the European Commission or the member states can accept an application or grant a marketing authorization for a “similar medicinal product.” A “similar medicinal product” is defined as a medicinal product containing a similar active substance or substances as contained in a currently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w:t>
      </w:r>
    </w:p>
    <w:p>
      <w:pPr>
        <w:ind w:left="380"/>
        <w:spacing w:after="0" w:line="219" w:lineRule="auto"/>
        <w:rPr>
          <w:sz w:val="20"/>
          <w:szCs w:val="20"/>
          <w:color w:val="auto"/>
        </w:rPr>
      </w:pPr>
      <w:r>
        <w:rPr>
          <w:rFonts w:ascii="Arial" w:cs="Arial" w:eastAsia="Arial" w:hAnsi="Arial"/>
          <w:sz w:val="13"/>
          <w:szCs w:val="13"/>
          <w:i w:val="1"/>
          <w:iCs w:val="1"/>
          <w:color w:val="auto"/>
        </w:rPr>
        <w:t>European Data Collection and Data Protection Laws</w:t>
      </w:r>
    </w:p>
    <w:p>
      <w:pPr>
        <w:ind w:left="380" w:right="2080"/>
        <w:spacing w:after="0" w:line="210" w:lineRule="auto"/>
        <w:rPr>
          <w:sz w:val="20"/>
          <w:szCs w:val="20"/>
          <w:color w:val="auto"/>
        </w:rPr>
      </w:pPr>
      <w:r>
        <w:rPr>
          <w:rFonts w:ascii="Arial" w:cs="Arial" w:eastAsia="Arial" w:hAnsi="Arial"/>
          <w:sz w:val="13"/>
          <w:szCs w:val="13"/>
          <w:color w:val="auto"/>
        </w:rPr>
        <w:t>We are required to comply with strict data protection and privacy legislation in the jurisdictions in which we operate, including the General Data Protection Regulation (EU) 2016/679, or GDPR. The GDPR governs our collection and use of personal data in the European Union relating to individuals (e.g., patients). The GDPR imposes several requirements on organizations that process such data, including: to observe core data processing principles; to comply with various accountability measures; to provide more detailed information to individuals about data processing activities; to establish a legal basis to process personal data (including enhanced consent requirements); to maintain the integrity, security and confidentiality of personal data; and to report personal data breaches. The GDPR also restricts the transfer of personal data outside of the European Economic Area (e.g., to the United States and other countries that are not deemed to provide adequate protection under their domestic laws). The GDPR may impose additional responsibility and liability in relation to personal data that we process, and require us to put in place additional mechanisms ensuring compliance with the new data protection rules. This may be onerous and adversely affect our business, financial condition, results of operations and prospects. Failure to comply with the requirements of the GDPR and related national data protection laws of European Union member states may result in a variety of enforcement measures, including significant fines and other administrative measures. The GDPR has introduced substantial fines for breaches of the data protection rules, increased powers for regulators, enhanced rights for individuals, and new rules on judicial remedies and collective redress. We may be subject to claims by third parties, such as patients or regulatory bodies, that we or our employees or independent contractors inadvertently or otherwise breached GDPR and related data protection rules. Litigation may be necessary to defend against these claims. There is no guarantee of success in defending these claims, and if we do not prevail, we could be required to pay substantial fines and/or damages and could suffer significant reputational harm. Even if we are successful, litigation could result in substantial cost and be a distraction to management and other employees.</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auto"/>
        </w:rPr>
        <w:t>C. Coverage, Pricing and Reimbursement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158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line="212" w:lineRule="auto"/>
        <w:rPr>
          <w:sz w:val="20"/>
          <w:szCs w:val="20"/>
          <w:color w:val="auto"/>
        </w:rPr>
      </w:pPr>
      <w:r>
        <w:rPr>
          <w:rFonts w:ascii="Arial" w:cs="Arial" w:eastAsia="Arial" w:hAnsi="Arial"/>
          <w:sz w:val="13"/>
          <w:szCs w:val="13"/>
          <w:color w:val="auto"/>
        </w:rPr>
        <w:t>Significant uncertainty exists as to the coverage and reimbursement status of any product candidates for which we may obtain regulatory approval. Even if our product candidates are approved for marketing, sales of such product candidates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 candidates. In the United States, the member states of the European Union and markets in other countries, patients who are prescribed treatments for their conditions and providers performing the prescribed services generally rely on third-party payors to reimburse all or part of the associated healthcare costs. Reimbursement rules and levels are not harmonized in the European Union and therefore differ from member state to member state. Patients are unlikely to use any product candidates we may develop unless coverage is provided and reimbursement is adequate to cover a significant portion of the cost of such product candidates.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 and examining the medical necessity and cost-effectiveness of medical products and services and imposing controls to manage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-1250950</wp:posOffset>
            </wp:positionV>
            <wp:extent cx="523113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34" w:lineRule="auto"/>
        <w:rPr>
          <w:sz w:val="20"/>
          <w:szCs w:val="20"/>
          <w:color w:val="auto"/>
        </w:rPr>
      </w:pPr>
      <w:r>
        <w:rPr>
          <w:rFonts w:ascii="Arial" w:cs="Arial" w:eastAsia="Arial" w:hAnsi="Arial"/>
          <w:sz w:val="13"/>
          <w:szCs w:val="13"/>
          <w:color w:val="auto"/>
        </w:rPr>
        <w:t>In order to secure coverage and reimbursement for any product that might be approved for sale, a company may need to conduct expensive pharmacoeconomic studies in order to demonstrate the medical necessity and cost-</w:t>
      </w:r>
    </w:p>
    <w:p>
      <w:pPr>
        <w:sectPr>
          <w:pgSz w:w="11900" w:h="16840" w:orient="portrait"/>
          <w:cols w:equalWidth="0" w:num="1">
            <w:col w:w="9020"/>
          </w:cols>
          <w:pgMar w:left="1440" w:top="1440" w:right="1440" w:bottom="0" w:gutter="0" w:footer="0" w:header="0"/>
        </w:sectPr>
      </w:pPr>
    </w:p>
    <w:bookmarkStart w:id="110" w:name="page111"/>
    <w:bookmarkEnd w:id="110"/>
    <w:p>
      <w:pPr>
        <w:ind w:left="380" w:right="2140"/>
        <w:spacing w:after="0" w:line="212" w:lineRule="auto"/>
        <w:rPr>
          <w:sz w:val="20"/>
          <w:szCs w:val="20"/>
          <w:color w:val="auto"/>
        </w:rPr>
      </w:pPr>
      <w:r>
        <w:rPr>
          <w:rFonts w:ascii="Arial" w:cs="Arial" w:eastAsia="Arial" w:hAnsi="Arial"/>
          <w:sz w:val="13"/>
          <w:szCs w:val="13"/>
          <w:color w:val="auto"/>
        </w:rPr>
        <w:t>effectiveness of the product, and the cost of these studies would be in addition to the costs required to obtain FDA or other comparable marketing approvals. Even after pharmacoeconomic studies are conducted,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 Additionally, a payor’s decision to provide coverage for a product does not imply that an adequate reimbursement rate will be approved. For example, the payor may require co-payments that patients find unacceptably high. Further, one payor’s determination to provide coverage for a product does not assure that such coverage will continue or that other payors will also provide coverage and reimbursement for the product, and the level of coverage and reimbursement can differ significantly from payor to payor. Third-party reimbursement and coverage may not be adequate to enable us to maintain price levels sufficient to realize an appropriate return on our investment in product development. The insurance coverage and reimbursement status of newly approved products for orphan diseases is particularly uncertain, and failure to obtain or maintain adequate coverage and reimbursement for any such product candidates could limit a company’s ability to generate revenue.</w:t>
      </w:r>
    </w:p>
    <w:p>
      <w:pPr>
        <w:spacing w:after="0" w:line="2" w:lineRule="exact"/>
        <w:rPr>
          <w:sz w:val="20"/>
          <w:szCs w:val="20"/>
          <w:color w:val="auto"/>
        </w:rPr>
      </w:pPr>
    </w:p>
    <w:p>
      <w:pPr>
        <w:ind w:left="380" w:right="2220"/>
        <w:spacing w:after="0" w:line="210" w:lineRule="auto"/>
        <w:rPr>
          <w:sz w:val="20"/>
          <w:szCs w:val="20"/>
          <w:color w:val="auto"/>
        </w:rPr>
      </w:pPr>
      <w:r>
        <w:rPr>
          <w:rFonts w:ascii="Arial" w:cs="Arial" w:eastAsia="Arial" w:hAnsi="Arial"/>
          <w:sz w:val="13"/>
          <w:szCs w:val="13"/>
          <w:color w:val="auto"/>
        </w:rPr>
        <w:t>The containment of healthcare costs also has become a priority of U.S. federal and state and other non-U.S. governments as well as other third-party payors such as statutory health insurance funds, and the prices of pharmaceuticals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from the sale of any approved products. Coverage policies and third -party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or coverage may be ended in the future.</w:t>
      </w:r>
    </w:p>
    <w:p>
      <w:pPr>
        <w:spacing w:after="0" w:line="6"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Outside the United States, we will face challenges in ensuring and obtaining adequate coverage and payment for any product candidates we may develop. Pricing of prescription pharmaceuticals is subject to governmental control in many countries, including in particular the member states of the European Union. Pricing negotiations with governmental authorities or other third-party payors such as statutory health insurance funds can extend well beyond the receipt of regulatory marketing approval for a product and may require us to conduct a clinical trial or non-interventional study that compares the cost effectiveness of any product candidates we may develop to other available therapies. The conduct of such a clinical trial or study could be expensive and result in delays in our commercialization efforts.</w:t>
      </w:r>
    </w:p>
    <w:p>
      <w:pPr>
        <w:spacing w:after="0" w:line="5" w:lineRule="exact"/>
        <w:rPr>
          <w:sz w:val="20"/>
          <w:szCs w:val="20"/>
          <w:color w:val="auto"/>
        </w:rPr>
      </w:pPr>
    </w:p>
    <w:p>
      <w:pPr>
        <w:ind w:left="380" w:right="2080"/>
        <w:spacing w:after="0" w:line="234" w:lineRule="auto"/>
        <w:rPr>
          <w:sz w:val="20"/>
          <w:szCs w:val="20"/>
          <w:color w:val="auto"/>
        </w:rPr>
      </w:pPr>
      <w:r>
        <w:rPr>
          <w:rFonts w:ascii="Arial" w:cs="Arial" w:eastAsia="Arial" w:hAnsi="Arial"/>
          <w:sz w:val="13"/>
          <w:szCs w:val="13"/>
          <w:color w:val="auto"/>
        </w:rPr>
        <w:t>In the European Union, pricing and reimbursement schemes vary widely from country to country. Some countries provide that products may be marketed only after a reimbursement price has been agreed. Some countries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159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1" w:lineRule="auto"/>
        <w:rPr>
          <w:sz w:val="20"/>
          <w:szCs w:val="20"/>
          <w:color w:val="auto"/>
        </w:rPr>
      </w:pPr>
      <w:r>
        <w:rPr>
          <w:rFonts w:ascii="Arial" w:cs="Arial" w:eastAsia="Arial" w:hAnsi="Arial"/>
          <w:sz w:val="13"/>
          <w:szCs w:val="13"/>
          <w:color w:val="auto"/>
        </w:rPr>
        <w:t>require the completion of additional studies that compare the cost effectiveness of a particular product candidate to currently available therapies (so called health technology assessments) in order to obtain reimbursement or pricing approval. The European Union recently adopted Regulation (EU) 2021/2282 on health technology assessment, which provides a framework for member states to cooperate on health technology assessments at the EU level. The Regulation is directly applicable in all EU member states which is in a phased period of applicability since January 12, 2025, although pricing will still be determined nationally. Moreover, at the national level, European Union member states may restrict the range of products for which their national health insurance systems provide reimbursement and to control the prices of medicinal products for human use.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 care costs in general, particularly prescription products, has become intense. As a result, increasingly high barriers are being erected to the entry of new products in the marketplace.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Special pricing and reimbursement rules may apply to orphan drugs. Inclusion of orphan drugs in reimbursement systems tend to focus on the medical usefulness, need, quality and economic benefits to patients and the healthcare system as for any product. Acceptance of any medicinal product for reimbursement may come with cost, use and often volume restrictions, which again can vary by country. In addition, results -based rules of reimbursement may apply. There can be no assurance that any country that has price controls or reimbursement limitations for pharmaceutical products will allow favorable reimbursement and pricing arrangements for any of our products, if approved in those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-2163445</wp:posOffset>
            </wp:positionV>
            <wp:extent cx="523113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color w:val="auto"/>
        </w:rPr>
        <w:t>For COVID-19 vaccine candidates in the European Union, no pricing and reimbursement or health technology assessments discussions have taken place with the respective health insurances and competent bodies at a national member state level. Currently, COVID-19 vaccine candidates are supplied in the European Union based on vaccine supply agreements with the European Commission that is acting on behalf and in the name of the member states of the European Union.</w:t>
      </w:r>
    </w:p>
    <w:p>
      <w:pPr>
        <w:ind w:left="380"/>
        <w:spacing w:after="0" w:line="215" w:lineRule="auto"/>
        <w:rPr>
          <w:sz w:val="20"/>
          <w:szCs w:val="20"/>
          <w:color w:val="auto"/>
        </w:rPr>
      </w:pPr>
      <w:r>
        <w:rPr>
          <w:rFonts w:ascii="Arial" w:cs="Arial" w:eastAsia="Arial" w:hAnsi="Arial"/>
          <w:sz w:val="13"/>
          <w:szCs w:val="13"/>
          <w:b w:val="1"/>
          <w:bCs w:val="1"/>
          <w:color w:val="auto"/>
        </w:rPr>
        <w:t>D. United Kingdom</w:t>
      </w:r>
    </w:p>
    <w:p>
      <w:pPr>
        <w:ind w:left="380" w:right="2120"/>
        <w:spacing w:after="0" w:line="210" w:lineRule="auto"/>
        <w:rPr>
          <w:sz w:val="20"/>
          <w:szCs w:val="20"/>
          <w:color w:val="auto"/>
        </w:rPr>
      </w:pPr>
      <w:r>
        <w:rPr>
          <w:rFonts w:ascii="Arial" w:cs="Arial" w:eastAsia="Arial" w:hAnsi="Arial"/>
          <w:sz w:val="13"/>
          <w:szCs w:val="13"/>
          <w:color w:val="auto"/>
        </w:rPr>
        <w:t>On June 23, 2016, in a national referendum, a majority of the electorate voted in favor of the United Kingdom leaving the European Union (commonly referred to as “Brexit”). On March 29, 2017, the United Kingdom Government formally notified the European Union of its intention to withdraw from the Union pursuant to Article 50 of the Treaty on the European Union. The United Kingdom formally left the European Union on January 31, 2020, with all applicable EU law, including the regulation of medicinal products, applying to and in the United Kingdom for a transitional period, which has now expired. The United Kingdom and the European Union have reached agreement on the terms of their future relationship in the Trade and Cooperation Agreement, or the TCA, which formally entered into force on May 1, 2021. While the TCA governs tariff and quota free trade between the United Kingdom and the European Union markets, it does not provide for regulatory alignment. The regulatory framework for medicinal products in the United Kingdom is predominantly derived from European Union law. The UK currently offers different routes to obtain a marketing authorization: (a) a national application route with a 150-day assessment timeline, excluding clock stops or (b) an international recognition route by which a company relies on a positive CHMP opinion or an approval granted by another reference regulator, including the FDA and the Japanese PDMA. The international recognition procedure takes 60 days with no clock stops for simpler applications that were approved by the reference regulator within the past two years and 110 days with the possibility of a clock stop for all other eligible applications.</w:t>
      </w:r>
    </w:p>
    <w:p>
      <w:pPr>
        <w:spacing w:after="0" w:line="10" w:lineRule="exact"/>
        <w:rPr>
          <w:sz w:val="20"/>
          <w:szCs w:val="20"/>
          <w:color w:val="auto"/>
        </w:rPr>
      </w:pPr>
    </w:p>
    <w:p>
      <w:pPr>
        <w:ind w:left="380" w:right="2120"/>
        <w:spacing w:after="0" w:line="234" w:lineRule="auto"/>
        <w:rPr>
          <w:sz w:val="20"/>
          <w:szCs w:val="20"/>
          <w:color w:val="auto"/>
        </w:rPr>
      </w:pPr>
      <w:r>
        <w:rPr>
          <w:rFonts w:ascii="Arial" w:cs="Arial" w:eastAsia="Arial" w:hAnsi="Arial"/>
          <w:sz w:val="13"/>
          <w:szCs w:val="13"/>
          <w:color w:val="auto"/>
        </w:rPr>
        <w:t>Domestic United Kingdom law provided that all existing European Union law in force on December 31, 2020 was retained in UK national law, subject to certain revisions that became necessary as a result of Brexit.</w:t>
      </w:r>
    </w:p>
    <w:p>
      <w:pPr>
        <w:sectPr>
          <w:pgSz w:w="11900" w:h="16840" w:orient="portrait"/>
          <w:cols w:equalWidth="0" w:num="1">
            <w:col w:w="9020"/>
          </w:cols>
          <w:pgMar w:left="1440" w:top="560" w:right="1440" w:bottom="583"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160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line="214" w:lineRule="auto"/>
        <w:rPr>
          <w:sz w:val="20"/>
          <w:szCs w:val="20"/>
          <w:color w:val="auto"/>
        </w:rPr>
      </w:pPr>
      <w:r>
        <w:rPr>
          <w:rFonts w:ascii="Arial" w:cs="Arial" w:eastAsia="Arial" w:hAnsi="Arial"/>
          <w:sz w:val="13"/>
          <w:szCs w:val="13"/>
          <w:color w:val="auto"/>
        </w:rPr>
        <w:t>However, the Retained EU Law (Revocation and Reform) Act 2023 came into force on January 1, 2024. This revoked some retained EU laws (although not any relating to medicines regulation). All other retained EU laws have been renamed as “assimilated laws” and are no longer subject to the EU principles of interpretation. Thus, while at least initially the United Kingdom and the European Union laws relating to medicines are largely aligned, there is the potential for further divergence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-416560</wp:posOffset>
            </wp:positionV>
            <wp:extent cx="523113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40"/>
        <w:spacing w:after="0" w:line="210" w:lineRule="auto"/>
        <w:rPr>
          <w:sz w:val="20"/>
          <w:szCs w:val="20"/>
          <w:color w:val="auto"/>
        </w:rPr>
      </w:pPr>
      <w:r>
        <w:rPr>
          <w:rFonts w:ascii="Arial" w:cs="Arial" w:eastAsia="Arial" w:hAnsi="Arial"/>
          <w:sz w:val="13"/>
          <w:szCs w:val="13"/>
          <w:color w:val="auto"/>
        </w:rPr>
        <w:t>Under the terms of the Northern Ireland Protocol to the Withdrawal Agreement, European Union law governing medicinal products continued to apply to and in Northern Ireland resulting in the potential for separate marketing authorizations in Great Britain and Northern Ireland. In March 2023, the Northern Ireland Protocol was adjusted by the Windsor Framework, which is another post- Brexit agreement between the EU and the UK. The Windsor Framework aims to make it easier to move certain goods, including medicines, from Great Britain to Northern Ireland. Beginning January 1, 2025, medicines for supply in the UK are now authorized UK-wide by the Medicines and Healthcare products Regulatory Agency (MHRA) only and companies can no longer apply for, or maintain, separate licenses for Great Britain and Northern Ireland to market new medicines. Other key changes introduced by the Windsor Framework include removing the requirements of the EU Falsified Medicines Directive (FMD) from products intended for Northern Ireland and a requirement that all medicines placed on the UK market be labeled “UK Only.”</w:t>
      </w:r>
    </w:p>
    <w:p>
      <w:pPr>
        <w:ind w:left="380"/>
        <w:spacing w:after="0" w:line="221" w:lineRule="auto"/>
        <w:rPr>
          <w:sz w:val="20"/>
          <w:szCs w:val="20"/>
          <w:color w:val="auto"/>
        </w:rPr>
      </w:pPr>
      <w:r>
        <w:rPr>
          <w:rFonts w:ascii="Arial" w:cs="Arial" w:eastAsia="Arial" w:hAnsi="Arial"/>
          <w:sz w:val="13"/>
          <w:szCs w:val="13"/>
          <w:b w:val="1"/>
          <w:bCs w:val="1"/>
          <w:color w:val="auto"/>
        </w:rPr>
        <w:t>E. Greater China</w:t>
      </w:r>
    </w:p>
    <w:p>
      <w:pPr>
        <w:ind w:left="380"/>
        <w:spacing w:after="0" w:line="211" w:lineRule="auto"/>
        <w:rPr>
          <w:sz w:val="20"/>
          <w:szCs w:val="20"/>
          <w:color w:val="auto"/>
        </w:rPr>
      </w:pPr>
      <w:r>
        <w:rPr>
          <w:rFonts w:ascii="Arial" w:cs="Arial" w:eastAsia="Arial" w:hAnsi="Arial"/>
          <w:sz w:val="13"/>
          <w:szCs w:val="13"/>
          <w:i w:val="1"/>
          <w:iCs w:val="1"/>
          <w:color w:val="auto"/>
        </w:rPr>
        <w:t>Mainland China</w:t>
      </w:r>
    </w:p>
    <w:p>
      <w:pPr>
        <w:ind w:left="380" w:right="2180"/>
        <w:spacing w:after="0" w:line="210" w:lineRule="auto"/>
        <w:rPr>
          <w:sz w:val="20"/>
          <w:szCs w:val="20"/>
          <w:color w:val="auto"/>
        </w:rPr>
      </w:pPr>
      <w:r>
        <w:rPr>
          <w:rFonts w:ascii="Arial" w:cs="Arial" w:eastAsia="Arial" w:hAnsi="Arial"/>
          <w:sz w:val="13"/>
          <w:szCs w:val="13"/>
          <w:color w:val="auto"/>
        </w:rPr>
        <w:t>Similar to the United States and the European Union, Mainland China has rules governing the approval for development and commercialization of drugs, including specialized rules for vaccines. China’s drug law and regulations require that the National Medical Products Administration’s, or NMPA’s, Center for Drug Evaluation, or CDE, approve a clinical trial application prior to initiating a study to support the safety and effectiveness of a drug, including a therapeutic or preventive biologic (i.e., a vaccine) . This clinical trial application generally takes approximately 60 business days but may be expedited in the case of innovative drugs studied at certain approved sites in China.</w:t>
      </w:r>
    </w:p>
    <w:p>
      <w:pPr>
        <w:spacing w:after="0" w:line="4"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Once approved, vaccine clinical trials must be conducted at sites that are qualified disease prevention and control, or CDC, institutions and grade III hospitals, and the implementation of the trial must be in accordance with China’s general drug and specialized vaccine good clinical practice regulations and related guidelines. Other drug trials must be conducted at designated hospital sites in accordance with China’s general drug good clinical practice rules. Furthermore, prior to the commencement of the clinical trial in China each site’s ethics committee must approve the trial, and the National Health Commission must approve the use of human samples containing genetic material and related genetic data. The human genetic resources, or HGR, approval requires a joint approval or record-filing application by the Chinese and foreign parties, setting forth the parties that will handle data and samples, the type and amount of samples that will be utilized during the study, the tests/ analysis run, and the plans for storage or destruction, and potentially the intellectual property sharing arrangement among the parties, among other items. If the research is exploratory (i.e., not tied to a program designed to obtain registration in China), patentable IP arising from the use of the HGR samples and data must be jointly owned by the Chinese and foreign parties. Once approved, the HGR approval/filing may require updates and amendments and additional procedures to transfer data to foreign parties that are not on the approval. A final report is due at the end of the study.</w:t>
      </w:r>
    </w:p>
    <w:p>
      <w:pPr>
        <w:spacing w:after="0" w:line="9" w:lineRule="exact"/>
        <w:rPr>
          <w:sz w:val="20"/>
          <w:szCs w:val="20"/>
          <w:color w:val="auto"/>
        </w:rPr>
      </w:pPr>
    </w:p>
    <w:p>
      <w:pPr>
        <w:ind w:left="380" w:right="2100"/>
        <w:spacing w:after="0" w:line="215" w:lineRule="auto"/>
        <w:rPr>
          <w:sz w:val="20"/>
          <w:szCs w:val="20"/>
          <w:color w:val="auto"/>
        </w:rPr>
      </w:pPr>
      <w:r>
        <w:rPr>
          <w:rFonts w:ascii="Arial" w:cs="Arial" w:eastAsia="Arial" w:hAnsi="Arial"/>
          <w:sz w:val="13"/>
          <w:szCs w:val="13"/>
          <w:color w:val="auto"/>
        </w:rPr>
        <w:t>Once a clinical trial in China is complete and/or foreign data is assembled, a company may submit an application for a marketing authorization, or MA, of the drug. This procedure will include submission of clinical data, manufacturing information and test results, among other items, and may include an onsite pre-market verification by the NMPA. This application may be considered more quickly if the applicant qualifies for admission to various expedited programs, including breakthrough designation for drugs that are new to the world in some respect, treat life threatening or quality of life altering diseases and either have no comparator on the market or represent a significant clinical advantage over existing approved therapies. Conditional approval procedures permit approval of a drug based on earlier stage data, but subject continued marketing to the fulfillment of post-market conditions with a designation period of time, such as the completion of additional studies. Therapeutic biologics and small molecule drugs follow similar steps to approval for development and marketing. These steps are similar for drugs that are imported and those that are produced domestically in China. However, domestically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161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20" w:lineRule="auto"/>
        <w:rPr>
          <w:sz w:val="20"/>
          <w:szCs w:val="20"/>
          <w:color w:val="auto"/>
        </w:rPr>
      </w:pPr>
      <w:r>
        <w:rPr>
          <w:rFonts w:ascii="Arial" w:cs="Arial" w:eastAsia="Arial" w:hAnsi="Arial"/>
          <w:sz w:val="13"/>
          <w:szCs w:val="13"/>
          <w:color w:val="auto"/>
        </w:rPr>
        <w:t>produced drugs must be produced at a facility that also obtains a drug manufacturing license based, in part, on a pre-marketing good manufacturing practice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80"/>
        <w:spacing w:after="0" w:line="210" w:lineRule="auto"/>
        <w:rPr>
          <w:sz w:val="20"/>
          <w:szCs w:val="20"/>
          <w:color w:val="auto"/>
        </w:rPr>
      </w:pPr>
      <w:r>
        <w:rPr>
          <w:rFonts w:ascii="Arial" w:cs="Arial" w:eastAsia="Arial" w:hAnsi="Arial"/>
          <w:sz w:val="13"/>
          <w:szCs w:val="13"/>
          <w:color w:val="auto"/>
        </w:rPr>
        <w:t>At both the clinical trial and MA stages, applicants for imported drugs must list a regulatory agent on the application. The agent must be an entity in China. The imported drug MA holder must also make a filing to a provincial level government appointing a responsible person, which is an entity that assists the marketing authorization holder, or MAH, with fulfilling its post-market drug regulatory obligations in China. The responsible person of the MAH is jointly liable with the MAH for these drug regulatory obligations.</w:t>
      </w:r>
    </w:p>
    <w:p>
      <w:pPr>
        <w:spacing w:after="0" w:line="3" w:lineRule="exact"/>
        <w:rPr>
          <w:sz w:val="20"/>
          <w:szCs w:val="20"/>
          <w:color w:val="auto"/>
        </w:rPr>
      </w:pPr>
    </w:p>
    <w:p>
      <w:pPr>
        <w:ind w:left="380" w:right="2380"/>
        <w:spacing w:after="0" w:line="234" w:lineRule="auto"/>
        <w:rPr>
          <w:sz w:val="20"/>
          <w:szCs w:val="20"/>
          <w:color w:val="auto"/>
        </w:rPr>
      </w:pPr>
      <w:r>
        <w:rPr>
          <w:rFonts w:ascii="Arial" w:cs="Arial" w:eastAsia="Arial" w:hAnsi="Arial"/>
          <w:sz w:val="13"/>
          <w:szCs w:val="13"/>
          <w:color w:val="auto"/>
        </w:rPr>
        <w:t>Once approved, vaccines may be procured by the CDC through platforms organized by the provincial governments. Vaccines in China must be sold and directly distributed by domestic manufacturers or general</w:t>
      </w:r>
    </w:p>
    <w:p>
      <w:pPr>
        <w:sectPr>
          <w:pgSz w:w="11900" w:h="16840" w:orient="portrait"/>
          <w:cols w:equalWidth="0" w:num="1">
            <w:col w:w="9020"/>
          </w:cols>
          <w:pgMar w:left="1440" w:top="1440" w:right="1440" w:bottom="118" w:gutter="0" w:footer="0" w:header="0"/>
        </w:sectPr>
      </w:pPr>
    </w:p>
    <w:bookmarkStart w:id="112" w:name="page113"/>
    <w:bookmarkEnd w:id="112"/>
    <w:p>
      <w:pPr>
        <w:ind w:left="380" w:right="2100"/>
        <w:spacing w:after="0" w:line="215" w:lineRule="auto"/>
        <w:rPr>
          <w:sz w:val="20"/>
          <w:szCs w:val="20"/>
          <w:color w:val="auto"/>
        </w:rPr>
      </w:pPr>
      <w:r>
        <w:rPr>
          <w:rFonts w:ascii="Arial" w:cs="Arial" w:eastAsia="Arial" w:hAnsi="Arial"/>
          <w:sz w:val="13"/>
          <w:szCs w:val="13"/>
          <w:color w:val="auto"/>
        </w:rPr>
        <w:t>distributors appointed to represent overseas makers to municipal level CDCs, which handle allocation and distribution to points of vaccination in China. Distribution of other drugs occurs through procurement processes for sales at public hospitals and sales to private hospitals or pharmacies. Distributors of all drugs must possess a MA for the drug they are distributing or a drug distribution license.</w:t>
      </w:r>
    </w:p>
    <w:p>
      <w:pPr>
        <w:spacing w:after="0" w:line="2"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As is the case with all drugs, once on the market, MAHs will also have post-market obligations, including fulfillment of post-marketing commitments. In the case of vaccines, MAHs must pay compensation for injuries caused adverse events following inoculation, or AEFIs, if the vaccine is not one required as part of the National Inoculation Program. The government bears the cost of NIP vaccines and related AEFIs. All drug MAHs are subject to other post-market obligations for drug marketing authorization holders, including recalls, annual reporting, and inspections. All drug MAs must be renewed every five years, and supplemental applications, notifications, or reports may need to be submitted for major, moderate and minor changes, respectively, to the original registration (e.g., significant manufacturing changes).</w:t>
      </w:r>
    </w:p>
    <w:p>
      <w:pPr>
        <w:spacing w:after="0" w:line="5"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Advertisements of prescription drugs, including vaccines, must be pre-approved and may only be placed in approved medical journals. Other forms of “academic promotion” may be performed by medical representatives who are authorized in writing by MAHs (or their agents) and their information filed on government designated websites. Currently, medical representatives are permitted to provide information about the drug to health care professionals (in accordance with certain procedural rules) and collect feedback as to drug safety, although a proposed revision to this rule may further restrict the activities of the medical representatives.</w:t>
      </w:r>
    </w:p>
    <w:p>
      <w:pPr>
        <w:ind w:left="380"/>
        <w:spacing w:after="0" w:line="216" w:lineRule="auto"/>
        <w:rPr>
          <w:sz w:val="20"/>
          <w:szCs w:val="20"/>
          <w:color w:val="auto"/>
        </w:rPr>
      </w:pPr>
      <w:r>
        <w:rPr>
          <w:rFonts w:ascii="Arial" w:cs="Arial" w:eastAsia="Arial" w:hAnsi="Arial"/>
          <w:sz w:val="13"/>
          <w:szCs w:val="13"/>
          <w:i w:val="1"/>
          <w:iCs w:val="1"/>
          <w:color w:val="auto"/>
        </w:rPr>
        <w:t>Hong Kong and Macao</w:t>
      </w:r>
    </w:p>
    <w:p>
      <w:pPr>
        <w:ind w:left="380" w:right="2200"/>
        <w:spacing w:after="0" w:line="210" w:lineRule="auto"/>
        <w:rPr>
          <w:sz w:val="20"/>
          <w:szCs w:val="20"/>
          <w:color w:val="auto"/>
        </w:rPr>
      </w:pPr>
      <w:r>
        <w:rPr>
          <w:rFonts w:ascii="Arial" w:cs="Arial" w:eastAsia="Arial" w:hAnsi="Arial"/>
          <w:sz w:val="13"/>
          <w:szCs w:val="13"/>
          <w:color w:val="auto"/>
        </w:rPr>
        <w:t>Mainland China’s drug regulatory system does not apply in Hong Kong or Macao. These administrative regions are governed by separate laws on the development, approval, manufacturing, distribution and advertising and promotion of drugs, including vaccines. Similar rules restricting advertising and promotional content and, in the case of Macao, government approved advertisements, also apply.</w:t>
      </w:r>
    </w:p>
    <w:p>
      <w:pPr>
        <w:ind w:left="380"/>
        <w:spacing w:after="0" w:line="214" w:lineRule="auto"/>
        <w:rPr>
          <w:sz w:val="20"/>
          <w:szCs w:val="20"/>
          <w:color w:val="auto"/>
        </w:rPr>
      </w:pPr>
      <w:r>
        <w:rPr>
          <w:rFonts w:ascii="Arial" w:cs="Arial" w:eastAsia="Arial" w:hAnsi="Arial"/>
          <w:sz w:val="13"/>
          <w:szCs w:val="13"/>
          <w:b w:val="1"/>
          <w:bCs w:val="1"/>
          <w:color w:val="auto"/>
        </w:rPr>
        <w:t>F. Türkiye</w:t>
      </w:r>
    </w:p>
    <w:p>
      <w:pPr>
        <w:ind w:left="380" w:right="2160"/>
        <w:spacing w:after="0" w:line="210" w:lineRule="auto"/>
        <w:rPr>
          <w:sz w:val="20"/>
          <w:szCs w:val="20"/>
          <w:color w:val="auto"/>
        </w:rPr>
      </w:pPr>
      <w:r>
        <w:rPr>
          <w:rFonts w:ascii="Arial" w:cs="Arial" w:eastAsia="Arial" w:hAnsi="Arial"/>
          <w:sz w:val="13"/>
          <w:szCs w:val="13"/>
          <w:color w:val="auto"/>
        </w:rPr>
        <w:t>Other countries such as Türkiye and those in the Middle East have regulatory review processes and data requirements for medicinal products, including vaccines, similar to those described for the European Union. The regulatory licensing process in these countries may include local marketing authorization requirements, manufacturing/testing facility inspections, testing of drug product upon importation and other domestic requirements. Some countries, such as Türkiye, have introduced specific emergency authorization regimes for COVID-19 vaccines.</w:t>
      </w:r>
    </w:p>
    <w:p>
      <w:pPr>
        <w:ind w:left="380"/>
        <w:spacing w:after="0" w:line="216" w:lineRule="auto"/>
        <w:rPr>
          <w:sz w:val="20"/>
          <w:szCs w:val="20"/>
          <w:color w:val="auto"/>
        </w:rPr>
      </w:pPr>
      <w:r>
        <w:rPr>
          <w:rFonts w:ascii="Arial" w:cs="Arial" w:eastAsia="Arial" w:hAnsi="Arial"/>
          <w:sz w:val="13"/>
          <w:szCs w:val="13"/>
          <w:b w:val="1"/>
          <w:bCs w:val="1"/>
          <w:color w:val="auto"/>
        </w:rPr>
        <w:t>G. Rest of the World Regulation</w:t>
      </w:r>
    </w:p>
    <w:p>
      <w:pPr>
        <w:ind w:left="380" w:right="2120"/>
        <w:spacing w:after="0" w:line="216" w:lineRule="auto"/>
        <w:rPr>
          <w:sz w:val="20"/>
          <w:szCs w:val="20"/>
          <w:color w:val="auto"/>
        </w:rPr>
      </w:pPr>
      <w:r>
        <w:rPr>
          <w:rFonts w:ascii="Arial" w:cs="Arial" w:eastAsia="Arial" w:hAnsi="Arial"/>
          <w:sz w:val="13"/>
          <w:szCs w:val="13"/>
          <w:color w:val="auto"/>
        </w:rPr>
        <w:t>The requirements governing the conduct of clinical trials, product (including vaccine) licensing, pricing, and reimbursement vary from country to country in markets outside the European Union and the United States. In many markets, clinical trials must be conducted in accordance with Good Clinical Practice and applicable regulatory requirements. Ethical standards typically follow the Declaration of Helsinki principles. In response to the COVID-19 pandemic, some markets have granted or are considering the grant of emergency use authorizations for vaccine candidates instead of the otherwise available regulatory approval pathways. Supply of the COVID-19 vaccine to a number of countries outside of the United States and the European Union is similarly governed by vaccine supply agreements with local governments.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162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2" w:lineRule="auto"/>
        <w:rPr>
          <w:sz w:val="20"/>
          <w:szCs w:val="20"/>
          <w:color w:val="auto"/>
        </w:rPr>
      </w:pPr>
      <w:r>
        <w:rPr>
          <w:rFonts w:ascii="Arial" w:cs="Arial" w:eastAsia="Arial" w:hAnsi="Arial"/>
          <w:sz w:val="13"/>
          <w:szCs w:val="13"/>
          <w:color w:val="auto"/>
        </w:rPr>
        <w:t>In Africa, there is limited harmonization of the regulation of drug and biological products across the continent, and the functionality and regulatory capacity of national medicines regulatory authorities varies between jurisdictions. For example, many regulators lack the technical expertise to independently assess marketing authorization applications and instead have adopted “reliance” procedures, whereby authorization by a foreign stringent regulatory authority or registration as a WHO pre-qualified product may be a condition for approval. The African Union (“AU”) has issued several harmonization initiatives for medicines, including adopting the AU Model Law on Medical Products Regulation in 2016 and establishing the African Medicines Agency, or AMA, in 2019. The AMA’s responsibilities will include evaluating medicines for the treatment of priority diseases, among other harmonization-related responsibilities, but has yet to issue any regulatory guidelines or procedures to date. Failure to adhere to regulatory requirements may lead to, among others, fines, suspension or withdrawal of regulatory authorizations or approvals, product recalls, seizure of products, restrictions or suspensions of operations, or criminal prosecution.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-999490</wp:posOffset>
            </wp:positionV>
            <wp:extent cx="523113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7" w:lineRule="auto"/>
        <w:rPr>
          <w:sz w:val="20"/>
          <w:szCs w:val="20"/>
          <w:color w:val="auto"/>
        </w:rPr>
      </w:pPr>
      <w:r>
        <w:rPr>
          <w:rFonts w:ascii="Arial" w:cs="Arial" w:eastAsia="Arial" w:hAnsi="Arial"/>
          <w:sz w:val="13"/>
          <w:szCs w:val="13"/>
          <w:b w:val="1"/>
          <w:bCs w:val="1"/>
          <w:color w:val="auto"/>
        </w:rPr>
        <w:t>H. Healthcare Law and Regulation</w:t>
      </w:r>
    </w:p>
    <w:p>
      <w:pPr>
        <w:ind w:left="380" w:right="2240"/>
        <w:spacing w:after="0" w:line="210" w:lineRule="auto"/>
        <w:rPr>
          <w:sz w:val="20"/>
          <w:szCs w:val="20"/>
          <w:color w:val="auto"/>
        </w:rPr>
      </w:pPr>
      <w:r>
        <w:rPr>
          <w:rFonts w:ascii="Arial" w:cs="Arial" w:eastAsia="Arial" w:hAnsi="Arial"/>
          <w:sz w:val="13"/>
          <w:szCs w:val="13"/>
          <w:color w:val="auto"/>
        </w:rPr>
        <w:t>Healthcare providers and third-party payors play a primary role in the recommendation and prescription of pharmaceutical products that are granted marketing approval. Our current and future arrangements with providers, researchers, consultants, third- party payors and customers are subject to broadly applicable federal and state fraud and abuse, anti-kickback, false claims, transparency and patient privacy laws and regulations and other healthcare laws and regulations that may constrain our business and/or financial arrangements. Restrictions under applicable federal and state healthcare laws and regulations in the United States and elsewhere include, without limitation, the following:</w:t>
      </w:r>
    </w:p>
    <w:p>
      <w:pPr>
        <w:spacing w:after="0" w:line="4"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•the U.S. federal Anti-Kickback Statute, which prohibits, among other things, persons and entities from knowingly and willfully soliciting, receiving, offering or paying remuneration, directly or indirectly, in-cash or in kind, to induce or reward either the referral of an individual for, or the purchase, order or recommendation of, any good or service, for which payment may be made, in whole or in part, under a federal healthcare program such as Medicare and Medicaid. A person or entity does not need to have actual knowledge of the statute or a specific intent to violate it in order to have committed a violation. Moreover, the government may assert that a claim that includes items or services resulting from a violation of the federal Anti-Kickback Statute constitutes a false or fraudulent claim for purposes of the civil False Claims Act;</w:t>
      </w:r>
    </w:p>
    <w:p>
      <w:pPr>
        <w:spacing w:after="0" w:line="5"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•the U.S.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be made or used a false record or statement to avoid, decrease, or conceal an obligation to pay money to the federal government; •HIPAA, which created additional U.S. federal criminal laws that prohibit,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a specific intent to violate it in order to have committed a violation;</w:t>
      </w:r>
    </w:p>
    <w:p>
      <w:pPr>
        <w:spacing w:after="0" w:line="6" w:lineRule="exact"/>
        <w:rPr>
          <w:sz w:val="20"/>
          <w:szCs w:val="20"/>
          <w:color w:val="auto"/>
        </w:rPr>
      </w:pPr>
    </w:p>
    <w:p>
      <w:pPr>
        <w:ind w:left="380" w:right="2640"/>
        <w:spacing w:after="0" w:line="210" w:lineRule="auto"/>
        <w:rPr>
          <w:sz w:val="20"/>
          <w:szCs w:val="20"/>
          <w:color w:val="auto"/>
        </w:rPr>
      </w:pPr>
      <w:r>
        <w:rPr>
          <w:rFonts w:ascii="Arial" w:cs="Arial" w:eastAsia="Arial" w:hAnsi="Arial"/>
          <w:sz w:val="13"/>
          <w:szCs w:val="13"/>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 without the appropriate authorization by entities subject to the law, such as healthcare providers, health plans and healthcare clearinghouses and their respective business associates;</w:t>
      </w:r>
    </w:p>
    <w:p>
      <w:pPr>
        <w:spacing w:after="0" w:line="4" w:lineRule="exact"/>
        <w:rPr>
          <w:sz w:val="20"/>
          <w:szCs w:val="20"/>
          <w:color w:val="auto"/>
        </w:rPr>
      </w:pPr>
    </w:p>
    <w:p>
      <w:pPr>
        <w:ind w:left="380" w:right="2680"/>
        <w:spacing w:after="0" w:line="234" w:lineRule="auto"/>
        <w:rPr>
          <w:sz w:val="20"/>
          <w:szCs w:val="20"/>
          <w:color w:val="auto"/>
        </w:rPr>
      </w:pPr>
      <w:r>
        <w:rPr>
          <w:rFonts w:ascii="Arial" w:cs="Arial" w:eastAsia="Arial" w:hAnsi="Arial"/>
          <w:sz w:val="13"/>
          <w:szCs w:val="13"/>
          <w:color w:val="auto"/>
        </w:rPr>
        <w:t>•the U.S. federal transparency requirements, known as the federal Physician Payments Sunshine Act, under the ACA, which requires certain manufacturers of drugs, devices, biologics and medical supplies</w:t>
      </w:r>
    </w:p>
    <w:p>
      <w:pPr>
        <w:sectPr>
          <w:pgSz w:w="11900" w:h="16840" w:orient="portrait"/>
          <w:cols w:equalWidth="0" w:num="1">
            <w:col w:w="9020"/>
          </w:cols>
          <w:pgMar w:left="1440" w:top="560" w:right="1440" w:bottom="47" w:gutter="0" w:footer="0" w:header="0"/>
        </w:sectPr>
      </w:pPr>
    </w:p>
    <w:bookmarkStart w:id="113" w:name="page114"/>
    <w:bookmarkEnd w:id="113"/>
    <w:p>
      <w:pPr>
        <w:ind w:left="380"/>
        <w:spacing w:after="0"/>
        <w:rPr>
          <w:sz w:val="20"/>
          <w:szCs w:val="20"/>
          <w:color w:val="auto"/>
        </w:rPr>
      </w:pPr>
      <w:r>
        <w:rPr>
          <w:rFonts w:ascii="Arial" w:cs="Arial" w:eastAsia="Arial" w:hAnsi="Arial"/>
          <w:sz w:val="13"/>
          <w:szCs w:val="13"/>
          <w:color w:val="auto"/>
        </w:rPr>
        <w:t>to report annually to the Centers for Medicare &amp; Medicaid Services, or CMS, within the U.S.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163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jc w:val="both"/>
        <w:ind w:left="380" w:right="2720"/>
        <w:spacing w:after="0" w:line="217" w:lineRule="auto"/>
        <w:rPr>
          <w:sz w:val="20"/>
          <w:szCs w:val="20"/>
          <w:color w:val="auto"/>
        </w:rPr>
      </w:pPr>
      <w:r>
        <w:rPr>
          <w:rFonts w:ascii="Arial" w:cs="Arial" w:eastAsia="Arial" w:hAnsi="Arial"/>
          <w:sz w:val="13"/>
          <w:szCs w:val="13"/>
          <w:color w:val="auto"/>
        </w:rPr>
        <w:t>of Health and Human Services, information related to payments and other transfers of value made by that entity to physicians and teaching hospitals, as well as ownership and investment interests held by physicians and their immediate family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900"/>
        <w:spacing w:after="0" w:line="210" w:lineRule="auto"/>
        <w:rPr>
          <w:sz w:val="20"/>
          <w:szCs w:val="20"/>
          <w:color w:val="auto"/>
        </w:rPr>
      </w:pPr>
      <w:r>
        <w:rPr>
          <w:rFonts w:ascii="Arial" w:cs="Arial" w:eastAsia="Arial" w:hAnsi="Arial"/>
          <w:sz w:val="13"/>
          <w:szCs w:val="13"/>
          <w:color w:val="auto"/>
        </w:rPr>
        <w:t>•U.S. federal consumer protection and unfair competition laws, which broadly regulate marketplace activities and activities that potentially harm consumers;</w:t>
      </w:r>
    </w:p>
    <w:p>
      <w:pPr>
        <w:spacing w:after="0" w:line="1" w:lineRule="exact"/>
        <w:rPr>
          <w:sz w:val="20"/>
          <w:szCs w:val="20"/>
          <w:color w:val="auto"/>
        </w:rPr>
      </w:pPr>
    </w:p>
    <w:p>
      <w:pPr>
        <w:ind w:left="380" w:right="2680"/>
        <w:spacing w:after="0" w:line="210" w:lineRule="auto"/>
        <w:rPr>
          <w:sz w:val="20"/>
          <w:szCs w:val="20"/>
          <w:color w:val="auto"/>
        </w:rPr>
      </w:pPr>
      <w:r>
        <w:rPr>
          <w:rFonts w:ascii="Arial" w:cs="Arial" w:eastAsia="Arial" w:hAnsi="Arial"/>
          <w:sz w:val="13"/>
          <w:szCs w:val="13"/>
          <w:color w:val="auto"/>
        </w:rPr>
        <w:t>•U.S. federal government price reporting laws, which require us to calculate and report complex pricing metrics to government programs and which may be used in the calculation of reimbursement and/or discounts on marketed products;</w:t>
      </w:r>
    </w:p>
    <w:p>
      <w:pPr>
        <w:spacing w:after="0" w:line="2" w:lineRule="exact"/>
        <w:rPr>
          <w:sz w:val="20"/>
          <w:szCs w:val="20"/>
          <w:color w:val="auto"/>
        </w:rPr>
      </w:pPr>
    </w:p>
    <w:p>
      <w:pPr>
        <w:ind w:left="380" w:right="2600"/>
        <w:spacing w:after="0" w:line="210" w:lineRule="auto"/>
        <w:rPr>
          <w:sz w:val="20"/>
          <w:szCs w:val="20"/>
          <w:color w:val="auto"/>
        </w:rPr>
      </w:pPr>
      <w:r>
        <w:rPr>
          <w:rFonts w:ascii="Arial" w:cs="Arial" w:eastAsia="Arial" w:hAnsi="Arial"/>
          <w:sz w:val="13"/>
          <w:szCs w:val="13"/>
          <w:color w:val="auto"/>
        </w:rPr>
        <w:t>•the Foreign Corrupt Practices Act, a U.S. law which regulates certain financial relationships with foreign government officials (which could include, for example, certain medical professionals);</w:t>
      </w:r>
    </w:p>
    <w:p>
      <w:pPr>
        <w:spacing w:after="0" w:line="1" w:lineRule="exact"/>
        <w:rPr>
          <w:sz w:val="20"/>
          <w:szCs w:val="20"/>
          <w:color w:val="auto"/>
        </w:rPr>
      </w:pPr>
    </w:p>
    <w:p>
      <w:pPr>
        <w:ind w:left="380" w:right="2560"/>
        <w:spacing w:after="0" w:line="210" w:lineRule="auto"/>
        <w:rPr>
          <w:sz w:val="20"/>
          <w:szCs w:val="20"/>
          <w:color w:val="auto"/>
        </w:rPr>
      </w:pPr>
      <w:r>
        <w:rPr>
          <w:rFonts w:ascii="Arial" w:cs="Arial" w:eastAsia="Arial" w:hAnsi="Arial"/>
          <w:sz w:val="13"/>
          <w:szCs w:val="13"/>
          <w:color w:val="auto"/>
        </w:rPr>
        <w:t>•the national anti-bribery laws and laws governing interactions with healthcare professionals of European Union member states;</w:t>
      </w:r>
    </w:p>
    <w:p>
      <w:pPr>
        <w:ind w:left="380"/>
        <w:spacing w:after="0" w:line="212" w:lineRule="auto"/>
        <w:rPr>
          <w:sz w:val="20"/>
          <w:szCs w:val="20"/>
          <w:color w:val="auto"/>
        </w:rPr>
      </w:pPr>
      <w:r>
        <w:rPr>
          <w:rFonts w:ascii="Arial" w:cs="Arial" w:eastAsia="Arial" w:hAnsi="Arial"/>
          <w:sz w:val="13"/>
          <w:szCs w:val="13"/>
          <w:color w:val="auto"/>
        </w:rPr>
        <w:t>•the U.K. Bribery Act 2010; and</w:t>
      </w:r>
    </w:p>
    <w:p>
      <w:pPr>
        <w:spacing w:after="0" w:line="1" w:lineRule="exact"/>
        <w:rPr>
          <w:sz w:val="20"/>
          <w:szCs w:val="20"/>
          <w:color w:val="auto"/>
        </w:rPr>
      </w:pPr>
    </w:p>
    <w:p>
      <w:pPr>
        <w:ind w:left="380" w:right="2680"/>
        <w:spacing w:after="0" w:line="210" w:lineRule="auto"/>
        <w:rPr>
          <w:sz w:val="20"/>
          <w:szCs w:val="20"/>
          <w:color w:val="auto"/>
        </w:rPr>
      </w:pPr>
      <w:r>
        <w:rPr>
          <w:rFonts w:ascii="Arial" w:cs="Arial" w:eastAsia="Arial" w:hAnsi="Arial"/>
          <w:sz w:val="13"/>
          <w:szCs w:val="13"/>
          <w:color w:val="auto"/>
        </w:rPr>
        <w:t>•analogous laws and regulations in U.S. states and other jurisdictions, such as U.S. state anti-kickback and false claims laws, which may apply to healthcare items or services that are reimbursed by non-governmental third-party payors, including private insurers.</w:t>
      </w:r>
    </w:p>
    <w:p>
      <w:pPr>
        <w:spacing w:after="0" w:line="2"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Some U.S. state laws require pharmaceutical companies to comply with the pharmaceutical industry’s voluntary compliance guidelines and the relevant compliance guidance promulgated by the federal government in addition to requiring pharmaceutical manufacturers to report information related to payments to physicians and other health care providers or marketing expenditures and pricing information. Laws in U.S. states and other jurisdictions also govern the privacy and security of health information in some circumstances, many of which differ from each other in significant ways and often are not preempted by HIPAA, thus complicating compliance efforts.</w:t>
      </w:r>
    </w:p>
    <w:p>
      <w:pPr>
        <w:spacing w:after="0" w:line="4"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The scope and enforcement of each of these laws is uncertain and subject to rapid change in the current environment of healthcare reform, especially in light of the lack of applicable precedent and regulations. U.S.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3"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Violations of these laws can subject us to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the business. Moreover, we expect that there will continue to be federal and state laws and regulations, proposed and implemented, that could impact our future operations and business.</w:t>
      </w:r>
    </w:p>
    <w:p>
      <w:pPr>
        <w:ind w:left="380"/>
        <w:spacing w:after="0" w:line="221" w:lineRule="auto"/>
        <w:rPr>
          <w:sz w:val="20"/>
          <w:szCs w:val="20"/>
          <w:color w:val="auto"/>
        </w:rPr>
      </w:pPr>
      <w:r>
        <w:rPr>
          <w:rFonts w:ascii="Arial" w:cs="Arial" w:eastAsia="Arial" w:hAnsi="Arial"/>
          <w:sz w:val="13"/>
          <w:szCs w:val="13"/>
          <w:b w:val="1"/>
          <w:bCs w:val="1"/>
          <w:color w:val="auto"/>
        </w:rPr>
        <w:t>I. Current and Future Healthcare Reform Legislation</w:t>
      </w:r>
    </w:p>
    <w:p>
      <w:pPr>
        <w:ind w:left="380" w:right="2100"/>
        <w:spacing w:after="0" w:line="220" w:lineRule="auto"/>
        <w:rPr>
          <w:sz w:val="20"/>
          <w:szCs w:val="20"/>
          <w:color w:val="auto"/>
        </w:rPr>
      </w:pPr>
      <w:r>
        <w:rPr>
          <w:rFonts w:ascii="Arial" w:cs="Arial" w:eastAsia="Arial" w:hAnsi="Arial"/>
          <w:sz w:val="13"/>
          <w:szCs w:val="13"/>
          <w:color w:val="auto"/>
        </w:rPr>
        <w:t>In the United States and other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We expect that current laws, as well as other healthcare reform measures that may be adopted in the future, may result in more rigorous coverage criteria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164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ectPr>
          <w:pgSz w:w="11900" w:h="16840" w:orient="portrait"/>
          <w:cols w:equalWidth="0" w:num="1">
            <w:col w:w="9020"/>
          </w:cols>
          <w:pgMar w:left="1440" w:top="560" w:right="1440" w:bottom="119" w:gutter="0" w:footer="0" w:header="0"/>
        </w:sectPr>
      </w:pPr>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additional downward pressure on the price that we, or any collaborators, may receive for any approved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The incoming new United States presidential administration may seek to pursue different or additional</w:t>
      </w:r>
    </w:p>
    <w:p>
      <w:pPr>
        <w:sectPr>
          <w:pgSz w:w="11900" w:h="16840" w:orient="portrait"/>
          <w:cols w:equalWidth="0" w:num="1">
            <w:col w:w="9020"/>
          </w:cols>
          <w:pgMar w:left="1440" w:top="560" w:right="1440" w:bottom="119" w:gutter="0" w:footer="0" w:header="0"/>
          <w:type w:val="continuous"/>
        </w:sectPr>
      </w:pPr>
    </w:p>
    <w:bookmarkStart w:id="114" w:name="page115"/>
    <w:bookmarkEnd w:id="114"/>
    <w:p>
      <w:pPr>
        <w:ind w:left="380" w:right="2220"/>
        <w:spacing w:after="0" w:line="220" w:lineRule="auto"/>
        <w:rPr>
          <w:sz w:val="20"/>
          <w:szCs w:val="20"/>
          <w:color w:val="auto"/>
        </w:rPr>
      </w:pPr>
      <w:r>
        <w:rPr>
          <w:rFonts w:ascii="Arial" w:cs="Arial" w:eastAsia="Arial" w:hAnsi="Arial"/>
          <w:sz w:val="13"/>
          <w:szCs w:val="13"/>
          <w:color w:val="auto"/>
        </w:rPr>
        <w:t>approaches to drug pricing and reimbursement or could seek additional legislation affecting drug pricing, either of which could affect future profitability.</w:t>
      </w:r>
    </w:p>
    <w:p>
      <w:pPr>
        <w:spacing w:after="0" w:line="1"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Additionally, other federal health reform measures have been proposed and adopted in the United States since the ACA was enacted:</w:t>
      </w:r>
    </w:p>
    <w:p>
      <w:pPr>
        <w:spacing w:after="0" w:line="1" w:lineRule="exact"/>
        <w:rPr>
          <w:sz w:val="20"/>
          <w:szCs w:val="20"/>
          <w:color w:val="auto"/>
        </w:rPr>
      </w:pPr>
    </w:p>
    <w:p>
      <w:pPr>
        <w:jc w:val="both"/>
        <w:ind w:left="380" w:right="2580"/>
        <w:spacing w:after="0" w:line="210" w:lineRule="auto"/>
        <w:rPr>
          <w:sz w:val="20"/>
          <w:szCs w:val="20"/>
          <w:color w:val="auto"/>
        </w:rPr>
      </w:pPr>
      <w:r>
        <w:rPr>
          <w:rFonts w:ascii="Arial" w:cs="Arial" w:eastAsia="Arial" w:hAnsi="Arial"/>
          <w:sz w:val="13"/>
          <w:szCs w:val="13"/>
          <w:color w:val="auto"/>
        </w:rPr>
        <w:t>•The American Taxpayer Relief Act of 2012, among other things, reduced Medicare payments to several providers, and increased the statute of limitations period for the government to recover overpayments to providers from three to five years.</w:t>
      </w:r>
    </w:p>
    <w:p>
      <w:pPr>
        <w:spacing w:after="0" w:line="2" w:lineRule="exact"/>
        <w:rPr>
          <w:sz w:val="20"/>
          <w:szCs w:val="20"/>
          <w:color w:val="auto"/>
        </w:rPr>
      </w:pPr>
    </w:p>
    <w:p>
      <w:pPr>
        <w:ind w:left="380" w:right="2640"/>
        <w:spacing w:after="0" w:line="210" w:lineRule="auto"/>
        <w:rPr>
          <w:sz w:val="20"/>
          <w:szCs w:val="20"/>
          <w:color w:val="auto"/>
        </w:rPr>
      </w:pPr>
      <w:r>
        <w:rPr>
          <w:rFonts w:ascii="Arial" w:cs="Arial" w:eastAsia="Arial" w:hAnsi="Arial"/>
          <w:sz w:val="13"/>
          <w:szCs w:val="13"/>
          <w:color w:val="auto"/>
        </w:rPr>
        <w:t>•The Middle Class Tax Relief and Job Creation Act of 2012 required that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w:t>
      </w:r>
    </w:p>
    <w:p>
      <w:pPr>
        <w:spacing w:after="0" w:line="2"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Further, there has been heightened governmental scrutiny in the United States and elsewhere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products. In addition, the U.S. federal government, state legislatures, and other governments have shown significant interest in implementing cost containment programs, including price-controls, restrictions on reimbursement, and requirements for substitution of generic products for branded prescription drugs to limit the growth of government-paid health care costs. For example, the U.S. federal government has passed legislation requiring pharmaceutical manufacturers to provide rebates and discounts to certain entities and governmental payors to participate in federal healthcare programs.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ind w:left="380"/>
        <w:spacing w:after="0" w:line="224" w:lineRule="auto"/>
        <w:rPr>
          <w:sz w:val="20"/>
          <w:szCs w:val="20"/>
          <w:color w:val="auto"/>
        </w:rPr>
      </w:pPr>
      <w:r>
        <w:rPr>
          <w:rFonts w:ascii="Arial" w:cs="Arial" w:eastAsia="Arial" w:hAnsi="Arial"/>
          <w:sz w:val="13"/>
          <w:szCs w:val="13"/>
          <w:b w:val="1"/>
          <w:bCs w:val="1"/>
          <w:color w:val="auto"/>
        </w:rPr>
        <w:t>J. Packaging and Distribution in the United States and Other Jurisdictions</w:t>
      </w:r>
    </w:p>
    <w:p>
      <w:pPr>
        <w:ind w:left="380" w:right="2160"/>
        <w:spacing w:after="0" w:line="210" w:lineRule="auto"/>
        <w:rPr>
          <w:sz w:val="20"/>
          <w:szCs w:val="20"/>
          <w:color w:val="auto"/>
        </w:rPr>
      </w:pPr>
      <w:r>
        <w:rPr>
          <w:rFonts w:ascii="Arial" w:cs="Arial" w:eastAsia="Arial" w:hAnsi="Arial"/>
          <w:sz w:val="13"/>
          <w:szCs w:val="13"/>
          <w:color w:val="auto"/>
        </w:rPr>
        <w:t>If our products are made available to authorized users of the Federal Supply Schedule of the General Services Administration, additional laws and requirements apply in the United States (and similar laws may apply in other jurisdictions).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3" w:lineRule="exact"/>
        <w:rPr>
          <w:sz w:val="20"/>
          <w:szCs w:val="20"/>
          <w:color w:val="auto"/>
        </w:rPr>
      </w:pPr>
    </w:p>
    <w:p>
      <w:pPr>
        <w:ind w:left="380" w:right="2360"/>
        <w:spacing w:after="0" w:line="210" w:lineRule="auto"/>
        <w:rPr>
          <w:sz w:val="20"/>
          <w:szCs w:val="20"/>
          <w:color w:val="auto"/>
        </w:rPr>
      </w:pPr>
      <w:r>
        <w:rPr>
          <w:rFonts w:ascii="Arial" w:cs="Arial" w:eastAsia="Arial" w:hAnsi="Arial"/>
          <w:sz w:val="13"/>
          <w:szCs w:val="13"/>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2" w:lineRule="exact"/>
        <w:rPr>
          <w:sz w:val="20"/>
          <w:szCs w:val="20"/>
          <w:color w:val="auto"/>
        </w:rPr>
      </w:pPr>
    </w:p>
    <w:p>
      <w:pPr>
        <w:ind w:left="380" w:right="2120"/>
        <w:spacing w:after="0" w:line="237" w:lineRule="auto"/>
        <w:rPr>
          <w:sz w:val="20"/>
          <w:szCs w:val="20"/>
          <w:color w:val="auto"/>
        </w:rPr>
      </w:pPr>
      <w:r>
        <w:rPr>
          <w:rFonts w:ascii="Arial" w:cs="Arial" w:eastAsia="Arial" w:hAnsi="Arial"/>
          <w:sz w:val="13"/>
          <w:szCs w:val="13"/>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2" w:lineRule="exact"/>
        <w:rPr>
          <w:sz w:val="20"/>
          <w:szCs w:val="20"/>
          <w:color w:val="auto"/>
        </w:rPr>
      </w:pPr>
    </w:p>
    <w:p>
      <w:pPr>
        <w:ind w:left="380" w:right="2120"/>
        <w:spacing w:after="0" w:line="234" w:lineRule="auto"/>
        <w:rPr>
          <w:sz w:val="20"/>
          <w:szCs w:val="20"/>
          <w:color w:val="auto"/>
        </w:rPr>
      </w:pPr>
      <w:r>
        <w:rPr>
          <w:rFonts w:ascii="Arial" w:cs="Arial" w:eastAsia="Arial" w:hAnsi="Arial"/>
          <w:sz w:val="13"/>
          <w:szCs w:val="13"/>
          <w:color w:val="auto"/>
        </w:rPr>
        <w:t>Changes in regulations, statutes, or the interpretation of existing regulations could impact our business in the future by requiring, for example, (i) changes to our manufacturing arrangements, (ii) additions or modifications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165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product labeling, (iii) the recall or discontinuation of our products or (iv) additional record-keeping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0" w:lineRule="auto"/>
        <w:rPr>
          <w:sz w:val="20"/>
          <w:szCs w:val="20"/>
          <w:color w:val="auto"/>
        </w:rPr>
      </w:pPr>
      <w:r>
        <w:rPr>
          <w:rFonts w:ascii="Arial" w:cs="Arial" w:eastAsia="Arial" w:hAnsi="Arial"/>
          <w:sz w:val="13"/>
          <w:szCs w:val="13"/>
          <w:color w:val="auto"/>
        </w:rPr>
        <w:t>If any such changes were to be imposed, they could adversely affect the operation of our business.</w:t>
      </w:r>
    </w:p>
    <w:p>
      <w:pPr>
        <w:ind w:left="380"/>
        <w:spacing w:after="0" w:line="211" w:lineRule="auto"/>
        <w:rPr>
          <w:sz w:val="20"/>
          <w:szCs w:val="20"/>
          <w:color w:val="auto"/>
        </w:rPr>
      </w:pPr>
      <w:r>
        <w:rPr>
          <w:rFonts w:ascii="Arial" w:cs="Arial" w:eastAsia="Arial" w:hAnsi="Arial"/>
          <w:sz w:val="13"/>
          <w:szCs w:val="13"/>
          <w:b w:val="1"/>
          <w:bCs w:val="1"/>
          <w:color w:val="auto"/>
        </w:rPr>
        <w:t>K. Other Environmental, Health and Safety Laws and Regulations</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In the United States, the European Union and other jurisdictions, 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6" w:lineRule="exact"/>
        <w:rPr>
          <w:sz w:val="20"/>
          <w:szCs w:val="20"/>
          <w:color w:val="auto"/>
        </w:rPr>
      </w:pPr>
    </w:p>
    <w:p>
      <w:pPr>
        <w:jc w:val="both"/>
        <w:ind w:left="380" w:right="2240"/>
        <w:spacing w:after="0" w:line="210" w:lineRule="auto"/>
        <w:rPr>
          <w:sz w:val="20"/>
          <w:szCs w:val="20"/>
          <w:color w:val="auto"/>
        </w:rPr>
      </w:pPr>
      <w:r>
        <w:rPr>
          <w:rFonts w:ascii="Arial" w:cs="Arial" w:eastAsia="Arial" w:hAnsi="Arial"/>
          <w:sz w:val="13"/>
          <w:szCs w:val="13"/>
          <w:color w:val="auto"/>
        </w:rPr>
        <w:t>We maintain workers’ compensation employers’ liability insurance to cover us for costs and expenses we may incur due to injuries to our employees, but this insurance may not provide adequate coverage against potential liabilities.</w:t>
      </w:r>
    </w:p>
    <w:p>
      <w:pPr>
        <w:spacing w:after="0" w:line="2" w:lineRule="exact"/>
        <w:rPr>
          <w:sz w:val="20"/>
          <w:szCs w:val="20"/>
          <w:color w:val="auto"/>
        </w:rPr>
      </w:pPr>
    </w:p>
    <w:p>
      <w:pPr>
        <w:ind w:left="380" w:right="2320"/>
        <w:spacing w:after="0" w:line="210" w:lineRule="auto"/>
        <w:rPr>
          <w:sz w:val="20"/>
          <w:szCs w:val="20"/>
          <w:color w:val="auto"/>
        </w:rPr>
      </w:pPr>
      <w:r>
        <w:rPr>
          <w:rFonts w:ascii="Arial" w:cs="Arial" w:eastAsia="Arial" w:hAnsi="Arial"/>
          <w:sz w:val="13"/>
          <w:szCs w:val="13"/>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ind w:left="380"/>
        <w:spacing w:after="0" w:line="214" w:lineRule="auto"/>
        <w:rPr>
          <w:sz w:val="20"/>
          <w:szCs w:val="20"/>
          <w:color w:val="auto"/>
        </w:rPr>
      </w:pPr>
      <w:r>
        <w:rPr>
          <w:rFonts w:ascii="Arial" w:cs="Arial" w:eastAsia="Arial" w:hAnsi="Arial"/>
          <w:sz w:val="13"/>
          <w:szCs w:val="13"/>
          <w:b w:val="1"/>
          <w:bCs w:val="1"/>
          <w:color w:val="auto"/>
        </w:rPr>
        <w:t>L. Regulation of Artificial Intelligence Systems and Models</w:t>
      </w:r>
    </w:p>
    <w:p>
      <w:pPr>
        <w:ind w:left="380" w:right="2180"/>
        <w:spacing w:after="0" w:line="210" w:lineRule="auto"/>
        <w:rPr>
          <w:sz w:val="20"/>
          <w:szCs w:val="20"/>
          <w:color w:val="auto"/>
        </w:rPr>
      </w:pPr>
      <w:r>
        <w:rPr>
          <w:rFonts w:ascii="Arial" w:cs="Arial" w:eastAsia="Arial" w:hAnsi="Arial"/>
          <w:sz w:val="13"/>
          <w:szCs w:val="13"/>
          <w:color w:val="auto"/>
        </w:rPr>
        <w:t>Government authorities in the United States at the federal, state and local levels have been actively engaged in advancing policy frameworks, guidance documents, discussion papers, standards, and proposed legislation regarding the development and use of AI by life sciences companies and, where applicable, applying existing regulatory frameworks (e.g., FDA regulations) to particular uses of AI. Likewise, the EU and other countries and jurisdictions extensively regulate (or intend to extensively regulate) the development and use of AI systems and models. The processes for monitoring emerging regulatory frameworks, evaluating how current and emerging requirements for AI apply to our business, along with subsequent compliance with applicable requirements and best practices, require the expenditure of substantial time and financial resources.</w:t>
      </w:r>
    </w:p>
    <w:p>
      <w:pPr>
        <w:spacing w:after="0" w:line="5"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A biotech company could use AI in a number of different contexts. For example, it may use AI in the medicines lifecycle for drug discovery, for non-clinical research and development, for data analysis in clinical trials and analysis of real world data, for precision medicine (e.g., clinical decision support), for supporting clinical trial design or assessing patient eligibility for clinical trials, for drafting medicinal product information documents, in the manufacturing of medicinal products and in machinery, or to assist with post-authorization safety monitoring, among other potential uses. If the AI is intended to perform a regulated activity (such as related to drug manufacturing, release testing, or producing clinical/diagnostic outputs) or otherwise be used in operations that are the subject of scrutiny by health authorities, the use of AI could trigger health authority oversight and, in some cases, application of existing laws and regulations relevant to healthcare, pharmaceuticals, and/or medical devices or sector-agnostic AI laws and regulations.</w:t>
      </w:r>
    </w:p>
    <w:p>
      <w:pPr>
        <w:spacing w:after="0" w:line="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Outside the drug development and commercialization context, a biotech company may use AI for other</w:t>
      </w:r>
    </w:p>
    <w:p>
      <w:pPr>
        <w:sectPr>
          <w:pgSz w:w="11900" w:h="16840" w:orient="portrait"/>
          <w:cols w:equalWidth="0" w:num="1">
            <w:col w:w="9020"/>
          </w:cols>
          <w:pgMar w:left="1440" w:top="560" w:right="1440" w:bottom="48" w:gutter="0" w:footer="0" w:header="0"/>
        </w:sectPr>
      </w:pPr>
    </w:p>
    <w:bookmarkStart w:id="115" w:name="page116"/>
    <w:bookmarkEnd w:id="115"/>
    <w:p>
      <w:pPr>
        <w:ind w:left="380" w:right="2120"/>
        <w:spacing w:after="0" w:line="214" w:lineRule="auto"/>
        <w:rPr>
          <w:sz w:val="20"/>
          <w:szCs w:val="20"/>
          <w:color w:val="auto"/>
        </w:rPr>
      </w:pPr>
      <w:r>
        <w:rPr>
          <w:rFonts w:ascii="Arial" w:cs="Arial" w:eastAsia="Arial" w:hAnsi="Arial"/>
          <w:sz w:val="13"/>
          <w:szCs w:val="13"/>
          <w:color w:val="auto"/>
        </w:rPr>
        <w:t>operational reasons. For example, a company may have plans to use automated personnel recruitment tools, deploy facial recognition technology to ensure security of its services, use customer service chatbots, or allow its employees to use generative AI or general- purpose AI tools to increase the efficiencies of administrative tasks. A company will need to identify how it uses AI in its business operations, and identify the relevant applicable regulatory regime that applies to ensure compliance. Failure to adhere to (or remain up to date with evolving) regulatory requirements may lead to compliance actions, penalties and other risks.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3"/>
          <w:szCs w:val="13"/>
          <w:i w:val="1"/>
          <w:iCs w:val="1"/>
          <w:color w:val="auto"/>
        </w:rPr>
        <w:t>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166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080"/>
        <w:spacing w:after="0" w:line="212" w:lineRule="auto"/>
        <w:rPr>
          <w:sz w:val="20"/>
          <w:szCs w:val="20"/>
          <w:color w:val="auto"/>
        </w:rPr>
      </w:pPr>
      <w:r>
        <w:rPr>
          <w:rFonts w:ascii="Arial" w:cs="Arial" w:eastAsia="Arial" w:hAnsi="Arial"/>
          <w:sz w:val="13"/>
          <w:szCs w:val="13"/>
          <w:color w:val="auto"/>
        </w:rPr>
        <w:t>In the United States, Congress, the White House, various federal agencies, and states have advanced proposed AI legislation, policy frameworks, guidance documents, whitepapers, and governing principles to address the use of AI, including when used in healthcare and life sciences. Of particular relevance to biotech companies, the FDA has been adapting and applying existing regulatory frameworks to account for AI and has issued guidance, discussion papers, and frameworks outlining FDA’s approach to regulation and oversight of health-related uses of AI. To date, FDA has not issued a new regulatory framework specific to AI; rather, it has been applying its existing regulations for drug and biologic discovery, development, clinical testing and manufacturing to companies utilizing AI in these processes, such that companies seeking to incorporate AI into processes that are subject to FDA oversight need to demonstrate compliance with the existing regulations for drug and biologic sponsors. In this context, FDA issued two discussion papers on the use of AI in drug manufacturing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-831850</wp:posOffset>
            </wp:positionV>
            <wp:extent cx="523113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080"/>
        <w:spacing w:after="0" w:line="210" w:lineRule="auto"/>
        <w:rPr>
          <w:sz w:val="20"/>
          <w:szCs w:val="20"/>
          <w:color w:val="auto"/>
        </w:rPr>
      </w:pPr>
      <w:r>
        <w:rPr>
          <w:rFonts w:ascii="Arial" w:cs="Arial" w:eastAsia="Arial" w:hAnsi="Arial"/>
          <w:sz w:val="13"/>
          <w:szCs w:val="13"/>
          <w:color w:val="auto"/>
        </w:rPr>
        <w:t xml:space="preserve">2023) and the development of drug and biological products (May 2023), and hosted a related public workshop in August 2024. Following feedback on the discussion papers and the workshop, in January 2025, FDA issued its first draft guidance document regarding uses of AI in drug development and other parts of the drug lifecycle, entitled “Considerations for the Use of Artificial Intelligence to Support Regulatory Decision- Making for Drug and Biological Products.” AI to support regulatory decision-making, within the scope of the draft guidance, includes AI intended to support regulatory determinations made by FDA (e.g., with respect to safety or effectiveness of a drug in a New Drug Application) </w:t>
      </w:r>
      <w:r>
        <w:rPr>
          <w:rFonts w:ascii="Arial" w:cs="Arial" w:eastAsia="Arial" w:hAnsi="Arial"/>
          <w:sz w:val="13"/>
          <w:szCs w:val="13"/>
          <w:i w:val="1"/>
          <w:iCs w:val="1"/>
          <w:color w:val="auto"/>
        </w:rPr>
        <w:t>and</w:t>
      </w:r>
      <w:r>
        <w:rPr>
          <w:rFonts w:ascii="Arial" w:cs="Arial" w:eastAsia="Arial" w:hAnsi="Arial"/>
          <w:sz w:val="13"/>
          <w:szCs w:val="13"/>
          <w:color w:val="auto"/>
        </w:rPr>
        <w:t xml:space="preserve"> to support actions taken by sponsors in conformance with FDA’s regulatory authority (e.g., current good manufacturing practices, post- marketing requirements, and INDs) . The draft guidance proposes a seven-step risk-based framework for assessing the risk and credibility of AI models intended to support regulatory decision-making to determine whether the AI model is adequate for a specific use, and describes the associated documentation FDA may expect to review in an application or during an inspection. FDA also actively regulates some health -related AI as “software as a medical device,” or SaMD, under FDA’s existing medical device frameworks and has issued guidance describing specific regulatory considerations that may apply to AI-based SaMD. Most recently, FDA issued draft guidance in January 2025 on lifecycle management and marketing submission recommendations for AI-enabled device software functions, and hosted its inaugural Digital Health Advisory Committee meeting in November 2024 to discuss total product lifecycle considerations for generative AI-enabled devices.</w:t>
      </w:r>
    </w:p>
    <w:p>
      <w:pPr>
        <w:spacing w:after="0" w:line="10"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Additionally, at the executive level, the Trump Administration revoked a Biden Administration Executive Order on the Safe, Secure, and Trustworthy Development of Artificial Intelligence that Order contained a number of directives that would have impacted the life sciences sector, including directives to HHS to establish an AI “Task Force” responsible for issuing guidance on a number of AI topics (such as long-term safety and real-world performance monitoring, predictive and generative AI, equity principles, and privacy and security standards), develop a strategy for regulating the use of AI in drug development processes, develop an “AI assurance policy” to evaluate the performance of AI-enabled healthcare tools, and establish a common framework for capturing clinical errors resulting from AI deployed in healthcare settings. The Trump Administration issued a new Executive Order in January 2025 on Removing Barriers to American Leadership in Artificial Intelligence that established a policy of “global AI dominance” and directed entities to suspend, revise, or rescind any actions taken under the Biden Administration Executive Order that are inconsistent with this policy.</w:t>
      </w:r>
    </w:p>
    <w:p>
      <w:pPr>
        <w:spacing w:after="0" w:line="7"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Members of Congress also have introduced a number of bills on AI regulation and frameworks for regulating AI. For example, the Bipartisan House AI Task Force released an AI report in December 2024 and the Bipartisan Senate AI Working Group released a roadmap for AI policy in May 2024, both of which included sections on policy recommendations for AI in health care. Senator Bill Cassidy (R-LA), who now chairs the Senate Health, Education, Labor, and Pensions Committee, also released a whitepaper on the “Framework for the Future of AI” in September 2023 that disfavored a “one-size- fits-all” approach to AI regulation and instead called for a flexible approach that takes into account the context of use and leverages existing frameworks.</w:t>
      </w:r>
    </w:p>
    <w:p>
      <w:pPr>
        <w:spacing w:after="0" w:line="4" w:lineRule="exact"/>
        <w:rPr>
          <w:sz w:val="20"/>
          <w:szCs w:val="20"/>
          <w:color w:val="auto"/>
        </w:rPr>
      </w:pPr>
    </w:p>
    <w:p>
      <w:pPr>
        <w:ind w:left="380" w:right="2120"/>
        <w:spacing w:after="0" w:line="218" w:lineRule="auto"/>
        <w:rPr>
          <w:sz w:val="20"/>
          <w:szCs w:val="20"/>
          <w:color w:val="auto"/>
        </w:rPr>
      </w:pPr>
      <w:r>
        <w:rPr>
          <w:rFonts w:ascii="Arial" w:cs="Arial" w:eastAsia="Arial" w:hAnsi="Arial"/>
          <w:sz w:val="13"/>
          <w:szCs w:val="13"/>
          <w:color w:val="auto"/>
        </w:rPr>
        <w:t>U.S. state legislatures also have actively pursued AI legislation. For example, the Colorado AI Act imposes requirements for developers and deployers of certain high-risk AI systems, and other laws will require notice or disclosures for certain uses of generative AI or other AI systems. In addition to proposed and passed legislation, regulators have sought to apply existing legal authorities to AI systems, including in the life sciences sector. For example, the California Attorney General issued a legal advisory providing guidance to healthcare providers, vendors, investors, and other healthcare entities that develop, sell, and use AI systems and similar technologies.</w:t>
      </w:r>
    </w:p>
    <w:p>
      <w:pPr>
        <w:sectPr>
          <w:pgSz w:w="11900" w:h="16840" w:orient="portrait"/>
          <w:cols w:equalWidth="0" w:num="1">
            <w:col w:w="9020"/>
          </w:cols>
          <w:pgMar w:left="1440" w:top="560" w:right="1440" w:bottom="1440" w:gutter="0" w:footer="0" w:header="0"/>
        </w:sectPr>
      </w:pPr>
    </w:p>
    <w:bookmarkStart w:id="116" w:name="page117"/>
    <w:bookmarkEnd w:id="116"/>
    <w:p>
      <w:pPr>
        <w:ind w:left="380"/>
        <w:spacing w:after="0"/>
        <w:rPr>
          <w:sz w:val="20"/>
          <w:szCs w:val="20"/>
          <w:color w:val="auto"/>
        </w:rPr>
      </w:pPr>
      <w:r>
        <w:rPr>
          <w:rFonts w:ascii="Arial" w:cs="Arial" w:eastAsia="Arial" w:hAnsi="Arial"/>
          <w:sz w:val="13"/>
          <w:szCs w:val="13"/>
          <w:color w:val="auto"/>
        </w:rPr>
        <w:t>167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400"/>
        <w:spacing w:after="0" w:line="220" w:lineRule="auto"/>
        <w:rPr>
          <w:sz w:val="20"/>
          <w:szCs w:val="20"/>
          <w:color w:val="auto"/>
        </w:rPr>
      </w:pPr>
      <w:r>
        <w:rPr>
          <w:rFonts w:ascii="Arial" w:cs="Arial" w:eastAsia="Arial" w:hAnsi="Arial"/>
          <w:sz w:val="13"/>
          <w:szCs w:val="13"/>
          <w:color w:val="auto"/>
        </w:rPr>
        <w:t>The advisory advised entities on their obligations under existing California law and described certain health-related uses of AI or marketing practices that might be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60"/>
        <w:spacing w:after="0" w:line="210" w:lineRule="auto"/>
        <w:rPr>
          <w:sz w:val="20"/>
          <w:szCs w:val="20"/>
          <w:color w:val="auto"/>
        </w:rPr>
      </w:pPr>
      <w:r>
        <w:rPr>
          <w:rFonts w:ascii="Arial" w:cs="Arial" w:eastAsia="Arial" w:hAnsi="Arial"/>
          <w:sz w:val="13"/>
          <w:szCs w:val="13"/>
          <w:color w:val="auto"/>
        </w:rPr>
        <w:t>We continue to monitor developments in the regulation of AI in drug and biologic development and commercialization, or for more general business practices, and to assess the applicability of these evolving frameworks and policies as well as existing legal frameworks that apply to our uses of AI. If we fail to meet regulator expectations or comply with applicable requirements, that could impact our ability to utilize AI-related processes or information in our development of product candidates or could subject us to delays, penalties or other risks.</w:t>
      </w:r>
    </w:p>
    <w:p>
      <w:pPr>
        <w:ind w:left="380"/>
        <w:spacing w:after="0" w:line="216" w:lineRule="auto"/>
        <w:rPr>
          <w:sz w:val="20"/>
          <w:szCs w:val="20"/>
          <w:color w:val="auto"/>
        </w:rPr>
      </w:pPr>
      <w:r>
        <w:rPr>
          <w:rFonts w:ascii="Arial" w:cs="Arial" w:eastAsia="Arial" w:hAnsi="Arial"/>
          <w:sz w:val="13"/>
          <w:szCs w:val="13"/>
          <w:i w:val="1"/>
          <w:iCs w:val="1"/>
          <w:color w:val="auto"/>
        </w:rPr>
        <w:t>European Union</w:t>
      </w:r>
    </w:p>
    <w:p>
      <w:pPr>
        <w:ind w:left="380" w:right="2220"/>
        <w:spacing w:after="0" w:line="210" w:lineRule="auto"/>
        <w:rPr>
          <w:sz w:val="20"/>
          <w:szCs w:val="20"/>
          <w:color w:val="auto"/>
        </w:rPr>
      </w:pPr>
      <w:r>
        <w:rPr>
          <w:rFonts w:ascii="Arial" w:cs="Arial" w:eastAsia="Arial" w:hAnsi="Arial"/>
          <w:sz w:val="13"/>
          <w:szCs w:val="13"/>
          <w:color w:val="auto"/>
        </w:rPr>
        <w:t>The EU Artificial Intelligence Act, or the EU AI Act, entered into force on August 1, 2024. It establishes rules governing certain AI systems and general-purpose AI models that apply across the EU. It applies to various actors along the AI value chain, including “providers” and “deployers” of AI systems classified as “high-risk,” “providers” of general-purpose AI models, and “providers” of general-purpose AI models with “systemic risk.” It also prohibits certain AI practices and imposes transparency requirements in relation to certain AI systems and general-purpose AI models.</w:t>
      </w:r>
    </w:p>
    <w:p>
      <w:pPr>
        <w:spacing w:after="0" w:line="4"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The EU AI Act sets out a transition period of two years (by August 2026) for most provisions, with the following exceptions: (i) the provisions relating to prohibited AI practices and AI literacy apply after six months (by February 2025); (ii) the provisions relating to general-purpose AI models and the AI Act’s governance framework apply after one year (by August 2025); and (iii) the provisions relating to high-risk AI systems that are used as safety components of products or are themselves products regulated by certain EU harmonization legislation (e.g., machinery, medical devices) requiring third-party conformity assessments apply after three years (by August 2027).</w:t>
      </w:r>
    </w:p>
    <w:p>
      <w:pPr>
        <w:spacing w:after="0" w:line="4"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The EU AI Act applies to providers, located in or outside the EU, that place on the market or put into service AI systems in the EU, or that place on the market general-purpose AI models in the EU. It also applies to deployers of AI systems located or established in the EU, and to providers or deployers located or established outside the EU where the output of the system is used in the EU. Whether a biotech company incurs obligations under the EU AI Act depends on whether it develops, offers, or uses any AI systems or general-purpose AI models; whether it qualifies as a “provider,” “deployer,” or other regulated actor; and the jurisdiction where the system is put into service, where the system or model is placed on the market, or where the output of a system is used. Providers and deployers of “high-risk AI systems” will need to comply with numerous obligations that apply to such systems. The obligations for providers and deployers differ, with the majority of obligations falling to providers. The EU AI Act also contemplates circumstances where a deployer or other third -party must assume the obligations of the provider, e.g., where the third- party makes a substantial modification to a high-risk AI system that has already been placed on the market or put into service, but where the modified system remains high risk. The EU AI Act sets out an exhaustive list of “high-risk AI systems” in Annexes I and III. The categories of such systems that might be relevant to offerings of biotech companies include products that require a notified body conformity assessment under the EU Medical Devices Regulation 2017/745 or EU In Vitro Diagnostic Medical Devices Regulation 2017/746.</w:t>
      </w:r>
    </w:p>
    <w:p>
      <w:pPr>
        <w:spacing w:after="0" w:line="10" w:lineRule="exact"/>
        <w:rPr>
          <w:sz w:val="20"/>
          <w:szCs w:val="20"/>
          <w:color w:val="auto"/>
        </w:rPr>
      </w:pPr>
    </w:p>
    <w:p>
      <w:pPr>
        <w:ind w:left="380" w:right="2300"/>
        <w:spacing w:after="0" w:line="215" w:lineRule="auto"/>
        <w:rPr>
          <w:sz w:val="20"/>
          <w:szCs w:val="20"/>
          <w:color w:val="auto"/>
        </w:rPr>
      </w:pPr>
      <w:r>
        <w:rPr>
          <w:rFonts w:ascii="Arial" w:cs="Arial" w:eastAsia="Arial" w:hAnsi="Arial"/>
          <w:sz w:val="13"/>
          <w:szCs w:val="13"/>
          <w:color w:val="auto"/>
        </w:rPr>
        <w:t>The EU AI Act imposes a separate set of obligations on providers of “general-purpose AI models” and an additional set of obligations on providers of “general-purpose AI models with systemic risk.” The European Commission will designate general-purpose AI models that have “high-impact capabilities” as models with “systemic risk.” Providers of general- purpose AI models—with or without “systemic risk”— must comply with certain obligations, including to draw up technical documentation about the general-purpose AI model, implement a copyright policy to comply with EU copyright laws, and make available a summary of the content used to train the model. Additional obligations apply to providers of general-purpose AI models with systemic risk, including, for example, to perform model evaluation (such as adversarial testing) and to report serious incidents to the European Commission’s AI Office. Whether these obligations apply to a biotech company will depend on whether it develops any general -purpose AI models (or have them developed on its behalf) and places them on the market in the EU. If so, it will need to comply with the obligations that apply to all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168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300"/>
        <w:spacing w:after="0" w:line="220" w:lineRule="auto"/>
        <w:rPr>
          <w:sz w:val="20"/>
          <w:szCs w:val="20"/>
          <w:color w:val="auto"/>
        </w:rPr>
      </w:pPr>
      <w:r>
        <w:rPr>
          <w:rFonts w:ascii="Arial" w:cs="Arial" w:eastAsia="Arial" w:hAnsi="Arial"/>
          <w:sz w:val="13"/>
          <w:szCs w:val="13"/>
          <w:color w:val="auto"/>
        </w:rPr>
        <w:t>purpose AI models and assess whether any of these models could qualify as general-purpose AI models with systemic risk, which would require it to comply with additional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26" w:lineRule="auto"/>
        <w:rPr>
          <w:sz w:val="20"/>
          <w:szCs w:val="20"/>
          <w:color w:val="auto"/>
        </w:rPr>
      </w:pPr>
      <w:r>
        <w:rPr>
          <w:rFonts w:ascii="Arial" w:cs="Arial" w:eastAsia="Arial" w:hAnsi="Arial"/>
          <w:sz w:val="13"/>
          <w:szCs w:val="13"/>
          <w:color w:val="auto"/>
        </w:rPr>
        <w:t>Of particular relevance to the biotech industry, the EMA has published a reflection paper on the use of AI (September 2024), which is aimed at biopharmaceutical companies intending to use AI in the lifecycle of their medicines, including for drug discovery, design, and development. It also covers the use of medical devices with AI/machine-learning (ML) technology that are used to generate data or other evidence to support an EU marketing authorization for a medicine (i.e., used within the context of clinical trials or combined with the use of a medicine). The EMA’s view of “high patient risk” or “high regulatory impact” that AI can have differs from the classifications used in the EU AI Act. This requires biotech companies to assess whether the use of AI could affect patient safety (“high patient risk”) or impact regulatory decision-making (“high regulatory impact”) for the purpose of the EU medicines rules. This means that potentially, non-high -risk AI under the EU AI Act could still be relevant to the EMA if it impacts patient safety or evidence generation for a medicine subject to regulatory approval. The EMA guidance puts the onus on marketing authorization applicants/marketing authorization holders to ensure AI used during the medicines lifecycle is compliant with the medicines rules. If a biotech company intends to use AI in the context of its medicines it will need to carry out a regulatory impact and risk analysis and potentially discuss use cases with the EMA, including when there is no clearly written guidance available.</w:t>
      </w:r>
    </w:p>
    <w:p>
      <w:pPr>
        <w:ind w:left="380" w:right="2600"/>
        <w:spacing w:after="0" w:line="210" w:lineRule="auto"/>
        <w:rPr>
          <w:sz w:val="20"/>
          <w:szCs w:val="20"/>
          <w:color w:val="auto"/>
        </w:rPr>
      </w:pPr>
      <w:r>
        <w:rPr>
          <w:rFonts w:ascii="Arial" w:cs="Arial" w:eastAsia="Arial" w:hAnsi="Arial"/>
          <w:sz w:val="13"/>
          <w:szCs w:val="13"/>
          <w:color w:val="auto"/>
        </w:rPr>
        <w:t>Failure to adhere to (or remain up to date with evolving) EU regulatory requirements may lead to delays, compliance risks, and penalties.</w:t>
      </w:r>
    </w:p>
    <w:p>
      <w:pPr>
        <w:ind w:left="380"/>
        <w:spacing w:after="0" w:line="212" w:lineRule="auto"/>
        <w:rPr>
          <w:sz w:val="20"/>
          <w:szCs w:val="20"/>
          <w:color w:val="auto"/>
        </w:rPr>
      </w:pPr>
      <w:r>
        <w:rPr>
          <w:rFonts w:ascii="Arial" w:cs="Arial" w:eastAsia="Arial" w:hAnsi="Arial"/>
          <w:sz w:val="13"/>
          <w:szCs w:val="13"/>
          <w:i w:val="1"/>
          <w:iCs w:val="1"/>
          <w:color w:val="auto"/>
        </w:rPr>
        <w:t>Rest of World</w:t>
      </w:r>
    </w:p>
    <w:p>
      <w:pPr>
        <w:spacing w:after="0" w:line="1"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Outside the United States and EU, the requirements governing the use and deployment of AI may vary from country to country, though health regulators have taken some steps toward international harmonization on AI best practices. For example, FDA, UK MHRA, and Health Canada have issued joint guiding principles on topics such as good machine learning practices and transparency for ML-enabled devices. A company will need to identify how it uses AI in its business operations, and identify the relevant applicable regulatory regime that applies to ensure compliance. Failure to adhere to (or remain up to date with evolving) regulatory requirements may lead to delays, compliance risks, and penalties.</w:t>
      </w:r>
    </w:p>
    <w:p>
      <w:pPr>
        <w:ind w:left="380"/>
        <w:spacing w:after="0" w:line="217" w:lineRule="auto"/>
        <w:rPr>
          <w:sz w:val="20"/>
          <w:szCs w:val="20"/>
          <w:color w:val="auto"/>
        </w:rPr>
      </w:pPr>
      <w:r>
        <w:rPr>
          <w:rFonts w:ascii="Arial" w:cs="Arial" w:eastAsia="Arial" w:hAnsi="Arial"/>
          <w:sz w:val="13"/>
          <w:szCs w:val="13"/>
          <w:color w:val="005A64"/>
        </w:rPr>
        <w:t>XI. Intellectual Property</w:t>
      </w:r>
    </w:p>
    <w:p>
      <w:pPr>
        <w:ind w:left="380"/>
        <w:spacing w:after="0" w:line="211" w:lineRule="auto"/>
        <w:rPr>
          <w:sz w:val="20"/>
          <w:szCs w:val="20"/>
          <w:color w:val="auto"/>
        </w:rPr>
      </w:pPr>
      <w:r>
        <w:rPr>
          <w:rFonts w:ascii="Arial" w:cs="Arial" w:eastAsia="Arial" w:hAnsi="Arial"/>
          <w:sz w:val="13"/>
          <w:szCs w:val="13"/>
          <w:b w:val="1"/>
          <w:bCs w:val="1"/>
          <w:color w:val="auto"/>
        </w:rPr>
        <w:t>A. Introduction</w:t>
      </w:r>
    </w:p>
    <w:p>
      <w:pPr>
        <w:ind w:left="380" w:right="2160"/>
        <w:spacing w:after="0" w:line="222" w:lineRule="auto"/>
        <w:rPr>
          <w:sz w:val="20"/>
          <w:szCs w:val="20"/>
          <w:color w:val="auto"/>
        </w:rPr>
      </w:pPr>
      <w:r>
        <w:rPr>
          <w:rFonts w:ascii="Arial" w:cs="Arial" w:eastAsia="Arial" w:hAnsi="Arial"/>
          <w:sz w:val="13"/>
          <w:szCs w:val="13"/>
          <w:color w:val="auto"/>
        </w:rPr>
        <w:t>We pursue a layered intellectual property strategy to protect our various technology platforms and their application to the treatment of serious diseases, such as cancer and infectious diseases including COVID-19. One focus of our intellectual property strategy is to provide protection for our platforms and products as they are developed. We also pursue intellectual property protection for assets that may be used in future development</w:t>
      </w:r>
    </w:p>
    <w:p>
      <w:pPr>
        <w:sectPr>
          <w:pgSz w:w="11900" w:h="16840" w:orient="portrait"/>
          <w:cols w:equalWidth="0" w:num="1">
            <w:col w:w="9020"/>
          </w:cols>
          <w:pgMar w:left="1440" w:top="664" w:right="1440" w:bottom="28" w:gutter="0" w:footer="0" w:header="0"/>
        </w:sectPr>
      </w:pPr>
    </w:p>
    <w:bookmarkStart w:id="117" w:name="page118"/>
    <w:bookmarkEnd w:id="117"/>
    <w:p>
      <w:pPr>
        <w:ind w:left="380"/>
        <w:spacing w:after="0"/>
        <w:rPr>
          <w:sz w:val="20"/>
          <w:szCs w:val="20"/>
          <w:color w:val="auto"/>
        </w:rPr>
      </w:pPr>
      <w:r>
        <w:rPr>
          <w:rFonts w:ascii="Arial" w:cs="Arial" w:eastAsia="Arial" w:hAnsi="Arial"/>
          <w:sz w:val="13"/>
          <w:szCs w:val="13"/>
          <w:color w:val="auto"/>
        </w:rPr>
        <w:t>programs, may be of interest to our collaborators, and/or otherwise may prove valuable in the field.</w:t>
      </w:r>
    </w:p>
    <w:p>
      <w:pPr>
        <w:ind w:left="380" w:right="2180"/>
        <w:spacing w:after="0" w:line="210" w:lineRule="auto"/>
        <w:rPr>
          <w:sz w:val="20"/>
          <w:szCs w:val="20"/>
          <w:color w:val="auto"/>
        </w:rPr>
      </w:pPr>
      <w:r>
        <w:rPr>
          <w:rFonts w:ascii="Arial" w:cs="Arial" w:eastAsia="Arial" w:hAnsi="Arial"/>
          <w:sz w:val="13"/>
          <w:szCs w:val="13"/>
          <w:color w:val="auto"/>
        </w:rPr>
        <w:t>Various aspects of our technology platforms and our product candidates are claimed in patent filings. We also pursue other modalities of intellectual property protection, including trademark and trade secret protection, as appropriate. Many of our intellectual property assets were developed and are owned solely by us, some have been developed via collaboration and are jointly owned, and some have been acquired by acquisition and/or licensed from third parties. We expect that we will continue to make additional patent application filings, and will continue to pursue opportunities to acquire and license additional intellectual property assets, technologies, platforms and/or product candidates, as developments arise or are identified.</w:t>
      </w:r>
    </w:p>
    <w:p>
      <w:pPr>
        <w:spacing w:after="0" w:line="4" w:lineRule="exact"/>
        <w:rPr>
          <w:sz w:val="20"/>
          <w:szCs w:val="20"/>
          <w:color w:val="auto"/>
        </w:rPr>
      </w:pPr>
    </w:p>
    <w:p>
      <w:pPr>
        <w:ind w:left="380" w:right="2080"/>
        <w:spacing w:after="0" w:line="216" w:lineRule="auto"/>
        <w:rPr>
          <w:sz w:val="20"/>
          <w:szCs w:val="20"/>
          <w:color w:val="auto"/>
        </w:rPr>
      </w:pPr>
      <w:r>
        <w:rPr>
          <w:rFonts w:ascii="Arial" w:cs="Arial" w:eastAsia="Arial" w:hAnsi="Arial"/>
          <w:sz w:val="13"/>
          <w:szCs w:val="13"/>
          <w:color w:val="auto"/>
        </w:rPr>
        <w:t xml:space="preserve">Regardless, we cannot be certain that any of the patent filings or other intellectual property rights that we have pursued or obtained will provide protection for any products as commercialized. The original version of our </w:t>
      </w:r>
      <w:r>
        <w:rPr>
          <w:rFonts w:ascii="Arial" w:cs="Arial" w:eastAsia="Arial" w:hAnsi="Arial"/>
          <w:sz w:val="13"/>
          <w:szCs w:val="13"/>
          <w:i w:val="1"/>
          <w:iCs w:val="1"/>
          <w:color w:val="auto"/>
        </w:rPr>
        <w:t xml:space="preserve">Comirnaty </w:t>
      </w:r>
      <w:r>
        <w:rPr>
          <w:rFonts w:ascii="Arial" w:cs="Arial" w:eastAsia="Arial" w:hAnsi="Arial"/>
          <w:sz w:val="13"/>
          <w:szCs w:val="13"/>
          <w:color w:val="auto"/>
        </w:rPr>
        <w:t>COVID-19 vaccine product, our Omicron XBB.1.5-adapted monovalent COVID-19 vaccine, our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bivalent version (Original and Omicron BA.4/BA.5), and our Omicron KP.2-adapted monovalent vaccine have been approved by the FDA in the United States for individuals 12 and older. In addition, both the original version of our </w:t>
      </w:r>
      <w:r>
        <w:rPr>
          <w:rFonts w:ascii="Arial" w:cs="Arial" w:eastAsia="Arial" w:hAnsi="Arial"/>
          <w:sz w:val="13"/>
          <w:szCs w:val="13"/>
          <w:i w:val="1"/>
          <w:iCs w:val="1"/>
          <w:color w:val="auto"/>
        </w:rPr>
        <w:t>Comirnaty</w:t>
      </w:r>
      <w:r>
        <w:rPr>
          <w:rFonts w:ascii="Arial" w:cs="Arial" w:eastAsia="Arial" w:hAnsi="Arial"/>
          <w:sz w:val="13"/>
          <w:szCs w:val="13"/>
          <w:color w:val="auto"/>
        </w:rPr>
        <w:t xml:space="preserve"> COVID- 19 vaccine product, our Omicron XBB.1.5-adapted monovalent COVID-19 vaccine, our bivalent vaccine, and our Omicron KP.2 -adapted monovalent vaccine were also authorized by the FDA in the United States under EUA for individuals 6 months to &lt;12 years old. As further variants of SARS-CoV-2 arise,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169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5" w:lineRule="auto"/>
        <w:rPr>
          <w:sz w:val="20"/>
          <w:szCs w:val="20"/>
          <w:color w:val="auto"/>
        </w:rPr>
      </w:pPr>
      <w:r>
        <w:rPr>
          <w:rFonts w:ascii="Arial" w:cs="Arial" w:eastAsia="Arial" w:hAnsi="Arial"/>
          <w:sz w:val="13"/>
          <w:szCs w:val="13"/>
          <w:color w:val="auto"/>
        </w:rPr>
        <w:t>its impact and characteristics evolve, the composition, manufacture, and use (including, e.g., dosage regimen) of our COVID-19 vaccine products may be adjusted or modified and our filings may not protect them. Our other product candidates are currently in clinical testing, with no certainty that they will be successful, or that significant modification or adjustment may not be required for successful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080"/>
        <w:spacing w:after="0" w:line="226" w:lineRule="auto"/>
        <w:rPr>
          <w:sz w:val="20"/>
          <w:szCs w:val="20"/>
          <w:color w:val="auto"/>
        </w:rPr>
      </w:pPr>
      <w:r>
        <w:rPr>
          <w:rFonts w:ascii="Arial" w:cs="Arial" w:eastAsia="Arial" w:hAnsi="Arial"/>
          <w:sz w:val="13"/>
          <w:szCs w:val="13"/>
          <w:color w:val="auto"/>
        </w:rPr>
        <w:t>Our future commercial success depends, in part, on our ability to obtain and maintain patent and other proprietary protection for commercially important technology, inventions and know-how related to our business; defend and enforce our patents and other intellectual property; preserve the confidentiality of our trade secrets; and operate without infringing, misappropriating or violating the valid and enforceable patents and other intellectual property rights of third parties. Our ability to stop third parties from making, using, selling, offering to sell or importing our products may depend on the extent to which we have rights under valid and enforceable patents, trade secrets or other intellectual property rights that cover these activities. With respect to both our owned and licensed intellectual property, we cannot be sure that patents will issue with respect to any of the owned or licensed pending patent applications or with respect to any patent applications that we, our co-owners or our licensors may file in the future, nor can we be sure that any of our owned or licensed patents or any patents that may be issued in the future to us or our licensors will be commercially useful in protecting any products that we ultimately attempt to commercialize or any method of making or using such products. Moreover, we may be unable to obtain patent protection for certain of our product candidates generally as well as with respect to certain indications. See “Risk Factors—Risks Related to our Intellectual Property” in this Annual Report.</w:t>
      </w:r>
    </w:p>
    <w:p>
      <w:pPr>
        <w:ind w:left="380" w:right="2100"/>
        <w:spacing w:after="0" w:line="210" w:lineRule="auto"/>
        <w:rPr>
          <w:sz w:val="20"/>
          <w:szCs w:val="20"/>
          <w:color w:val="auto"/>
        </w:rPr>
      </w:pPr>
      <w:r>
        <w:rPr>
          <w:rFonts w:ascii="Arial" w:cs="Arial" w:eastAsia="Arial" w:hAnsi="Arial"/>
          <w:sz w:val="13"/>
          <w:szCs w:val="13"/>
          <w:color w:val="auto"/>
        </w:rPr>
        <w:t>As of January 1, 2025, our overall owned and in-licensed patent portfolio included more than 480 patent families, each of which includes at least one filing in the United States or Europe, and several of which are pending or granted in multiple jurisdictions. The patent families include at least 405 patent families that are solely or jointly owned by BioNTech, including certain families acquired through our acquisitions and others that we have licensed from a third party.</w:t>
      </w:r>
    </w:p>
    <w:p>
      <w:pPr>
        <w:spacing w:after="0" w:line="3"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An issued patent provides its owner (or possibly its licensee) with a right to exclude others from making, using or selling that which is claimed in the patent, for a specified period of time (the “term” of the patent), in the jurisdiction in which the patent is issued. In the United States, and in many other countries, patents have a presumptive term of 20 years from their effective filing date (which is the earliest non-provisional filing date to which the patent claims priority) . However, many jurisdictions, including the United States, require the payment of periodic maintenance fees in order for patents to remain in force for the full 20- year term. The United States also has provisions that require a patent term to be shortened if its claims are too similar to another patent owned by the same party that has a shorter term. The United States and certain other jurisdictions also have provisions that permit extension of patent term for patents that claim a drug or drug product, or its approved use, if the patent was issued before clinical trials were completed and certain other requirements were satisfied. In the United States, such extension is called a Patent Term Extension, or PTE, and it is limited to a period of not more than five years, or the total patent term including the PTE cannot exceed 14 years after the date of regulatory approval; only one patent can be extended per product approval. We did not extend any patent for our COVID-19 vaccine (</w:t>
      </w:r>
      <w:r>
        <w:rPr>
          <w:rFonts w:ascii="Arial" w:cs="Arial" w:eastAsia="Arial" w:hAnsi="Arial"/>
          <w:sz w:val="13"/>
          <w:szCs w:val="13"/>
          <w:i w:val="1"/>
          <w:iCs w:val="1"/>
          <w:color w:val="auto"/>
        </w:rPr>
        <w:t>Comirnaty</w:t>
      </w:r>
      <w:r>
        <w:rPr>
          <w:rFonts w:ascii="Arial" w:cs="Arial" w:eastAsia="Arial" w:hAnsi="Arial"/>
          <w:sz w:val="13"/>
          <w:szCs w:val="13"/>
          <w:color w:val="auto"/>
        </w:rPr>
        <w:t>) when it was approved by the FDA in the United States in 2021. The United States also offers a different form of patent term extension, known as Patent Term Adjustment, or PTA, whereby a particular patent’s term is automatically extended beyond the 20-year date if the U.S. Patent and Trademark Office, or the USPTO, caused delay during its examination; however, potentially available PTA is reduced by any amount of any delay caused by the patent applicant.</w:t>
      </w:r>
    </w:p>
    <w:p>
      <w:pPr>
        <w:spacing w:after="0" w:line="11"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Below, we provide a summary of the contours of our current patent portfolio as it relates to different aspects of relevant technology, including noting ownership and patent terms for filings included in the portfolio that are directed to such aspects. Particularly given our pre-commercial state of development for many product candidates, we cannot be certain that any of the patent filings in our portfolio will provide meaningful protection for products that we do or attempt to commercialize.</w:t>
      </w:r>
    </w:p>
    <w:p>
      <w:pPr>
        <w:ind w:left="380"/>
        <w:spacing w:after="0" w:line="215" w:lineRule="auto"/>
        <w:rPr>
          <w:sz w:val="20"/>
          <w:szCs w:val="20"/>
          <w:color w:val="auto"/>
        </w:rPr>
      </w:pPr>
      <w:r>
        <w:rPr>
          <w:rFonts w:ascii="Arial" w:cs="Arial" w:eastAsia="Arial" w:hAnsi="Arial"/>
          <w:sz w:val="13"/>
          <w:szCs w:val="13"/>
          <w:b w:val="1"/>
          <w:bCs w:val="1"/>
          <w:color w:val="auto"/>
        </w:rPr>
        <w:t>B. Patent Portfolio</w:t>
      </w:r>
    </w:p>
    <w:p>
      <w:pPr>
        <w:ind w:left="380" w:right="2280"/>
        <w:spacing w:after="0" w:line="234" w:lineRule="auto"/>
        <w:rPr>
          <w:sz w:val="20"/>
          <w:szCs w:val="20"/>
          <w:color w:val="auto"/>
        </w:rPr>
      </w:pPr>
      <w:r>
        <w:rPr>
          <w:rFonts w:ascii="Arial" w:cs="Arial" w:eastAsia="Arial" w:hAnsi="Arial"/>
          <w:sz w:val="13"/>
          <w:szCs w:val="13"/>
          <w:color w:val="auto"/>
        </w:rPr>
        <w:t>The patent portfolios for our most advanced programs are summarized below. Patent prosecution is a lengthy process, during which the scope of the claims initially submitted to the USPTO and similar authorities for</w:t>
      </w:r>
    </w:p>
    <w:p>
      <w:pPr>
        <w:sectPr>
          <w:pgSz w:w="11900" w:h="16840" w:orient="portrait"/>
          <w:cols w:equalWidth="0" w:num="1">
            <w:col w:w="9020"/>
          </w:cols>
          <w:pgMar w:left="1440" w:top="554" w:right="1440" w:bottom="1440" w:gutter="0" w:footer="0" w:header="0"/>
        </w:sectPr>
      </w:pPr>
    </w:p>
    <w:bookmarkStart w:id="118" w:name="page119"/>
    <w:bookmarkEnd w:id="118"/>
    <w:p>
      <w:pPr>
        <w:spacing w:after="0" w:line="15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170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line="220" w:lineRule="auto"/>
        <w:rPr>
          <w:sz w:val="20"/>
          <w:szCs w:val="20"/>
          <w:color w:val="auto"/>
        </w:rPr>
      </w:pPr>
      <w:r>
        <w:rPr>
          <w:rFonts w:ascii="Arial" w:cs="Arial" w:eastAsia="Arial" w:hAnsi="Arial"/>
          <w:sz w:val="13"/>
          <w:szCs w:val="13"/>
          <w:color w:val="auto"/>
        </w:rPr>
        <w:t>examination can be significantly narrowed by the time they issue, if they issue at all. We expect this could be the case with respect to some of our pending patent applications referred to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i w:val="1"/>
          <w:iCs w:val="1"/>
          <w:color w:val="auto"/>
        </w:rPr>
        <w:t>1. mRNA</w:t>
      </w:r>
    </w:p>
    <w:p>
      <w:pPr>
        <w:ind w:left="380" w:right="2160"/>
        <w:spacing w:after="0" w:line="210" w:lineRule="auto"/>
        <w:rPr>
          <w:sz w:val="20"/>
          <w:szCs w:val="20"/>
          <w:color w:val="auto"/>
        </w:rPr>
      </w:pPr>
      <w:r>
        <w:rPr>
          <w:rFonts w:ascii="Arial" w:cs="Arial" w:eastAsia="Arial" w:hAnsi="Arial"/>
          <w:sz w:val="13"/>
          <w:szCs w:val="13"/>
          <w:color w:val="auto"/>
        </w:rPr>
        <w:t xml:space="preserve">The patent portfolio for our mRNA therapeutic platforms and product candidates includes patent filings directed to features of therapeutic mRNA structures, some of which are included in our COVID-19 vaccine and in current development candidates. Our patent portfolio also includes patent filings directed to mRNA formulations (including their production and use), including the lipoplex formulations currently utilized with our </w:t>
      </w:r>
      <w:r>
        <w:rPr>
          <w:rFonts w:ascii="Arial" w:cs="Arial" w:eastAsia="Arial" w:hAnsi="Arial"/>
          <w:sz w:val="13"/>
          <w:szCs w:val="13"/>
          <w:i w:val="1"/>
          <w:iCs w:val="1"/>
          <w:color w:val="auto"/>
        </w:rPr>
        <w:t>FixVac</w:t>
      </w:r>
      <w:r>
        <w:rPr>
          <w:rFonts w:ascii="Arial" w:cs="Arial" w:eastAsia="Arial" w:hAnsi="Arial"/>
          <w:sz w:val="13"/>
          <w:szCs w:val="13"/>
          <w:color w:val="auto"/>
        </w:rPr>
        <w:t xml:space="preserve"> and iNeST platforms, and the lipid nanoparticles currently utilized with our mRNA, </w:t>
      </w:r>
      <w:r>
        <w:rPr>
          <w:rFonts w:ascii="Arial" w:cs="Arial" w:eastAsia="Arial" w:hAnsi="Arial"/>
          <w:sz w:val="13"/>
          <w:szCs w:val="13"/>
          <w:i w:val="1"/>
          <w:iCs w:val="1"/>
          <w:color w:val="auto"/>
        </w:rPr>
        <w:t>RiboMab</w:t>
      </w:r>
      <w:r>
        <w:rPr>
          <w:rFonts w:ascii="Arial" w:cs="Arial" w:eastAsia="Arial" w:hAnsi="Arial"/>
          <w:sz w:val="13"/>
          <w:szCs w:val="13"/>
          <w:color w:val="auto"/>
        </w:rPr>
        <w:t xml:space="preserve"> and </w:t>
      </w:r>
      <w:r>
        <w:rPr>
          <w:rFonts w:ascii="Arial" w:cs="Arial" w:eastAsia="Arial" w:hAnsi="Arial"/>
          <w:sz w:val="13"/>
          <w:szCs w:val="13"/>
          <w:i w:val="1"/>
          <w:iCs w:val="1"/>
          <w:color w:val="auto"/>
        </w:rPr>
        <w:t>RiboCytokine</w:t>
      </w:r>
      <w:r>
        <w:rPr>
          <w:rFonts w:ascii="Arial" w:cs="Arial" w:eastAsia="Arial" w:hAnsi="Arial"/>
          <w:sz w:val="13"/>
          <w:szCs w:val="13"/>
          <w:color w:val="auto"/>
        </w:rPr>
        <w:t xml:space="preserve"> platforms, as well as patent filings directed to mRNA manufacturing, and to uses of mRNA therapeutics. We provide more detail below regarding the patent filings directed to these features.</w:t>
      </w:r>
    </w:p>
    <w:p>
      <w:pPr>
        <w:ind w:left="380"/>
        <w:spacing w:after="0" w:line="217" w:lineRule="auto"/>
        <w:rPr>
          <w:sz w:val="20"/>
          <w:szCs w:val="20"/>
          <w:color w:val="auto"/>
        </w:rPr>
      </w:pPr>
      <w:r>
        <w:rPr>
          <w:rFonts w:ascii="Arial" w:cs="Arial" w:eastAsia="Arial" w:hAnsi="Arial"/>
          <w:sz w:val="13"/>
          <w:szCs w:val="13"/>
          <w:color w:val="3C9673"/>
        </w:rPr>
        <w:t>mRNA Structure</w:t>
      </w:r>
    </w:p>
    <w:p>
      <w:pPr>
        <w:ind w:left="380" w:right="2120"/>
        <w:spacing w:after="0" w:line="210" w:lineRule="auto"/>
        <w:rPr>
          <w:sz w:val="20"/>
          <w:szCs w:val="20"/>
          <w:color w:val="auto"/>
        </w:rPr>
      </w:pPr>
      <w:r>
        <w:rPr>
          <w:rFonts w:ascii="Arial" w:cs="Arial" w:eastAsia="Arial" w:hAnsi="Arial"/>
          <w:sz w:val="13"/>
          <w:szCs w:val="13"/>
          <w:color w:val="auto"/>
        </w:rPr>
        <w:t>Our patent portfolio includes patent filings directed to various features of mRNA structure, which may, for example, contribute to increased immunogenicity (e.g., antigen presentation), translation efficiency, and/or stability of mRNA constructs that include them. Such features include, for example, antigen-MHC fusions, 5’ cap structures and related features, 3’ UTR structures, polyA tails, reduced-uracil content mRNAs, and modified nucleoside RNAs. Filings directed to each of these features, and/or to RNA constructs that include them (singly or in combination), or collectively, the mRNA Structure Filings, have been made in the United States and various other jurisdictions. Some such mRNA Structure Filings are owned solely by BioNTech SE, which are referred to collectively in this section as BioNTech, some jointly by BioNTech and one or more third parties, and some by BioNTech licensors, such as Louisiana State University, or LSU, and the terms of the applicable agreement with LSU, are further summarized below in “C. In -Licensing.” We have non-exclusive rights to use certain U.S. and European patent filings owned by University of Pennsylvania and relating to RNA containing modified nucleosides through our sublicense agreements with mRNA RiboTherapeutics, Inc. (MRT) and CellScript, collectively, the MRT-CellScript Sublicenses, and summarized below in “C. In-Licensing”. Issued existing mRNA Structure Filings have, and pending existing mRNA Structure Filings, if issued, would have, 20-year terms that extend into the mid-2020s to the early-2040s.</w:t>
      </w:r>
    </w:p>
    <w:p>
      <w:pPr>
        <w:ind w:left="380"/>
        <w:spacing w:after="0" w:line="225" w:lineRule="auto"/>
        <w:rPr>
          <w:sz w:val="20"/>
          <w:szCs w:val="20"/>
          <w:color w:val="auto"/>
        </w:rPr>
      </w:pPr>
      <w:r>
        <w:rPr>
          <w:rFonts w:ascii="Arial" w:cs="Arial" w:eastAsia="Arial" w:hAnsi="Arial"/>
          <w:sz w:val="13"/>
          <w:szCs w:val="13"/>
          <w:color w:val="3C9673"/>
        </w:rPr>
        <w:t>mRNA Formulations</w:t>
      </w:r>
    </w:p>
    <w:p>
      <w:pPr>
        <w:ind w:left="380" w:right="2100"/>
        <w:spacing w:after="0" w:line="210" w:lineRule="auto"/>
        <w:rPr>
          <w:sz w:val="20"/>
          <w:szCs w:val="20"/>
          <w:color w:val="auto"/>
        </w:rPr>
      </w:pPr>
      <w:r>
        <w:rPr>
          <w:rFonts w:ascii="Arial" w:cs="Arial" w:eastAsia="Arial" w:hAnsi="Arial"/>
          <w:sz w:val="13"/>
          <w:szCs w:val="13"/>
          <w:color w:val="auto"/>
        </w:rPr>
        <w:t>Our patent portfolio includes patent filings directed to various formulations for mRNA delivery, some of which are utilized with current development candidates. For example, our portfolio includes patent filings directed to lipoplex formulations and preparations thereof or collectively, the mRNA Lipoplex Filings. Issued mRNA Lipoplex Filing(s) has/have, and pending existing mRNA Lipoplex Filings, if issued, would have, 20-year terms that extend into the mid to late-2030s or early 2040s. Such mRNA Lipoplex Filings are solely owned by BioNTech or jointly owned by BioNTech and TRON.</w:t>
      </w:r>
    </w:p>
    <w:p>
      <w:pPr>
        <w:spacing w:after="0" w:line="4"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In addition, our portfolio includes U.S. and other patent filings directed to lipid nanoparticles and polyplex technologies, which are solely owned by BioNTech or jointly owned by BioNTech and TRON, or collectively, the mRNA Lipid Nanoparticle/Polyplex Filings. Issued mRNA Lipid Nanoparticle/Polyplex Filings have, and pending mRNA Lipid Nanoparticle/Polyplex Filings, if issued, would have, 20 year terms that extend into the mid- to late 2030s or early 2040s. Some of such mRNA Lipid Nanoparticle/Polyplex Filings were granted in certain foreign jurisdictions, and currently include U.S. issued patents. The terms of the co-ownership of such patent filings with TRON are summarized below in “C. In-Licensing.”</w:t>
      </w:r>
    </w:p>
    <w:p>
      <w:pPr>
        <w:ind w:left="380"/>
        <w:spacing w:after="0" w:line="217" w:lineRule="auto"/>
        <w:rPr>
          <w:sz w:val="20"/>
          <w:szCs w:val="20"/>
          <w:color w:val="auto"/>
        </w:rPr>
      </w:pPr>
      <w:r>
        <w:rPr>
          <w:rFonts w:ascii="Arial" w:cs="Arial" w:eastAsia="Arial" w:hAnsi="Arial"/>
          <w:sz w:val="13"/>
          <w:szCs w:val="13"/>
          <w:color w:val="3C9673"/>
        </w:rPr>
        <w:t>mRNA Manufacturing</w:t>
      </w:r>
    </w:p>
    <w:p>
      <w:pPr>
        <w:ind w:left="380" w:right="2180"/>
        <w:spacing w:after="0" w:line="217" w:lineRule="auto"/>
        <w:rPr>
          <w:sz w:val="20"/>
          <w:szCs w:val="20"/>
          <w:color w:val="auto"/>
        </w:rPr>
      </w:pPr>
      <w:r>
        <w:rPr>
          <w:rFonts w:ascii="Arial" w:cs="Arial" w:eastAsia="Arial" w:hAnsi="Arial"/>
          <w:sz w:val="13"/>
          <w:szCs w:val="13"/>
          <w:color w:val="auto"/>
        </w:rPr>
        <w:t>As discussed below, we utilize trade secret protection for many aspects of our mRNA manufacturing technologies, including as currently utilized for production of certain of our development candidates. In addition, our patent portfolio includes certain patent filings relevant to mRNA manufacturing, or collectively, the mRNA Manufacturing Filings, which we believe may provide commercial value to protect product candidates and/or support collaborations or other licensing arrangements. For example, our mRNA Manufacturing Filings include U.S. and other patent filings relating to certain aspects of mRNA purification and production. These mRNA Manufacturing Filings are either solely owned by BioNTech, or jointly owned by BioNTech and TRON and,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171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540"/>
        <w:spacing w:after="0" w:line="220" w:lineRule="auto"/>
        <w:rPr>
          <w:sz w:val="20"/>
          <w:szCs w:val="20"/>
          <w:color w:val="auto"/>
        </w:rPr>
      </w:pPr>
      <w:r>
        <w:rPr>
          <w:rFonts w:ascii="Arial" w:cs="Arial" w:eastAsia="Arial" w:hAnsi="Arial"/>
          <w:sz w:val="13"/>
          <w:szCs w:val="13"/>
          <w:color w:val="auto"/>
        </w:rPr>
        <w:t>issued, would have 20-year terms that would extend into the mid- 2030s to early 2040s; there are patents granted in certain foreign jurisdictions including EP, but no U.S. patent was yet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color w:val="3C9673"/>
        </w:rPr>
        <w:t>mRNA Commercial Products and Product Candidates</w:t>
      </w:r>
    </w:p>
    <w:p>
      <w:pPr>
        <w:ind w:left="380" w:right="2080"/>
        <w:spacing w:after="0" w:line="210" w:lineRule="auto"/>
        <w:rPr>
          <w:sz w:val="20"/>
          <w:szCs w:val="20"/>
          <w:color w:val="auto"/>
        </w:rPr>
      </w:pPr>
      <w:r>
        <w:rPr>
          <w:rFonts w:ascii="Arial" w:cs="Arial" w:eastAsia="Arial" w:hAnsi="Arial"/>
          <w:sz w:val="13"/>
          <w:szCs w:val="13"/>
          <w:color w:val="auto"/>
        </w:rPr>
        <w:t xml:space="preserve">Our COVID-19 vaccine. Our COVID-19 vaccine (BNT162b2), marketed as </w:t>
      </w:r>
      <w:r>
        <w:rPr>
          <w:rFonts w:ascii="Arial" w:cs="Arial" w:eastAsia="Arial" w:hAnsi="Arial"/>
          <w:sz w:val="13"/>
          <w:szCs w:val="13"/>
          <w:i w:val="1"/>
          <w:iCs w:val="1"/>
          <w:color w:val="auto"/>
        </w:rPr>
        <w:t>Comirnaty</w:t>
      </w:r>
      <w:r>
        <w:rPr>
          <w:rFonts w:ascii="Arial" w:cs="Arial" w:eastAsia="Arial" w:hAnsi="Arial"/>
          <w:sz w:val="13"/>
          <w:szCs w:val="13"/>
          <w:color w:val="auto"/>
        </w:rPr>
        <w:t xml:space="preserve">, is our most advanced mRNA product. It is currently sold in monovalent format (one mRNA) based on Omicron variants XBB.1.5, JN.1 and KP.2. The </w:t>
      </w:r>
      <w:r>
        <w:rPr>
          <w:rFonts w:ascii="Arial" w:cs="Arial" w:eastAsia="Arial" w:hAnsi="Arial"/>
          <w:sz w:val="13"/>
          <w:szCs w:val="13"/>
          <w:color w:val="1F497D"/>
        </w:rPr>
        <w:t>Omicron KP.2-adapted monovalent COVID-19 vaccine</w:t>
      </w:r>
      <w:r>
        <w:rPr>
          <w:rFonts w:ascii="Arial" w:cs="Arial" w:eastAsia="Arial" w:hAnsi="Arial"/>
          <w:sz w:val="13"/>
          <w:szCs w:val="13"/>
          <w:color w:val="auto"/>
        </w:rPr>
        <w:t xml:space="preserve"> has received full FDA approval for individuals 12 years and older and EUA for individuals 6 months to 12 years old. Our monovalent XBB.1.5, JN.1-and/or KP.2- adapted COVID -19 vaccines have received full and/or conditional marketing approval in various other jurisdictions. In Europe, all three versions (XBB.1.5, JN.1- and KP.2-adapted monovalent vaccines) have received marketing authorization for individuals 6 months and older. Additional COVID-19 vaccine candidates, as well as various dosing regimens and use in patient populations with certain medical conditions are being tested in clinical trials.</w:t>
      </w:r>
    </w:p>
    <w:p>
      <w:pPr>
        <w:ind w:left="380"/>
        <w:spacing w:after="0" w:line="219" w:lineRule="auto"/>
        <w:rPr>
          <w:sz w:val="20"/>
          <w:szCs w:val="20"/>
          <w:color w:val="auto"/>
        </w:rPr>
      </w:pPr>
      <w:r>
        <w:rPr>
          <w:rFonts w:ascii="Arial" w:cs="Arial" w:eastAsia="Arial" w:hAnsi="Arial"/>
          <w:sz w:val="13"/>
          <w:szCs w:val="13"/>
          <w:i w:val="1"/>
          <w:iCs w:val="1"/>
          <w:color w:val="3C9673"/>
        </w:rPr>
        <w:t>Comirnaty and Other COVID-19 Vaccine mRNA Product Candidates</w:t>
      </w:r>
    </w:p>
    <w:p>
      <w:pPr>
        <w:ind w:left="380" w:right="2420"/>
        <w:spacing w:after="0" w:line="210" w:lineRule="auto"/>
        <w:rPr>
          <w:sz w:val="20"/>
          <w:szCs w:val="20"/>
          <w:color w:val="auto"/>
        </w:rPr>
      </w:pPr>
      <w:r>
        <w:rPr>
          <w:rFonts w:ascii="Arial" w:cs="Arial" w:eastAsia="Arial" w:hAnsi="Arial"/>
          <w:sz w:val="13"/>
          <w:szCs w:val="13"/>
          <w:color w:val="auto"/>
        </w:rPr>
        <w:t>Both our current and previously- marketed monovalent and bivalent COVID-19 vaccines utilize modified-nucleoside mRNA formulated in lipid nanoparticles and which encode an optimized SARS-CoV-2 full-length spike protein antigen.</w:t>
      </w:r>
    </w:p>
    <w:p>
      <w:pPr>
        <w:spacing w:after="0" w:line="2" w:lineRule="exact"/>
        <w:rPr>
          <w:sz w:val="20"/>
          <w:szCs w:val="20"/>
          <w:color w:val="auto"/>
        </w:rPr>
      </w:pPr>
    </w:p>
    <w:p>
      <w:pPr>
        <w:ind w:left="380" w:right="2080"/>
        <w:spacing w:after="0" w:line="215" w:lineRule="auto"/>
        <w:rPr>
          <w:sz w:val="20"/>
          <w:szCs w:val="20"/>
          <w:color w:val="auto"/>
        </w:rPr>
      </w:pPr>
      <w:r>
        <w:rPr>
          <w:rFonts w:ascii="Arial" w:cs="Arial" w:eastAsia="Arial" w:hAnsi="Arial"/>
          <w:sz w:val="13"/>
          <w:szCs w:val="13"/>
          <w:color w:val="auto"/>
        </w:rPr>
        <w:t>Our platform patent filings relevant to our COVID- 19 vaccines, collectively, the “BNT162b2 Platform Filings”, include certain mRNA Structure Filings relating to features for increasing translation efficiency and/or stability of mRNA constructs (e.g., certain 3’ UTR structures containing a specific sequence element, interrupted polyA tails, and certain 5’ cap/cap proximal sequence combinations), including filings that are jointly owned by BioNTech and TRON; also relevant are certain mRNA Manufacturing Filings. Issued BNT162b2 Platform Filings have, and pending BNT162b2 Platform Filings, if issued, would have 20-year terms extending into the late-2020s to the early-2040s. We also have undertaken various patent filings specifically related to the BNT162b2 structure (including as may be tailored based on particular SARS-CoV-2 variants), composition, formulation, packaging, use and/or manufacture, collectively the BNT162b2 Filings, including filings that have arisen through collaboration with third parties such as Pfizer. Such filings relevant to our COVID-19 vaccines, if issued, would</w:t>
      </w:r>
    </w:p>
    <w:p>
      <w:pPr>
        <w:sectPr>
          <w:pgSz w:w="11900" w:h="16840" w:orient="portrait"/>
          <w:cols w:equalWidth="0" w:num="1">
            <w:col w:w="9020"/>
          </w:cols>
          <w:pgMar w:left="1440" w:top="1440" w:right="1440" w:bottom="21" w:gutter="0" w:footer="0" w:header="0"/>
        </w:sectPr>
      </w:pPr>
    </w:p>
    <w:bookmarkStart w:id="119" w:name="page120"/>
    <w:bookmarkEnd w:id="119"/>
    <w:p>
      <w:pPr>
        <w:ind w:left="380"/>
        <w:spacing w:after="0"/>
        <w:rPr>
          <w:sz w:val="20"/>
          <w:szCs w:val="20"/>
          <w:color w:val="auto"/>
        </w:rPr>
      </w:pPr>
      <w:r>
        <w:rPr>
          <w:rFonts w:ascii="Arial" w:cs="Arial" w:eastAsia="Arial" w:hAnsi="Arial"/>
          <w:sz w:val="13"/>
          <w:szCs w:val="13"/>
          <w:color w:val="auto"/>
        </w:rPr>
        <w:t>have 20-year terms that would extend into early 2040s.</w:t>
      </w:r>
    </w:p>
    <w:p>
      <w:pPr>
        <w:ind w:left="380" w:right="2140"/>
        <w:spacing w:after="0" w:line="210" w:lineRule="auto"/>
        <w:rPr>
          <w:sz w:val="20"/>
          <w:szCs w:val="20"/>
          <w:color w:val="auto"/>
        </w:rPr>
      </w:pPr>
      <w:r>
        <w:rPr>
          <w:rFonts w:ascii="Arial" w:cs="Arial" w:eastAsia="Arial" w:hAnsi="Arial"/>
          <w:sz w:val="13"/>
          <w:szCs w:val="13"/>
          <w:color w:val="auto"/>
        </w:rPr>
        <w:t>As noted above, our MRT-CellScript Sublicenses grant us rights to use certain U.S. and European patents and applications relating to mRNA containing modified nucleosides, including as used in BNT162b2. We also have a non-exclusive license from the National Institutes of Health granting us a right to use certain technology described in U.S. and European patent filings that may relate to SARS -CoV- 2 spike (S) protein mutations that lock the S protein in an antigenically preferred prefusion conformation; such a variant is utilized in BNT162b2. Additionally, we have obtained third-party licenses to technologies relating to certain lipids and/or lipid nanoparticles and formulations used in BNT162b2, including a non-exclusive license from Acuitas granting use rights relevant to proprietary lipid nanoparticles and formulations used in BNT162b2.</w:t>
      </w:r>
    </w:p>
    <w:p>
      <w:pPr>
        <w:spacing w:after="0" w:line="5" w:lineRule="exact"/>
        <w:rPr>
          <w:sz w:val="20"/>
          <w:szCs w:val="20"/>
          <w:color w:val="auto"/>
        </w:rPr>
      </w:pPr>
    </w:p>
    <w:p>
      <w:pPr>
        <w:ind w:left="380" w:right="2100"/>
        <w:spacing w:after="0" w:line="214" w:lineRule="auto"/>
        <w:rPr>
          <w:sz w:val="20"/>
          <w:szCs w:val="20"/>
          <w:color w:val="auto"/>
        </w:rPr>
      </w:pPr>
      <w:r>
        <w:rPr>
          <w:rFonts w:ascii="Arial" w:cs="Arial" w:eastAsia="Arial" w:hAnsi="Arial"/>
          <w:sz w:val="13"/>
          <w:szCs w:val="13"/>
          <w:color w:val="auto"/>
        </w:rPr>
        <w:t>Additional COVID-19 vaccine mRNA product candidates are being developed and tested in clinical trials, which share with BNT162b2 certain structural elements, and/or features of the composition, formulation, packaging, use and/or method of manufacture. Thus, some or all of the BNT162b2 Platform Filings and/or BNT162b2 Filings, as well as the in- licensed rights discussed above with respect to BNT162b2, may be relevant to certain of these candidates. We have also undertaken patent filings specifically related to structures and uses of certain such additional candidates, including BNT162b4, which includes a T -cell antigen mRNA encoding SARS -CoV-2 non-spike protein antigens that are highly conserved across a broad range of SARS-CoV-2 variants and were chosen based on our proprietary target prioritization platform and which is being assessed in combination with our monovalent and bivalent COVID -19 vaccine products, and BNT162b5, a bivalent product that includes RNAs encoding enhanced prefusion spike proteins for the SARS-CoV-2 Original strain and an Omicron variant. Such filings specifically relevant to BNT162b4 or BNT162b5, if issued, would have 20-year terms that would extend into the early 2040s.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172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80"/>
        <w:spacing w:after="0" w:line="215" w:lineRule="auto"/>
        <w:rPr>
          <w:sz w:val="20"/>
          <w:szCs w:val="20"/>
          <w:color w:val="auto"/>
        </w:rPr>
      </w:pPr>
      <w:r>
        <w:rPr>
          <w:rFonts w:ascii="Arial" w:cs="Arial" w:eastAsia="Arial" w:hAnsi="Arial"/>
          <w:sz w:val="13"/>
          <w:szCs w:val="13"/>
          <w:color w:val="auto"/>
        </w:rPr>
        <w:t>Moreover, we are currently studying safety and efficacy of our COVID-19 vaccines and vaccine candidates in various dosing regimens (including booster doses) and/or in different age groups and/or individuals with various medical conditions, and also in combination with other vaccines or therapies. Certain of our patent filings, including certain BNT162b2 Filings, cover such uses being tested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4" w:lineRule="auto"/>
        <w:rPr>
          <w:sz w:val="20"/>
          <w:szCs w:val="20"/>
          <w:color w:val="auto"/>
        </w:rPr>
      </w:pPr>
      <w:r>
        <w:rPr>
          <w:rFonts w:ascii="Arial" w:cs="Arial" w:eastAsia="Arial" w:hAnsi="Arial"/>
          <w:sz w:val="13"/>
          <w:szCs w:val="13"/>
          <w:color w:val="3C9673"/>
        </w:rPr>
        <w:t>Oncology mRNA Product Candidates</w:t>
      </w:r>
    </w:p>
    <w:p>
      <w:pPr>
        <w:ind w:left="380" w:right="2120"/>
        <w:spacing w:after="0" w:line="210" w:lineRule="auto"/>
        <w:rPr>
          <w:sz w:val="20"/>
          <w:szCs w:val="20"/>
          <w:color w:val="auto"/>
        </w:rPr>
      </w:pPr>
      <w:r>
        <w:rPr>
          <w:rFonts w:ascii="Arial" w:cs="Arial" w:eastAsia="Arial" w:hAnsi="Arial"/>
          <w:sz w:val="13"/>
          <w:szCs w:val="13"/>
          <w:color w:val="auto"/>
        </w:rPr>
        <w:t xml:space="preserve">Certain mRNA oncology product candidates are also in clinical development and involve various platforms. Our pipeline also includes mRNA product candidates for treatment of certain infectious diseases beyond COVID-19, and mRNA product candidates for protein replacement therapy in certain rare diseases. We currently have more than 10 clinical oncology programs in Phase 1 or Phase 2. Our most advanced clinical oncology programs involve our iNeST immunotherapy product candidates being developed with our collaborator, Genentech. We also have </w:t>
      </w:r>
      <w:r>
        <w:rPr>
          <w:rFonts w:ascii="Arial" w:cs="Arial" w:eastAsia="Arial" w:hAnsi="Arial"/>
          <w:sz w:val="13"/>
          <w:szCs w:val="13"/>
          <w:i w:val="1"/>
          <w:iCs w:val="1"/>
          <w:color w:val="auto"/>
        </w:rPr>
        <w:t>FixVac</w:t>
      </w:r>
      <w:r>
        <w:rPr>
          <w:rFonts w:ascii="Arial" w:cs="Arial" w:eastAsia="Arial" w:hAnsi="Arial"/>
          <w:sz w:val="13"/>
          <w:szCs w:val="13"/>
          <w:color w:val="auto"/>
        </w:rPr>
        <w:t xml:space="preserve"> product candidates in Phase 1 and Phase 2 clinical trials and have initiated Phase 1 clinical trials of our mRNA-based intratumoral immunotherapy developed through our collaboration with Sanofi.</w:t>
      </w:r>
    </w:p>
    <w:p>
      <w:pPr>
        <w:ind w:left="380"/>
        <w:spacing w:after="0" w:line="217" w:lineRule="auto"/>
        <w:rPr>
          <w:sz w:val="20"/>
          <w:szCs w:val="20"/>
          <w:color w:val="auto"/>
        </w:rPr>
      </w:pPr>
      <w:r>
        <w:rPr>
          <w:rFonts w:ascii="Arial" w:cs="Arial" w:eastAsia="Arial" w:hAnsi="Arial"/>
          <w:sz w:val="13"/>
          <w:szCs w:val="13"/>
          <w:i w:val="1"/>
          <w:iCs w:val="1"/>
          <w:u w:val="single" w:color="auto"/>
          <w:color w:val="auto"/>
        </w:rPr>
        <w:t>FixVac</w:t>
      </w:r>
    </w:p>
    <w:p>
      <w:pPr>
        <w:ind w:left="380" w:right="2080"/>
        <w:spacing w:after="0" w:line="210" w:lineRule="auto"/>
        <w:rPr>
          <w:sz w:val="20"/>
          <w:szCs w:val="20"/>
          <w:color w:val="auto"/>
        </w:rPr>
      </w:pPr>
      <w:r>
        <w:rPr>
          <w:rFonts w:ascii="Arial" w:cs="Arial" w:eastAsia="Arial" w:hAnsi="Arial"/>
          <w:sz w:val="13"/>
          <w:szCs w:val="13"/>
          <w:color w:val="auto"/>
        </w:rPr>
        <w:t xml:space="preserve">Our </w:t>
      </w:r>
      <w:r>
        <w:rPr>
          <w:rFonts w:ascii="Arial" w:cs="Arial" w:eastAsia="Arial" w:hAnsi="Arial"/>
          <w:sz w:val="13"/>
          <w:szCs w:val="13"/>
          <w:i w:val="1"/>
          <w:iCs w:val="1"/>
          <w:color w:val="auto"/>
        </w:rPr>
        <w:t>FixVac</w:t>
      </w:r>
      <w:r>
        <w:rPr>
          <w:rFonts w:ascii="Arial" w:cs="Arial" w:eastAsia="Arial" w:hAnsi="Arial"/>
          <w:sz w:val="13"/>
          <w:szCs w:val="13"/>
          <w:color w:val="auto"/>
        </w:rPr>
        <w:t xml:space="preserve"> product candidates share many of the structural elements involved in our iNeST product candidates. Thus, some or all of the mRNA Structure Filings relevant to our iNeST product candidates and discussed below are also relevant to our </w:t>
      </w:r>
      <w:r>
        <w:rPr>
          <w:rFonts w:ascii="Arial" w:cs="Arial" w:eastAsia="Arial" w:hAnsi="Arial"/>
          <w:sz w:val="13"/>
          <w:szCs w:val="13"/>
          <w:i w:val="1"/>
          <w:iCs w:val="1"/>
          <w:color w:val="auto"/>
        </w:rPr>
        <w:t>FixVac</w:t>
      </w:r>
      <w:r>
        <w:rPr>
          <w:rFonts w:ascii="Arial" w:cs="Arial" w:eastAsia="Arial" w:hAnsi="Arial"/>
          <w:sz w:val="13"/>
          <w:szCs w:val="13"/>
          <w:color w:val="auto"/>
        </w:rPr>
        <w:t xml:space="preserve"> product candidates. These patent filings, or the </w:t>
      </w:r>
      <w:r>
        <w:rPr>
          <w:rFonts w:ascii="Arial" w:cs="Arial" w:eastAsia="Arial" w:hAnsi="Arial"/>
          <w:sz w:val="13"/>
          <w:szCs w:val="13"/>
          <w:i w:val="1"/>
          <w:iCs w:val="1"/>
          <w:color w:val="auto"/>
        </w:rPr>
        <w:t>FixVac</w:t>
      </w:r>
      <w:r>
        <w:rPr>
          <w:rFonts w:ascii="Arial" w:cs="Arial" w:eastAsia="Arial" w:hAnsi="Arial"/>
          <w:sz w:val="13"/>
          <w:szCs w:val="13"/>
          <w:color w:val="auto"/>
        </w:rPr>
        <w:t xml:space="preserve"> Platform Filings, include mRNA Structure Filings relating to antigen-MHC fusions, certain 5’ cap structures, 3’ UTR structures containing a specific sequence element, and interrupted polyA tails, which are solely or jointly owned by BioNTech or BioNTech’s licensors. Issued </w:t>
      </w:r>
      <w:r>
        <w:rPr>
          <w:rFonts w:ascii="Arial" w:cs="Arial" w:eastAsia="Arial" w:hAnsi="Arial"/>
          <w:sz w:val="13"/>
          <w:szCs w:val="13"/>
          <w:i w:val="1"/>
          <w:iCs w:val="1"/>
          <w:color w:val="auto"/>
        </w:rPr>
        <w:t>FixVac</w:t>
      </w:r>
      <w:r>
        <w:rPr>
          <w:rFonts w:ascii="Arial" w:cs="Arial" w:eastAsia="Arial" w:hAnsi="Arial"/>
          <w:sz w:val="13"/>
          <w:szCs w:val="13"/>
          <w:color w:val="auto"/>
        </w:rPr>
        <w:t xml:space="preserve"> Platform Filings have, and pending </w:t>
      </w:r>
      <w:r>
        <w:rPr>
          <w:rFonts w:ascii="Arial" w:cs="Arial" w:eastAsia="Arial" w:hAnsi="Arial"/>
          <w:sz w:val="13"/>
          <w:szCs w:val="13"/>
          <w:i w:val="1"/>
          <w:iCs w:val="1"/>
          <w:color w:val="auto"/>
        </w:rPr>
        <w:t>FixVac</w:t>
      </w:r>
      <w:r>
        <w:rPr>
          <w:rFonts w:ascii="Arial" w:cs="Arial" w:eastAsia="Arial" w:hAnsi="Arial"/>
          <w:sz w:val="13"/>
          <w:szCs w:val="13"/>
          <w:color w:val="auto"/>
        </w:rPr>
        <w:t xml:space="preserve"> Platform Filings, if issued, would have, 20-year terms extending into the mid-2020s to the mid-2030s. While we have pursued or obtained patent protection covering components of </w:t>
      </w:r>
      <w:r>
        <w:rPr>
          <w:rFonts w:ascii="Arial" w:cs="Arial" w:eastAsia="Arial" w:hAnsi="Arial"/>
          <w:sz w:val="13"/>
          <w:szCs w:val="13"/>
          <w:i w:val="1"/>
          <w:iCs w:val="1"/>
          <w:color w:val="auto"/>
        </w:rPr>
        <w:t>FixVac</w:t>
      </w:r>
      <w:r>
        <w:rPr>
          <w:rFonts w:ascii="Arial" w:cs="Arial" w:eastAsia="Arial" w:hAnsi="Arial"/>
          <w:sz w:val="13"/>
          <w:szCs w:val="13"/>
          <w:color w:val="auto"/>
        </w:rPr>
        <w:t xml:space="preserve"> product candidates, manufacturing -related methods and/or formulations, we do not currently have any claims in our owned or in-licensed issued patents that cover the overall construct used in our </w:t>
      </w:r>
      <w:r>
        <w:rPr>
          <w:rFonts w:ascii="Arial" w:cs="Arial" w:eastAsia="Arial" w:hAnsi="Arial"/>
          <w:sz w:val="13"/>
          <w:szCs w:val="13"/>
          <w:i w:val="1"/>
          <w:iCs w:val="1"/>
          <w:color w:val="auto"/>
        </w:rPr>
        <w:t>FixVac</w:t>
      </w:r>
      <w:r>
        <w:rPr>
          <w:rFonts w:ascii="Arial" w:cs="Arial" w:eastAsia="Arial" w:hAnsi="Arial"/>
          <w:sz w:val="13"/>
          <w:szCs w:val="13"/>
          <w:color w:val="auto"/>
        </w:rPr>
        <w:t xml:space="preserve"> product candidates.</w:t>
      </w:r>
    </w:p>
    <w:p>
      <w:pPr>
        <w:spacing w:after="0" w:line="6" w:lineRule="exact"/>
        <w:rPr>
          <w:sz w:val="20"/>
          <w:szCs w:val="20"/>
          <w:color w:val="auto"/>
        </w:rPr>
      </w:pPr>
    </w:p>
    <w:p>
      <w:pPr>
        <w:jc w:val="both"/>
        <w:ind w:left="380" w:right="2320"/>
        <w:spacing w:after="0" w:line="210" w:lineRule="auto"/>
        <w:rPr>
          <w:sz w:val="20"/>
          <w:szCs w:val="20"/>
          <w:color w:val="auto"/>
        </w:rPr>
      </w:pPr>
      <w:r>
        <w:rPr>
          <w:rFonts w:ascii="Arial" w:cs="Arial" w:eastAsia="Arial" w:hAnsi="Arial"/>
          <w:sz w:val="13"/>
          <w:szCs w:val="13"/>
          <w:color w:val="auto"/>
        </w:rPr>
        <w:t xml:space="preserve">Our patent portfolio further includes U.S. and other patent filings relating to combined uses of our </w:t>
      </w:r>
      <w:r>
        <w:rPr>
          <w:rFonts w:ascii="Arial" w:cs="Arial" w:eastAsia="Arial" w:hAnsi="Arial"/>
          <w:sz w:val="13"/>
          <w:szCs w:val="13"/>
          <w:i w:val="1"/>
          <w:iCs w:val="1"/>
          <w:color w:val="auto"/>
        </w:rPr>
        <w:t>FixVac</w:t>
      </w:r>
      <w:r>
        <w:rPr>
          <w:rFonts w:ascii="Arial" w:cs="Arial" w:eastAsia="Arial" w:hAnsi="Arial"/>
          <w:sz w:val="13"/>
          <w:szCs w:val="13"/>
          <w:color w:val="auto"/>
        </w:rPr>
        <w:t xml:space="preserve"> and iNeST product candidates. Such issued patent filings have, and such pending patent filings, if issued, would have, 20-year terms that extend into 2033, and are jointly owned by BioNTech and TRON.</w:t>
      </w:r>
    </w:p>
    <w:p>
      <w:pPr>
        <w:spacing w:after="0" w:line="2"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 xml:space="preserve">Our current clinical trials for </w:t>
      </w:r>
      <w:r>
        <w:rPr>
          <w:rFonts w:ascii="Arial" w:cs="Arial" w:eastAsia="Arial" w:hAnsi="Arial"/>
          <w:sz w:val="13"/>
          <w:szCs w:val="13"/>
          <w:i w:val="1"/>
          <w:iCs w:val="1"/>
          <w:color w:val="auto"/>
        </w:rPr>
        <w:t>FixVac</w:t>
      </w:r>
      <w:r>
        <w:rPr>
          <w:rFonts w:ascii="Arial" w:cs="Arial" w:eastAsia="Arial" w:hAnsi="Arial"/>
          <w:sz w:val="13"/>
          <w:szCs w:val="13"/>
          <w:color w:val="auto"/>
        </w:rPr>
        <w:t xml:space="preserve"> product candidates are studying such product candidates in treatment of various cancers. While we do not currently have any claims in our owned or in-licensed issued patents that are directed to use of our </w:t>
      </w:r>
      <w:r>
        <w:rPr>
          <w:rFonts w:ascii="Arial" w:cs="Arial" w:eastAsia="Arial" w:hAnsi="Arial"/>
          <w:sz w:val="13"/>
          <w:szCs w:val="13"/>
          <w:i w:val="1"/>
          <w:iCs w:val="1"/>
          <w:color w:val="auto"/>
        </w:rPr>
        <w:t>FixVac</w:t>
      </w:r>
      <w:r>
        <w:rPr>
          <w:rFonts w:ascii="Arial" w:cs="Arial" w:eastAsia="Arial" w:hAnsi="Arial"/>
          <w:sz w:val="13"/>
          <w:szCs w:val="13"/>
          <w:color w:val="auto"/>
        </w:rPr>
        <w:t xml:space="preserve"> product candidates in the indications of these clinical trials, certain </w:t>
      </w:r>
      <w:r>
        <w:rPr>
          <w:rFonts w:ascii="Arial" w:cs="Arial" w:eastAsia="Arial" w:hAnsi="Arial"/>
          <w:sz w:val="13"/>
          <w:szCs w:val="13"/>
          <w:i w:val="1"/>
          <w:iCs w:val="1"/>
          <w:color w:val="auto"/>
        </w:rPr>
        <w:t>FixVac</w:t>
      </w:r>
      <w:r>
        <w:rPr>
          <w:rFonts w:ascii="Arial" w:cs="Arial" w:eastAsia="Arial" w:hAnsi="Arial"/>
          <w:sz w:val="13"/>
          <w:szCs w:val="13"/>
          <w:color w:val="auto"/>
        </w:rPr>
        <w:t xml:space="preserve"> Platform Filings include specific reference to treatment of these indications, and if issued, would have 20-year terms extending into the mid-2030s.</w:t>
      </w:r>
    </w:p>
    <w:p>
      <w:pPr>
        <w:ind w:left="380"/>
        <w:spacing w:after="0" w:line="215" w:lineRule="auto"/>
        <w:rPr>
          <w:sz w:val="20"/>
          <w:szCs w:val="20"/>
          <w:color w:val="auto"/>
        </w:rPr>
      </w:pPr>
      <w:r>
        <w:rPr>
          <w:rFonts w:ascii="Arial" w:cs="Arial" w:eastAsia="Arial" w:hAnsi="Arial"/>
          <w:sz w:val="13"/>
          <w:szCs w:val="13"/>
          <w:i w:val="1"/>
          <w:iCs w:val="1"/>
          <w:u w:val="single" w:color="auto"/>
          <w:color w:val="auto"/>
        </w:rPr>
        <w:t>iNeST</w:t>
      </w:r>
    </w:p>
    <w:p>
      <w:pPr>
        <w:ind w:left="380" w:right="2160"/>
        <w:spacing w:after="0" w:line="210" w:lineRule="auto"/>
        <w:rPr>
          <w:sz w:val="20"/>
          <w:szCs w:val="20"/>
          <w:color w:val="auto"/>
        </w:rPr>
      </w:pPr>
      <w:r>
        <w:rPr>
          <w:rFonts w:ascii="Arial" w:cs="Arial" w:eastAsia="Arial" w:hAnsi="Arial"/>
          <w:sz w:val="13"/>
          <w:szCs w:val="13"/>
          <w:color w:val="auto"/>
        </w:rPr>
        <w:t>Our patent filings relevant to our iNeST product candidates include mRNA Structure Filings relating to features for increasing antigen presentation (e.g., antigen-MHC fusions) and features for increasing translation efficiency and/or stability of mRNA constructs (e.g., certain 5’ cap structures, 3’ UTR structures containing a specific sequence element, and polyA tails of a particular length or interrupted polyA tails); mRNA Lipoplex Filings relating to negatively charged lipoplexes (e.g., for spleen targeting); and mRNA Manufacturing Filings, or collectively, the iNeST mRNA Platform Filings. While we have pursued or obtained patent protection covering components of iNeST product candidates, manufacturing-related methods and/or formulations, we do not currently have any claims in our owned or in-licensed issued patents that cover the overall construct used in our iNeST product candidates.</w:t>
      </w:r>
    </w:p>
    <w:p>
      <w:pPr>
        <w:spacing w:after="0" w:line="5" w:lineRule="exact"/>
        <w:rPr>
          <w:sz w:val="20"/>
          <w:szCs w:val="20"/>
          <w:color w:val="auto"/>
        </w:rPr>
      </w:pPr>
    </w:p>
    <w:p>
      <w:pPr>
        <w:ind w:left="380" w:right="2080"/>
        <w:spacing w:after="0" w:line="217" w:lineRule="auto"/>
        <w:rPr>
          <w:sz w:val="20"/>
          <w:szCs w:val="20"/>
          <w:color w:val="auto"/>
        </w:rPr>
      </w:pPr>
      <w:r>
        <w:rPr>
          <w:rFonts w:ascii="Arial" w:cs="Arial" w:eastAsia="Arial" w:hAnsi="Arial"/>
          <w:sz w:val="13"/>
          <w:szCs w:val="13"/>
          <w:color w:val="auto"/>
        </w:rPr>
        <w:t>Our patent portfolio further includes U.S. and other filings directed to the process of identifying neoantigens in patient samples and/or predicting those that will be immunoreactive in an iNeST immunotherapy product, or collectively, the Neoantigen Filings. Certain issued Neoantigen Filings have, and certain pending Neoantigen Filings, if issued, would have 20-year terms that extend into the 2030s. Many of the Neoantigen Filings are solely owned by BioNTech, or jointly owned by BioNTech and TRON; our acquisition of Neon added various Neoantigen Filings, including both BioNTech U.S.- owned and in-licensed filings. BioNTech and TRON jointly own issued EP patent number 2714071, whose claims recite steps relating to neoantigen selection, that were</w:t>
      </w:r>
    </w:p>
    <w:p>
      <w:pPr>
        <w:sectPr>
          <w:pgSz w:w="11900" w:h="16840" w:orient="portrait"/>
          <w:cols w:equalWidth="0" w:num="1">
            <w:col w:w="9020"/>
          </w:cols>
          <w:pgMar w:left="1440" w:top="554" w:right="1440" w:bottom="1440" w:gutter="0" w:footer="0" w:header="0"/>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173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36" w:lineRule="auto"/>
        <w:rPr>
          <w:sz w:val="20"/>
          <w:szCs w:val="20"/>
          <w:color w:val="auto"/>
        </w:rPr>
      </w:pPr>
      <w:r>
        <w:rPr>
          <w:rFonts w:ascii="Arial" w:cs="Arial" w:eastAsia="Arial" w:hAnsi="Arial"/>
          <w:sz w:val="13"/>
          <w:szCs w:val="13"/>
          <w:color w:val="auto"/>
        </w:rPr>
        <w:t>unsuccessfully opposed by multiple third parties. Said third parties have unsuccessfully appealed the decision to reject such opposition and the patent was maintained as granted. In addition, related EP patent number 3473267 with claims reciting steps relating to neoantigen selection for an RNA vaccine encoding a recombinant polyepitopic polypeptide was unsuccessfully opposed by a single third party. Said third party has instigated appeal proceedings against this decision. Related EP patent number 3892295 from the same patent family with claims reciting steps relating to neoantigen selection for an RNA vaccine encoding a recombinant polyepitopic polypeptide is being opposed by a third party; claims in related U.S. cases are granted. If we are unsuccessful in these opposition/appeal proceedings, the patent claims for our iNeST product candidates may be narrowed, or a patent may not issue at all. See “Risk Factors—Risks Related to our Intellectual Property”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-833120</wp:posOffset>
            </wp:positionV>
            <wp:extent cx="523113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20"/>
        <w:spacing w:after="0" w:line="210" w:lineRule="auto"/>
        <w:rPr>
          <w:sz w:val="20"/>
          <w:szCs w:val="20"/>
          <w:color w:val="auto"/>
        </w:rPr>
      </w:pPr>
      <w:r>
        <w:rPr>
          <w:rFonts w:ascii="Arial" w:cs="Arial" w:eastAsia="Arial" w:hAnsi="Arial"/>
          <w:sz w:val="13"/>
          <w:szCs w:val="13"/>
          <w:color w:val="auto"/>
        </w:rPr>
        <w:t>We are currently studying our iNeST product candidates for the treatment of metastatic melanoma, and adjuvant pancreatic and bladder cancers in Phase 2 clinical trials. Certain iNeST mRNA Platform Filings and Neoantigen Filings cover treatment of each of these indications. However, we do not currently have any claims in our owned or in-licensed issued patents that are directed to use of iNeST product candidates in the indications of these clinical trials.</w:t>
      </w:r>
    </w:p>
    <w:p>
      <w:pPr>
        <w:ind w:left="380"/>
        <w:spacing w:after="0" w:line="215" w:lineRule="auto"/>
        <w:rPr>
          <w:sz w:val="20"/>
          <w:szCs w:val="20"/>
          <w:color w:val="auto"/>
        </w:rPr>
      </w:pPr>
      <w:r>
        <w:rPr>
          <w:rFonts w:ascii="Arial" w:cs="Arial" w:eastAsia="Arial" w:hAnsi="Arial"/>
          <w:sz w:val="13"/>
          <w:szCs w:val="13"/>
          <w:i w:val="1"/>
          <w:iCs w:val="1"/>
          <w:u w:val="single" w:color="auto"/>
          <w:color w:val="auto"/>
        </w:rPr>
        <w:t>RiboMabs and RiboCytokines</w:t>
      </w:r>
    </w:p>
    <w:p>
      <w:pPr>
        <w:ind w:left="380" w:right="2340"/>
        <w:spacing w:after="0" w:line="210" w:lineRule="auto"/>
        <w:rPr>
          <w:sz w:val="20"/>
          <w:szCs w:val="20"/>
          <w:color w:val="auto"/>
        </w:rPr>
      </w:pPr>
      <w:r>
        <w:rPr>
          <w:rFonts w:ascii="Arial" w:cs="Arial" w:eastAsia="Arial" w:hAnsi="Arial"/>
          <w:sz w:val="13"/>
          <w:szCs w:val="13"/>
          <w:color w:val="auto"/>
        </w:rPr>
        <w:t xml:space="preserve">We own or license a number of patent filings directed to our </w:t>
      </w:r>
      <w:r>
        <w:rPr>
          <w:rFonts w:ascii="Arial" w:cs="Arial" w:eastAsia="Arial" w:hAnsi="Arial"/>
          <w:sz w:val="13"/>
          <w:szCs w:val="13"/>
          <w:i w:val="1"/>
          <w:iCs w:val="1"/>
          <w:color w:val="auto"/>
        </w:rPr>
        <w:t>RiboMab</w:t>
      </w:r>
      <w:r>
        <w:rPr>
          <w:rFonts w:ascii="Arial" w:cs="Arial" w:eastAsia="Arial" w:hAnsi="Arial"/>
          <w:sz w:val="13"/>
          <w:szCs w:val="13"/>
          <w:color w:val="auto"/>
        </w:rPr>
        <w:t xml:space="preserve"> and </w:t>
      </w:r>
      <w:r>
        <w:rPr>
          <w:rFonts w:ascii="Arial" w:cs="Arial" w:eastAsia="Arial" w:hAnsi="Arial"/>
          <w:sz w:val="13"/>
          <w:szCs w:val="13"/>
          <w:i w:val="1"/>
          <w:iCs w:val="1"/>
          <w:color w:val="auto"/>
        </w:rPr>
        <w:t>RiboCytokine</w:t>
      </w:r>
      <w:r>
        <w:rPr>
          <w:rFonts w:ascii="Arial" w:cs="Arial" w:eastAsia="Arial" w:hAnsi="Arial"/>
          <w:sz w:val="13"/>
          <w:szCs w:val="13"/>
          <w:color w:val="auto"/>
        </w:rPr>
        <w:t xml:space="preserve"> programs. Many are owned solely by us, some are jointly owned, and some have been acquired or licensed.</w:t>
      </w:r>
    </w:p>
    <w:p>
      <w:pPr>
        <w:spacing w:after="0" w:line="1"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 xml:space="preserve">Patent filings relevant to our </w:t>
      </w:r>
      <w:r>
        <w:rPr>
          <w:rFonts w:ascii="Arial" w:cs="Arial" w:eastAsia="Arial" w:hAnsi="Arial"/>
          <w:sz w:val="13"/>
          <w:szCs w:val="13"/>
          <w:i w:val="1"/>
          <w:iCs w:val="1"/>
          <w:color w:val="auto"/>
        </w:rPr>
        <w:t>RiboMab</w:t>
      </w:r>
      <w:r>
        <w:rPr>
          <w:rFonts w:ascii="Arial" w:cs="Arial" w:eastAsia="Arial" w:hAnsi="Arial"/>
          <w:sz w:val="13"/>
          <w:szCs w:val="13"/>
          <w:color w:val="auto"/>
        </w:rPr>
        <w:t xml:space="preserve"> and </w:t>
      </w:r>
      <w:r>
        <w:rPr>
          <w:rFonts w:ascii="Arial" w:cs="Arial" w:eastAsia="Arial" w:hAnsi="Arial"/>
          <w:sz w:val="13"/>
          <w:szCs w:val="13"/>
          <w:i w:val="1"/>
          <w:iCs w:val="1"/>
          <w:color w:val="auto"/>
        </w:rPr>
        <w:t>RiboCytokine</w:t>
      </w:r>
      <w:r>
        <w:rPr>
          <w:rFonts w:ascii="Arial" w:cs="Arial" w:eastAsia="Arial" w:hAnsi="Arial"/>
          <w:sz w:val="13"/>
          <w:szCs w:val="13"/>
          <w:color w:val="auto"/>
        </w:rPr>
        <w:t xml:space="preserve"> programs include certain mRNA Structure Filings that are also relevant to our iNeST and/or </w:t>
      </w:r>
      <w:r>
        <w:rPr>
          <w:rFonts w:ascii="Arial" w:cs="Arial" w:eastAsia="Arial" w:hAnsi="Arial"/>
          <w:sz w:val="13"/>
          <w:szCs w:val="13"/>
          <w:i w:val="1"/>
          <w:iCs w:val="1"/>
          <w:color w:val="auto"/>
        </w:rPr>
        <w:t>FixVac</w:t>
      </w:r>
      <w:r>
        <w:rPr>
          <w:rFonts w:ascii="Arial" w:cs="Arial" w:eastAsia="Arial" w:hAnsi="Arial"/>
          <w:sz w:val="13"/>
          <w:szCs w:val="13"/>
          <w:color w:val="auto"/>
        </w:rPr>
        <w:t xml:space="preserve"> product candidates, including certain patent filings relating to 3’ UTR structures containing a specific sequence element, and interrupted polyA tail structures; and patent filings under the MRT-CellScript Sublicenses relating to nucleoside -modified mRNAs as well as certain patent filings we have licensed from Acuitas and Genevant relating to lipid or non-liposomal formulations.</w:t>
      </w:r>
    </w:p>
    <w:p>
      <w:pPr>
        <w:ind w:left="380"/>
        <w:spacing w:after="0" w:line="215" w:lineRule="auto"/>
        <w:rPr>
          <w:sz w:val="20"/>
          <w:szCs w:val="20"/>
          <w:color w:val="auto"/>
        </w:rPr>
      </w:pPr>
      <w:r>
        <w:rPr>
          <w:rFonts w:ascii="Arial" w:cs="Arial" w:eastAsia="Arial" w:hAnsi="Arial"/>
          <w:sz w:val="13"/>
          <w:szCs w:val="13"/>
          <w:i w:val="1"/>
          <w:iCs w:val="1"/>
          <w:u w:val="single" w:color="auto"/>
          <w:color w:val="auto"/>
        </w:rPr>
        <w:t>Infectious Diseases beyond COVID-19</w:t>
      </w:r>
    </w:p>
    <w:p>
      <w:pPr>
        <w:ind w:left="380" w:right="2300"/>
        <w:spacing w:after="0" w:line="210" w:lineRule="auto"/>
        <w:rPr>
          <w:sz w:val="20"/>
          <w:szCs w:val="20"/>
          <w:color w:val="auto"/>
        </w:rPr>
      </w:pPr>
      <w:r>
        <w:rPr>
          <w:rFonts w:ascii="Arial" w:cs="Arial" w:eastAsia="Arial" w:hAnsi="Arial"/>
          <w:sz w:val="13"/>
          <w:szCs w:val="13"/>
          <w:color w:val="auto"/>
        </w:rPr>
        <w:t>As is discussed elsewhere, we have collaborated with third parties, including Pfizer and UPenn, to develop infectious disease mRNA vaccine candidates, some of which are currently in clinical trials at different phases, including mRNA vaccines against influenza (Phase 3) and HSV (Phase 1). We are also developing our own mRNA vaccines against malaria, which has recently entered Phase 1 clinical trial.</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Certain patent filings that might be useful to our infectious disease mRNA vaccines include certain of the mRNA Structure Filings and the mRNA Lipid Nanoparticle/Polyplex Filings as well as certain patent filings under the MRT -CellScript Sublicenses, which include patent filings directed to nucleotide-modified mRNAs. Self-Amplifying RNA Filings as discussed above may also be relevant. We have also undertaken and continue to undertake filings specific to particular product candidates.</w:t>
      </w:r>
    </w:p>
    <w:p>
      <w:pPr>
        <w:spacing w:after="0" w:line="3"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We have also licensed technologies relating to certain lipids and/or lipid nanoparticles and formulations that may be useful for certain infectious disease mRNA vaccines.</w:t>
      </w:r>
    </w:p>
    <w:p>
      <w:pPr>
        <w:spacing w:after="0" w:line="1" w:lineRule="exact"/>
        <w:rPr>
          <w:sz w:val="20"/>
          <w:szCs w:val="20"/>
          <w:color w:val="auto"/>
        </w:rPr>
      </w:pPr>
    </w:p>
    <w:p>
      <w:pPr>
        <w:ind w:left="380" w:right="7180" w:firstLine="3"/>
        <w:spacing w:after="0" w:line="210" w:lineRule="auto"/>
        <w:tabs>
          <w:tab w:leader="none" w:pos="522"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Cell Therapy </w:t>
      </w:r>
      <w:r>
        <w:rPr>
          <w:rFonts w:ascii="Arial" w:cs="Arial" w:eastAsia="Arial" w:hAnsi="Arial"/>
          <w:sz w:val="13"/>
          <w:szCs w:val="13"/>
          <w:color w:val="3C9673"/>
        </w:rPr>
        <w:t>Engineered Cell Therapy</w:t>
      </w:r>
    </w:p>
    <w:p>
      <w:pPr>
        <w:spacing w:after="0" w:line="1" w:lineRule="exact"/>
        <w:rPr>
          <w:rFonts w:ascii="Arial" w:cs="Arial" w:eastAsia="Arial" w:hAnsi="Arial"/>
          <w:sz w:val="13"/>
          <w:szCs w:val="13"/>
          <w:i w:val="1"/>
          <w:iCs w:val="1"/>
          <w:color w:val="auto"/>
        </w:rPr>
      </w:pPr>
    </w:p>
    <w:p>
      <w:pPr>
        <w:ind w:left="380" w:right="2160"/>
        <w:spacing w:after="0" w:line="217" w:lineRule="auto"/>
        <w:rPr>
          <w:rFonts w:ascii="Arial" w:cs="Arial" w:eastAsia="Arial" w:hAnsi="Arial"/>
          <w:sz w:val="13"/>
          <w:szCs w:val="13"/>
          <w:i w:val="1"/>
          <w:iCs w:val="1"/>
          <w:color w:val="auto"/>
        </w:rPr>
      </w:pPr>
      <w:r>
        <w:rPr>
          <w:rFonts w:ascii="Arial" w:cs="Arial" w:eastAsia="Arial" w:hAnsi="Arial"/>
          <w:sz w:val="13"/>
          <w:szCs w:val="13"/>
          <w:color w:val="auto"/>
        </w:rPr>
        <w:t>Our engineered cell therapy product class features use of chimeric antigen receptor, or CAR-, T cell or individualized T-cell receptors for oncology therapy. Our patent filings relevant to these platforms and product candidates, or the CAR-T/TCR Filings, are generally co-owned by BioNTech SE, BioNTech US, and TRON. For example, the CAR-T/TCR Filings include patent filings directed to various CAR-T formats and methods of enhancing CAR-T cells by nucleic acid vaccination, as well as patent filings directed to compositions of matter comprising individualized T-cell receptors, for example. The CAR-T/TCR Patent Filings, if issued, would have patent terms that would extend into the mid-2030s to early 2040s.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174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4" w:lineRule="auto"/>
        <w:rPr>
          <w:sz w:val="20"/>
          <w:szCs w:val="20"/>
          <w:color w:val="auto"/>
        </w:rPr>
      </w:pPr>
      <w:r>
        <w:rPr>
          <w:rFonts w:ascii="Arial" w:cs="Arial" w:eastAsia="Arial" w:hAnsi="Arial"/>
          <w:sz w:val="13"/>
          <w:szCs w:val="13"/>
          <w:color w:val="auto"/>
        </w:rPr>
        <w:t>Certain CAR-T programs involve CAR-T-cell product candidates that target different members of the claudin family. Our patent portfolio includes certain patent filings specifically relevant to our claudin-specific CAR-T-cell product candidates and are jointly owned by BioNTech SE and TRON, or the Claudin-Specific CAR-T Cell Filings. The issued Claudin-Specific CAR-T-cell filings have, and the pending Claudin-Specific CAR-T-cell filings, if issued, would have, 20-year terms extending into the mid-2030s. The terms of our co-ownership of such patent filings with TRON are summarized below in “—C. In-Licensing.”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-501015</wp:posOffset>
            </wp:positionV>
            <wp:extent cx="523113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1" w:lineRule="auto"/>
        <w:rPr>
          <w:sz w:val="20"/>
          <w:szCs w:val="20"/>
          <w:color w:val="auto"/>
        </w:rPr>
      </w:pPr>
      <w:r>
        <w:rPr>
          <w:rFonts w:ascii="Arial" w:cs="Arial" w:eastAsia="Arial" w:hAnsi="Arial"/>
          <w:sz w:val="13"/>
          <w:szCs w:val="13"/>
          <w:color w:val="3C9673"/>
        </w:rPr>
        <w:t>Activated T Cells</w:t>
      </w:r>
    </w:p>
    <w:p>
      <w:pPr>
        <w:spacing w:after="0" w:line="1"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Our acquisition of Neon included technologies for using peripheral blood mononuclear cells, or PBMCs, (e.g., collected from apheresis material of patients) as a starting material to induce and/or expand ex vivo functional T cells specific for therapeutically-relevant neoantigens.</w:t>
      </w:r>
    </w:p>
    <w:p>
      <w:pPr>
        <w:spacing w:after="0" w:line="2" w:lineRule="exact"/>
        <w:rPr>
          <w:sz w:val="20"/>
          <w:szCs w:val="20"/>
          <w:color w:val="auto"/>
        </w:rPr>
      </w:pPr>
    </w:p>
    <w:p>
      <w:pPr>
        <w:ind w:left="380" w:right="2220"/>
        <w:spacing w:after="0" w:line="210" w:lineRule="auto"/>
        <w:rPr>
          <w:sz w:val="20"/>
          <w:szCs w:val="20"/>
          <w:color w:val="auto"/>
        </w:rPr>
      </w:pPr>
      <w:r>
        <w:rPr>
          <w:rFonts w:ascii="Arial" w:cs="Arial" w:eastAsia="Arial" w:hAnsi="Arial"/>
          <w:sz w:val="13"/>
          <w:szCs w:val="13"/>
          <w:color w:val="auto"/>
        </w:rPr>
        <w:t>Our BNT221 program, formerly Neon’s NEO-PTC-01 program, is a personalized adoptive T -cell therapy, which uses multiple T-cell populations expanded from an individual patient’s PBMCs that together target a set of neoantigens expressed by that patient’s tumor.</w:t>
      </w:r>
    </w:p>
    <w:p>
      <w:pPr>
        <w:spacing w:after="0" w:line="2" w:lineRule="exact"/>
        <w:rPr>
          <w:sz w:val="20"/>
          <w:szCs w:val="20"/>
          <w:color w:val="auto"/>
        </w:rPr>
      </w:pPr>
    </w:p>
    <w:p>
      <w:pPr>
        <w:ind w:left="380" w:right="2140"/>
        <w:spacing w:after="0" w:line="218" w:lineRule="auto"/>
        <w:rPr>
          <w:sz w:val="20"/>
          <w:szCs w:val="20"/>
          <w:color w:val="auto"/>
        </w:rPr>
      </w:pPr>
      <w:r>
        <w:rPr>
          <w:rFonts w:ascii="Arial" w:cs="Arial" w:eastAsia="Arial" w:hAnsi="Arial"/>
          <w:sz w:val="13"/>
          <w:szCs w:val="13"/>
          <w:color w:val="auto"/>
        </w:rPr>
        <w:t>Patent filings relevant to BNT221, referred to herein as the T-cell Induction/Expansion Filings, are generally solely owned by BioNTech US, or co-owned by BioNTech US and the Netherlands Cancer Institute (NKI). For example, the T Cell Induction/Expansion Filings include patent filings directed to therapeutic T cell compositions and methods of ex vivo induction and/or expansion of antigen-specific T cells. An issued subsisting T-cell Induction/Expansion Filing in the United States has, and pending subsisting T-cell Induction/Expansion Filings, if issued, would have, patent terms that extend into the late-2030s to early-2040s.</w:t>
      </w:r>
    </w:p>
    <w:p>
      <w:pPr>
        <w:sectPr>
          <w:pgSz w:w="11900" w:h="16840" w:orient="portrait"/>
          <w:cols w:equalWidth="0" w:num="1">
            <w:col w:w="9020"/>
          </w:cols>
          <w:pgMar w:left="1440" w:top="1440" w:right="1440" w:bottom="9" w:gutter="0" w:footer="0" w:header="0"/>
        </w:sectPr>
      </w:pPr>
    </w:p>
    <w:bookmarkStart w:id="121" w:name="page122"/>
    <w:bookmarkEnd w:id="121"/>
    <w:p>
      <w:pPr>
        <w:ind w:left="380"/>
        <w:spacing w:after="0"/>
        <w:rPr>
          <w:sz w:val="20"/>
          <w:szCs w:val="20"/>
          <w:color w:val="auto"/>
        </w:rPr>
      </w:pPr>
      <w:r>
        <w:rPr>
          <w:rFonts w:ascii="Arial" w:cs="Arial" w:eastAsia="Arial" w:hAnsi="Arial"/>
          <w:sz w:val="13"/>
          <w:szCs w:val="13"/>
          <w:i w:val="1"/>
          <w:iCs w:val="1"/>
          <w:color w:val="auto"/>
        </w:rPr>
        <w:t>3. Antibodies</w:t>
      </w:r>
    </w:p>
    <w:p>
      <w:pPr>
        <w:ind w:left="380" w:right="2200"/>
        <w:spacing w:after="0" w:line="210" w:lineRule="auto"/>
        <w:rPr>
          <w:sz w:val="20"/>
          <w:szCs w:val="20"/>
          <w:color w:val="auto"/>
        </w:rPr>
      </w:pPr>
      <w:r>
        <w:rPr>
          <w:rFonts w:ascii="Arial" w:cs="Arial" w:eastAsia="Arial" w:hAnsi="Arial"/>
          <w:sz w:val="13"/>
          <w:szCs w:val="13"/>
          <w:color w:val="auto"/>
        </w:rPr>
        <w:t>Our antibodies product class features bispecific checkpoint immunomodulators for oncology therapy, which are developed through collaboration with Genmab. Our development candidates include bispecific antibodies that are designed to activate 4-1BB upon simultaneous binding to CD -40 or EpCAM. Our patent portfolio includes certain patent filings relevant to such bispecific antibodies, or the Bispecific Checkpoint Modulator Filings, co-owned by us and Genmab. Such Bispecific Checkpoint Modulator Filings, if issued, would have 20-year terms that would extend into the late 2030s.</w:t>
      </w:r>
    </w:p>
    <w:p>
      <w:pPr>
        <w:spacing w:after="0" w:line="4"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Our collaboration with Genmab also includes development of monospecific antibody candidates to address malignant solid tumors. For example, BNT313 is a CD27 antibody based on Genmab’s proprietary HexaBody technology platform, specifically engineered to form an antibody hexamer (a formation of six antibodies) upon binding its target on the cell membrane of the T cells. We have also undertaken and continue to undertake filings specific to particular product candidates.</w:t>
      </w:r>
    </w:p>
    <w:p>
      <w:pPr>
        <w:spacing w:after="0" w:line="3"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We own patent assets acquired from MabVax Therapeutics Holding, Inc., or the MabVax Filings, that relate to various antibodies, including certain antibodies targeting sialyl Lewis A and ganglioside GD2, as well as nucleic acid encoding them. Issued MabVax Filings have, and the pending MabVax Filings, if issued, would have, 20-year terms that extend into the mid-2030s.</w:t>
      </w:r>
    </w:p>
    <w:p>
      <w:pPr>
        <w:ind w:left="380"/>
        <w:spacing w:after="0" w:line="214" w:lineRule="auto"/>
        <w:rPr>
          <w:sz w:val="20"/>
          <w:szCs w:val="20"/>
          <w:color w:val="auto"/>
        </w:rPr>
      </w:pPr>
      <w:r>
        <w:rPr>
          <w:rFonts w:ascii="Arial" w:cs="Arial" w:eastAsia="Arial" w:hAnsi="Arial"/>
          <w:sz w:val="13"/>
          <w:szCs w:val="13"/>
          <w:i w:val="1"/>
          <w:iCs w:val="1"/>
          <w:color w:val="auto"/>
        </w:rPr>
        <w:t>4. Small Molecule Immunomodulators</w:t>
      </w:r>
    </w:p>
    <w:p>
      <w:pPr>
        <w:ind w:left="380" w:right="2280"/>
        <w:spacing w:after="0" w:line="210" w:lineRule="auto"/>
        <w:rPr>
          <w:sz w:val="20"/>
          <w:szCs w:val="20"/>
          <w:color w:val="auto"/>
        </w:rPr>
      </w:pPr>
      <w:r>
        <w:rPr>
          <w:rFonts w:ascii="Arial" w:cs="Arial" w:eastAsia="Arial" w:hAnsi="Arial"/>
          <w:sz w:val="13"/>
          <w:szCs w:val="13"/>
          <w:color w:val="auto"/>
        </w:rPr>
        <w:t>Our small molecule therapeutics product class features oncology treatment using small molecule product candidates that activate the immune system via TLR7 agonism. Our patent portfolio includes patent filings relevant to these TLR7 agonists, or the TLR7 Agonist Filings. Certain TLR7 Agonist Filings are directed to substituted imidazoquinolines, and, if issued, would have 20-year terms that would extend into the late 2030s.</w:t>
      </w:r>
    </w:p>
    <w:p>
      <w:pPr>
        <w:ind w:left="380"/>
        <w:spacing w:after="0" w:line="214" w:lineRule="auto"/>
        <w:rPr>
          <w:sz w:val="20"/>
          <w:szCs w:val="20"/>
          <w:color w:val="auto"/>
        </w:rPr>
      </w:pPr>
      <w:r>
        <w:rPr>
          <w:rFonts w:ascii="Arial" w:cs="Arial" w:eastAsia="Arial" w:hAnsi="Arial"/>
          <w:sz w:val="13"/>
          <w:szCs w:val="13"/>
          <w:b w:val="1"/>
          <w:bCs w:val="1"/>
          <w:color w:val="auto"/>
        </w:rPr>
        <w:t>C. In-Licensing</w:t>
      </w:r>
    </w:p>
    <w:p>
      <w:pPr>
        <w:ind w:left="380"/>
        <w:spacing w:after="0" w:line="211" w:lineRule="auto"/>
        <w:rPr>
          <w:sz w:val="20"/>
          <w:szCs w:val="20"/>
          <w:color w:val="auto"/>
        </w:rPr>
      </w:pPr>
      <w:r>
        <w:rPr>
          <w:rFonts w:ascii="Arial" w:cs="Arial" w:eastAsia="Arial" w:hAnsi="Arial"/>
          <w:sz w:val="13"/>
          <w:szCs w:val="13"/>
          <w:color w:val="auto"/>
        </w:rPr>
        <w:t>Some of our intellectual property assets have been acquired by acquisition and/or in-licensing.</w:t>
      </w:r>
    </w:p>
    <w:p>
      <w:pPr>
        <w:ind w:left="380" w:right="2100"/>
        <w:spacing w:after="0" w:line="226" w:lineRule="auto"/>
        <w:rPr>
          <w:sz w:val="20"/>
          <w:szCs w:val="20"/>
          <w:color w:val="auto"/>
        </w:rPr>
      </w:pPr>
      <w:r>
        <w:rPr>
          <w:rFonts w:ascii="Arial" w:cs="Arial" w:eastAsia="Arial" w:hAnsi="Arial"/>
          <w:sz w:val="13"/>
          <w:szCs w:val="13"/>
          <w:color w:val="auto"/>
        </w:rPr>
        <w:t>We have pursued a strategy of identifying and in-licensing third-party patents that we believe are complementary to or otherwise interact synergistically with our own intellectual property portfolio. In addition to the agreements described in the section “—B.X. Third-Party Collaborations” above, we have entered into material intellectual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175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line="220" w:lineRule="auto"/>
        <w:rPr>
          <w:sz w:val="20"/>
          <w:szCs w:val="20"/>
          <w:color w:val="auto"/>
        </w:rPr>
      </w:pPr>
      <w:r>
        <w:rPr>
          <w:rFonts w:ascii="Arial" w:cs="Arial" w:eastAsia="Arial" w:hAnsi="Arial"/>
          <w:sz w:val="13"/>
          <w:szCs w:val="13"/>
          <w:color w:val="auto"/>
        </w:rPr>
        <w:t>property licensing or option arrangements with Acuitas, Louisiana State University, MRT-CellScript, the NIH, and TRON.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color w:val="auto"/>
        </w:rPr>
        <w:t>The key terms of these arrangements are summarized below.</w:t>
      </w:r>
    </w:p>
    <w:p>
      <w:pPr>
        <w:ind w:left="380"/>
        <w:spacing w:after="0" w:line="211" w:lineRule="auto"/>
        <w:rPr>
          <w:sz w:val="20"/>
          <w:szCs w:val="20"/>
          <w:color w:val="auto"/>
        </w:rPr>
      </w:pPr>
      <w:r>
        <w:rPr>
          <w:rFonts w:ascii="Arial" w:cs="Arial" w:eastAsia="Arial" w:hAnsi="Arial"/>
          <w:sz w:val="13"/>
          <w:szCs w:val="13"/>
          <w:i w:val="1"/>
          <w:iCs w:val="1"/>
          <w:color w:val="auto"/>
        </w:rPr>
        <w:t>Acuitas License Agreement</w:t>
      </w:r>
    </w:p>
    <w:p>
      <w:pPr>
        <w:ind w:left="380" w:right="2100"/>
        <w:spacing w:after="0" w:line="210" w:lineRule="auto"/>
        <w:rPr>
          <w:sz w:val="20"/>
          <w:szCs w:val="20"/>
          <w:color w:val="auto"/>
        </w:rPr>
      </w:pPr>
      <w:r>
        <w:rPr>
          <w:rFonts w:ascii="Arial" w:cs="Arial" w:eastAsia="Arial" w:hAnsi="Arial"/>
          <w:sz w:val="13"/>
          <w:szCs w:val="13"/>
          <w:color w:val="auto"/>
        </w:rPr>
        <w:t>In April 2020, we entered into a Non-Exclusive License Agreement with Acuitas, or the Acuitas License Agreement. Under the Acuitas License Agreement, Acuitas grants us a non-exclusive worldwide license, with the right to sublicense (subject to certain conditions) under Acuitas’ LNP technology to develop, manufacture and commercialize licensed products directed to the SARS-CoV-2 surface glycoprotein. We have the option to convert the non-exclusive licenses to exclusive licenses subject to certain additional financial obligations.</w:t>
      </w:r>
    </w:p>
    <w:p>
      <w:pPr>
        <w:spacing w:after="0" w:line="3"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Under the Acuitas License Agreement, we must pay Acuitas up to between approximately $1.6 million and $2.45 million in development milestone payments, $2.5 million and $3.75 million in regulatory milestone payments and $2.5 million and $3.75 million in commercial milestone payments upon the occurrence of certain milestone events. We are further required to pay Acuitas a low single-digit tiered percentage royalty on net sales of licensed products, subject to certain potential customary reductions. Our royalty obligations continue under the Acuitas License Agreement on a country-by- country and product-by-product basis until the later of (i) the expiration of the last-to-expire licensed valid patent claim covering such licensed product in such country, (ii) expiration of any data exclusivity, market exclusivity or supplemental protection certificates period for such product in such country, and (iii) certain years following the first commercial sale of such product in such country. The Acuitas License Agreement will continue on a product- by-product and a country-by-country basis until there are no more payments owed to Acuitas for such product in such country. Upon expiration of the Acuitas License Agreement, the license will become fully paid up and will remain in effect. We have the right to terminate the Acuitas License Agreement for convenience following a certain notice period. Either party may terminate the Acuitas License Agreement in the event of a material breach by the other party following a cure period. Alternatively, instead of exercising our right to terminate in the event of Acuitas’ material breach, we may elect to instead continue the license but reduce our milestone and royalty payment obligations to Acuitas by a certain percentage. In the event of termination of the Acuitas License Agreement by us for convenience or by Acuitas for our material breach, the licenses granted under such agreement will terminate, except that we will have the right to sell off any remaining inventories of licensed products for a certain period of time.</w:t>
      </w:r>
    </w:p>
    <w:p>
      <w:pPr>
        <w:ind w:left="380"/>
        <w:spacing w:after="0" w:line="229" w:lineRule="auto"/>
        <w:rPr>
          <w:sz w:val="20"/>
          <w:szCs w:val="20"/>
          <w:color w:val="auto"/>
        </w:rPr>
      </w:pPr>
      <w:r>
        <w:rPr>
          <w:rFonts w:ascii="Arial" w:cs="Arial" w:eastAsia="Arial" w:hAnsi="Arial"/>
          <w:sz w:val="13"/>
          <w:szCs w:val="13"/>
          <w:i w:val="1"/>
          <w:iCs w:val="1"/>
          <w:color w:val="auto"/>
        </w:rPr>
        <w:t>LSU License Agreement</w:t>
      </w:r>
    </w:p>
    <w:p>
      <w:pPr>
        <w:ind w:left="380" w:right="2300"/>
        <w:spacing w:after="0" w:line="210" w:lineRule="auto"/>
        <w:rPr>
          <w:sz w:val="20"/>
          <w:szCs w:val="20"/>
          <w:color w:val="auto"/>
        </w:rPr>
      </w:pPr>
      <w:r>
        <w:rPr>
          <w:rFonts w:ascii="Arial" w:cs="Arial" w:eastAsia="Arial" w:hAnsi="Arial"/>
          <w:sz w:val="13"/>
          <w:szCs w:val="13"/>
          <w:color w:val="auto"/>
        </w:rPr>
        <w:t>In May 2015, we entered into a Patent License Agreement with the Board of Supervisors of Louisiana State University and Agricultural and Mechanical College, or LSU, and the University of Warsaw, or UW. The agreement (which we refer to as the LSU Agreement) replaces and supersedes the earlier license agreement between the parties.</w:t>
      </w:r>
    </w:p>
    <w:p>
      <w:pPr>
        <w:spacing w:after="0" w:line="2"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Under the LSU Agreement, UW and LSU granted to us an exclusive royalty-bearing license under certain patent rights relating to mRNA cap analogs and the synthesis and use of anti-reverse phosphorothioate analogs of the mRNA cap in the United States, certain jurisdictions in the European Union and other countries. As consideration for the license granted, we are obligated to pay running royalties in the low single digits on all net sales of products utilizing the licensed patents and to pay annual maintenance fees to LSU.</w:t>
      </w:r>
    </w:p>
    <w:p>
      <w:pPr>
        <w:spacing w:after="0" w:line="3" w:lineRule="exact"/>
        <w:rPr>
          <w:sz w:val="20"/>
          <w:szCs w:val="20"/>
          <w:color w:val="auto"/>
        </w:rPr>
      </w:pPr>
    </w:p>
    <w:p>
      <w:pPr>
        <w:ind w:left="380" w:right="2280"/>
        <w:spacing w:after="0" w:line="210" w:lineRule="auto"/>
        <w:rPr>
          <w:sz w:val="20"/>
          <w:szCs w:val="20"/>
          <w:color w:val="auto"/>
        </w:rPr>
      </w:pPr>
      <w:r>
        <w:rPr>
          <w:rFonts w:ascii="Arial" w:cs="Arial" w:eastAsia="Arial" w:hAnsi="Arial"/>
          <w:sz w:val="13"/>
          <w:szCs w:val="13"/>
          <w:color w:val="auto"/>
        </w:rPr>
        <w:t>We are obligated to use commercially reasonable efforts to develop one or more marketable products utilizing the licensed patents, upon which we would owe additional milestone payments to LSU.</w:t>
      </w:r>
    </w:p>
    <w:p>
      <w:pPr>
        <w:spacing w:after="0" w:line="1"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The LSU Agreement remains in effect until expiration of the licensed patents. We have the right to terminate the LSU Agreement for convenience with 60 days’ prior notice, and LSU and UW may terminate for our uncured material breach.</w:t>
      </w:r>
    </w:p>
    <w:p>
      <w:pPr>
        <w:ind w:left="380"/>
        <w:spacing w:after="0" w:line="213" w:lineRule="auto"/>
        <w:rPr>
          <w:sz w:val="20"/>
          <w:szCs w:val="20"/>
          <w:color w:val="auto"/>
        </w:rPr>
      </w:pPr>
      <w:r>
        <w:rPr>
          <w:rFonts w:ascii="Arial" w:cs="Arial" w:eastAsia="Arial" w:hAnsi="Arial"/>
          <w:sz w:val="13"/>
          <w:szCs w:val="13"/>
          <w:i w:val="1"/>
          <w:iCs w:val="1"/>
          <w:color w:val="auto"/>
        </w:rPr>
        <w:t>CellScript and mRNA Ribotherapeutics License Agreement</w:t>
      </w:r>
    </w:p>
    <w:p>
      <w:pPr>
        <w:spacing w:after="0" w:line="1" w:lineRule="exact"/>
        <w:rPr>
          <w:sz w:val="20"/>
          <w:szCs w:val="20"/>
          <w:color w:val="auto"/>
        </w:rPr>
      </w:pPr>
    </w:p>
    <w:p>
      <w:pPr>
        <w:ind w:left="380" w:right="2280"/>
        <w:spacing w:after="0" w:line="226" w:lineRule="auto"/>
        <w:rPr>
          <w:sz w:val="20"/>
          <w:szCs w:val="20"/>
          <w:color w:val="auto"/>
        </w:rPr>
      </w:pPr>
      <w:r>
        <w:rPr>
          <w:rFonts w:ascii="Arial" w:cs="Arial" w:eastAsia="Arial" w:hAnsi="Arial"/>
          <w:sz w:val="13"/>
          <w:szCs w:val="13"/>
          <w:color w:val="auto"/>
        </w:rPr>
        <w:t>BioNTech RNA (now merged into BioNTech SE) entered into the two MRT-CellScript Sublicenses discussed above. Together, the MRT-CellScript Sublicenses grant BioNTech RNA worldwide, non-exclusive sublicenses under the Penn Modified mRNA Patent Rights (as defined in the MRT-CellScript Sublicenses) to research,</w:t>
      </w:r>
    </w:p>
    <w:p>
      <w:pPr>
        <w:sectPr>
          <w:pgSz w:w="11900" w:h="16840" w:orient="portrait"/>
          <w:cols w:equalWidth="0" w:num="1">
            <w:col w:w="9020"/>
          </w:cols>
          <w:pgMar w:left="1440" w:top="554" w:right="1440"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176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line="215" w:lineRule="auto"/>
        <w:rPr>
          <w:sz w:val="20"/>
          <w:szCs w:val="20"/>
          <w:color w:val="auto"/>
        </w:rPr>
      </w:pPr>
      <w:r>
        <w:rPr>
          <w:rFonts w:ascii="Arial" w:cs="Arial" w:eastAsia="Arial" w:hAnsi="Arial"/>
          <w:sz w:val="13"/>
          <w:szCs w:val="13"/>
          <w:color w:val="auto"/>
        </w:rPr>
        <w:t>develop, make, import, use and commercialize products for in vivo uses in humans and non-human animals, including therapeutic and prophylactic applications, and for certain uses in the diagnostic and prognostic field of use and certain laboratory research or screening uses. Under these sublicenses, BioNTech RNA has the right to grant sublicenses to affiliates and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320"/>
        <w:spacing w:after="0" w:line="210" w:lineRule="auto"/>
        <w:rPr>
          <w:sz w:val="20"/>
          <w:szCs w:val="20"/>
          <w:color w:val="auto"/>
        </w:rPr>
      </w:pPr>
      <w:r>
        <w:rPr>
          <w:rFonts w:ascii="Arial" w:cs="Arial" w:eastAsia="Arial" w:hAnsi="Arial"/>
          <w:sz w:val="13"/>
          <w:szCs w:val="13"/>
          <w:color w:val="auto"/>
        </w:rPr>
        <w:t>BioNTech RNA must use reasonable efforts to develop and commercialize products under the sublicenses. Furthermore, BioNTech RNA is obliged to pay MRT and CellScript development milestone payments of up to approximately $26 million as well as royalties in the low to mid-single digits on net sales of licensed products, depending on the field of use.</w:t>
      </w:r>
    </w:p>
    <w:p>
      <w:pPr>
        <w:spacing w:after="0" w:line="2" w:lineRule="exact"/>
        <w:rPr>
          <w:sz w:val="20"/>
          <w:szCs w:val="20"/>
          <w:color w:val="auto"/>
        </w:rPr>
      </w:pPr>
    </w:p>
    <w:p>
      <w:pPr>
        <w:ind w:left="380" w:right="2260"/>
        <w:spacing w:after="0" w:line="210" w:lineRule="auto"/>
        <w:rPr>
          <w:sz w:val="20"/>
          <w:szCs w:val="20"/>
          <w:color w:val="auto"/>
        </w:rPr>
      </w:pPr>
      <w:r>
        <w:rPr>
          <w:rFonts w:ascii="Arial" w:cs="Arial" w:eastAsia="Arial" w:hAnsi="Arial"/>
          <w:sz w:val="13"/>
          <w:szCs w:val="13"/>
          <w:color w:val="auto"/>
        </w:rPr>
        <w:t>The agreements continue until the expiration or abandonment of the last licensed patent to expire or be abandoned. BioNTech RNA may terminate the agreement for convenience with respect to all or certain patent rights with 60 days’ prior written notice. MRT or CellScript may terminate the respective sublicense agreement for payment default, uncured material breach or the bankruptcy of BioNTech RNA.</w:t>
      </w:r>
    </w:p>
    <w:p>
      <w:pPr>
        <w:ind w:left="380"/>
        <w:spacing w:after="0" w:line="214" w:lineRule="auto"/>
        <w:rPr>
          <w:sz w:val="20"/>
          <w:szCs w:val="20"/>
          <w:color w:val="auto"/>
        </w:rPr>
      </w:pPr>
      <w:r>
        <w:rPr>
          <w:rFonts w:ascii="Arial" w:cs="Arial" w:eastAsia="Arial" w:hAnsi="Arial"/>
          <w:sz w:val="13"/>
          <w:szCs w:val="13"/>
          <w:i w:val="1"/>
          <w:iCs w:val="1"/>
          <w:color w:val="auto"/>
        </w:rPr>
        <w:t>NIH License Agreement</w:t>
      </w:r>
    </w:p>
    <w:p>
      <w:pPr>
        <w:ind w:left="380" w:right="2120"/>
        <w:spacing w:after="0" w:line="210" w:lineRule="auto"/>
        <w:rPr>
          <w:sz w:val="20"/>
          <w:szCs w:val="20"/>
          <w:color w:val="auto"/>
        </w:rPr>
      </w:pPr>
      <w:r>
        <w:rPr>
          <w:rFonts w:ascii="Arial" w:cs="Arial" w:eastAsia="Arial" w:hAnsi="Arial"/>
          <w:sz w:val="13"/>
          <w:szCs w:val="13"/>
          <w:color w:val="auto"/>
        </w:rPr>
        <w:t>On May 27, 2020, we and the HHS, as represented by the National Institute of Allergy and Infectious Diseases, or NIAID, of the NIH, entered into a patent license agreement to facilitate the development of a vaccine against COVID-19, or, as amended and restated on December 20, 2024, the NIH License Agreement. Pursuant to the NIH License Agreement, our royalty obligation on Net Sales (as defined in the NIH License Agreement) of Licensed Products (as defined in the NIH License Agreement, and which includes our and Pfizer’s COVID-19 vaccine) is an amount of up to a low single- digit percentage of Net Sales of Licensed Products. The NIH License Agreement also provides a framework for a license for use in Combination Products (as defined in the NIH License Agreement, and which would include the COVID-19 vaccine used in combination with other active pharmaceutical ingredients).</w:t>
      </w:r>
    </w:p>
    <w:p>
      <w:pPr>
        <w:spacing w:after="0" w:line="5" w:lineRule="exact"/>
        <w:rPr>
          <w:sz w:val="20"/>
          <w:szCs w:val="20"/>
          <w:color w:val="auto"/>
        </w:rPr>
      </w:pPr>
    </w:p>
    <w:p>
      <w:pPr>
        <w:ind w:left="380" w:right="2260"/>
        <w:spacing w:after="0" w:line="210" w:lineRule="auto"/>
        <w:rPr>
          <w:sz w:val="20"/>
          <w:szCs w:val="20"/>
          <w:color w:val="auto"/>
        </w:rPr>
      </w:pPr>
      <w:r>
        <w:rPr>
          <w:rFonts w:ascii="Arial" w:cs="Arial" w:eastAsia="Arial" w:hAnsi="Arial"/>
          <w:sz w:val="13"/>
          <w:szCs w:val="13"/>
          <w:color w:val="auto"/>
        </w:rPr>
        <w:t>The NIH License Agreement remains in effect until expiration of the licensed patents. We have the right to terminate the NIH License Agreement for convenience with 60 days’ prior notice, and NIAID may terminate for our uncured material breach.</w:t>
      </w:r>
    </w:p>
    <w:p>
      <w:pPr>
        <w:ind w:left="380"/>
        <w:spacing w:after="0" w:line="213" w:lineRule="auto"/>
        <w:rPr>
          <w:sz w:val="20"/>
          <w:szCs w:val="20"/>
          <w:color w:val="auto"/>
        </w:rPr>
      </w:pPr>
      <w:r>
        <w:rPr>
          <w:rFonts w:ascii="Arial" w:cs="Arial" w:eastAsia="Arial" w:hAnsi="Arial"/>
          <w:sz w:val="13"/>
          <w:szCs w:val="13"/>
          <w:i w:val="1"/>
          <w:iCs w:val="1"/>
          <w:color w:val="auto"/>
        </w:rPr>
        <w:t>TRON Agreements</w:t>
      </w:r>
    </w:p>
    <w:p>
      <w:pPr>
        <w:spacing w:after="0" w:line="1"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In 2015, we and our subsidiaries BioNTech RNA (now merged into BioNTech SE), BioNTech Diagnostics GmbH, BioNTech Protein Therapeutics GmbH, BioNTech Cell &amp; Gene Therapies GmbH, Eufets GmbH and JPT Peptide Technologies GmbH entered into a Master Agreement for Research Services with TRON. Concurrently with this Master Agreement for Research Services, or the TRON Research Agreement, we entered into a License Agreement with Ganymed Pharmaceuticals AG, or Ganymed, TRON, Johannes Gutenberg-Universität Mainz and Universitätsmedizin der Johannes Gutenberg-Universität Mainz, or the TRON License Agreement. The TRON Research Agreement and TRON License Agreement together replaced and superseded our 2008 Cooperation, Purchase and Licensing Agreement with the University Mainz, or the 2008 Cooperation Agreement. In 2015, we and our subsidiaries BioNTech RNA (now merged into BioNTech SE), BioNTech Diagnostics GmbH, BioNTech Protein Therapeutics GmbH, BioNTech Cell &amp; Gene Therapies GmbH, BioNTech Innovative Manufacturing Services GmbH and JPT Peptide Technologies GmbH, entered into a Framework Collaboration Agreement with TRON, or the TRON Collaboration Agreement.</w:t>
      </w:r>
    </w:p>
    <w:p>
      <w:pPr>
        <w:ind w:left="380"/>
        <w:spacing w:after="0" w:line="222" w:lineRule="auto"/>
        <w:rPr>
          <w:sz w:val="20"/>
          <w:szCs w:val="20"/>
          <w:color w:val="auto"/>
        </w:rPr>
      </w:pPr>
      <w:r>
        <w:rPr>
          <w:rFonts w:ascii="Arial" w:cs="Arial" w:eastAsia="Arial" w:hAnsi="Arial"/>
          <w:sz w:val="13"/>
          <w:szCs w:val="13"/>
          <w:color w:val="3C9673"/>
        </w:rPr>
        <w:t>TRON Research Agreement</w:t>
      </w:r>
    </w:p>
    <w:p>
      <w:pPr>
        <w:ind w:left="380" w:right="2100"/>
        <w:spacing w:after="0" w:line="210" w:lineRule="auto"/>
        <w:rPr>
          <w:sz w:val="20"/>
          <w:szCs w:val="20"/>
          <w:color w:val="auto"/>
        </w:rPr>
      </w:pPr>
      <w:r>
        <w:rPr>
          <w:rFonts w:ascii="Arial" w:cs="Arial" w:eastAsia="Arial" w:hAnsi="Arial"/>
          <w:sz w:val="13"/>
          <w:szCs w:val="13"/>
          <w:color w:val="auto"/>
        </w:rPr>
        <w:t>Under the TRON Research Agreement, TRON from time to time performs certain services for us under work orders, which may comprise innovative applied research projects, pre-defined research and development or clinical research services. We and TRON meet at regular intervals, but no less than annually, to prepare an overall non-binding project plan, which sets the scope, period and costs for the relevant projects contemplated for that period. Individual work orders set the specific binding terms of each project or service. TRON is obligated to render services in accordance with the scientific standards, all applicable laboratory and legal provisions and with the care customary in the industry.</w:t>
      </w:r>
    </w:p>
    <w:p>
      <w:pPr>
        <w:spacing w:after="0" w:line="4" w:lineRule="exact"/>
        <w:rPr>
          <w:sz w:val="20"/>
          <w:szCs w:val="20"/>
          <w:color w:val="auto"/>
        </w:rPr>
      </w:pPr>
    </w:p>
    <w:p>
      <w:pPr>
        <w:ind w:left="380" w:right="2100"/>
        <w:spacing w:after="0" w:line="234" w:lineRule="auto"/>
        <w:rPr>
          <w:sz w:val="20"/>
          <w:szCs w:val="20"/>
          <w:color w:val="auto"/>
        </w:rPr>
      </w:pPr>
      <w:r>
        <w:rPr>
          <w:rFonts w:ascii="Arial" w:cs="Arial" w:eastAsia="Arial" w:hAnsi="Arial"/>
          <w:sz w:val="13"/>
          <w:szCs w:val="13"/>
          <w:color w:val="auto"/>
        </w:rPr>
        <w:t>We are entitled to the exclusive rights to all inventions, methods, specifications, materials, documents, data, know-how and other results (together, the Results) developed or discovered by TRON or by us and TRON jointly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177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280"/>
        <w:spacing w:after="0" w:line="214" w:lineRule="auto"/>
        <w:rPr>
          <w:sz w:val="20"/>
          <w:szCs w:val="20"/>
          <w:color w:val="auto"/>
        </w:rPr>
      </w:pPr>
      <w:r>
        <w:rPr>
          <w:rFonts w:ascii="Arial" w:cs="Arial" w:eastAsia="Arial" w:hAnsi="Arial"/>
          <w:sz w:val="13"/>
          <w:szCs w:val="13"/>
          <w:color w:val="auto"/>
        </w:rPr>
        <w:t>under the TRON Research Agreement, except to the extent they constitute improvements of the technologies applied by TRON in the relevant projects. Under the TRON Research Agreement, TRON granted us a non - exclusive, royalty-free license to use TRON Improvements if such TRON Improvements are necessary for the continued development and exploitation of the Results or the manufacture or marketing of products which contain any of the Results and are covered by a patent claiming any of the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-416560</wp:posOffset>
            </wp:positionV>
            <wp:extent cx="523113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080"/>
        <w:spacing w:after="0" w:line="210" w:lineRule="auto"/>
        <w:rPr>
          <w:sz w:val="20"/>
          <w:szCs w:val="20"/>
          <w:color w:val="auto"/>
        </w:rPr>
      </w:pPr>
      <w:r>
        <w:rPr>
          <w:rFonts w:ascii="Arial" w:cs="Arial" w:eastAsia="Arial" w:hAnsi="Arial"/>
          <w:sz w:val="13"/>
          <w:szCs w:val="13"/>
          <w:color w:val="auto"/>
        </w:rPr>
        <w:t>Under the TRON Research Agreement, TRON’s services rendered in the field of applied research are invoiced at cost. For other services, fixed prices are to be set forth in the individual work orders. TRON invoices us monthly and our payments are due no later than 10 days thereafter. Additionally, we are obligated to pay to TRON low single-digit tiered royalties on net sales of any product developed under the TRON Research Agreement that is covered by a patent claiming any of the Results.</w:t>
      </w:r>
    </w:p>
    <w:p>
      <w:pPr>
        <w:spacing w:after="0" w:line="3" w:lineRule="exact"/>
        <w:rPr>
          <w:sz w:val="20"/>
          <w:szCs w:val="20"/>
          <w:color w:val="auto"/>
        </w:rPr>
      </w:pPr>
    </w:p>
    <w:p>
      <w:pPr>
        <w:ind w:left="380" w:right="2260"/>
        <w:spacing w:after="0" w:line="234" w:lineRule="auto"/>
        <w:rPr>
          <w:sz w:val="20"/>
          <w:szCs w:val="20"/>
          <w:color w:val="auto"/>
        </w:rPr>
      </w:pPr>
      <w:r>
        <w:rPr>
          <w:rFonts w:ascii="Arial" w:cs="Arial" w:eastAsia="Arial" w:hAnsi="Arial"/>
          <w:sz w:val="13"/>
          <w:szCs w:val="13"/>
          <w:color w:val="auto"/>
        </w:rPr>
        <w:t>The TRON Research Agreement limits each party’s liability to the other to intentional and grossly negligent actions and, in the case of gross negligence, liability for indirect and consequential damages and lost profits is</w:t>
      </w:r>
    </w:p>
    <w:p>
      <w:pPr>
        <w:sectPr>
          <w:pgSz w:w="11900" w:h="16840" w:orient="portrait"/>
          <w:cols w:equalWidth="0" w:num="1">
            <w:col w:w="9020"/>
          </w:cols>
          <w:pgMar w:left="1440" w:top="1440" w:right="1440" w:bottom="0" w:gutter="0" w:footer="0" w:header="0"/>
        </w:sectPr>
      </w:pPr>
    </w:p>
    <w:bookmarkStart w:id="123" w:name="page124"/>
    <w:bookmarkEnd w:id="123"/>
    <w:p>
      <w:pPr>
        <w:ind w:left="380" w:right="2140"/>
        <w:spacing w:after="0" w:line="220" w:lineRule="auto"/>
        <w:rPr>
          <w:sz w:val="20"/>
          <w:szCs w:val="20"/>
          <w:color w:val="auto"/>
        </w:rPr>
      </w:pPr>
      <w:r>
        <w:rPr>
          <w:rFonts w:ascii="Arial" w:cs="Arial" w:eastAsia="Arial" w:hAnsi="Arial"/>
          <w:sz w:val="13"/>
          <w:szCs w:val="13"/>
          <w:color w:val="auto"/>
        </w:rPr>
        <w:t>excluded. We are obligated to indemnify TRON for all product liability claims in connection with the products and for third-party claims asserting that the Results violate third-party intellectual property rights.</w:t>
      </w:r>
    </w:p>
    <w:p>
      <w:pPr>
        <w:spacing w:after="0" w:line="1"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The TRON Research Agreement has an indefinite term, but may be terminated by either party on six months’ notice. If one of our subsidiaries terminates its role in the TRON Research Agreement, the agreement will survive and continue without that subsidiary.</w:t>
      </w:r>
    </w:p>
    <w:p>
      <w:pPr>
        <w:ind w:left="380"/>
        <w:spacing w:after="0" w:line="213" w:lineRule="auto"/>
        <w:rPr>
          <w:sz w:val="20"/>
          <w:szCs w:val="20"/>
          <w:color w:val="auto"/>
        </w:rPr>
      </w:pPr>
      <w:r>
        <w:rPr>
          <w:rFonts w:ascii="Arial" w:cs="Arial" w:eastAsia="Arial" w:hAnsi="Arial"/>
          <w:sz w:val="13"/>
          <w:szCs w:val="13"/>
          <w:color w:val="3C9673"/>
        </w:rPr>
        <w:t>TRON License Agreement</w:t>
      </w:r>
    </w:p>
    <w:p>
      <w:pPr>
        <w:spacing w:after="0" w:line="1"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The TRON License Agreement governs the ownership of and licenses under certain patents, inventions, know - how, technologies and other knowledge (together, the Development Results) filed and created before January 1, 2015 in the course of our collaboration with TRON, Johannes Gutenberg-Universität Mainz and Universitätsmedizin der Johannes Gutenberg-Universität Mainz (collectively, the University Parties) and Ganymed pursuant to the 2008 Cooperation Agreement.</w:t>
      </w:r>
    </w:p>
    <w:p>
      <w:pPr>
        <w:spacing w:after="0" w:line="3"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The TRON License Agreement sets forth the parties’ rights with respect to the Development Results, mainly depending on which parties have contributed to such Development Results. Ownership of the Development Results and any patents and other intellectual property in certain shares to TRON, on the one hand, and BioNTech and/or Ganymed, on the other hand included therein is allocated. Each party may assign its share in the co-owned Development Results to its affiliates provided that such party provide notice of the transfer and the identity of the new co -owner to the other co-owners. However, in case of an assignment of such share to a third party (except in case of a material asset sale), the assigning party must obligate the assignee to comply with the terms of the TRON License Agreement and the assigning party will remain bound by the obligations of the TRON License Agreement unless the other co-owners have consented to discharge the assigning party from such obligations.</w:t>
      </w:r>
    </w:p>
    <w:p>
      <w:pPr>
        <w:spacing w:after="0" w:line="6"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The parties to the TRON License Agreement grant licenses to each other under their shares in the Development Results substantially as follows. Ganymed is exclusively entitled to use the Development Results for certain antibodies and antibody fragments that bind to certain defined targets, or the Ganymed Field of Use. We are exclusively entitled to use the Development Results in any other field of use (including immunological therapeutics, small molecule compounds, small interfering RNA (siRNA)-based therapeutics, micro-proteins, antibody based in vitro (except for those in the Ganymed Field of Use), diagnostics and therapeutics based on long-chain RNA as well as other cell therapy applications, immune cells transgenized with recombinant directed against certain defined targets or chimeric antigen receptors and RNA-based pharmaceuticals). The University Parties may use the Development Results for internal research purposes only. We have an obligation to use reasonable efforts to develop and commercialize products in our field of use worldwide.</w:t>
      </w:r>
    </w:p>
    <w:p>
      <w:pPr>
        <w:spacing w:after="0" w:line="6" w:lineRule="exact"/>
        <w:rPr>
          <w:sz w:val="20"/>
          <w:szCs w:val="20"/>
          <w:color w:val="auto"/>
        </w:rPr>
      </w:pPr>
    </w:p>
    <w:p>
      <w:pPr>
        <w:ind w:left="380" w:right="2180"/>
        <w:spacing w:after="0" w:line="222" w:lineRule="auto"/>
        <w:rPr>
          <w:sz w:val="20"/>
          <w:szCs w:val="20"/>
          <w:color w:val="auto"/>
        </w:rPr>
      </w:pPr>
      <w:r>
        <w:rPr>
          <w:rFonts w:ascii="Arial" w:cs="Arial" w:eastAsia="Arial" w:hAnsi="Arial"/>
          <w:sz w:val="13"/>
          <w:szCs w:val="13"/>
          <w:color w:val="auto"/>
        </w:rPr>
        <w:t>Under the TRON License Agreement, we and Ganymed must agree on which party will have the primary role in filing, prosecuting, maintaining and defending jointly owned patents. We and Ganymed each have the exclusive right to enforce the Development Results in our respective fields of use, subject to certain step-in rights of the other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178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40"/>
        <w:spacing w:after="0" w:line="213" w:lineRule="auto"/>
        <w:rPr>
          <w:sz w:val="20"/>
          <w:szCs w:val="20"/>
          <w:color w:val="auto"/>
        </w:rPr>
      </w:pPr>
      <w:r>
        <w:rPr>
          <w:rFonts w:ascii="Arial" w:cs="Arial" w:eastAsia="Arial" w:hAnsi="Arial"/>
          <w:sz w:val="13"/>
          <w:szCs w:val="13"/>
          <w:color w:val="auto"/>
        </w:rPr>
        <w:t>We are obligated to pay to the University Parties low single-digit tiered royalties on net sales on any product that is covered by certain of the patents including in the Development Results. If licenses are granted to third parties, we are obligated to pay to the University Parties a mid-single- digit share of all upfront payments, milestone payments and other remuneration we receive from such third parties in consideration for the license. Regarding upfront payments only, the University Parties’ share will be offset against subsequent license fees on net sales. In addition, we are obligated to pay certain development and regulatory milestones up to a low seven-figure amount to Johannes Gutenberg-Universität Mainz.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-582930</wp:posOffset>
            </wp:positionV>
            <wp:extent cx="523113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20"/>
        <w:spacing w:after="0" w:line="210" w:lineRule="auto"/>
        <w:rPr>
          <w:sz w:val="20"/>
          <w:szCs w:val="20"/>
          <w:color w:val="auto"/>
        </w:rPr>
      </w:pPr>
      <w:r>
        <w:rPr>
          <w:rFonts w:ascii="Arial" w:cs="Arial" w:eastAsia="Arial" w:hAnsi="Arial"/>
          <w:sz w:val="13"/>
          <w:szCs w:val="13"/>
          <w:color w:val="auto"/>
        </w:rPr>
        <w:t>The TRON License Agreement contains a limitation on liability as between the parties, wherein the parties will only be liable to each other for intentional and grossly negligent actions, and, in the case of gross negligence, liability for indirect and consequential damages and lost profits is excluded. We are obligated to indemnify the University Parties and Ganymed for third-party claims of product liability or violation of applicable law based on our distribution of our products or if we breach the TRON License Agreement or if we or one of our agents acts culpably.</w:t>
      </w:r>
    </w:p>
    <w:p>
      <w:pPr>
        <w:spacing w:after="0" w:line="4"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The TRON License Agreement will remain in effect as long as there are any obligations on us or Ganymed to pay license fees. After expiry of the TRON License Agreement, each party will have a perpetual, non-exclusive, royalty-free license to use the Developments Results. The TRON License Agreement may be terminated by any party on six months’ notice. The licenses granted between the parties will survive such termination. The TRON License Agreement also grants all parties termination rights for uncured material breaches. If only one party terminates its role in the Agreement, the Agreement will survive and continue between the other parties.</w:t>
      </w:r>
    </w:p>
    <w:p>
      <w:pPr>
        <w:ind w:left="380"/>
        <w:spacing w:after="0" w:line="216" w:lineRule="auto"/>
        <w:rPr>
          <w:sz w:val="20"/>
          <w:szCs w:val="20"/>
          <w:color w:val="auto"/>
        </w:rPr>
      </w:pPr>
      <w:r>
        <w:rPr>
          <w:rFonts w:ascii="Arial" w:cs="Arial" w:eastAsia="Arial" w:hAnsi="Arial"/>
          <w:sz w:val="13"/>
          <w:szCs w:val="13"/>
          <w:color w:val="3C9673"/>
        </w:rPr>
        <w:t>TRON Collaboration Agreement</w:t>
      </w:r>
    </w:p>
    <w:p>
      <w:pPr>
        <w:ind w:left="380" w:right="2180"/>
        <w:spacing w:after="0" w:line="210" w:lineRule="auto"/>
        <w:rPr>
          <w:sz w:val="20"/>
          <w:szCs w:val="20"/>
          <w:color w:val="auto"/>
        </w:rPr>
      </w:pPr>
      <w:r>
        <w:rPr>
          <w:rFonts w:ascii="Arial" w:cs="Arial" w:eastAsia="Arial" w:hAnsi="Arial"/>
          <w:sz w:val="13"/>
          <w:szCs w:val="13"/>
          <w:color w:val="auto"/>
        </w:rPr>
        <w:t>Under the TRON Collaboration Agreement, TRON from time to time undertakes certain projects in collaboration with us under separate project specific agreements, comprising innovative non-clinical research and development projects. We and TRON meet regularly to review and update project plans, and no less than annually to agree the budget for the on-going projects for the coming calendar year. Individual project agreements set the specific binding terms of each project. TRON is obligated to perform its obligations in accordance with the scientific standards, all applicable technical laboratory and legal provisions and with the care customary in the non-clinical biotechnology research industry.</w:t>
      </w:r>
    </w:p>
    <w:p>
      <w:pPr>
        <w:spacing w:after="0" w:line="4"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Except for the results of a particular research project which has been funded exclusively by TRON, all of the inventions, methods, specifications, materials, documents, data, know- how and other results (together, the Results) developed or discovered by TRON or by us and TRON jointly under the TRON Collaboration Agreement are jointly owned. Under the TRON Collaboration Agreement, TRON grants us an exclusive, worldwide, sublicensable license under its interest in the Results to research and have researched, develop and have developed, make and have made, use, and otherwise commercialize or have commercialized, and otherwise commercially exploit, products in a field that is specified in the corresponding project agreement. The field of use is either (a) the prophylaxis, diagnosis and treatment of all indications in humans and animals; or (b) the prophylaxis, diagnosis and treatment of oncological diseases, infectious diseases and rare genetic diseases. We are required to use our reasonable efforts to develop and commercialize products that exploit the Results.</w:t>
      </w:r>
    </w:p>
    <w:p>
      <w:pPr>
        <w:spacing w:after="0" w:line="6"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Under the TRON Collaboration Agreement, TRON’s activities are invoiced at cost. TRON invoices us monthly and our payments are due no later than 10 days thereafter. Additionally, we are obligated to pay to TRON low single-digit tiered royalties on net sales of any product developed under the TRON Collaboration Agreement that is covered by a patent claiming any of the Results or, in certain circumstances, by a patentable invention forming part of the Results which we elect to maintain as a trade secret. If licenses under Results are granted to third parties, we are obligated to pay to TRON a mid-single-digit share of all upfront payments, milestone payments and other remuneration we receive from such third parties in consideration for the license. In addition, we are obligated to pay a one-time only milestone of a low seven-figure amount to TRON the first time annual sales of a product developed under the TRON Collaboration Agreement reach a low nine-figure number.</w:t>
      </w:r>
    </w:p>
    <w:p>
      <w:pPr>
        <w:spacing w:after="0" w:line="5" w:lineRule="exact"/>
        <w:rPr>
          <w:sz w:val="20"/>
          <w:szCs w:val="20"/>
          <w:color w:val="auto"/>
        </w:rPr>
      </w:pPr>
    </w:p>
    <w:p>
      <w:pPr>
        <w:ind w:left="380" w:right="2220"/>
        <w:spacing w:after="0" w:line="234" w:lineRule="auto"/>
        <w:rPr>
          <w:sz w:val="20"/>
          <w:szCs w:val="20"/>
          <w:color w:val="auto"/>
        </w:rPr>
      </w:pPr>
      <w:r>
        <w:rPr>
          <w:rFonts w:ascii="Arial" w:cs="Arial" w:eastAsia="Arial" w:hAnsi="Arial"/>
          <w:sz w:val="13"/>
          <w:szCs w:val="13"/>
          <w:color w:val="auto"/>
        </w:rPr>
        <w:t>The TRON Collaboration Agreement limits each party’s liability to the other to cases of willful misconduct and gross negligence and, in the case of gross negligence, liability for indirect and consequential damages and lost</w:t>
      </w:r>
    </w:p>
    <w:p>
      <w:pPr>
        <w:sectPr>
          <w:pgSz w:w="11900" w:h="16840" w:orient="portrait"/>
          <w:cols w:equalWidth="0" w:num="1">
            <w:col w:w="9020"/>
          </w:cols>
          <w:pgMar w:left="1440" w:top="560" w:right="1440" w:bottom="189" w:gutter="0" w:footer="0" w:header="0"/>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179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260"/>
        <w:spacing w:after="0" w:line="214" w:lineRule="auto"/>
        <w:rPr>
          <w:sz w:val="20"/>
          <w:szCs w:val="20"/>
          <w:color w:val="auto"/>
        </w:rPr>
      </w:pPr>
      <w:r>
        <w:rPr>
          <w:rFonts w:ascii="Arial" w:cs="Arial" w:eastAsia="Arial" w:hAnsi="Arial"/>
          <w:sz w:val="13"/>
          <w:szCs w:val="13"/>
          <w:color w:val="auto"/>
        </w:rPr>
        <w:t>profits is excluded. We are obligated to indemnify TRON for all product liability claims in connection with the products and for third-party claims asserting that the Results violate third-party intellectual property rights. The TRON Collaboration Agreement came into force with retroactive effect from January 2015 and has an indefinite term, but may be terminated by either party on nine months’ notice. If one of our subsidiaries terminates its role in the TRON Collaboration Agreement, the agreement will survive and continue without that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-501015</wp:posOffset>
            </wp:positionV>
            <wp:extent cx="523113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1" w:lineRule="auto"/>
        <w:rPr>
          <w:sz w:val="20"/>
          <w:szCs w:val="20"/>
          <w:color w:val="auto"/>
        </w:rPr>
      </w:pPr>
      <w:r>
        <w:rPr>
          <w:rFonts w:ascii="Arial" w:cs="Arial" w:eastAsia="Arial" w:hAnsi="Arial"/>
          <w:sz w:val="13"/>
          <w:szCs w:val="13"/>
          <w:b w:val="1"/>
          <w:bCs w:val="1"/>
          <w:color w:val="auto"/>
        </w:rPr>
        <w:t>D. Trademark Portfolio</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 xml:space="preserve">Certain features of our business and our product candidates are protected by trademarks. Our trademark portfolio includes, but is not limited to, </w:t>
      </w:r>
      <w:r>
        <w:rPr>
          <w:rFonts w:ascii="Arial" w:cs="Arial" w:eastAsia="Arial" w:hAnsi="Arial"/>
          <w:sz w:val="13"/>
          <w:szCs w:val="13"/>
          <w:i w:val="1"/>
          <w:iCs w:val="1"/>
          <w:color w:val="auto"/>
        </w:rPr>
        <w:t>Comirnaty</w:t>
      </w:r>
      <w:r>
        <w:rPr>
          <w:rFonts w:ascii="Arial" w:cs="Arial" w:eastAsia="Arial" w:hAnsi="Arial"/>
          <w:sz w:val="13"/>
          <w:szCs w:val="13"/>
          <w:color w:val="auto"/>
        </w:rPr>
        <w:t xml:space="preserve">, </w:t>
      </w:r>
      <w:r>
        <w:rPr>
          <w:rFonts w:ascii="Arial" w:cs="Arial" w:eastAsia="Arial" w:hAnsi="Arial"/>
          <w:sz w:val="13"/>
          <w:szCs w:val="13"/>
          <w:i w:val="1"/>
          <w:iCs w:val="1"/>
          <w:color w:val="auto"/>
        </w:rPr>
        <w:t>BioNTainer</w:t>
      </w:r>
      <w:r>
        <w:rPr>
          <w:rFonts w:ascii="Arial" w:cs="Arial" w:eastAsia="Arial" w:hAnsi="Arial"/>
          <w:sz w:val="13"/>
          <w:szCs w:val="13"/>
          <w:color w:val="auto"/>
        </w:rPr>
        <w:t xml:space="preserve">, </w:t>
      </w:r>
      <w:r>
        <w:rPr>
          <w:rFonts w:ascii="Arial" w:cs="Arial" w:eastAsia="Arial" w:hAnsi="Arial"/>
          <w:sz w:val="13"/>
          <w:szCs w:val="13"/>
          <w:i w:val="1"/>
          <w:iCs w:val="1"/>
          <w:color w:val="auto"/>
        </w:rPr>
        <w:t>FixVac</w:t>
      </w:r>
      <w:r>
        <w:rPr>
          <w:rFonts w:ascii="Arial" w:cs="Arial" w:eastAsia="Arial" w:hAnsi="Arial"/>
          <w:sz w:val="13"/>
          <w:szCs w:val="13"/>
          <w:color w:val="auto"/>
        </w:rPr>
        <w:t xml:space="preserve">, </w:t>
      </w:r>
      <w:r>
        <w:rPr>
          <w:rFonts w:ascii="Arial" w:cs="Arial" w:eastAsia="Arial" w:hAnsi="Arial"/>
          <w:sz w:val="13"/>
          <w:szCs w:val="13"/>
          <w:i w:val="1"/>
          <w:iCs w:val="1"/>
          <w:color w:val="auto"/>
        </w:rPr>
        <w:t>RiboCytokine</w:t>
      </w:r>
      <w:r>
        <w:rPr>
          <w:rFonts w:ascii="Arial" w:cs="Arial" w:eastAsia="Arial" w:hAnsi="Arial"/>
          <w:sz w:val="13"/>
          <w:szCs w:val="13"/>
          <w:color w:val="auto"/>
        </w:rPr>
        <w:t xml:space="preserve">, </w:t>
      </w:r>
      <w:r>
        <w:rPr>
          <w:rFonts w:ascii="Arial" w:cs="Arial" w:eastAsia="Arial" w:hAnsi="Arial"/>
          <w:sz w:val="13"/>
          <w:szCs w:val="13"/>
          <w:i w:val="1"/>
          <w:iCs w:val="1"/>
          <w:color w:val="auto"/>
        </w:rPr>
        <w:t>RiboMab</w:t>
      </w:r>
      <w:r>
        <w:rPr>
          <w:rFonts w:ascii="Arial" w:cs="Arial" w:eastAsia="Arial" w:hAnsi="Arial"/>
          <w:sz w:val="13"/>
          <w:szCs w:val="13"/>
          <w:color w:val="auto"/>
        </w:rPr>
        <w:t xml:space="preserve">, </w:t>
      </w:r>
      <w:r>
        <w:rPr>
          <w:rFonts w:ascii="Arial" w:cs="Arial" w:eastAsia="Arial" w:hAnsi="Arial"/>
          <w:sz w:val="13"/>
          <w:szCs w:val="13"/>
          <w:i w:val="1"/>
          <w:iCs w:val="1"/>
          <w:color w:val="auto"/>
        </w:rPr>
        <w:t>Recon</w:t>
      </w:r>
      <w:r>
        <w:rPr>
          <w:rFonts w:ascii="Arial" w:cs="Arial" w:eastAsia="Arial" w:hAnsi="Arial"/>
          <w:sz w:val="13"/>
          <w:szCs w:val="13"/>
          <w:color w:val="auto"/>
        </w:rPr>
        <w:t xml:space="preserve">, and </w:t>
      </w:r>
      <w:r>
        <w:rPr>
          <w:rFonts w:ascii="Arial" w:cs="Arial" w:eastAsia="Arial" w:hAnsi="Arial"/>
          <w:sz w:val="13"/>
          <w:szCs w:val="13"/>
          <w:i w:val="1"/>
          <w:iCs w:val="1"/>
          <w:color w:val="auto"/>
        </w:rPr>
        <w:t>Neo-Stim</w:t>
      </w:r>
      <w:r>
        <w:rPr>
          <w:rFonts w:ascii="Arial" w:cs="Arial" w:eastAsia="Arial" w:hAnsi="Arial"/>
          <w:sz w:val="13"/>
          <w:szCs w:val="13"/>
          <w:color w:val="auto"/>
        </w:rPr>
        <w:t>, including logo versions of some of these trademarks.</w:t>
      </w:r>
    </w:p>
    <w:p>
      <w:pPr>
        <w:spacing w:after="0" w:line="2"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Brand names appearing in italics throughout this report are trademarks owned by BioNTech. All other trademarks are the property of their respective owners.</w:t>
      </w:r>
    </w:p>
    <w:p>
      <w:pPr>
        <w:ind w:left="380"/>
        <w:spacing w:after="0" w:line="212" w:lineRule="auto"/>
        <w:rPr>
          <w:sz w:val="20"/>
          <w:szCs w:val="20"/>
          <w:color w:val="auto"/>
        </w:rPr>
      </w:pPr>
      <w:r>
        <w:rPr>
          <w:rFonts w:ascii="Arial" w:cs="Arial" w:eastAsia="Arial" w:hAnsi="Arial"/>
          <w:sz w:val="13"/>
          <w:szCs w:val="13"/>
          <w:b w:val="1"/>
          <w:bCs w:val="1"/>
          <w:color w:val="auto"/>
        </w:rPr>
        <w:t>E. Trade Secret Protection</w:t>
      </w:r>
    </w:p>
    <w:p>
      <w:pPr>
        <w:spacing w:after="0" w:line="1"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Certain of our technologies, including in particular certain proprietary manufacturing processes or technologies and/or neoantigen prediction technologies, are protected as trade secrets.</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In addition to patent protection, we rely upon unpatented trade secrets and confidential know- how and continuing technological innovation to develop and maintain our competitive position. We protect certain of our technologies, including, in particular, certain proprietary manufacturing processes and technologies and/or neoantigen prediction technologies, as trade secrets. However, trade secrets and confidential know-how are difficult to protect. We seek to protect our proprietary information, in part, by using confidentiality agreements with any future collaborators, scientific advisors, employees and consultants, and invention assignment agreements with our employees. We also have agreements requiring assignment of inventions with selected consultants, scientific advisors and collaborators. These agreements may not provide meaningful protection. These agreements may also be breached, and we may not have an adequate remedy for any such breach. In addition, our trade secrets and/or confidential know-how may become known or be independently developed by a third party, or misused by any collaborator to whom we disclose such information.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w:t>
      </w:r>
    </w:p>
    <w:p>
      <w:pPr>
        <w:ind w:left="380"/>
        <w:spacing w:after="0" w:line="226" w:lineRule="auto"/>
        <w:rPr>
          <w:sz w:val="20"/>
          <w:szCs w:val="20"/>
          <w:color w:val="auto"/>
        </w:rPr>
      </w:pPr>
      <w:r>
        <w:rPr>
          <w:rFonts w:ascii="Arial" w:cs="Arial" w:eastAsia="Arial" w:hAnsi="Arial"/>
          <w:sz w:val="13"/>
          <w:szCs w:val="13"/>
          <w:color w:val="005A64"/>
        </w:rPr>
        <w:t>XIII. Competition</w:t>
      </w:r>
    </w:p>
    <w:p>
      <w:pPr>
        <w:ind w:left="380" w:right="2100"/>
        <w:spacing w:after="0" w:line="210" w:lineRule="auto"/>
        <w:rPr>
          <w:sz w:val="20"/>
          <w:szCs w:val="20"/>
          <w:color w:val="auto"/>
        </w:rPr>
      </w:pPr>
      <w:r>
        <w:rPr>
          <w:rFonts w:ascii="Arial" w:cs="Arial" w:eastAsia="Arial" w:hAnsi="Arial"/>
          <w:sz w:val="13"/>
          <w:szCs w:val="13"/>
          <w:color w:val="auto"/>
        </w:rPr>
        <w:t>We compete in an industry characterized by rapidly advancing technologies, intense competition and a complex intellectual property landscape. We face substantial competition from many different sources, including large and specialty pharmaceutical and biotechnology companies, academic research institutions and governmental agencies and public and private research institutions.</w:t>
      </w:r>
    </w:p>
    <w:p>
      <w:pPr>
        <w:spacing w:after="0" w:line="2" w:lineRule="exact"/>
        <w:rPr>
          <w:sz w:val="20"/>
          <w:szCs w:val="20"/>
          <w:color w:val="auto"/>
        </w:rPr>
      </w:pPr>
    </w:p>
    <w:p>
      <w:pPr>
        <w:ind w:left="380" w:right="2200"/>
        <w:spacing w:after="0" w:line="215" w:lineRule="auto"/>
        <w:rPr>
          <w:sz w:val="20"/>
          <w:szCs w:val="20"/>
          <w:color w:val="auto"/>
        </w:rPr>
      </w:pPr>
      <w:r>
        <w:rPr>
          <w:rFonts w:ascii="Arial" w:cs="Arial" w:eastAsia="Arial" w:hAnsi="Arial"/>
          <w:sz w:val="13"/>
          <w:szCs w:val="13"/>
          <w:color w:val="auto"/>
        </w:rPr>
        <w:t>Many of our competitors and potential competitors, either alone or with their collaborators, have greater scientific, research and product development capabilities as well as greater financial, marketing, sales and human resources and experience than we do. In addition, smaller or early-stage companies, including immunotherapy-focused therapeutics companies, may also prove to be significant competitors, particularly through collaborative arrangements with large and established companies. Some of our collaborators, such as Genmab and Pfizer, may also be competitors within the same market or other markets. Accordingly, our competitors may be more successful than us in developing and potentially commercializing technologies and achieving widespread market acceptance. In addition, our competitors may design technologies that are more efficacious, safer or more effectively marketed than ours or have fewer side effects, or may obtain regulatory approvals more quickly than we are able, which could eliminate or reduce our commercial potential. These competitors also compete with us in recruiting and retaining qualified scientific and management personnel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180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520"/>
        <w:spacing w:after="0" w:line="220" w:lineRule="auto"/>
        <w:rPr>
          <w:sz w:val="20"/>
          <w:szCs w:val="20"/>
          <w:color w:val="auto"/>
        </w:rPr>
      </w:pPr>
      <w:r>
        <w:rPr>
          <w:rFonts w:ascii="Arial" w:cs="Arial" w:eastAsia="Arial" w:hAnsi="Arial"/>
          <w:sz w:val="13"/>
          <w:szCs w:val="13"/>
          <w:color w:val="auto"/>
        </w:rPr>
        <w:t>establishing clinical trial sites and patient registration for clinical trials, as well as in acquiring technologies complementary to, or necessary for,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400"/>
        <w:spacing w:after="0" w:line="234" w:lineRule="auto"/>
        <w:rPr>
          <w:sz w:val="20"/>
          <w:szCs w:val="20"/>
          <w:color w:val="auto"/>
        </w:rPr>
      </w:pPr>
      <w:r>
        <w:rPr>
          <w:rFonts w:ascii="Arial" w:cs="Arial" w:eastAsia="Arial" w:hAnsi="Arial"/>
          <w:sz w:val="13"/>
          <w:szCs w:val="13"/>
          <w:color w:val="auto"/>
        </w:rPr>
        <w:t>We anticipate that the key competitive factors affecting our technologies will be efficacy, safety, cost and convenience, ease of distribution, storage and administration, as well as our ability to build a fully-integrated</w:t>
      </w:r>
    </w:p>
    <w:p>
      <w:pPr>
        <w:sectPr>
          <w:pgSz w:w="11900" w:h="16840" w:orient="portrait"/>
          <w:cols w:equalWidth="0" w:num="1">
            <w:col w:w="9020"/>
          </w:cols>
          <w:pgMar w:left="1440" w:top="1440" w:right="1440" w:bottom="118" w:gutter="0" w:footer="0" w:header="0"/>
        </w:sectPr>
      </w:pPr>
    </w:p>
    <w:bookmarkStart w:id="125" w:name="page126"/>
    <w:bookmarkEnd w:id="125"/>
    <w:p>
      <w:pPr>
        <w:ind w:left="380" w:right="2080"/>
        <w:spacing w:after="0"/>
        <w:rPr>
          <w:sz w:val="20"/>
          <w:szCs w:val="20"/>
          <w:color w:val="auto"/>
        </w:rPr>
      </w:pPr>
      <w:r>
        <w:rPr>
          <w:rFonts w:ascii="Arial" w:cs="Arial" w:eastAsia="Arial" w:hAnsi="Arial"/>
          <w:sz w:val="13"/>
          <w:szCs w:val="13"/>
          <w:color w:val="auto"/>
        </w:rPr>
        <w:t>biotechnology company. The availability of reimbursement from government and other third-party payors will also significantly affect the pricing and competitiveness of our products. The timing of market introduction of our products and competitive products will also affect competition among products. We expect the relative speed with which we can develop our products, complete the clinical trials and approval processes, and supply commercial quantities of the products to the market to be important competitive factors.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7"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Specifically, our marketed monovalent and bivalent COVID- 19 vaccines and any other COVID-19 vaccines we and Pfizer develop compete with other COVID-19 vaccines that have been approved or authorized for temporary or emergency use and a number of vaccine manufacturers, academic institutions and other organizations currently have programs to develop COVID-19 vaccine candidates.</w:t>
      </w:r>
    </w:p>
    <w:p>
      <w:pPr>
        <w:ind w:left="380"/>
        <w:spacing w:after="0" w:line="214" w:lineRule="auto"/>
        <w:rPr>
          <w:sz w:val="20"/>
          <w:szCs w:val="20"/>
          <w:color w:val="auto"/>
        </w:rPr>
      </w:pPr>
      <w:r>
        <w:rPr>
          <w:rFonts w:ascii="Arial" w:cs="Arial" w:eastAsia="Arial" w:hAnsi="Arial"/>
          <w:sz w:val="13"/>
          <w:szCs w:val="13"/>
          <w:color w:val="005A64"/>
        </w:rPr>
        <w:t>XIV. Legal Proceedings</w:t>
      </w:r>
    </w:p>
    <w:p>
      <w:pPr>
        <w:ind w:left="380" w:right="2140"/>
        <w:spacing w:after="0" w:line="210" w:lineRule="auto"/>
        <w:rPr>
          <w:sz w:val="20"/>
          <w:szCs w:val="20"/>
          <w:color w:val="auto"/>
        </w:rPr>
      </w:pPr>
      <w:r>
        <w:rPr>
          <w:rFonts w:ascii="Arial" w:cs="Arial" w:eastAsia="Arial" w:hAnsi="Arial"/>
          <w:sz w:val="13"/>
          <w:szCs w:val="13"/>
          <w:color w:val="auto"/>
        </w:rPr>
        <w:t>We are and may be involved in various legal proceedings, including patent litigation, product liability and other product-related litigation, as well as other legal proceedings that arise from time to time in the ordinary course of business, including, but not limited to, personal injury, consumer, off-label promotion, securities, antitrust, employment law, tax, environmental, and/or other claims or investigations.</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We currently do not believe that any of these matters will have a material adverse effect on our financial position, and will continue to monitor the status of these and other claims that may arise. However, we could incur judgments, enter into settlements or revise our expectations regarding the outcome of matters, which could have a material adverse effect on our results of operations and/or our cash flows in the period in which the amounts are accrued or paid. Our assessments, which result from a complex series of judgments about future events and uncertainties, are based on estimates and assumptions that have been deemed reasonable by management, but that may prove to be incomplete or inaccurate, and unanticipated events and circumstances may occur that might cause us to change those estimates and assumptions.</w:t>
      </w:r>
    </w:p>
    <w:p>
      <w:pPr>
        <w:ind w:left="380"/>
        <w:spacing w:after="0" w:line="218" w:lineRule="auto"/>
        <w:rPr>
          <w:sz w:val="20"/>
          <w:szCs w:val="20"/>
          <w:color w:val="auto"/>
        </w:rPr>
      </w:pPr>
      <w:r>
        <w:rPr>
          <w:rFonts w:ascii="Arial" w:cs="Arial" w:eastAsia="Arial" w:hAnsi="Arial"/>
          <w:sz w:val="13"/>
          <w:szCs w:val="13"/>
          <w:color w:val="auto"/>
        </w:rPr>
        <w:t>Certain pending matters to which we are a party are discussed below.</w:t>
      </w:r>
    </w:p>
    <w:p>
      <w:pPr>
        <w:ind w:left="380" w:right="2320"/>
        <w:spacing w:after="0" w:line="210" w:lineRule="auto"/>
        <w:rPr>
          <w:sz w:val="20"/>
          <w:szCs w:val="20"/>
          <w:color w:val="auto"/>
        </w:rPr>
      </w:pPr>
      <w:r>
        <w:rPr>
          <w:rFonts w:ascii="Arial" w:cs="Arial" w:eastAsia="Arial" w:hAnsi="Arial"/>
          <w:sz w:val="13"/>
          <w:szCs w:val="13"/>
          <w:color w:val="auto"/>
        </w:rPr>
        <w:t>For a description of the risks relating to these and other legal proceedings we face and may in the future face and our assessments thereof, see “Risk Factors” in this Annual Report.</w:t>
      </w:r>
    </w:p>
    <w:p>
      <w:pPr>
        <w:ind w:left="380"/>
        <w:spacing w:after="0" w:line="212" w:lineRule="auto"/>
        <w:rPr>
          <w:sz w:val="20"/>
          <w:szCs w:val="20"/>
          <w:color w:val="auto"/>
        </w:rPr>
      </w:pPr>
      <w:r>
        <w:rPr>
          <w:rFonts w:ascii="Arial" w:cs="Arial" w:eastAsia="Arial" w:hAnsi="Arial"/>
          <w:sz w:val="13"/>
          <w:szCs w:val="13"/>
          <w:b w:val="1"/>
          <w:bCs w:val="1"/>
          <w:color w:val="005A64"/>
        </w:rPr>
        <w:t>Alnylam Proceedings</w:t>
      </w:r>
    </w:p>
    <w:p>
      <w:pPr>
        <w:spacing w:after="0" w:line="1" w:lineRule="exact"/>
        <w:rPr>
          <w:sz w:val="20"/>
          <w:szCs w:val="20"/>
          <w:color w:val="auto"/>
        </w:rPr>
      </w:pPr>
    </w:p>
    <w:p>
      <w:pPr>
        <w:ind w:left="380" w:right="2080"/>
        <w:spacing w:after="0" w:line="214" w:lineRule="auto"/>
        <w:rPr>
          <w:sz w:val="20"/>
          <w:szCs w:val="20"/>
          <w:color w:val="auto"/>
        </w:rPr>
      </w:pPr>
      <w:r>
        <w:rPr>
          <w:rFonts w:ascii="Arial" w:cs="Arial" w:eastAsia="Arial" w:hAnsi="Arial"/>
          <w:sz w:val="13"/>
          <w:szCs w:val="13"/>
          <w:color w:val="auto"/>
        </w:rPr>
        <w:t xml:space="preserve">In March 2022, Alnylam Pharmaceuticals, Inc., or Alnylam, filed a lawsuit against Pfizer and Pharmacia &amp; Upjohn Co. LLC in the U.S. District Court for the District of Delaware alleging that an existing patent owned by Alnylam, U.S. Patent No. 11,246,933, or the ‘933 Patent, is infringed by the cationic lipid used in </w:t>
      </w:r>
      <w:r>
        <w:rPr>
          <w:rFonts w:ascii="Arial" w:cs="Arial" w:eastAsia="Arial" w:hAnsi="Arial"/>
          <w:sz w:val="13"/>
          <w:szCs w:val="13"/>
          <w:i w:val="1"/>
          <w:iCs w:val="1"/>
          <w:color w:val="auto"/>
        </w:rPr>
        <w:t>Comirnaty</w:t>
      </w:r>
      <w:r>
        <w:rPr>
          <w:rFonts w:ascii="Arial" w:cs="Arial" w:eastAsia="Arial" w:hAnsi="Arial"/>
          <w:sz w:val="13"/>
          <w:szCs w:val="13"/>
          <w:color w:val="auto"/>
        </w:rPr>
        <w:t>, and seeking monetary relief, which is not specified in their filings. We filed a counterclaim to become party to the Alnylam proceeding, and in June 2022, Alnylam added to its claims allegations that we induced infringement of the ‘933 Patent. Additionally, in July 2022, Alnylam filed a lawsuit against us, our wholly owned subsidiary, BioNTech Manufacturing GmbH, Pfizer and Pharmacia &amp; Upjohn Co. LLC in the U.S. District Court for the District of Delaware alleging that we also induced infringement of a newly issued patent, U.S. Patent No. 11,382,979, or the ‘979 Patent, which is a continuation of the ‘933 Patent. The two lawsuits were consolidated on July 28, 2022. In May 2023, Alnylam filed a third lawsuit against Pfizer Inc. and Pharmacia &amp; Upjohn Co. LLC in the U.S. District Court for the District of Delaware alleging infringement of U.S. Patent Nos. 11,633,479; 11,633,480; 11,612,657; and 11,590,229, all of which are continuations of the ‘933 Patent. We filed a counterclaim to become party to the new proceeding, and in July 2023, Alnylam added to its claims allegations that we induced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181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200"/>
        <w:spacing w:after="0" w:line="220" w:lineRule="auto"/>
        <w:rPr>
          <w:sz w:val="20"/>
          <w:szCs w:val="20"/>
          <w:color w:val="auto"/>
        </w:rPr>
      </w:pPr>
      <w:r>
        <w:rPr>
          <w:rFonts w:ascii="Arial" w:cs="Arial" w:eastAsia="Arial" w:hAnsi="Arial"/>
          <w:sz w:val="13"/>
          <w:szCs w:val="13"/>
          <w:color w:val="auto"/>
        </w:rPr>
        <w:t>infringement of the four new patents. All of the lawsuits have been consolidated into a single proceeding, which is currently expected to go to trial in July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color w:val="auto"/>
        </w:rPr>
        <w:t>We believe we have strong defenses against the allegations claimed relative to each of the patents and intend to vigorously defend ourselves in the proceedings mentioned above. However, our analysis of Alnylam’s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ind w:left="380"/>
        <w:spacing w:after="0" w:line="217" w:lineRule="auto"/>
        <w:rPr>
          <w:sz w:val="20"/>
          <w:szCs w:val="20"/>
          <w:color w:val="auto"/>
        </w:rPr>
      </w:pPr>
      <w:r>
        <w:rPr>
          <w:rFonts w:ascii="Arial" w:cs="Arial" w:eastAsia="Arial" w:hAnsi="Arial"/>
          <w:sz w:val="13"/>
          <w:szCs w:val="13"/>
          <w:b w:val="1"/>
          <w:bCs w:val="1"/>
          <w:color w:val="005A64"/>
        </w:rPr>
        <w:t>CureVac Proceedings</w:t>
      </w:r>
    </w:p>
    <w:p>
      <w:pPr>
        <w:ind w:left="380"/>
        <w:spacing w:after="0" w:line="211" w:lineRule="auto"/>
        <w:rPr>
          <w:sz w:val="20"/>
          <w:szCs w:val="20"/>
          <w:color w:val="auto"/>
        </w:rPr>
      </w:pPr>
      <w:r>
        <w:rPr>
          <w:rFonts w:ascii="Arial" w:cs="Arial" w:eastAsia="Arial" w:hAnsi="Arial"/>
          <w:sz w:val="13"/>
          <w:szCs w:val="13"/>
          <w:color w:val="005A64"/>
        </w:rPr>
        <w:t>Infringement Proceedings – EP’122, DE’961, DE‘974, DE’575, and EP’668</w:t>
      </w:r>
    </w:p>
    <w:p>
      <w:pPr>
        <w:ind w:left="380" w:right="2220"/>
        <w:spacing w:after="0" w:line="210" w:lineRule="auto"/>
        <w:rPr>
          <w:sz w:val="20"/>
          <w:szCs w:val="20"/>
          <w:color w:val="auto"/>
        </w:rPr>
      </w:pPr>
      <w:r>
        <w:rPr>
          <w:rFonts w:ascii="Arial" w:cs="Arial" w:eastAsia="Arial" w:hAnsi="Arial"/>
          <w:sz w:val="13"/>
          <w:szCs w:val="13"/>
          <w:color w:val="auto"/>
        </w:rPr>
        <w:t xml:space="preserve">In July 2022, CureVac AG (CureVac) filed a lawsuit against us and our wholly owned subsidiaries, BioNTech Manufacturing GmbH and BioNTech Manufacturing Marburg GmbH, in the Düsseldorf Regional Court, alleging </w:t>
      </w:r>
      <w:r>
        <w:rPr>
          <w:rFonts w:ascii="Arial" w:cs="Arial" w:eastAsia="Arial" w:hAnsi="Arial"/>
          <w:sz w:val="13"/>
          <w:szCs w:val="13"/>
          <w:i w:val="1"/>
          <w:iCs w:val="1"/>
          <w:color w:val="auto"/>
        </w:rPr>
        <w:t>Comirnaty</w:t>
      </w:r>
      <w:r>
        <w:rPr>
          <w:rFonts w:ascii="Arial" w:cs="Arial" w:eastAsia="Arial" w:hAnsi="Arial"/>
          <w:sz w:val="13"/>
          <w:szCs w:val="13"/>
          <w:color w:val="auto"/>
        </w:rPr>
        <w:t>’s infringement of one European patent, EP1857122B1, or EP’122, and three Utility Models</w:t>
      </w:r>
      <w:r>
        <w:rPr>
          <w:rFonts w:ascii="Arial" w:cs="Arial" w:eastAsia="Arial" w:hAnsi="Arial"/>
          <w:sz w:val="13"/>
          <w:szCs w:val="13"/>
          <w:i w:val="1"/>
          <w:iCs w:val="1"/>
          <w:color w:val="auto"/>
        </w:rPr>
        <w:t xml:space="preserve"> </w:t>
      </w:r>
      <w:r>
        <w:rPr>
          <w:rFonts w:ascii="Arial" w:cs="Arial" w:eastAsia="Arial" w:hAnsi="Arial"/>
          <w:sz w:val="13"/>
          <w:szCs w:val="13"/>
          <w:color w:val="auto"/>
        </w:rPr>
        <w:t>DE202015009961U1, DE202015009974U1, and DE202021003575U1. In August 2022, CureVac AG added European Patent EP3708668B1, or EP’668, to its German lawsuit.</w:t>
      </w:r>
    </w:p>
    <w:p>
      <w:pPr>
        <w:spacing w:after="0" w:line="3"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On August 15, 2023, the Düsseldorf Regional Court held a hearing on infringement with respect to all five IP rights. At the hearing, the Court suspended its infringement ruling with respect to EP’122 until December 28, 2023. On September 28, 2023, the Court issued orders suspending its infringement rulings with respect to the remaining four IP rights (DE’961, DE’974, DE’575, and EP’668) pending validity decisions in the DE’961, DE’974, and DE’575 cancellation proceedings before the German Patent and Trademark Office and in the EP’668 opposition proceedings before the Opposition Division of the European Patent Office, or EPO. In the September 28th orders, the Court explained that it was suspending its infringement rulings until validity decisions are reached, while contemporaneously noting concerns regarding the validity of DE’961, DE’974, DE’575, and EP’668. On December 28, 2023, the Düsseldorf Regional Court stayed the infringement proceedings as to EP’122 until a final appellate decision is rendered as to the validity of EP’122 by the Federal Court of Justice. On June 7, 2024, CureVac AG waived DE’575 and withdrew this utility model from the infringement proceedings. On July 2, 2024, the EPO Opposition Division issued a preliminary opinion noting that it believes EP’668 is likely invalid, and set an oral hearing for March 2025.</w:t>
      </w:r>
    </w:p>
    <w:p>
      <w:pPr>
        <w:ind w:left="380"/>
        <w:spacing w:after="0" w:line="223" w:lineRule="auto"/>
        <w:rPr>
          <w:sz w:val="20"/>
          <w:szCs w:val="20"/>
          <w:color w:val="auto"/>
        </w:rPr>
      </w:pPr>
      <w:r>
        <w:rPr>
          <w:rFonts w:ascii="Arial" w:cs="Arial" w:eastAsia="Arial" w:hAnsi="Arial"/>
          <w:sz w:val="13"/>
          <w:szCs w:val="13"/>
          <w:color w:val="005A64"/>
        </w:rPr>
        <w:t>Infringement Proceedings – EP’755, DE’123, and DE’130</w:t>
      </w:r>
    </w:p>
    <w:p>
      <w:pPr>
        <w:ind w:left="380" w:right="2100"/>
        <w:spacing w:after="0" w:line="210" w:lineRule="auto"/>
        <w:rPr>
          <w:sz w:val="20"/>
          <w:szCs w:val="20"/>
          <w:color w:val="auto"/>
        </w:rPr>
      </w:pPr>
      <w:r>
        <w:rPr>
          <w:rFonts w:ascii="Arial" w:cs="Arial" w:eastAsia="Arial" w:hAnsi="Arial"/>
          <w:sz w:val="13"/>
          <w:szCs w:val="13"/>
          <w:color w:val="auto"/>
        </w:rPr>
        <w:t xml:space="preserve">In July 2023, CureVac filed a second lawsuit against us and our wholly owned subsidiaries, BioNTech Manufacturing GmbH and BioNTech Manufacturing Marburg GmbH, in the Düsseldorf Regional Court, alleging </w:t>
      </w:r>
      <w:r>
        <w:rPr>
          <w:rFonts w:ascii="Arial" w:cs="Arial" w:eastAsia="Arial" w:hAnsi="Arial"/>
          <w:sz w:val="13"/>
          <w:szCs w:val="13"/>
          <w:i w:val="1"/>
          <w:iCs w:val="1"/>
          <w:color w:val="auto"/>
        </w:rPr>
        <w:t>Comirnaty</w:t>
      </w:r>
      <w:r>
        <w:rPr>
          <w:rFonts w:ascii="Arial" w:cs="Arial" w:eastAsia="Arial" w:hAnsi="Arial"/>
          <w:sz w:val="13"/>
          <w:szCs w:val="13"/>
          <w:color w:val="auto"/>
        </w:rPr>
        <w:t>’s infringement of one European patent, EP4023755B1, or EP’755, and two Utility Models</w:t>
      </w:r>
      <w:r>
        <w:rPr>
          <w:rFonts w:ascii="Arial" w:cs="Arial" w:eastAsia="Arial" w:hAnsi="Arial"/>
          <w:sz w:val="13"/>
          <w:szCs w:val="13"/>
          <w:i w:val="1"/>
          <w:iCs w:val="1"/>
          <w:color w:val="auto"/>
        </w:rPr>
        <w:t xml:space="preserve"> </w:t>
      </w:r>
      <w:r>
        <w:rPr>
          <w:rFonts w:ascii="Arial" w:cs="Arial" w:eastAsia="Arial" w:hAnsi="Arial"/>
          <w:sz w:val="13"/>
          <w:szCs w:val="13"/>
          <w:color w:val="auto"/>
        </w:rPr>
        <w:t>DE202021004123U1, and DE202021004130U1. On June 7, 2024, CureVac waived DE’123 and withdrew this utility model from the infringement proceedings. A hearing on infringement with respect to EP’755 and DE’130 that was scheduled to occur in the Düsseldorf Regional Court on September 10, 2024 was rescheduled for July 2025 and the Court suspended its infringement ruling with respect to DE’130 until a validity decision was reached in the co-pending cancellation proceeding before the German Patent and Trademark Office. On July 24, 2024, the EPO Opposition Division issued a preliminary opinion noting that it believes EP’755 is likely invalid, and set an oral hearing for May 2025.</w:t>
      </w:r>
    </w:p>
    <w:p>
      <w:pPr>
        <w:ind w:left="380"/>
        <w:spacing w:after="0" w:line="220" w:lineRule="auto"/>
        <w:rPr>
          <w:sz w:val="20"/>
          <w:szCs w:val="20"/>
          <w:color w:val="auto"/>
        </w:rPr>
      </w:pPr>
      <w:r>
        <w:rPr>
          <w:rFonts w:ascii="Arial" w:cs="Arial" w:eastAsia="Arial" w:hAnsi="Arial"/>
          <w:sz w:val="13"/>
          <w:szCs w:val="13"/>
          <w:color w:val="005A64"/>
        </w:rPr>
        <w:t>Nullity Proceedings – EP’122</w:t>
      </w:r>
    </w:p>
    <w:p>
      <w:pPr>
        <w:ind w:left="380"/>
        <w:spacing w:after="0"/>
        <w:rPr>
          <w:sz w:val="20"/>
          <w:szCs w:val="20"/>
          <w:color w:val="auto"/>
        </w:rPr>
      </w:pPr>
      <w:r>
        <w:rPr>
          <w:rFonts w:ascii="Arial" w:cs="Arial" w:eastAsia="Arial" w:hAnsi="Arial"/>
          <w:sz w:val="13"/>
          <w:szCs w:val="13"/>
          <w:color w:val="auto"/>
        </w:rPr>
        <w:t>In September 2022, we filed a nullity action in the Federal Patent Court of Germany seeking a declaration that</w:t>
      </w:r>
    </w:p>
    <w:p>
      <w:pPr>
        <w:sectPr>
          <w:pgSz w:w="11900" w:h="16840" w:orient="portrait"/>
          <w:cols w:equalWidth="0" w:num="1">
            <w:col w:w="9020"/>
          </w:cols>
          <w:pgMar w:left="1440" w:top="560" w:right="1440" w:bottom="58" w:gutter="0" w:footer="0" w:header="0"/>
        </w:sectPr>
      </w:pPr>
    </w:p>
    <w:bookmarkStart w:id="126" w:name="page127"/>
    <w:bookmarkEnd w:id="126"/>
    <w:p>
      <w:pPr>
        <w:ind w:left="380" w:right="2160"/>
        <w:spacing w:after="0" w:line="222" w:lineRule="auto"/>
        <w:rPr>
          <w:sz w:val="20"/>
          <w:szCs w:val="20"/>
          <w:color w:val="auto"/>
        </w:rPr>
      </w:pPr>
      <w:r>
        <w:rPr>
          <w:rFonts w:ascii="Arial" w:cs="Arial" w:eastAsia="Arial" w:hAnsi="Arial"/>
          <w:sz w:val="13"/>
          <w:szCs w:val="13"/>
          <w:color w:val="auto"/>
        </w:rPr>
        <w:t>EP’122 is invalid. In April 2023, the Federal Patent Court of Germany issued a preliminary opinion in the EP’122 nullity action in support of the validity of EP’122. The preliminary opinion did not address any infringement of EP’122. The preliminary opinion is a preliminary assessment by the court of the merits of a claim, and is non-binding. On December 19, 2023, the Federal Patent Court held an oral hearing, after which it nullified EP’122. On April 30, 2024, the Federal Patent Court issued a judgment containing its written reasons for nullifying EP’122. On May 7, 2024, CureVac appealed the judgment, which is currently 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182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005A64"/>
        </w:rPr>
        <w:t>Cancellation Proceedings – DE’961, DE‘974, and DE’575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20"/>
        <w:spacing w:after="0" w:line="210" w:lineRule="auto"/>
        <w:rPr>
          <w:sz w:val="20"/>
          <w:szCs w:val="20"/>
          <w:color w:val="auto"/>
        </w:rPr>
      </w:pPr>
      <w:r>
        <w:rPr>
          <w:rFonts w:ascii="Arial" w:cs="Arial" w:eastAsia="Arial" w:hAnsi="Arial"/>
          <w:sz w:val="13"/>
          <w:szCs w:val="13"/>
          <w:color w:val="auto"/>
        </w:rPr>
        <w:t>In November 2022, we filed cancellation actions seeking the cancellation of the three German Utility Models in the German Patent and Trademark Office. On December 27, 2023, the German Patent and Trademark Office issued a preliminary opinion that DE’974 is likely to be cancelled. On January 23, 2024, the German Patent and Trademark Office issued a preliminary opinion that DE’961 is likely to be cancelled based on invalidity pursuant to para. 1 (2) no. 5 Utility Model Act. On March 7, 2024, the German Patent and Trademark Office issued a preliminary opinion that DE’575 is likely to be cancelled. On June 6, 2024, CureVac submitted a written statement to the German Patent and Trademark Office waiving DE’575. On June 12, 2024, we withdrew our request for cancellation of DE’575. On June 25 and 26, 2024, the German Patent and Trademark Office heard oral arguments regarding DE’961 and DE’974, and at the conclusion of the hearing on June 26, 2024, confirmed that both DE’961 and DE’974 were cancelled. In November 2024, the German Patent and Trademark Office issued its written decisions cancelling DE’961 and DE’974. CureVac has filed an appeal in both cancellation proceedings, which are currently pending.</w:t>
      </w:r>
    </w:p>
    <w:p>
      <w:pPr>
        <w:ind w:left="380"/>
        <w:spacing w:after="0" w:line="222" w:lineRule="auto"/>
        <w:rPr>
          <w:sz w:val="20"/>
          <w:szCs w:val="20"/>
          <w:color w:val="auto"/>
        </w:rPr>
      </w:pPr>
      <w:r>
        <w:rPr>
          <w:rFonts w:ascii="Arial" w:cs="Arial" w:eastAsia="Arial" w:hAnsi="Arial"/>
          <w:sz w:val="13"/>
          <w:szCs w:val="13"/>
          <w:color w:val="005A64"/>
        </w:rPr>
        <w:t>Cancellation Proceedings– DE’123 and DE’130</w:t>
      </w:r>
    </w:p>
    <w:p>
      <w:pPr>
        <w:ind w:left="380" w:right="2100"/>
        <w:spacing w:after="0" w:line="210" w:lineRule="auto"/>
        <w:rPr>
          <w:sz w:val="20"/>
          <w:szCs w:val="20"/>
          <w:color w:val="auto"/>
        </w:rPr>
      </w:pPr>
      <w:r>
        <w:rPr>
          <w:rFonts w:ascii="Arial" w:cs="Arial" w:eastAsia="Arial" w:hAnsi="Arial"/>
          <w:sz w:val="13"/>
          <w:szCs w:val="13"/>
          <w:color w:val="auto"/>
        </w:rPr>
        <w:t>In November 2023, we filed cancellation actions seeking the cancellation of German Utility Models DE’123 and DE’130 in the German Patent and Trademark Office. On June 6, 2024, CureVac submitted a written statement to the German Patent and Trademark Office waiving DE’123. On June 12, 2024, we withdrew our request for cancellation of DE’123. On December 5, 2024, the German Patent and Trademark Office issued a preliminary opinion that DE’130 is likely to be cancelled.</w:t>
      </w:r>
    </w:p>
    <w:p>
      <w:pPr>
        <w:ind w:left="380"/>
        <w:spacing w:after="0" w:line="215" w:lineRule="auto"/>
        <w:rPr>
          <w:sz w:val="20"/>
          <w:szCs w:val="20"/>
          <w:color w:val="auto"/>
        </w:rPr>
      </w:pPr>
      <w:r>
        <w:rPr>
          <w:rFonts w:ascii="Arial" w:cs="Arial" w:eastAsia="Arial" w:hAnsi="Arial"/>
          <w:sz w:val="13"/>
          <w:szCs w:val="13"/>
          <w:color w:val="005A64"/>
        </w:rPr>
        <w:t>United States</w:t>
      </w:r>
    </w:p>
    <w:p>
      <w:pPr>
        <w:ind w:left="380" w:right="2180"/>
        <w:spacing w:after="0" w:line="210" w:lineRule="auto"/>
        <w:rPr>
          <w:sz w:val="20"/>
          <w:szCs w:val="20"/>
          <w:color w:val="auto"/>
        </w:rPr>
      </w:pPr>
      <w:r>
        <w:rPr>
          <w:rFonts w:ascii="Arial" w:cs="Arial" w:eastAsia="Arial" w:hAnsi="Arial"/>
          <w:sz w:val="13"/>
          <w:szCs w:val="13"/>
          <w:color w:val="auto"/>
        </w:rPr>
        <w:t xml:space="preserve">In July 2022, we and Pfizer filed a complaint for a declaratory judgment in the U.S. District Court for the District of Massachusetts, seeking a judgment of non-infringement by </w:t>
      </w:r>
      <w:r>
        <w:rPr>
          <w:rFonts w:ascii="Arial" w:cs="Arial" w:eastAsia="Arial" w:hAnsi="Arial"/>
          <w:sz w:val="13"/>
          <w:szCs w:val="13"/>
          <w:i w:val="1"/>
          <w:iCs w:val="1"/>
          <w:color w:val="auto"/>
        </w:rPr>
        <w:t>Comirnaty</w:t>
      </w:r>
      <w:r>
        <w:rPr>
          <w:rFonts w:ascii="Arial" w:cs="Arial" w:eastAsia="Arial" w:hAnsi="Arial"/>
          <w:sz w:val="13"/>
          <w:szCs w:val="13"/>
          <w:color w:val="auto"/>
        </w:rPr>
        <w:t xml:space="preserve"> of U.S. Patent Nos. 11,135,312; 11,149,278; and 11,241,493. In May 2023, the action in the U.S. District Court for the District of Massachusetts was transferred to the U.S. District Court for the Eastern District of Virginia, where CureVac filed counterclaims asserting infringement of six additional U.S. patents, U.S. Patent Nos. 10,760,070; 11,286,492; 11,345,920; 11,471,525; 11,576,966; and 11,596,686. In July 2023, CureVac filed amended counterclaims to assert an additional U.S. patent, U.S. Patent No. 11,667,910. In June 2024, CureVac voluntarily dismissed with prejudice its claims of infringement with respect to the ‘493, ‘525, and ‘966 patents. Currently, a three-week jury trial is scheduled to begin on March 3, 2025, and an one-week bench trial regarding the prosecution laches defense is scheduled to begin on April 15, 2025.</w:t>
      </w:r>
    </w:p>
    <w:p>
      <w:pPr>
        <w:ind w:left="380"/>
        <w:spacing w:after="0" w:line="220" w:lineRule="auto"/>
        <w:rPr>
          <w:sz w:val="20"/>
          <w:szCs w:val="20"/>
          <w:color w:val="auto"/>
        </w:rPr>
      </w:pPr>
      <w:r>
        <w:rPr>
          <w:rFonts w:ascii="Arial" w:cs="Arial" w:eastAsia="Arial" w:hAnsi="Arial"/>
          <w:sz w:val="13"/>
          <w:szCs w:val="13"/>
          <w:color w:val="005A64"/>
        </w:rPr>
        <w:t>United Kingdom</w:t>
      </w:r>
    </w:p>
    <w:p>
      <w:pPr>
        <w:ind w:left="380" w:right="2080"/>
        <w:spacing w:after="0" w:line="230" w:lineRule="auto"/>
        <w:rPr>
          <w:sz w:val="20"/>
          <w:szCs w:val="20"/>
          <w:color w:val="auto"/>
        </w:rPr>
      </w:pPr>
      <w:r>
        <w:rPr>
          <w:rFonts w:ascii="Arial" w:cs="Arial" w:eastAsia="Arial" w:hAnsi="Arial"/>
          <w:sz w:val="13"/>
          <w:szCs w:val="13"/>
          <w:color w:val="auto"/>
        </w:rPr>
        <w:t>In September 2022, we and Pfizer filed a declaration of non- infringement and revocation action against EP’122 and EP’668 in the Business and Property Courts of England and Wales, in the UK High Court of Justice, or the UK High Court. In October 2022, CureVac responded by filing a counterclaim alleging infringement of the EP’122 and EP’668 patents in the Business and Property Courts of England and Wales, in the UK High Court. On December 18, 2023, we and Pfizer amended our pleadings to add a claim for revocation and declarations of invalidity and non -infringement with respect to EP’755. The UK High Court held a trial on EP’668 and EP’755 between July 10, 2024 and July 24, 2024. On October 8, 2024, the UK High Court released a judgment finding both EP’668 and EP’755 invalid. The UK High Court held a hearing on November 15, 2024, during which it denied CureVac permission to appeal the judgment. On December 5, 2024, CureVac sought permission from the UK Appeals Court to appeal the judgment. With respect to EP’122, on October 25, 2024, CureVac agreed to a final and unappealable revocation of the UK designation of EP’122 and to discontinue its counterclaim for infringement.</w:t>
      </w:r>
    </w:p>
    <w:p>
      <w:pPr>
        <w:spacing w:after="0" w:line="1" w:lineRule="exact"/>
        <w:rPr>
          <w:sz w:val="20"/>
          <w:szCs w:val="20"/>
          <w:color w:val="auto"/>
        </w:rPr>
      </w:pPr>
    </w:p>
    <w:p>
      <w:pPr>
        <w:ind w:left="380" w:right="2100"/>
        <w:spacing w:after="0" w:line="217" w:lineRule="auto"/>
        <w:rPr>
          <w:sz w:val="20"/>
          <w:szCs w:val="20"/>
          <w:color w:val="auto"/>
        </w:rPr>
      </w:pPr>
      <w:r>
        <w:rPr>
          <w:rFonts w:ascii="Arial" w:cs="Arial" w:eastAsia="Arial" w:hAnsi="Arial"/>
          <w:sz w:val="13"/>
          <w:szCs w:val="13"/>
          <w:color w:val="auto"/>
        </w:rPr>
        <w:t>We believe we have strong defenses against the allegations claimed relative to each of the patents and utility models and intend to vigorously defend ourselves in the proceedings mentioned above. However, our analysis of CureVac’s claims is ongoing and complex, and we believe the ultimate outcomes remain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ectPr>
          <w:pgSz w:w="11900" w:h="16840" w:orient="portrait"/>
          <w:cols w:equalWidth="0" w:num="1">
            <w:col w:w="9020"/>
          </w:cols>
          <w:pgMar w:left="1440" w:top="560" w:right="1440" w:bottom="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183</w:t>
      </w:r>
    </w:p>
    <w:p>
      <w:pPr>
        <w:sectPr>
          <w:pgSz w:w="11900" w:h="16840" w:orient="portrait"/>
          <w:cols w:equalWidth="0" w:num="1">
            <w:col w:w="9020"/>
          </w:cols>
          <w:pgMar w:left="1440" w:top="560" w:right="1440" w:bottom="30" w:gutter="0" w:footer="0" w:header="0"/>
          <w:type w:val="continuous"/>
        </w:sectPr>
      </w:pPr>
    </w:p>
    <w:bookmarkStart w:id="127" w:name="page128"/>
    <w:bookmarkEnd w:id="127"/>
    <w:p>
      <w:pPr>
        <w:ind w:left="380"/>
        <w:spacing w:after="0"/>
        <w:rPr>
          <w:sz w:val="20"/>
          <w:szCs w:val="20"/>
          <w:color w:val="auto"/>
        </w:rPr>
      </w:pPr>
      <w:r>
        <w:rPr>
          <w:rFonts w:ascii="Arial" w:cs="Arial" w:eastAsia="Arial" w:hAnsi="Arial"/>
          <w:sz w:val="12"/>
          <w:szCs w:val="12"/>
          <w:b w:val="1"/>
          <w:bCs w:val="1"/>
          <w:color w:val="3C9673"/>
        </w:rPr>
        <w:t>Annual Report on Form 20-F for the year ended December 31, 2024</w:t>
      </w:r>
    </w:p>
    <w:p>
      <w:pPr>
        <w:spacing w:after="0" w:line="3" w:lineRule="exact"/>
        <w:rPr>
          <w:sz w:val="20"/>
          <w:szCs w:val="20"/>
          <w:color w:val="auto"/>
        </w:rPr>
      </w:pP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005A64"/>
        </w:rPr>
        <w:t>Moderna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0" w:lineRule="auto"/>
        <w:rPr>
          <w:sz w:val="20"/>
          <w:szCs w:val="20"/>
          <w:color w:val="auto"/>
        </w:rPr>
      </w:pPr>
      <w:r>
        <w:rPr>
          <w:rFonts w:ascii="Arial" w:cs="Arial" w:eastAsia="Arial" w:hAnsi="Arial"/>
          <w:sz w:val="13"/>
          <w:szCs w:val="13"/>
          <w:color w:val="005A64"/>
        </w:rPr>
        <w:t>Germany</w:t>
      </w:r>
    </w:p>
    <w:p>
      <w:pPr>
        <w:ind w:left="380"/>
        <w:spacing w:after="0" w:line="211" w:lineRule="auto"/>
        <w:rPr>
          <w:sz w:val="20"/>
          <w:szCs w:val="20"/>
          <w:color w:val="auto"/>
        </w:rPr>
      </w:pPr>
      <w:r>
        <w:rPr>
          <w:rFonts w:ascii="Arial" w:cs="Arial" w:eastAsia="Arial" w:hAnsi="Arial"/>
          <w:sz w:val="13"/>
          <w:szCs w:val="13"/>
          <w:b w:val="1"/>
          <w:bCs w:val="1"/>
          <w:color w:val="auto"/>
        </w:rPr>
        <w:t>Infringement Proceedings – EP’949 and EP’565</w:t>
      </w:r>
    </w:p>
    <w:p>
      <w:pPr>
        <w:spacing w:after="0" w:line="1"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 xml:space="preserve">In August 2022, Moderna filed a lawsuit against us and our wholly owned subsidiaries, BioNTech Manufacturing GmbH, BioNTech Europe GmbH and BioNTech Manufacturing Marburg GmbH, as well as Pfizer, Pfizer Manufacturing Belgium NV and Pfizer Ireland Pharmaceuticals in the Düsseldorf Regional Court alleging </w:t>
      </w:r>
      <w:r>
        <w:rPr>
          <w:rFonts w:ascii="Arial" w:cs="Arial" w:eastAsia="Arial" w:hAnsi="Arial"/>
          <w:sz w:val="13"/>
          <w:szCs w:val="13"/>
          <w:i w:val="1"/>
          <w:iCs w:val="1"/>
          <w:color w:val="auto"/>
        </w:rPr>
        <w:t>Comirnaty</w:t>
      </w:r>
      <w:r>
        <w:rPr>
          <w:rFonts w:ascii="Arial" w:cs="Arial" w:eastAsia="Arial" w:hAnsi="Arial"/>
          <w:sz w:val="13"/>
          <w:szCs w:val="13"/>
          <w:color w:val="auto"/>
        </w:rPr>
        <w:t>’s infringement of two European patents, 3590949B1, or EP’949, and 3718565B1, or EP’565. On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November 7, 2023, the Opposition Division of the EPO revoked EP’565 after a one -day oral hearing, and on December 7, 2023, it issued its written decision revoking EP’565. On December 8, 2023, the Opposition Division issued a preliminary opinion noting that it believes EP’949 is likely invalid. As a result of those developments in the EPO proceedings, the Düsseldorf Regional Court postponed its hearing on infringement with respect to EP’949, originally scheduled for December 12, 2023, to January 21, 2025. On February 7, 2024, Moderna appealed the Opposition Division’s revocation decision on EP’565, and the appeal is currently pending. On May 16, 2024, the Opposition Division decided that EP’949 is valid, in amended form, and issued its written decision regarding the same on July 8, 2024. BioNTech appealed this decision, and the appeal is currently pending. </w:t>
      </w:r>
      <w:r>
        <w:rPr>
          <w:rFonts w:ascii="Arial" w:cs="Arial" w:eastAsia="Arial" w:hAnsi="Arial"/>
          <w:sz w:val="13"/>
          <w:szCs w:val="13"/>
          <w:color w:val="005A64"/>
        </w:rPr>
        <w:t>United Kingdom</w:t>
      </w:r>
    </w:p>
    <w:p>
      <w:pPr>
        <w:spacing w:after="0" w:line="8"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 xml:space="preserve">In August 2022, Moderna filed a lawsuit asserting </w:t>
      </w:r>
      <w:r>
        <w:rPr>
          <w:rFonts w:ascii="Arial" w:cs="Arial" w:eastAsia="Arial" w:hAnsi="Arial"/>
          <w:sz w:val="13"/>
          <w:szCs w:val="13"/>
          <w:i w:val="1"/>
          <w:iCs w:val="1"/>
          <w:color w:val="auto"/>
        </w:rPr>
        <w:t>Comirnaty</w:t>
      </w:r>
      <w:r>
        <w:rPr>
          <w:rFonts w:ascii="Arial" w:cs="Arial" w:eastAsia="Arial" w:hAnsi="Arial"/>
          <w:sz w:val="13"/>
          <w:szCs w:val="13"/>
          <w:color w:val="auto"/>
        </w:rPr>
        <w:t>’s infringement of EP’949 and EP’565 against us and our wholly owned subsidiaries, BioNTech Manufacturing GmbH, BioNTech Europe GmbH and BioNTech Manufacturing Marburg GmbH, and Pfizer Limited, Pfizer Manufacturing Belgium NV and Pfizer Inc. in the Business and Property Courts of England and Wales, in the UK High Court. In September 2022, we and Pfizer filed a revocation action in the Business and Property Courts of England and Wales requesting revocation of EP’949 and EP’565.</w:t>
      </w:r>
    </w:p>
    <w:p>
      <w:pPr>
        <w:spacing w:after="0" w:line="4"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The UK High Court held a trial between April 22, 2024, and May 21, 2024. On July 2, 2024, the UK High Court released two judgments. The first judgment concerns the validity of EP’949 and EP’565. In this first judgment, the UK High Court found that EP’565 is invalid and therefore not infringed, while EP’949 is valid and infringed. The second judgment concerns whether Moderna’s October 2020 commitment not to “enforce [its] COVID-19 related patents against those making vaccines intended to combat the pandemic,” or the Patent Pledge, amounted to a consent under UK law to carry out any acts that would otherwise amount to patent infringement. With respect to this judgment, the UK High Court found that Moderna’s Patent Pledge amounted to consent to carry out activities that might otherwise infringe its patents prior to March 2022, but not after March 2022.</w:t>
      </w:r>
    </w:p>
    <w:p>
      <w:pPr>
        <w:spacing w:after="0" w:line="5"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 xml:space="preserve">The UK High Court held a hearing on September 25, 2024, during which it granted Pfizer and BioNTech permission to appeal its judgment regarding the validity of EP’949, and denied Moderna permission to appeal its judgment regarding validity of EP’565. On October 16, 2024, Moderna sought permission from the UK Appeals Court to appeal the EP'565 judgment. On November 11, 2024, the UK Appeals Court denied Moderna’s application to appeal; accordingly, the UK designation of EP'565 is finally revoked with no further opportunity to appeal in the UK. No party sought permission to appeal the UK High Court’s judgment on the patent pledge. </w:t>
      </w:r>
      <w:r>
        <w:rPr>
          <w:rFonts w:ascii="Arial" w:cs="Arial" w:eastAsia="Arial" w:hAnsi="Arial"/>
          <w:sz w:val="13"/>
          <w:szCs w:val="13"/>
          <w:color w:val="005A64"/>
        </w:rPr>
        <w:t>United States</w:t>
      </w:r>
    </w:p>
    <w:p>
      <w:pPr>
        <w:ind w:left="380"/>
        <w:spacing w:after="0" w:line="217" w:lineRule="auto"/>
        <w:rPr>
          <w:sz w:val="20"/>
          <w:szCs w:val="20"/>
          <w:color w:val="auto"/>
        </w:rPr>
      </w:pPr>
      <w:r>
        <w:rPr>
          <w:rFonts w:ascii="Arial" w:cs="Arial" w:eastAsia="Arial" w:hAnsi="Arial"/>
          <w:sz w:val="13"/>
          <w:szCs w:val="13"/>
          <w:b w:val="1"/>
          <w:bCs w:val="1"/>
          <w:color w:val="auto"/>
        </w:rPr>
        <w:t>U.S. District Court Litigation</w:t>
      </w:r>
    </w:p>
    <w:p>
      <w:pPr>
        <w:ind w:left="380" w:right="2100"/>
        <w:spacing w:after="0" w:line="210" w:lineRule="auto"/>
        <w:rPr>
          <w:sz w:val="20"/>
          <w:szCs w:val="20"/>
          <w:color w:val="auto"/>
        </w:rPr>
      </w:pPr>
      <w:r>
        <w:rPr>
          <w:rFonts w:ascii="Arial" w:cs="Arial" w:eastAsia="Arial" w:hAnsi="Arial"/>
          <w:sz w:val="13"/>
          <w:szCs w:val="13"/>
          <w:color w:val="auto"/>
        </w:rPr>
        <w:t xml:space="preserve">In August 2022, Moderna filed a lawsuit in the U.S. District Court for the District of Massachusetts against us and our wholly owned subsidiaries BioNTech Manufacturing GmbH and BioNTech US Inc. and Pfizer Inc. alleging </w:t>
      </w:r>
      <w:r>
        <w:rPr>
          <w:rFonts w:ascii="Arial" w:cs="Arial" w:eastAsia="Arial" w:hAnsi="Arial"/>
          <w:sz w:val="13"/>
          <w:szCs w:val="13"/>
          <w:i w:val="1"/>
          <w:iCs w:val="1"/>
          <w:color w:val="auto"/>
        </w:rPr>
        <w:t>Comirnaty</w:t>
      </w:r>
      <w:r>
        <w:rPr>
          <w:rFonts w:ascii="Arial" w:cs="Arial" w:eastAsia="Arial" w:hAnsi="Arial"/>
          <w:sz w:val="13"/>
          <w:szCs w:val="13"/>
          <w:color w:val="auto"/>
        </w:rPr>
        <w:t>’s infringement of U.S. Patent Nos. 10,898,574; 10,702,600 and 10,933,127 and seeking monetary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relief. On April 12, 2024, the U.S. District Court for the District of Massachusetts stayed the litigation pending resolution of the </w:t>
      </w:r>
      <w:r>
        <w:rPr>
          <w:rFonts w:ascii="Arial" w:cs="Arial" w:eastAsia="Arial" w:hAnsi="Arial"/>
          <w:sz w:val="13"/>
          <w:szCs w:val="13"/>
          <w:i w:val="1"/>
          <w:iCs w:val="1"/>
          <w:color w:val="auto"/>
        </w:rPr>
        <w:t>inter partes</w:t>
      </w:r>
      <w:r>
        <w:rPr>
          <w:rFonts w:ascii="Arial" w:cs="Arial" w:eastAsia="Arial" w:hAnsi="Arial"/>
          <w:sz w:val="13"/>
          <w:szCs w:val="13"/>
          <w:color w:val="auto"/>
        </w:rPr>
        <w:t xml:space="preserve"> review of U.S. Patent Nos. 10,702,600 and 10,933,127.</w:t>
      </w:r>
    </w:p>
    <w:p>
      <w:pPr>
        <w:ind w:left="380"/>
        <w:spacing w:after="0" w:line="215" w:lineRule="auto"/>
        <w:rPr>
          <w:sz w:val="20"/>
          <w:szCs w:val="20"/>
          <w:color w:val="auto"/>
        </w:rPr>
      </w:pPr>
      <w:r>
        <w:rPr>
          <w:rFonts w:ascii="Arial" w:cs="Arial" w:eastAsia="Arial" w:hAnsi="Arial"/>
          <w:sz w:val="13"/>
          <w:szCs w:val="13"/>
          <w:b w:val="1"/>
          <w:bCs w:val="1"/>
          <w:color w:val="auto"/>
        </w:rPr>
        <w:t>Inter Partes Review</w:t>
      </w:r>
    </w:p>
    <w:p>
      <w:pPr>
        <w:ind w:left="380" w:right="2180"/>
        <w:spacing w:after="0" w:line="220" w:lineRule="auto"/>
        <w:rPr>
          <w:sz w:val="20"/>
          <w:szCs w:val="20"/>
          <w:color w:val="auto"/>
        </w:rPr>
      </w:pPr>
      <w:r>
        <w:rPr>
          <w:rFonts w:ascii="Arial" w:cs="Arial" w:eastAsia="Arial" w:hAnsi="Arial"/>
          <w:sz w:val="13"/>
          <w:szCs w:val="13"/>
          <w:color w:val="auto"/>
        </w:rPr>
        <w:t xml:space="preserve">In August 2023, Pfizer and we filed petitions seeking inter partes review of U.S. Patent Nos. 10,702,600 and 10,933,127 before the United States Patent Trial and Appeal Board, or the PTAB. On March 6, 2024, the PTAB issued decisions instituting </w:t>
      </w:r>
      <w:r>
        <w:rPr>
          <w:rFonts w:ascii="Arial" w:cs="Arial" w:eastAsia="Arial" w:hAnsi="Arial"/>
          <w:sz w:val="13"/>
          <w:szCs w:val="13"/>
          <w:i w:val="1"/>
          <w:iCs w:val="1"/>
          <w:color w:val="auto"/>
        </w:rPr>
        <w:t>inter partes</w:t>
      </w:r>
      <w:r>
        <w:rPr>
          <w:rFonts w:ascii="Arial" w:cs="Arial" w:eastAsia="Arial" w:hAnsi="Arial"/>
          <w:sz w:val="13"/>
          <w:szCs w:val="13"/>
          <w:color w:val="auto"/>
        </w:rPr>
        <w:t xml:space="preserve"> review proceedings on all challenged claims of U.S. Patent Nos. 10,702,600 and 10,933,127. An oral hearing on the merits occurred on December 10, 2024, and a first-instance decision by the PTAB is expected by March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184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005A64"/>
        </w:rPr>
        <w:t>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color w:val="auto"/>
        </w:rPr>
        <w:t xml:space="preserve">In September 2022, Moderna filed a lawsuit against us and our wholly owned subsidiary BioNTech Manufacturing GmbH and Pfizer B.V., Pfizer Export B.V., C.P. Pharmaceuticals International C.V. and Pfizer Inc. in the District Court of The Hague alleging </w:t>
      </w:r>
      <w:r>
        <w:rPr>
          <w:rFonts w:ascii="Arial" w:cs="Arial" w:eastAsia="Arial" w:hAnsi="Arial"/>
          <w:sz w:val="13"/>
          <w:szCs w:val="13"/>
          <w:i w:val="1"/>
          <w:iCs w:val="1"/>
          <w:color w:val="auto"/>
        </w:rPr>
        <w:t>Comirnaty</w:t>
      </w:r>
      <w:r>
        <w:rPr>
          <w:rFonts w:ascii="Arial" w:cs="Arial" w:eastAsia="Arial" w:hAnsi="Arial"/>
          <w:sz w:val="13"/>
          <w:szCs w:val="13"/>
          <w:color w:val="auto"/>
        </w:rPr>
        <w:t>’s infringement of EP‘949 and EP’565. The District Court of the Hague held a hearing on October 6, 2023, on infringement and validity with respect to EP’949. On December 6, 2023, the Court found EP’949 to be invalid. On March 5, 2024, Moderna appealed this decision, and the appeal is pending. The EP’565 case has been stayed pending the outcome of Moderna’s appeal of the Opposition Division’s revocation of EP’565.</w:t>
      </w:r>
    </w:p>
    <w:p>
      <w:pPr>
        <w:ind w:left="380"/>
        <w:spacing w:after="0" w:line="217" w:lineRule="auto"/>
        <w:rPr>
          <w:sz w:val="20"/>
          <w:szCs w:val="20"/>
          <w:color w:val="auto"/>
        </w:rPr>
      </w:pPr>
      <w:r>
        <w:rPr>
          <w:rFonts w:ascii="Arial" w:cs="Arial" w:eastAsia="Arial" w:hAnsi="Arial"/>
          <w:sz w:val="13"/>
          <w:szCs w:val="13"/>
          <w:color w:val="005A64"/>
        </w:rPr>
        <w:t>Ireland</w:t>
      </w:r>
    </w:p>
    <w:p>
      <w:pPr>
        <w:ind w:left="380" w:right="2460"/>
        <w:spacing w:after="0" w:line="210" w:lineRule="auto"/>
        <w:rPr>
          <w:sz w:val="20"/>
          <w:szCs w:val="20"/>
          <w:color w:val="auto"/>
        </w:rPr>
      </w:pPr>
      <w:r>
        <w:rPr>
          <w:rFonts w:ascii="Arial" w:cs="Arial" w:eastAsia="Arial" w:hAnsi="Arial"/>
          <w:sz w:val="13"/>
          <w:szCs w:val="13"/>
          <w:color w:val="auto"/>
        </w:rPr>
        <w:t xml:space="preserve">In May 2023, Moderna filed a lawsuit against us and our wholly owned subsidiary BioNTech Manufacturing GmbH, Pfizer Inc., Pfizer Healthcare Ireland, Pfizer Ireland Pharmaceuticals, and C.P. Pharmaceuticals International C.V. alleging </w:t>
      </w:r>
      <w:r>
        <w:rPr>
          <w:rFonts w:ascii="Arial" w:cs="Arial" w:eastAsia="Arial" w:hAnsi="Arial"/>
          <w:sz w:val="13"/>
          <w:szCs w:val="13"/>
          <w:i w:val="1"/>
          <w:iCs w:val="1"/>
          <w:color w:val="auto"/>
        </w:rPr>
        <w:t>Comirnaty</w:t>
      </w:r>
      <w:r>
        <w:rPr>
          <w:rFonts w:ascii="Arial" w:cs="Arial" w:eastAsia="Arial" w:hAnsi="Arial"/>
          <w:sz w:val="13"/>
          <w:szCs w:val="13"/>
          <w:color w:val="auto"/>
        </w:rPr>
        <w:t>’s infringement of EP’949 and EP’565 in the High Court of Ireland. On February 26, 2024, the High Court of Ireland stayed the lawsuit pending the final determination of the EPO opposition proceedings for EP’949 and EP’565 (in each case including any appeals).</w:t>
      </w:r>
    </w:p>
    <w:p>
      <w:pPr>
        <w:ind w:left="380"/>
        <w:spacing w:after="0" w:line="215" w:lineRule="auto"/>
        <w:rPr>
          <w:sz w:val="20"/>
          <w:szCs w:val="20"/>
          <w:color w:val="auto"/>
        </w:rPr>
      </w:pPr>
      <w:r>
        <w:rPr>
          <w:rFonts w:ascii="Arial" w:cs="Arial" w:eastAsia="Arial" w:hAnsi="Arial"/>
          <w:sz w:val="13"/>
          <w:szCs w:val="13"/>
          <w:color w:val="005A64"/>
        </w:rPr>
        <w:t>Belgium</w:t>
      </w:r>
    </w:p>
    <w:p>
      <w:pPr>
        <w:ind w:left="380" w:right="2220"/>
        <w:spacing w:after="0"/>
        <w:rPr>
          <w:sz w:val="20"/>
          <w:szCs w:val="20"/>
          <w:color w:val="auto"/>
        </w:rPr>
      </w:pPr>
      <w:r>
        <w:rPr>
          <w:rFonts w:ascii="Arial" w:cs="Arial" w:eastAsia="Arial" w:hAnsi="Arial"/>
          <w:sz w:val="13"/>
          <w:szCs w:val="13"/>
          <w:color w:val="auto"/>
        </w:rPr>
        <w:t xml:space="preserve">In May 2023, Moderna filed a lawsuit against us, our wholly owned subsidiary BioNTech Manufacturing GmbH, Pfizer Inc. and Pfizer Manufacturing Belgium alleging </w:t>
      </w:r>
      <w:r>
        <w:rPr>
          <w:rFonts w:ascii="Arial" w:cs="Arial" w:eastAsia="Arial" w:hAnsi="Arial"/>
          <w:sz w:val="13"/>
          <w:szCs w:val="13"/>
          <w:i w:val="1"/>
          <w:iCs w:val="1"/>
          <w:color w:val="auto"/>
        </w:rPr>
        <w:t>Comirnaty</w:t>
      </w:r>
      <w:r>
        <w:rPr>
          <w:rFonts w:ascii="Arial" w:cs="Arial" w:eastAsia="Arial" w:hAnsi="Arial"/>
          <w:sz w:val="13"/>
          <w:szCs w:val="13"/>
          <w:color w:val="auto"/>
        </w:rPr>
        <w:t>’s infringement of EP’949 and EP’565 in the Brussels Dutch-speaking Enterprise Court. On May 29, 2024, the parties filed a joint request to stay the proceedings, which was entered by the Enterprise Court. All of the above proceedings are currently pending.</w:t>
      </w:r>
    </w:p>
    <w:p>
      <w:pPr>
        <w:spacing w:after="0" w:line="59"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We believe we have strong defenses against the allegations claimed relative to each of the patents and intend to vigorously defend ourselves in the proceedings mentioned above. However, our analysis of Moderna’s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ind w:left="380"/>
        <w:spacing w:after="0" w:line="217" w:lineRule="auto"/>
        <w:rPr>
          <w:sz w:val="20"/>
          <w:szCs w:val="20"/>
          <w:color w:val="auto"/>
        </w:rPr>
      </w:pPr>
      <w:r>
        <w:rPr>
          <w:rFonts w:ascii="Arial" w:cs="Arial" w:eastAsia="Arial" w:hAnsi="Arial"/>
          <w:sz w:val="13"/>
          <w:szCs w:val="13"/>
          <w:b w:val="1"/>
          <w:bCs w:val="1"/>
          <w:color w:val="005A64"/>
        </w:rPr>
        <w:t>Arbutus and Genevant Proceedings</w:t>
      </w:r>
    </w:p>
    <w:p>
      <w:pPr>
        <w:ind w:left="380" w:right="2140"/>
        <w:spacing w:after="0" w:line="210" w:lineRule="auto"/>
        <w:rPr>
          <w:sz w:val="20"/>
          <w:szCs w:val="20"/>
          <w:color w:val="auto"/>
        </w:rPr>
      </w:pPr>
      <w:r>
        <w:rPr>
          <w:rFonts w:ascii="Arial" w:cs="Arial" w:eastAsia="Arial" w:hAnsi="Arial"/>
          <w:sz w:val="13"/>
          <w:szCs w:val="13"/>
          <w:color w:val="auto"/>
        </w:rPr>
        <w:t xml:space="preserve">In April 2023, Arbutus and Genevant filed a lawsuit against Pfizer and us in the U.S. District Court for the District of New Jersey alleging that Pfizer and we have infringed the following patents owned by Arbutus: U.S. Patent Nos. 9,504,651; 8,492,359; 11,141,378; 11,298,320; and 11,318,098, through the use of Genevant’s lipid nanoparticle technology and methods for producing such lipids in </w:t>
      </w:r>
      <w:r>
        <w:rPr>
          <w:rFonts w:ascii="Arial" w:cs="Arial" w:eastAsia="Arial" w:hAnsi="Arial"/>
          <w:sz w:val="13"/>
          <w:szCs w:val="13"/>
          <w:i w:val="1"/>
          <w:iCs w:val="1"/>
          <w:color w:val="auto"/>
        </w:rPr>
        <w:t>Comirnaty</w:t>
      </w:r>
      <w:r>
        <w:rPr>
          <w:rFonts w:ascii="Arial" w:cs="Arial" w:eastAsia="Arial" w:hAnsi="Arial"/>
          <w:sz w:val="13"/>
          <w:szCs w:val="13"/>
          <w:color w:val="auto"/>
        </w:rPr>
        <w:t>, and seeking monetary relief. This proceeding is currently pending.</w:t>
      </w:r>
    </w:p>
    <w:p>
      <w:pPr>
        <w:spacing w:after="0" w:line="3" w:lineRule="exact"/>
        <w:rPr>
          <w:sz w:val="20"/>
          <w:szCs w:val="20"/>
          <w:color w:val="auto"/>
        </w:rPr>
      </w:pPr>
    </w:p>
    <w:p>
      <w:pPr>
        <w:ind w:left="380" w:right="2100"/>
        <w:spacing w:after="0" w:line="234" w:lineRule="auto"/>
        <w:rPr>
          <w:sz w:val="20"/>
          <w:szCs w:val="20"/>
          <w:color w:val="auto"/>
        </w:rPr>
      </w:pPr>
      <w:r>
        <w:rPr>
          <w:rFonts w:ascii="Arial" w:cs="Arial" w:eastAsia="Arial" w:hAnsi="Arial"/>
          <w:sz w:val="13"/>
          <w:szCs w:val="13"/>
          <w:color w:val="auto"/>
        </w:rPr>
        <w:t>We believe we have strong defenses against the allegations claimed relative to each of the patents and intend to vigorously defend ourselves in the lawsuit mentioned above. However, our analysis of Arbutus and Genevant’s</w:t>
      </w:r>
    </w:p>
    <w:p>
      <w:pPr>
        <w:sectPr>
          <w:pgSz w:w="11900" w:h="16840" w:orient="portrait"/>
          <w:cols w:equalWidth="0" w:num="1">
            <w:col w:w="9020"/>
          </w:cols>
          <w:pgMar w:left="1440" w:top="559" w:right="1440" w:bottom="37" w:gutter="0" w:footer="0" w:header="0"/>
        </w:sectPr>
      </w:pPr>
    </w:p>
    <w:bookmarkStart w:id="128" w:name="page129"/>
    <w:bookmarkEnd w:id="128"/>
    <w:p>
      <w:pPr>
        <w:ind w:left="380" w:right="2160"/>
        <w:spacing w:after="0" w:line="214" w:lineRule="auto"/>
        <w:rPr>
          <w:sz w:val="20"/>
          <w:szCs w:val="20"/>
          <w:color w:val="auto"/>
        </w:rPr>
      </w:pPr>
      <w:r>
        <w:rPr>
          <w:rFonts w:ascii="Arial" w:cs="Arial" w:eastAsia="Arial" w:hAnsi="Arial"/>
          <w:sz w:val="13"/>
          <w:szCs w:val="13"/>
          <w:color w:val="auto"/>
        </w:rPr>
        <w:t>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ind w:left="380"/>
        <w:spacing w:after="0" w:line="215" w:lineRule="auto"/>
        <w:rPr>
          <w:sz w:val="20"/>
          <w:szCs w:val="20"/>
          <w:color w:val="auto"/>
        </w:rPr>
      </w:pPr>
      <w:r>
        <w:rPr>
          <w:rFonts w:ascii="Arial" w:cs="Arial" w:eastAsia="Arial" w:hAnsi="Arial"/>
          <w:sz w:val="13"/>
          <w:szCs w:val="13"/>
          <w:b w:val="1"/>
          <w:bCs w:val="1"/>
          <w:color w:val="005A64"/>
        </w:rPr>
        <w:t>GlaxoSmithKline Proceedings</w:t>
      </w:r>
    </w:p>
    <w:p>
      <w:pPr>
        <w:ind w:left="380" w:right="2460"/>
        <w:spacing w:after="0" w:line="232" w:lineRule="auto"/>
        <w:rPr>
          <w:sz w:val="20"/>
          <w:szCs w:val="20"/>
          <w:color w:val="auto"/>
        </w:rPr>
      </w:pPr>
      <w:r>
        <w:rPr>
          <w:rFonts w:ascii="Arial" w:cs="Arial" w:eastAsia="Arial" w:hAnsi="Arial"/>
          <w:sz w:val="13"/>
          <w:szCs w:val="13"/>
          <w:color w:val="auto"/>
        </w:rPr>
        <w:t>In April 2024, GSK filed a lawsuit against Pfizer, Pharmacia &amp; Upjohn Co. LLC, BioNTech SE, BioNTech Manufacturing GmbH, and BioNTech US Inc. in the United States District Court for the District of Delaware</w:t>
      </w:r>
    </w:p>
    <w:p>
      <w:pPr>
        <w:ind w:left="380" w:right="2140"/>
        <w:spacing w:after="0" w:line="212" w:lineRule="auto"/>
        <w:rPr>
          <w:sz w:val="20"/>
          <w:szCs w:val="20"/>
          <w:color w:val="auto"/>
        </w:rPr>
      </w:pPr>
      <w:r>
        <w:rPr>
          <w:rFonts w:ascii="Arial" w:cs="Arial" w:eastAsia="Arial" w:hAnsi="Arial"/>
          <w:sz w:val="13"/>
          <w:szCs w:val="13"/>
          <w:color w:val="auto"/>
        </w:rPr>
        <w:t>alleging that the cationic lipid used in COMIRNATY</w:t>
      </w:r>
      <w:r>
        <w:rPr>
          <w:rFonts w:ascii="Arial" w:cs="Arial" w:eastAsia="Arial" w:hAnsi="Arial"/>
          <w:sz w:val="18"/>
          <w:szCs w:val="18"/>
          <w:color w:val="auto"/>
          <w:vertAlign w:val="superscript"/>
        </w:rPr>
        <w:t>®</w:t>
      </w:r>
      <w:r>
        <w:rPr>
          <w:rFonts w:ascii="Arial" w:cs="Arial" w:eastAsia="Arial" w:hAnsi="Arial"/>
          <w:sz w:val="13"/>
          <w:szCs w:val="13"/>
          <w:color w:val="auto"/>
        </w:rPr>
        <w:t xml:space="preserve"> infringes U.S. Patent Nos. 11,638,693; 11,638,694; 11,666,534; 11,766,401; and 11,786,467; and seeking monetary relief. On August 14, 2024, GSK filed an amended complaint to assert infringement of three additional patents, U.S. Patent Nos. 11,759,422; 11,655,475; and 11,851,660. This proceeding is currently 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185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3" w:lineRule="auto"/>
        <w:rPr>
          <w:sz w:val="20"/>
          <w:szCs w:val="20"/>
          <w:color w:val="auto"/>
        </w:rPr>
      </w:pPr>
      <w:r>
        <w:rPr>
          <w:rFonts w:ascii="Arial" w:cs="Arial" w:eastAsia="Arial" w:hAnsi="Arial"/>
          <w:sz w:val="13"/>
          <w:szCs w:val="13"/>
          <w:color w:val="auto"/>
        </w:rPr>
        <w:t>We believe we have strong defenses against the allegations claimed relative to each of the patents and intend to vigorously defend ourselves in the lawsuit mentioned above. However, our analysis of GSK’s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-582930</wp:posOffset>
            </wp:positionV>
            <wp:extent cx="523113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5" w:lineRule="auto"/>
        <w:rPr>
          <w:sz w:val="20"/>
          <w:szCs w:val="20"/>
          <w:color w:val="auto"/>
        </w:rPr>
      </w:pPr>
      <w:r>
        <w:rPr>
          <w:rFonts w:ascii="Arial" w:cs="Arial" w:eastAsia="Arial" w:hAnsi="Arial"/>
          <w:sz w:val="13"/>
          <w:szCs w:val="13"/>
          <w:b w:val="1"/>
          <w:bCs w:val="1"/>
          <w:color w:val="005A64"/>
        </w:rPr>
        <w:t>Ladewig Proceedings</w:t>
      </w:r>
    </w:p>
    <w:p>
      <w:pPr>
        <w:spacing w:after="0" w:line="1"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In January 2024, we and certain of our officers and directors were named as defendants in a securities class action complaint captioned Ladewig v. BioNTech SE filed in the U.S. District Court for the Central District of California brought on behalf of a putative class of investors who purchased our securities from March 30, 2022 through October 13, 2023. Plaintiffs allege that we violated Sections 10(b) and 20(a) of the Exchange Act by stating that we were “well positioned” to remain a “market leader” in vaccines for the prevention of COVID-19 and by purportedly overstating demand for Comirnaty. Plaintiffs further allege that we failed to adapt our inventory to reflect the emergence of new COVID variants. On July 15, 2024, the case was transferred to the U.S. District Court for the Southern District of New York.</w:t>
      </w:r>
    </w:p>
    <w:p>
      <w:pPr>
        <w:spacing w:after="0" w:line="5"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We believe we have strong defenses against the allegations claimed and intend to vigorously defend ourselves in the lawsuit mentioned above. We cannot reasonably estimate the maximum potential exposure or the range of possible loss for this matter.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4"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For additional information about events and developments since the end of the calendar year ended December 31, 2024, please see Note 22 to our consolidated financial statements included elsewhere in this Annual Report.</w:t>
      </w:r>
    </w:p>
    <w:p>
      <w:pPr>
        <w:ind w:left="380"/>
        <w:spacing w:after="0" w:line="212" w:lineRule="auto"/>
        <w:rPr>
          <w:sz w:val="20"/>
          <w:szCs w:val="20"/>
          <w:color w:val="auto"/>
        </w:rPr>
      </w:pPr>
      <w:r>
        <w:rPr>
          <w:rFonts w:ascii="Arial" w:cs="Arial" w:eastAsia="Arial" w:hAnsi="Arial"/>
          <w:sz w:val="13"/>
          <w:szCs w:val="13"/>
          <w:b w:val="1"/>
          <w:bCs w:val="1"/>
          <w:color w:val="005A64"/>
        </w:rPr>
        <w:t>C. Organizational Structure</w:t>
      </w:r>
    </w:p>
    <w:p>
      <w:pPr>
        <w:ind w:left="380"/>
        <w:spacing w:after="0" w:line="211" w:lineRule="auto"/>
        <w:rPr>
          <w:sz w:val="20"/>
          <w:szCs w:val="20"/>
          <w:color w:val="auto"/>
        </w:rPr>
      </w:pPr>
      <w:r>
        <w:rPr>
          <w:rFonts w:ascii="Arial" w:cs="Arial" w:eastAsia="Arial" w:hAnsi="Arial"/>
          <w:sz w:val="13"/>
          <w:szCs w:val="13"/>
          <w:color w:val="auto"/>
        </w:rPr>
        <w:t>See Item 18.</w:t>
      </w:r>
    </w:p>
    <w:p>
      <w:pPr>
        <w:ind w:left="380"/>
        <w:spacing w:after="0" w:line="211" w:lineRule="auto"/>
        <w:rPr>
          <w:sz w:val="20"/>
          <w:szCs w:val="20"/>
          <w:color w:val="auto"/>
        </w:rPr>
      </w:pPr>
      <w:r>
        <w:rPr>
          <w:rFonts w:ascii="Arial" w:cs="Arial" w:eastAsia="Arial" w:hAnsi="Arial"/>
          <w:sz w:val="13"/>
          <w:szCs w:val="13"/>
          <w:b w:val="1"/>
          <w:bCs w:val="1"/>
          <w:color w:val="005A64"/>
        </w:rPr>
        <w:t>D. Property, Plant and Equipment</w:t>
      </w:r>
    </w:p>
    <w:p>
      <w:pPr>
        <w:ind w:left="380" w:right="2180"/>
        <w:spacing w:after="0" w:line="210" w:lineRule="auto"/>
        <w:rPr>
          <w:sz w:val="20"/>
          <w:szCs w:val="20"/>
          <w:color w:val="auto"/>
        </w:rPr>
      </w:pPr>
      <w:r>
        <w:rPr>
          <w:rFonts w:ascii="Arial" w:cs="Arial" w:eastAsia="Arial" w:hAnsi="Arial"/>
          <w:sz w:val="13"/>
          <w:szCs w:val="13"/>
          <w:color w:val="auto"/>
        </w:rPr>
        <w:t>The following is a summary of our principal owned and leased real estate. We also lease other properties in the ordinary course of business as part of our global operations.</w:t>
      </w:r>
    </w:p>
    <w:p>
      <w:pPr>
        <w:ind w:left="380"/>
        <w:spacing w:after="0" w:line="212" w:lineRule="auto"/>
        <w:rPr>
          <w:sz w:val="20"/>
          <w:szCs w:val="20"/>
          <w:color w:val="auto"/>
        </w:rPr>
      </w:pPr>
      <w:r>
        <w:rPr>
          <w:rFonts w:ascii="Arial" w:cs="Arial" w:eastAsia="Arial" w:hAnsi="Arial"/>
          <w:sz w:val="13"/>
          <w:szCs w:val="13"/>
          <w:color w:val="005A64"/>
        </w:rPr>
        <w:t>Germany:</w:t>
      </w:r>
    </w:p>
    <w:p>
      <w:pPr>
        <w:ind w:left="380"/>
        <w:spacing w:after="0" w:line="211" w:lineRule="auto"/>
        <w:rPr>
          <w:sz w:val="20"/>
          <w:szCs w:val="20"/>
          <w:color w:val="auto"/>
        </w:rPr>
      </w:pPr>
      <w:r>
        <w:rPr>
          <w:rFonts w:ascii="Arial" w:cs="Arial" w:eastAsia="Arial" w:hAnsi="Arial"/>
          <w:sz w:val="13"/>
          <w:szCs w:val="13"/>
          <w:b w:val="1"/>
          <w:bCs w:val="1"/>
          <w:color w:val="auto"/>
        </w:rPr>
        <w:t>Our headquarters are located in Mainz</w:t>
      </w:r>
      <w:r>
        <w:rPr>
          <w:rFonts w:ascii="Arial" w:cs="Arial" w:eastAsia="Arial" w:hAnsi="Arial"/>
          <w:sz w:val="13"/>
          <w:szCs w:val="13"/>
          <w:color w:val="auto"/>
        </w:rPr>
        <w:t>, where we principally occupy:</w:t>
      </w:r>
    </w:p>
    <w:p>
      <w:pPr>
        <w:spacing w:after="0" w:line="1" w:lineRule="exact"/>
        <w:rPr>
          <w:sz w:val="20"/>
          <w:szCs w:val="20"/>
          <w:color w:val="auto"/>
        </w:rPr>
      </w:pPr>
    </w:p>
    <w:p>
      <w:pPr>
        <w:jc w:val="both"/>
        <w:ind w:left="380" w:right="2580"/>
        <w:spacing w:after="0" w:line="210" w:lineRule="auto"/>
        <w:rPr>
          <w:sz w:val="20"/>
          <w:szCs w:val="20"/>
          <w:color w:val="auto"/>
        </w:rPr>
      </w:pPr>
      <w:r>
        <w:rPr>
          <w:rFonts w:ascii="Arial" w:cs="Arial" w:eastAsia="Arial" w:hAnsi="Arial"/>
          <w:sz w:val="13"/>
          <w:szCs w:val="13"/>
          <w:color w:val="auto"/>
        </w:rPr>
        <w:t>•Approximately 10,780 square meters of laboratory, GMP manufacturing, storage and office space at An der Goldgrube 12, 55131. We have owned the building and the land on which it stands since January 1, 2023.</w:t>
      </w:r>
    </w:p>
    <w:p>
      <w:pPr>
        <w:spacing w:after="0" w:line="2"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•Approximately 4,000 square meters of office space at Freiligrathstraße 6, 55131 under a lease that has been extended until December 31, 2027.</w:t>
      </w:r>
    </w:p>
    <w:p>
      <w:pPr>
        <w:spacing w:after="0" w:line="1" w:lineRule="exact"/>
        <w:rPr>
          <w:sz w:val="20"/>
          <w:szCs w:val="20"/>
          <w:color w:val="auto"/>
        </w:rPr>
      </w:pPr>
    </w:p>
    <w:p>
      <w:pPr>
        <w:ind w:left="380" w:right="2500"/>
        <w:spacing w:after="0" w:line="210" w:lineRule="auto"/>
        <w:rPr>
          <w:sz w:val="20"/>
          <w:szCs w:val="20"/>
          <w:color w:val="auto"/>
        </w:rPr>
      </w:pPr>
      <w:r>
        <w:rPr>
          <w:rFonts w:ascii="Arial" w:cs="Arial" w:eastAsia="Arial" w:hAnsi="Arial"/>
          <w:sz w:val="13"/>
          <w:szCs w:val="13"/>
          <w:color w:val="auto"/>
        </w:rPr>
        <w:t>•Approximately 8,110 square meters of office and laboratory container space, including ancillary space, at Freiligrathstraße 6, 55131. The lease of the office container space expires on June 30, 2027. We own the laboratory container space.</w:t>
      </w:r>
    </w:p>
    <w:p>
      <w:pPr>
        <w:spacing w:after="0" w:line="2" w:lineRule="exact"/>
        <w:rPr>
          <w:sz w:val="20"/>
          <w:szCs w:val="20"/>
          <w:color w:val="auto"/>
        </w:rPr>
      </w:pPr>
    </w:p>
    <w:p>
      <w:pPr>
        <w:ind w:left="380" w:right="2520"/>
        <w:spacing w:after="0" w:line="210" w:lineRule="auto"/>
        <w:rPr>
          <w:sz w:val="20"/>
          <w:szCs w:val="20"/>
          <w:color w:val="auto"/>
        </w:rPr>
      </w:pPr>
      <w:r>
        <w:rPr>
          <w:rFonts w:ascii="Arial" w:cs="Arial" w:eastAsia="Arial" w:hAnsi="Arial"/>
          <w:sz w:val="13"/>
          <w:szCs w:val="13"/>
          <w:color w:val="auto"/>
        </w:rPr>
        <w:t>•Approximately 1,000 square meters of office and GMP manufacturing space under a lease for part of the building located at Kupferbergterrasse 15, 55161 that expires on March 31, 2027.</w:t>
      </w:r>
    </w:p>
    <w:p>
      <w:pPr>
        <w:spacing w:after="0" w:line="1" w:lineRule="exact"/>
        <w:rPr>
          <w:sz w:val="20"/>
          <w:szCs w:val="20"/>
          <w:color w:val="auto"/>
        </w:rPr>
      </w:pPr>
    </w:p>
    <w:p>
      <w:pPr>
        <w:ind w:left="380" w:right="2500"/>
        <w:spacing w:after="0" w:line="234" w:lineRule="auto"/>
        <w:rPr>
          <w:sz w:val="20"/>
          <w:szCs w:val="20"/>
          <w:color w:val="auto"/>
        </w:rPr>
      </w:pPr>
      <w:r>
        <w:rPr>
          <w:rFonts w:ascii="Arial" w:cs="Arial" w:eastAsia="Arial" w:hAnsi="Arial"/>
          <w:sz w:val="13"/>
          <w:szCs w:val="13"/>
          <w:color w:val="auto"/>
        </w:rPr>
        <w:t>•A 3,950-square-meter laboratory and office building at Adam- Opel-Strasse 10, 55129, which we own. On the approximately 13,000-square-meter property, there is also an undeveloped area for a planned</w:t>
      </w:r>
    </w:p>
    <w:p>
      <w:pPr>
        <w:sectPr>
          <w:pgSz w:w="11900" w:h="16840" w:orient="portrait"/>
          <w:cols w:equalWidth="0" w:num="1">
            <w:col w:w="9020"/>
          </w:cols>
          <w:pgMar w:left="1440" w:top="560" w:right="1440" w:bottom="1440" w:gutter="0" w:footer="0" w:header="0"/>
        </w:sectPr>
      </w:pPr>
    </w:p>
    <w:bookmarkStart w:id="129" w:name="page130"/>
    <w:bookmarkEnd w:id="129"/>
    <w:p>
      <w:pPr>
        <w:ind w:left="380"/>
        <w:spacing w:after="0"/>
        <w:rPr>
          <w:sz w:val="20"/>
          <w:szCs w:val="20"/>
          <w:color w:val="auto"/>
        </w:rPr>
      </w:pPr>
      <w:r>
        <w:rPr>
          <w:rFonts w:ascii="Arial" w:cs="Arial" w:eastAsia="Arial" w:hAnsi="Arial"/>
          <w:sz w:val="13"/>
          <w:szCs w:val="13"/>
          <w:color w:val="auto"/>
        </w:rPr>
        <w:t>186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580"/>
        <w:spacing w:after="0" w:line="220" w:lineRule="auto"/>
        <w:rPr>
          <w:sz w:val="20"/>
          <w:szCs w:val="20"/>
          <w:color w:val="auto"/>
        </w:rPr>
      </w:pPr>
      <w:r>
        <w:rPr>
          <w:rFonts w:ascii="Arial" w:cs="Arial" w:eastAsia="Arial" w:hAnsi="Arial"/>
          <w:sz w:val="13"/>
          <w:szCs w:val="13"/>
          <w:color w:val="auto"/>
        </w:rPr>
        <w:t>laboratory and office building with a size of up to 12,000 square meters. Currently, a 2,125-square-meter office containers are located in this area. The containers are rented until the end of December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540"/>
        <w:spacing w:after="0" w:line="210" w:lineRule="auto"/>
        <w:rPr>
          <w:sz w:val="20"/>
          <w:szCs w:val="20"/>
          <w:color w:val="auto"/>
        </w:rPr>
      </w:pPr>
      <w:r>
        <w:rPr>
          <w:rFonts w:ascii="Arial" w:cs="Arial" w:eastAsia="Arial" w:hAnsi="Arial"/>
          <w:sz w:val="13"/>
          <w:szCs w:val="13"/>
          <w:color w:val="auto"/>
        </w:rPr>
        <w:t>•An office building, “Haus 4,” at Hechtsheimer Straße 2c, with approximately 7,000 square meters of total space. The building is a freehold asset.</w:t>
      </w:r>
    </w:p>
    <w:p>
      <w:pPr>
        <w:spacing w:after="0" w:line="1" w:lineRule="exact"/>
        <w:rPr>
          <w:sz w:val="20"/>
          <w:szCs w:val="20"/>
          <w:color w:val="auto"/>
        </w:rPr>
      </w:pPr>
    </w:p>
    <w:p>
      <w:pPr>
        <w:ind w:left="380" w:right="2860"/>
        <w:spacing w:after="0" w:line="210" w:lineRule="auto"/>
        <w:rPr>
          <w:sz w:val="20"/>
          <w:szCs w:val="20"/>
          <w:color w:val="auto"/>
        </w:rPr>
      </w:pPr>
      <w:r>
        <w:rPr>
          <w:rFonts w:ascii="Arial" w:cs="Arial" w:eastAsia="Arial" w:hAnsi="Arial"/>
          <w:sz w:val="13"/>
          <w:szCs w:val="13"/>
          <w:color w:val="auto"/>
        </w:rPr>
        <w:t>•Approximately 42,100 square meters of office space under a lease for two of three building parts at Große Bleiche 54-56, 55131, under a lease that expires on December 31, 2029. We intend to expand our capacity in Mainz as follows:</w:t>
      </w:r>
    </w:p>
    <w:p>
      <w:pPr>
        <w:spacing w:after="0" w:line="2" w:lineRule="exact"/>
        <w:rPr>
          <w:sz w:val="20"/>
          <w:szCs w:val="20"/>
          <w:color w:val="auto"/>
        </w:rPr>
      </w:pPr>
    </w:p>
    <w:p>
      <w:pPr>
        <w:ind w:left="380" w:right="2640"/>
        <w:spacing w:after="0" w:line="210" w:lineRule="auto"/>
        <w:rPr>
          <w:sz w:val="20"/>
          <w:szCs w:val="20"/>
          <w:color w:val="auto"/>
        </w:rPr>
      </w:pPr>
      <w:r>
        <w:rPr>
          <w:rFonts w:ascii="Arial" w:cs="Arial" w:eastAsia="Arial" w:hAnsi="Arial"/>
          <w:sz w:val="13"/>
          <w:szCs w:val="13"/>
          <w:color w:val="auto"/>
        </w:rPr>
        <w:t>•In January 2022, we commenced construction of a four-story building that we will own at An der Goldgrube 10. We have planned laboratory space for research and development, offices, storage facilities, a conference center and cafeteria. As a result, we will have an additional 2,400 square meters of laboratory space and 4,050 square meters of office space. Completion is planned for mid-2025. •We also own a plot of land of approximately 8,750 square meters at Hechtsheimer Straße 2b, 55131, where construction for a GMP manufacturing facility of approximately 18,000 square meters in total commenced in 2021. Completion is planned for 2025. The start of operations is planned for 2026.</w:t>
      </w:r>
    </w:p>
    <w:p>
      <w:pPr>
        <w:ind w:left="380"/>
        <w:spacing w:after="0" w:line="217" w:lineRule="auto"/>
        <w:rPr>
          <w:sz w:val="20"/>
          <w:szCs w:val="20"/>
          <w:color w:val="auto"/>
        </w:rPr>
      </w:pPr>
      <w:r>
        <w:rPr>
          <w:rFonts w:ascii="Arial" w:cs="Arial" w:eastAsia="Arial" w:hAnsi="Arial"/>
          <w:sz w:val="13"/>
          <w:szCs w:val="13"/>
          <w:b w:val="1"/>
          <w:bCs w:val="1"/>
          <w:color w:val="auto"/>
        </w:rPr>
        <w:t>In Idar-Oberstein:</w:t>
      </w:r>
    </w:p>
    <w:p>
      <w:pPr>
        <w:ind w:left="380" w:right="2600"/>
        <w:spacing w:after="0" w:line="210" w:lineRule="auto"/>
        <w:rPr>
          <w:sz w:val="20"/>
          <w:szCs w:val="20"/>
          <w:color w:val="auto"/>
        </w:rPr>
      </w:pPr>
      <w:r>
        <w:rPr>
          <w:rFonts w:ascii="Arial" w:cs="Arial" w:eastAsia="Arial" w:hAnsi="Arial"/>
          <w:sz w:val="13"/>
          <w:szCs w:val="13"/>
          <w:color w:val="auto"/>
        </w:rPr>
        <w:t>•The IMFS facility (consisting of buildings A to E and J) has a total area of approximately 13,470 square meters. This includes approximately 2,660 square meters of storage space, approximately 1,270 square meters of development and QC laboratory space, approximately 1,650 square meters of clean rooms, and approximately 2,540 square meters of office space. We own this facility, including the GMP-certified manufacturing suites.</w:t>
      </w:r>
    </w:p>
    <w:p>
      <w:pPr>
        <w:spacing w:after="0" w:line="3" w:lineRule="exact"/>
        <w:rPr>
          <w:sz w:val="20"/>
          <w:szCs w:val="20"/>
          <w:color w:val="auto"/>
        </w:rPr>
      </w:pPr>
    </w:p>
    <w:p>
      <w:pPr>
        <w:ind w:left="380" w:right="3080"/>
        <w:spacing w:after="0" w:line="210" w:lineRule="auto"/>
        <w:rPr>
          <w:sz w:val="20"/>
          <w:szCs w:val="20"/>
          <w:color w:val="auto"/>
        </w:rPr>
      </w:pPr>
      <w:r>
        <w:rPr>
          <w:rFonts w:ascii="Arial" w:cs="Arial" w:eastAsia="Arial" w:hAnsi="Arial"/>
          <w:sz w:val="13"/>
          <w:szCs w:val="13"/>
          <w:color w:val="auto"/>
        </w:rPr>
        <w:t>◦We occupy approximately 575 square meters of this space, which is used primarily for storage, under a lease that has an initial expiry date of October 1, 2021, but which we have extended until September 30, 2026. The warehouse is in Tiefenstein.</w:t>
      </w:r>
    </w:p>
    <w:p>
      <w:pPr>
        <w:spacing w:after="0" w:line="2" w:lineRule="exact"/>
        <w:rPr>
          <w:sz w:val="20"/>
          <w:szCs w:val="20"/>
          <w:color w:val="auto"/>
        </w:rPr>
      </w:pPr>
    </w:p>
    <w:p>
      <w:pPr>
        <w:jc w:val="both"/>
        <w:ind w:left="380" w:right="3140"/>
        <w:spacing w:after="0" w:line="210" w:lineRule="auto"/>
        <w:rPr>
          <w:sz w:val="20"/>
          <w:szCs w:val="20"/>
          <w:color w:val="auto"/>
        </w:rPr>
      </w:pPr>
      <w:r>
        <w:rPr>
          <w:rFonts w:ascii="Arial" w:cs="Arial" w:eastAsia="Arial" w:hAnsi="Arial"/>
          <w:sz w:val="13"/>
          <w:szCs w:val="13"/>
          <w:color w:val="auto"/>
        </w:rPr>
        <w:t>◦We have been renting the warehouse for GMP products since April 2022. The warehouse has an area of 1,156 square meters. The term is 5 years with the option to extend.</w:t>
      </w:r>
    </w:p>
    <w:p>
      <w:pPr>
        <w:spacing w:after="0" w:line="1" w:lineRule="exact"/>
        <w:rPr>
          <w:sz w:val="20"/>
          <w:szCs w:val="20"/>
          <w:color w:val="auto"/>
        </w:rPr>
      </w:pPr>
    </w:p>
    <w:p>
      <w:pPr>
        <w:jc w:val="both"/>
        <w:ind w:left="380" w:right="3140"/>
        <w:spacing w:after="0" w:line="210" w:lineRule="auto"/>
        <w:rPr>
          <w:sz w:val="20"/>
          <w:szCs w:val="20"/>
          <w:color w:val="auto"/>
        </w:rPr>
      </w:pPr>
      <w:r>
        <w:rPr>
          <w:rFonts w:ascii="Arial" w:cs="Arial" w:eastAsia="Arial" w:hAnsi="Arial"/>
          <w:sz w:val="13"/>
          <w:szCs w:val="13"/>
          <w:color w:val="auto"/>
        </w:rPr>
        <w:t>◦Rental of a plot of land with 2,916 square meters. A container facility was built on it. The office container facility has a size of approximately 1,474 square meters. Both contracts currently run until June 2025. We intend to extend both contracts until December 2029.</w:t>
      </w:r>
    </w:p>
    <w:p>
      <w:pPr>
        <w:ind w:left="380"/>
        <w:spacing w:after="0" w:line="213" w:lineRule="auto"/>
        <w:rPr>
          <w:sz w:val="20"/>
          <w:szCs w:val="20"/>
          <w:color w:val="auto"/>
        </w:rPr>
      </w:pPr>
      <w:r>
        <w:rPr>
          <w:rFonts w:ascii="Arial" w:cs="Arial" w:eastAsia="Arial" w:hAnsi="Arial"/>
          <w:sz w:val="13"/>
          <w:szCs w:val="13"/>
          <w:b w:val="1"/>
          <w:bCs w:val="1"/>
          <w:color w:val="auto"/>
        </w:rPr>
        <w:t>In Marburg:</w:t>
      </w:r>
    </w:p>
    <w:p>
      <w:pPr>
        <w:ind w:left="380"/>
        <w:spacing w:after="0" w:line="211" w:lineRule="auto"/>
        <w:rPr>
          <w:sz w:val="20"/>
          <w:szCs w:val="20"/>
          <w:color w:val="auto"/>
        </w:rPr>
      </w:pPr>
      <w:r>
        <w:rPr>
          <w:rFonts w:ascii="Arial" w:cs="Arial" w:eastAsia="Arial" w:hAnsi="Arial"/>
          <w:sz w:val="13"/>
          <w:szCs w:val="13"/>
          <w:i w:val="1"/>
          <w:iCs w:val="1"/>
          <w:color w:val="auto"/>
        </w:rPr>
        <w:t>Behringwerke</w:t>
      </w:r>
    </w:p>
    <w:p>
      <w:pPr>
        <w:ind w:left="380" w:right="2540"/>
        <w:spacing w:after="0" w:line="210" w:lineRule="auto"/>
        <w:rPr>
          <w:sz w:val="20"/>
          <w:szCs w:val="20"/>
          <w:color w:val="auto"/>
        </w:rPr>
      </w:pPr>
      <w:r>
        <w:rPr>
          <w:rFonts w:ascii="Arial" w:cs="Arial" w:eastAsia="Arial" w:hAnsi="Arial"/>
          <w:sz w:val="13"/>
          <w:szCs w:val="13"/>
          <w:color w:val="auto"/>
        </w:rPr>
        <w:t>•Our main manufacturing facility (H028) consists of 10,240 square meters, including 4,589 square meters of GMP space, 2,422 square meters of technical and warehouse space, 540 square meters of laboratory space and 2,690 square meters of office space. Effective January 1, 2025, we have also leased additional 2,977 square meters space on the 1st and 2nd floors (H028), bringing the total leased space to 13,217 square meters. The lease expires on December 31, 2034.</w:t>
      </w:r>
    </w:p>
    <w:p>
      <w:pPr>
        <w:spacing w:after="0" w:line="3" w:lineRule="exact"/>
        <w:rPr>
          <w:sz w:val="20"/>
          <w:szCs w:val="20"/>
          <w:color w:val="auto"/>
        </w:rPr>
      </w:pPr>
    </w:p>
    <w:p>
      <w:pPr>
        <w:ind w:left="380" w:right="2700"/>
        <w:spacing w:after="0" w:line="210" w:lineRule="auto"/>
        <w:rPr>
          <w:sz w:val="20"/>
          <w:szCs w:val="20"/>
          <w:color w:val="auto"/>
        </w:rPr>
      </w:pPr>
      <w:r>
        <w:rPr>
          <w:rFonts w:ascii="Arial" w:cs="Arial" w:eastAsia="Arial" w:hAnsi="Arial"/>
          <w:sz w:val="13"/>
          <w:szCs w:val="13"/>
          <w:color w:val="auto"/>
        </w:rPr>
        <w:t>•Our main office building (H001) consists of 4,913 square meters of office space. The lease expires on October 31, 2027.</w:t>
      </w:r>
    </w:p>
    <w:p>
      <w:pPr>
        <w:ind w:left="380"/>
        <w:spacing w:after="0" w:line="212" w:lineRule="auto"/>
        <w:rPr>
          <w:sz w:val="20"/>
          <w:szCs w:val="20"/>
          <w:color w:val="auto"/>
        </w:rPr>
      </w:pPr>
      <w:r>
        <w:rPr>
          <w:rFonts w:ascii="Arial" w:cs="Arial" w:eastAsia="Arial" w:hAnsi="Arial"/>
          <w:sz w:val="13"/>
          <w:szCs w:val="13"/>
          <w:i w:val="1"/>
          <w:iCs w:val="1"/>
          <w:color w:val="auto"/>
        </w:rPr>
        <w:t>Görzhausen</w:t>
      </w:r>
    </w:p>
    <w:p>
      <w:pPr>
        <w:spacing w:after="0" w:line="1" w:lineRule="exact"/>
        <w:rPr>
          <w:sz w:val="20"/>
          <w:szCs w:val="20"/>
          <w:color w:val="auto"/>
        </w:rPr>
      </w:pPr>
    </w:p>
    <w:p>
      <w:pPr>
        <w:ind w:left="380" w:right="2600"/>
        <w:spacing w:after="0" w:line="226" w:lineRule="auto"/>
        <w:rPr>
          <w:sz w:val="20"/>
          <w:szCs w:val="20"/>
          <w:color w:val="auto"/>
        </w:rPr>
      </w:pPr>
      <w:r>
        <w:rPr>
          <w:rFonts w:ascii="Arial" w:cs="Arial" w:eastAsia="Arial" w:hAnsi="Arial"/>
          <w:sz w:val="13"/>
          <w:szCs w:val="13"/>
          <w:color w:val="auto"/>
        </w:rPr>
        <w:t xml:space="preserve">•As part of our </w:t>
      </w:r>
      <w:r>
        <w:rPr>
          <w:rFonts w:ascii="Arial" w:cs="Arial" w:eastAsia="Arial" w:hAnsi="Arial"/>
          <w:sz w:val="13"/>
          <w:szCs w:val="13"/>
          <w:i w:val="1"/>
          <w:iCs w:val="1"/>
          <w:color w:val="auto"/>
        </w:rPr>
        <w:t>BioNTainer</w:t>
      </w:r>
      <w:r>
        <w:rPr>
          <w:rFonts w:ascii="Arial" w:cs="Arial" w:eastAsia="Arial" w:hAnsi="Arial"/>
          <w:sz w:val="13"/>
          <w:szCs w:val="13"/>
          <w:color w:val="auto"/>
        </w:rPr>
        <w:t xml:space="preserve"> program (BioNTech Innovation Center/BIC, M102), we occupy approximately 2,040 square meters. Approximately 804 square meters are used as office space and 1,236 square meters as GMP and technical storage space under a lease that expires on December 31, 2031.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187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820"/>
        <w:spacing w:after="0" w:line="215" w:lineRule="auto"/>
        <w:rPr>
          <w:sz w:val="20"/>
          <w:szCs w:val="20"/>
          <w:color w:val="auto"/>
        </w:rPr>
      </w:pPr>
      <w:r>
        <w:rPr>
          <w:rFonts w:ascii="Arial" w:cs="Arial" w:eastAsia="Arial" w:hAnsi="Arial"/>
          <w:sz w:val="13"/>
          <w:szCs w:val="13"/>
          <w:color w:val="auto"/>
        </w:rPr>
        <w:t>•Our Plasmid Production/Miami (Microbial Manufacturing, M537) comprises 3,088 square meters, including 1,021 square meters of usable GMP and laboratory space, 1,065 square meters of usable technical and warehouse space and 448 square meters of usable office space. The lease expires on December 31,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4" w:lineRule="auto"/>
        <w:rPr>
          <w:sz w:val="20"/>
          <w:szCs w:val="20"/>
          <w:color w:val="auto"/>
        </w:rPr>
      </w:pPr>
      <w:r>
        <w:rPr>
          <w:rFonts w:ascii="Arial" w:cs="Arial" w:eastAsia="Arial" w:hAnsi="Arial"/>
          <w:sz w:val="13"/>
          <w:szCs w:val="13"/>
          <w:b w:val="1"/>
          <w:bCs w:val="1"/>
          <w:color w:val="auto"/>
        </w:rPr>
        <w:t>In Berlin:</w:t>
      </w:r>
    </w:p>
    <w:p>
      <w:pPr>
        <w:ind w:left="380" w:right="2840"/>
        <w:spacing w:after="0" w:line="210" w:lineRule="auto"/>
        <w:rPr>
          <w:sz w:val="20"/>
          <w:szCs w:val="20"/>
          <w:color w:val="auto"/>
        </w:rPr>
      </w:pPr>
      <w:r>
        <w:rPr>
          <w:rFonts w:ascii="Arial" w:cs="Arial" w:eastAsia="Arial" w:hAnsi="Arial"/>
          <w:sz w:val="13"/>
          <w:szCs w:val="13"/>
          <w:color w:val="auto"/>
        </w:rPr>
        <w:t>•At our JPT facility, we occupy approximately 2,300 square meters of laboratories, general technical production space, storage and offices.</w:t>
      </w:r>
    </w:p>
    <w:p>
      <w:pPr>
        <w:spacing w:after="0" w:line="1"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•About 2,000 square meters are occupied under a lease contract that will expire when we move into our new building.</w:t>
      </w:r>
    </w:p>
    <w:p>
      <w:pPr>
        <w:spacing w:after="0" w:line="1" w:lineRule="exact"/>
        <w:rPr>
          <w:sz w:val="20"/>
          <w:szCs w:val="20"/>
          <w:color w:val="auto"/>
        </w:rPr>
      </w:pPr>
    </w:p>
    <w:p>
      <w:pPr>
        <w:ind w:left="380" w:right="2860"/>
        <w:spacing w:after="0" w:line="210" w:lineRule="auto"/>
        <w:rPr>
          <w:sz w:val="20"/>
          <w:szCs w:val="20"/>
          <w:color w:val="auto"/>
        </w:rPr>
      </w:pPr>
      <w:r>
        <w:rPr>
          <w:rFonts w:ascii="Arial" w:cs="Arial" w:eastAsia="Arial" w:hAnsi="Arial"/>
          <w:sz w:val="13"/>
          <w:szCs w:val="13"/>
          <w:color w:val="auto"/>
        </w:rPr>
        <w:t>•A new laboratory and office building, wholly owned by JPT, is under construction, with an expected completion date in mid-2025.</w:t>
      </w:r>
    </w:p>
    <w:p>
      <w:pPr>
        <w:spacing w:after="0" w:line="1" w:lineRule="exact"/>
        <w:rPr>
          <w:sz w:val="20"/>
          <w:szCs w:val="20"/>
          <w:color w:val="auto"/>
        </w:rPr>
      </w:pPr>
    </w:p>
    <w:p>
      <w:pPr>
        <w:ind w:left="380" w:right="2760"/>
        <w:spacing w:after="0" w:line="210" w:lineRule="auto"/>
        <w:rPr>
          <w:sz w:val="20"/>
          <w:szCs w:val="20"/>
          <w:color w:val="auto"/>
        </w:rPr>
      </w:pPr>
      <w:r>
        <w:rPr>
          <w:rFonts w:ascii="Arial" w:cs="Arial" w:eastAsia="Arial" w:hAnsi="Arial"/>
          <w:sz w:val="13"/>
          <w:szCs w:val="13"/>
          <w:color w:val="auto"/>
        </w:rPr>
        <w:t>•We have been renting an office of approximately 1,700 square meters since April 2023. The contract runs until December 31, 2028, and may be extended.</w:t>
      </w:r>
    </w:p>
    <w:p>
      <w:pPr>
        <w:spacing w:after="0" w:line="1"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b w:val="1"/>
          <w:bCs w:val="1"/>
          <w:color w:val="auto"/>
        </w:rPr>
        <w:t>In Munich</w:t>
      </w:r>
      <w:r>
        <w:rPr>
          <w:rFonts w:ascii="Arial" w:cs="Arial" w:eastAsia="Arial" w:hAnsi="Arial"/>
          <w:sz w:val="13"/>
          <w:szCs w:val="13"/>
          <w:color w:val="auto"/>
        </w:rPr>
        <w:t>, we have leased approximately 3,700 square meters in the Werksviertel. The lease is for 60 months</w:t>
      </w:r>
      <w:r>
        <w:rPr>
          <w:rFonts w:ascii="Arial" w:cs="Arial" w:eastAsia="Arial" w:hAnsi="Arial"/>
          <w:sz w:val="13"/>
          <w:szCs w:val="13"/>
          <w:b w:val="1"/>
          <w:bCs w:val="1"/>
          <w:color w:val="auto"/>
        </w:rPr>
        <w:t xml:space="preserve"> </w:t>
      </w:r>
      <w:r>
        <w:rPr>
          <w:rFonts w:ascii="Arial" w:cs="Arial" w:eastAsia="Arial" w:hAnsi="Arial"/>
          <w:sz w:val="13"/>
          <w:szCs w:val="13"/>
          <w:color w:val="auto"/>
        </w:rPr>
        <w:t>with options to extend.</w:t>
      </w:r>
    </w:p>
    <w:p>
      <w:pPr>
        <w:ind w:left="380"/>
        <w:spacing w:after="0" w:line="212" w:lineRule="auto"/>
        <w:rPr>
          <w:sz w:val="20"/>
          <w:szCs w:val="20"/>
          <w:color w:val="auto"/>
        </w:rPr>
      </w:pPr>
      <w:r>
        <w:rPr>
          <w:rFonts w:ascii="Arial" w:cs="Arial" w:eastAsia="Arial" w:hAnsi="Arial"/>
          <w:sz w:val="13"/>
          <w:szCs w:val="13"/>
          <w:b w:val="1"/>
          <w:bCs w:val="1"/>
          <w:color w:val="auto"/>
        </w:rPr>
        <w:t>In Neuried:</w:t>
      </w:r>
    </w:p>
    <w:p>
      <w:pPr>
        <w:spacing w:after="0" w:line="1" w:lineRule="exact"/>
        <w:rPr>
          <w:sz w:val="20"/>
          <w:szCs w:val="20"/>
          <w:color w:val="auto"/>
        </w:rPr>
      </w:pPr>
    </w:p>
    <w:p>
      <w:pPr>
        <w:ind w:left="380" w:right="2660"/>
        <w:spacing w:after="0" w:line="210" w:lineRule="auto"/>
        <w:rPr>
          <w:sz w:val="20"/>
          <w:szCs w:val="20"/>
          <w:color w:val="auto"/>
        </w:rPr>
      </w:pPr>
      <w:r>
        <w:rPr>
          <w:rFonts w:ascii="Arial" w:cs="Arial" w:eastAsia="Arial" w:hAnsi="Arial"/>
          <w:sz w:val="13"/>
          <w:szCs w:val="13"/>
          <w:color w:val="auto"/>
        </w:rPr>
        <w:t>•We occupy approximately 1,732 square meters of laboratory and office space under a lease which will expire on November 30, 2031.</w:t>
      </w:r>
    </w:p>
    <w:p>
      <w:pPr>
        <w:spacing w:after="0" w:line="1" w:lineRule="exact"/>
        <w:rPr>
          <w:sz w:val="20"/>
          <w:szCs w:val="20"/>
          <w:color w:val="auto"/>
        </w:rPr>
      </w:pPr>
    </w:p>
    <w:p>
      <w:pPr>
        <w:ind w:left="380" w:right="2600"/>
        <w:spacing w:after="0" w:line="210" w:lineRule="auto"/>
        <w:rPr>
          <w:sz w:val="20"/>
          <w:szCs w:val="20"/>
          <w:color w:val="auto"/>
        </w:rPr>
      </w:pPr>
      <w:r>
        <w:rPr>
          <w:rFonts w:ascii="Arial" w:cs="Arial" w:eastAsia="Arial" w:hAnsi="Arial"/>
          <w:sz w:val="13"/>
          <w:szCs w:val="13"/>
          <w:color w:val="auto"/>
        </w:rPr>
        <w:t>•We leased additional space in July 2022 of approximately 1,470 square meters of laboratory, office and storage space under a lease which will expire on August 30, 2029.</w:t>
      </w:r>
    </w:p>
    <w:p>
      <w:pPr>
        <w:spacing w:after="0" w:line="1" w:lineRule="exact"/>
        <w:rPr>
          <w:sz w:val="20"/>
          <w:szCs w:val="20"/>
          <w:color w:val="auto"/>
        </w:rPr>
      </w:pPr>
    </w:p>
    <w:p>
      <w:pPr>
        <w:ind w:left="380" w:right="2500"/>
        <w:spacing w:after="0" w:line="210" w:lineRule="auto"/>
        <w:rPr>
          <w:sz w:val="20"/>
          <w:szCs w:val="20"/>
          <w:color w:val="auto"/>
        </w:rPr>
      </w:pPr>
      <w:r>
        <w:rPr>
          <w:rFonts w:ascii="Arial" w:cs="Arial" w:eastAsia="Arial" w:hAnsi="Arial"/>
          <w:sz w:val="13"/>
          <w:szCs w:val="13"/>
          <w:b w:val="1"/>
          <w:bCs w:val="1"/>
          <w:color w:val="auto"/>
        </w:rPr>
        <w:t>In Fussgoenheim</w:t>
      </w:r>
      <w:r>
        <w:rPr>
          <w:rFonts w:ascii="Arial" w:cs="Arial" w:eastAsia="Arial" w:hAnsi="Arial"/>
          <w:sz w:val="13"/>
          <w:szCs w:val="13"/>
          <w:color w:val="auto"/>
        </w:rPr>
        <w:t>, we lease approximately 3,448 square meters of freezer farm space. The term ends on</w:t>
      </w:r>
      <w:r>
        <w:rPr>
          <w:rFonts w:ascii="Arial" w:cs="Arial" w:eastAsia="Arial" w:hAnsi="Arial"/>
          <w:sz w:val="13"/>
          <w:szCs w:val="13"/>
          <w:b w:val="1"/>
          <w:bCs w:val="1"/>
          <w:color w:val="auto"/>
        </w:rPr>
        <w:t xml:space="preserve"> </w:t>
      </w:r>
      <w:r>
        <w:rPr>
          <w:rFonts w:ascii="Arial" w:cs="Arial" w:eastAsia="Arial" w:hAnsi="Arial"/>
          <w:sz w:val="13"/>
          <w:szCs w:val="13"/>
          <w:color w:val="auto"/>
        </w:rPr>
        <w:t>December 31, 2027.</w:t>
      </w:r>
    </w:p>
    <w:p>
      <w:pPr>
        <w:spacing w:after="0" w:line="1"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b w:val="1"/>
          <w:bCs w:val="1"/>
          <w:color w:val="auto"/>
        </w:rPr>
        <w:t>In Mutterstadt</w:t>
      </w:r>
      <w:r>
        <w:rPr>
          <w:rFonts w:ascii="Arial" w:cs="Arial" w:eastAsia="Arial" w:hAnsi="Arial"/>
          <w:sz w:val="13"/>
          <w:szCs w:val="13"/>
          <w:color w:val="auto"/>
        </w:rPr>
        <w:t>, we occupy approximately 5,744 square meters of freezer farm space under a rental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We also lease a further 2,160 square meters of handling space. The term ends on December 31, 2027, with a one-year extension option.</w:t>
      </w:r>
    </w:p>
    <w:p>
      <w:pPr>
        <w:ind w:left="380"/>
        <w:spacing w:after="0" w:line="213" w:lineRule="auto"/>
        <w:rPr>
          <w:sz w:val="20"/>
          <w:szCs w:val="20"/>
          <w:color w:val="auto"/>
        </w:rPr>
      </w:pPr>
      <w:r>
        <w:rPr>
          <w:rFonts w:ascii="Arial" w:cs="Arial" w:eastAsia="Arial" w:hAnsi="Arial"/>
          <w:sz w:val="13"/>
          <w:szCs w:val="13"/>
          <w:color w:val="005A64"/>
        </w:rPr>
        <w:t>Global locations:</w:t>
      </w:r>
    </w:p>
    <w:p>
      <w:pPr>
        <w:ind w:left="380"/>
        <w:spacing w:after="0" w:line="211" w:lineRule="auto"/>
        <w:rPr>
          <w:sz w:val="20"/>
          <w:szCs w:val="20"/>
          <w:color w:val="auto"/>
        </w:rPr>
      </w:pPr>
      <w:r>
        <w:rPr>
          <w:rFonts w:ascii="Arial" w:cs="Arial" w:eastAsia="Arial" w:hAnsi="Arial"/>
          <w:sz w:val="13"/>
          <w:szCs w:val="13"/>
          <w:b w:val="1"/>
          <w:bCs w:val="1"/>
          <w:color w:val="auto"/>
        </w:rPr>
        <w:t>In Cambridge</w:t>
      </w:r>
      <w:r>
        <w:rPr>
          <w:rFonts w:ascii="Arial" w:cs="Arial" w:eastAsia="Arial" w:hAnsi="Arial"/>
          <w:sz w:val="13"/>
          <w:szCs w:val="13"/>
          <w:color w:val="auto"/>
        </w:rPr>
        <w:t>, Massachusetts, United States, we principally occupy:</w:t>
      </w:r>
    </w:p>
    <w:p>
      <w:pPr>
        <w:ind w:left="380"/>
        <w:spacing w:after="0"/>
        <w:rPr>
          <w:sz w:val="20"/>
          <w:szCs w:val="20"/>
          <w:color w:val="auto"/>
        </w:rPr>
      </w:pPr>
      <w:r>
        <w:rPr>
          <w:rFonts w:ascii="Arial" w:cs="Arial" w:eastAsia="Arial" w:hAnsi="Arial"/>
          <w:sz w:val="13"/>
          <w:szCs w:val="13"/>
          <w:color w:val="auto"/>
        </w:rPr>
        <w:t>•Approximately 2,490 square meters of laboratory and office space under a lease for part of a building</w:t>
      </w:r>
    </w:p>
    <w:p>
      <w:pPr>
        <w:sectPr>
          <w:pgSz w:w="11900" w:h="16840" w:orient="portrait"/>
          <w:cols w:equalWidth="0" w:num="1">
            <w:col w:w="9020"/>
          </w:cols>
          <w:pgMar w:left="1440" w:top="1321" w:right="1440" w:bottom="38" w:gutter="0" w:footer="0" w:header="0"/>
        </w:sectPr>
      </w:pPr>
    </w:p>
    <w:bookmarkStart w:id="130" w:name="page131"/>
    <w:bookmarkEnd w:id="130"/>
    <w:p>
      <w:pPr>
        <w:ind w:left="380" w:right="2720"/>
        <w:spacing w:after="0" w:line="215" w:lineRule="auto"/>
        <w:rPr>
          <w:sz w:val="20"/>
          <w:szCs w:val="20"/>
          <w:color w:val="auto"/>
        </w:rPr>
      </w:pPr>
      <w:r>
        <w:rPr>
          <w:rFonts w:ascii="Arial" w:cs="Arial" w:eastAsia="Arial" w:hAnsi="Arial"/>
          <w:sz w:val="13"/>
          <w:szCs w:val="13"/>
          <w:color w:val="auto"/>
        </w:rPr>
        <w:t xml:space="preserve">located at 40 Erie Street. The term was extended and will expire on September 30, 2028. •Approximately 4,410 square meters of laboratory and office space under a lease for part of a building located at 75 Sidney Street that has an initial term that expires on January 31, 2032. </w:t>
      </w:r>
      <w:r>
        <w:rPr>
          <w:rFonts w:ascii="Arial" w:cs="Arial" w:eastAsia="Arial" w:hAnsi="Arial"/>
          <w:sz w:val="13"/>
          <w:szCs w:val="13"/>
          <w:b w:val="1"/>
          <w:bCs w:val="1"/>
          <w:color w:val="auto"/>
        </w:rPr>
        <w:t>In Gaithersburg</w:t>
      </w:r>
      <w:r>
        <w:rPr>
          <w:rFonts w:ascii="Arial" w:cs="Arial" w:eastAsia="Arial" w:hAnsi="Arial"/>
          <w:sz w:val="13"/>
          <w:szCs w:val="13"/>
          <w:color w:val="auto"/>
        </w:rPr>
        <w:t>, Maryland, United States, we principally occupy:</w:t>
      </w:r>
    </w:p>
    <w:p>
      <w:pPr>
        <w:spacing w:after="0" w:line="2" w:lineRule="exact"/>
        <w:rPr>
          <w:sz w:val="20"/>
          <w:szCs w:val="20"/>
          <w:color w:val="auto"/>
        </w:rPr>
      </w:pPr>
    </w:p>
    <w:p>
      <w:pPr>
        <w:ind w:left="380" w:right="2640"/>
        <w:spacing w:after="0" w:line="210" w:lineRule="auto"/>
        <w:rPr>
          <w:sz w:val="20"/>
          <w:szCs w:val="20"/>
          <w:color w:val="auto"/>
        </w:rPr>
      </w:pPr>
      <w:r>
        <w:rPr>
          <w:rFonts w:ascii="Arial" w:cs="Arial" w:eastAsia="Arial" w:hAnsi="Arial"/>
          <w:sz w:val="13"/>
          <w:szCs w:val="13"/>
          <w:color w:val="auto"/>
        </w:rPr>
        <w:t>•Approximately 5,476 square meters containing office, laboratory and manufacturing space at 930 / 940 Clopper Road under a lease which will expire on July 31, 2033.</w:t>
      </w:r>
    </w:p>
    <w:p>
      <w:pPr>
        <w:spacing w:after="0" w:line="1"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•Approximately 1,000 square meters containing office and laboratory space at 25 West Watkins under a lease which will expire on November 30, 2033.</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auto"/>
        </w:rPr>
        <w:t>In Cambridge</w:t>
      </w:r>
      <w:r>
        <w:rPr>
          <w:rFonts w:ascii="Arial" w:cs="Arial" w:eastAsia="Arial" w:hAnsi="Arial"/>
          <w:sz w:val="13"/>
          <w:szCs w:val="13"/>
          <w:color w:val="auto"/>
        </w:rPr>
        <w:t>, United Kingdom, we principally occupy: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188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620"/>
        <w:spacing w:after="0" w:line="217" w:lineRule="auto"/>
        <w:rPr>
          <w:sz w:val="20"/>
          <w:szCs w:val="20"/>
          <w:color w:val="auto"/>
        </w:rPr>
      </w:pPr>
      <w:r>
        <w:rPr>
          <w:rFonts w:ascii="Arial" w:cs="Arial" w:eastAsia="Arial" w:hAnsi="Arial"/>
          <w:sz w:val="13"/>
          <w:szCs w:val="13"/>
          <w:color w:val="auto"/>
        </w:rPr>
        <w:t>•Approximately 7,400 square meters of shell and core laboratory and office space under a lease with an initial term until October 13, 2033, including a tenant-only break option at year seven of the term. The building is expected to be in operation during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80"/>
        <w:spacing w:after="0" w:line="210" w:lineRule="auto"/>
        <w:rPr>
          <w:sz w:val="20"/>
          <w:szCs w:val="20"/>
          <w:color w:val="auto"/>
        </w:rPr>
      </w:pPr>
      <w:r>
        <w:rPr>
          <w:rFonts w:ascii="Arial" w:cs="Arial" w:eastAsia="Arial" w:hAnsi="Arial"/>
          <w:sz w:val="13"/>
          <w:szCs w:val="13"/>
          <w:b w:val="1"/>
          <w:bCs w:val="1"/>
          <w:color w:val="auto"/>
        </w:rPr>
        <w:t xml:space="preserve">In Vienna </w:t>
      </w:r>
      <w:r>
        <w:rPr>
          <w:rFonts w:ascii="Arial" w:cs="Arial" w:eastAsia="Arial" w:hAnsi="Arial"/>
          <w:sz w:val="13"/>
          <w:szCs w:val="13"/>
          <w:color w:val="auto"/>
        </w:rPr>
        <w:t>, Austria, we signed a lease in September 2022 for approximately 1,300 square meters of office and</w:t>
      </w:r>
      <w:r>
        <w:rPr>
          <w:rFonts w:ascii="Arial" w:cs="Arial" w:eastAsia="Arial" w:hAnsi="Arial"/>
          <w:sz w:val="13"/>
          <w:szCs w:val="13"/>
          <w:b w:val="1"/>
          <w:bCs w:val="1"/>
          <w:color w:val="auto"/>
        </w:rPr>
        <w:t xml:space="preserve"> </w:t>
      </w:r>
      <w:r>
        <w:rPr>
          <w:rFonts w:ascii="Arial" w:cs="Arial" w:eastAsia="Arial" w:hAnsi="Arial"/>
          <w:sz w:val="13"/>
          <w:szCs w:val="13"/>
          <w:color w:val="auto"/>
        </w:rPr>
        <w:t>laboratory space for part of the building located at Helmut-Qualtinger-Gasse 2, 1030. The lease commenced on April 1, 2023, with a lease term of eight years and an option to extend.</w:t>
      </w:r>
    </w:p>
    <w:p>
      <w:pPr>
        <w:spacing w:after="0" w:line="2" w:lineRule="exact"/>
        <w:rPr>
          <w:sz w:val="20"/>
          <w:szCs w:val="20"/>
          <w:color w:val="auto"/>
        </w:rPr>
      </w:pPr>
    </w:p>
    <w:p>
      <w:pPr>
        <w:ind w:left="380" w:right="2220"/>
        <w:spacing w:after="0" w:line="210" w:lineRule="auto"/>
        <w:rPr>
          <w:sz w:val="20"/>
          <w:szCs w:val="20"/>
          <w:color w:val="auto"/>
        </w:rPr>
      </w:pPr>
      <w:r>
        <w:rPr>
          <w:rFonts w:ascii="Arial" w:cs="Arial" w:eastAsia="Arial" w:hAnsi="Arial"/>
          <w:sz w:val="13"/>
          <w:szCs w:val="13"/>
          <w:b w:val="1"/>
          <w:bCs w:val="1"/>
          <w:color w:val="auto"/>
        </w:rPr>
        <w:t>In Kigali</w:t>
      </w:r>
      <w:r>
        <w:rPr>
          <w:rFonts w:ascii="Arial" w:cs="Arial" w:eastAsia="Arial" w:hAnsi="Arial"/>
          <w:sz w:val="13"/>
          <w:szCs w:val="13"/>
          <w:color w:val="auto"/>
        </w:rPr>
        <w:t>, Rwanda, we have leased a plot of land of approximately 35,100 square meters to develop a modular</w:t>
      </w:r>
      <w:r>
        <w:rPr>
          <w:rFonts w:ascii="Arial" w:cs="Arial" w:eastAsia="Arial" w:hAnsi="Arial"/>
          <w:sz w:val="13"/>
          <w:szCs w:val="13"/>
          <w:b w:val="1"/>
          <w:bCs w:val="1"/>
          <w:color w:val="auto"/>
        </w:rPr>
        <w:t xml:space="preserve"> </w:t>
      </w:r>
      <w:r>
        <w:rPr>
          <w:rFonts w:ascii="Arial" w:cs="Arial" w:eastAsia="Arial" w:hAnsi="Arial"/>
          <w:sz w:val="13"/>
          <w:szCs w:val="13"/>
          <w:color w:val="auto"/>
        </w:rPr>
        <w:t>mRNA vaccine factory for the manufacturing of bulk drug substance and bulk drug product.</w:t>
      </w:r>
    </w:p>
    <w:p>
      <w:pPr>
        <w:spacing w:after="0" w:line="1" w:lineRule="exact"/>
        <w:rPr>
          <w:sz w:val="20"/>
          <w:szCs w:val="20"/>
          <w:color w:val="auto"/>
        </w:rPr>
      </w:pPr>
    </w:p>
    <w:p>
      <w:pPr>
        <w:jc w:val="both"/>
        <w:ind w:left="380" w:right="2160"/>
        <w:spacing w:after="0" w:line="210" w:lineRule="auto"/>
        <w:rPr>
          <w:sz w:val="20"/>
          <w:szCs w:val="20"/>
          <w:color w:val="auto"/>
        </w:rPr>
      </w:pPr>
      <w:r>
        <w:rPr>
          <w:rFonts w:ascii="Arial" w:cs="Arial" w:eastAsia="Arial" w:hAnsi="Arial"/>
          <w:sz w:val="13"/>
          <w:szCs w:val="13"/>
          <w:b w:val="1"/>
          <w:bCs w:val="1"/>
          <w:color w:val="auto"/>
        </w:rPr>
        <w:t>In Singapore</w:t>
      </w:r>
      <w:r>
        <w:rPr>
          <w:rFonts w:ascii="Arial" w:cs="Arial" w:eastAsia="Arial" w:hAnsi="Arial"/>
          <w:sz w:val="13"/>
          <w:szCs w:val="13"/>
          <w:color w:val="auto"/>
        </w:rPr>
        <w:t>, we own a production site. The entire area covers approximately 63,300 square meters. There is</w:t>
      </w:r>
      <w:r>
        <w:rPr>
          <w:rFonts w:ascii="Arial" w:cs="Arial" w:eastAsia="Arial" w:hAnsi="Arial"/>
          <w:sz w:val="13"/>
          <w:szCs w:val="13"/>
          <w:b w:val="1"/>
          <w:bCs w:val="1"/>
          <w:color w:val="auto"/>
        </w:rPr>
        <w:t xml:space="preserve"> </w:t>
      </w:r>
      <w:r>
        <w:rPr>
          <w:rFonts w:ascii="Arial" w:cs="Arial" w:eastAsia="Arial" w:hAnsi="Arial"/>
          <w:sz w:val="13"/>
          <w:szCs w:val="13"/>
          <w:color w:val="auto"/>
        </w:rPr>
        <w:t>office space of approximately 6,195 square meters, a production and technical building of approximately 20,000 square meters, and a warehouse of approximately 3,400 square meters.</w:t>
      </w:r>
    </w:p>
    <w:p>
      <w:pPr>
        <w:spacing w:after="0" w:line="2" w:lineRule="exact"/>
        <w:rPr>
          <w:sz w:val="20"/>
          <w:szCs w:val="20"/>
          <w:color w:val="auto"/>
        </w:rPr>
      </w:pPr>
    </w:p>
    <w:p>
      <w:pPr>
        <w:ind w:left="380" w:right="2440"/>
        <w:spacing w:after="0" w:line="210" w:lineRule="auto"/>
        <w:rPr>
          <w:sz w:val="20"/>
          <w:szCs w:val="20"/>
          <w:color w:val="auto"/>
        </w:rPr>
      </w:pPr>
      <w:r>
        <w:rPr>
          <w:rFonts w:ascii="Arial" w:cs="Arial" w:eastAsia="Arial" w:hAnsi="Arial"/>
          <w:sz w:val="13"/>
          <w:szCs w:val="13"/>
          <w:b w:val="1"/>
          <w:bCs w:val="1"/>
          <w:color w:val="auto"/>
        </w:rPr>
        <w:t>In Melbourne</w:t>
      </w:r>
      <w:r>
        <w:rPr>
          <w:rFonts w:ascii="Arial" w:cs="Arial" w:eastAsia="Arial" w:hAnsi="Arial"/>
          <w:sz w:val="13"/>
          <w:szCs w:val="13"/>
          <w:color w:val="auto"/>
        </w:rPr>
        <w:t>, Australia, we have leased a plot of land of approximately 26,100 square meters at La Trobe</w:t>
      </w:r>
      <w:r>
        <w:rPr>
          <w:rFonts w:ascii="Arial" w:cs="Arial" w:eastAsia="Arial" w:hAnsi="Arial"/>
          <w:sz w:val="13"/>
          <w:szCs w:val="13"/>
          <w:b w:val="1"/>
          <w:bCs w:val="1"/>
          <w:color w:val="auto"/>
        </w:rPr>
        <w:t xml:space="preserve"> </w:t>
      </w:r>
      <w:r>
        <w:rPr>
          <w:rFonts w:ascii="Arial" w:cs="Arial" w:eastAsia="Arial" w:hAnsi="Arial"/>
          <w:sz w:val="13"/>
          <w:szCs w:val="13"/>
          <w:color w:val="auto"/>
        </w:rPr>
        <w:t>University to develop a freehold modular R&amp;D and manufacturing center.</w:t>
      </w:r>
    </w:p>
    <w:p>
      <w:pPr>
        <w:spacing w:after="0" w:line="1"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b w:val="1"/>
          <w:bCs w:val="1"/>
          <w:color w:val="auto"/>
        </w:rPr>
        <w:t xml:space="preserve">In Paris, </w:t>
      </w:r>
      <w:r>
        <w:rPr>
          <w:rFonts w:ascii="Arial" w:cs="Arial" w:eastAsia="Arial" w:hAnsi="Arial"/>
          <w:sz w:val="13"/>
          <w:szCs w:val="13"/>
          <w:color w:val="auto"/>
        </w:rPr>
        <w:t>France, our subsidiary InstaDeep signed a lease agreement for approximately 1,200 square meters of</w:t>
      </w:r>
      <w:r>
        <w:rPr>
          <w:rFonts w:ascii="Arial" w:cs="Arial" w:eastAsia="Arial" w:hAnsi="Arial"/>
          <w:sz w:val="13"/>
          <w:szCs w:val="13"/>
          <w:b w:val="1"/>
          <w:bCs w:val="1"/>
          <w:color w:val="auto"/>
        </w:rPr>
        <w:t xml:space="preserve"> </w:t>
      </w:r>
      <w:r>
        <w:rPr>
          <w:rFonts w:ascii="Arial" w:cs="Arial" w:eastAsia="Arial" w:hAnsi="Arial"/>
          <w:sz w:val="13"/>
          <w:szCs w:val="13"/>
          <w:color w:val="auto"/>
        </w:rPr>
        <w:t>office space with an initial term until December 31, 2029.</w:t>
      </w:r>
    </w:p>
    <w:p>
      <w:pPr>
        <w:spacing w:after="0" w:line="1" w:lineRule="exact"/>
        <w:rPr>
          <w:sz w:val="20"/>
          <w:szCs w:val="20"/>
          <w:color w:val="auto"/>
        </w:rPr>
      </w:pPr>
    </w:p>
    <w:p>
      <w:pPr>
        <w:ind w:left="380" w:right="2300"/>
        <w:spacing w:after="0" w:line="210" w:lineRule="auto"/>
        <w:rPr>
          <w:sz w:val="20"/>
          <w:szCs w:val="20"/>
          <w:color w:val="auto"/>
        </w:rPr>
      </w:pPr>
      <w:r>
        <w:rPr>
          <w:rFonts w:ascii="Arial" w:cs="Arial" w:eastAsia="Arial" w:hAnsi="Arial"/>
          <w:sz w:val="13"/>
          <w:szCs w:val="13"/>
          <w:color w:val="auto"/>
        </w:rPr>
        <w:t>The acquisition of Biotheus, which closed in January 2025, is set to provide us with a significant infrastructure component in Mainland China. The material sites are as follows:</w:t>
      </w:r>
    </w:p>
    <w:p>
      <w:pPr>
        <w:spacing w:after="0" w:line="1" w:lineRule="exact"/>
        <w:rPr>
          <w:sz w:val="20"/>
          <w:szCs w:val="20"/>
          <w:color w:val="auto"/>
        </w:rPr>
      </w:pPr>
    </w:p>
    <w:p>
      <w:pPr>
        <w:jc w:val="both"/>
        <w:ind w:left="380" w:right="2640"/>
        <w:spacing w:after="0" w:line="210" w:lineRule="auto"/>
        <w:rPr>
          <w:sz w:val="20"/>
          <w:szCs w:val="20"/>
          <w:color w:val="auto"/>
        </w:rPr>
      </w:pPr>
      <w:r>
        <w:rPr>
          <w:rFonts w:ascii="Arial" w:cs="Arial" w:eastAsia="Arial" w:hAnsi="Arial"/>
          <w:sz w:val="13"/>
          <w:szCs w:val="13"/>
          <w:color w:val="auto"/>
        </w:rPr>
        <w:t>•A freehold manufacturing facility in Nantong, covering an area of approximately 62,000 square meters. While most of the site is currently in a shell and core condition, it is intended to be developed further to support additional capacity.</w:t>
      </w:r>
    </w:p>
    <w:p>
      <w:pPr>
        <w:spacing w:after="0" w:line="2" w:lineRule="exact"/>
        <w:rPr>
          <w:sz w:val="20"/>
          <w:szCs w:val="20"/>
          <w:color w:val="auto"/>
        </w:rPr>
      </w:pPr>
    </w:p>
    <w:p>
      <w:pPr>
        <w:ind w:left="380" w:right="2720"/>
        <w:spacing w:after="0" w:line="212" w:lineRule="auto"/>
        <w:rPr>
          <w:sz w:val="20"/>
          <w:szCs w:val="20"/>
          <w:color w:val="auto"/>
        </w:rPr>
      </w:pPr>
      <w:r>
        <w:rPr>
          <w:rFonts w:ascii="Arial" w:cs="Arial" w:eastAsia="Arial" w:hAnsi="Arial"/>
          <w:sz w:val="13"/>
          <w:szCs w:val="13"/>
          <w:color w:val="auto"/>
        </w:rPr>
        <w:t>•A leasehold asset in the form of the current Biotheus headquarters in Zhuhai, which comprises office, lab, and pilot manufacturing space totaling approximately 5,500 square meters. The leases for the building are structured between floors, with terms expiring between 2025 and 2027.</w:t>
      </w:r>
    </w:p>
    <w:p>
      <w:pPr>
        <w:ind w:left="380"/>
        <w:spacing w:after="0" w:line="208" w:lineRule="auto"/>
        <w:rPr>
          <w:sz w:val="20"/>
          <w:szCs w:val="20"/>
          <w:color w:val="auto"/>
        </w:rPr>
      </w:pPr>
      <w:r>
        <w:rPr>
          <w:rFonts w:ascii="Arial" w:cs="Arial" w:eastAsia="Arial" w:hAnsi="Arial"/>
          <w:sz w:val="16"/>
          <w:szCs w:val="16"/>
          <w:b w:val="1"/>
          <w:bCs w:val="1"/>
          <w:color w:val="005A64"/>
        </w:rPr>
        <w:t>Item 4A. Unresolved Staff Comments</w:t>
      </w:r>
    </w:p>
    <w:p>
      <w:pPr>
        <w:ind w:left="380"/>
        <w:spacing w:after="0" w:line="216" w:lineRule="auto"/>
        <w:rPr>
          <w:sz w:val="20"/>
          <w:szCs w:val="20"/>
          <w:color w:val="auto"/>
        </w:rPr>
      </w:pPr>
      <w:r>
        <w:rPr>
          <w:rFonts w:ascii="Arial" w:cs="Arial" w:eastAsia="Arial" w:hAnsi="Arial"/>
          <w:sz w:val="13"/>
          <w:szCs w:val="13"/>
          <w:color w:val="auto"/>
        </w:rPr>
        <w:t>None.</w:t>
      </w:r>
    </w:p>
    <w:p>
      <w:pPr>
        <w:ind w:left="380"/>
        <w:spacing w:after="0" w:line="207" w:lineRule="auto"/>
        <w:rPr>
          <w:sz w:val="20"/>
          <w:szCs w:val="20"/>
          <w:color w:val="auto"/>
        </w:rPr>
      </w:pPr>
      <w:r>
        <w:rPr>
          <w:rFonts w:ascii="Arial" w:cs="Arial" w:eastAsia="Arial" w:hAnsi="Arial"/>
          <w:sz w:val="16"/>
          <w:szCs w:val="16"/>
          <w:b w:val="1"/>
          <w:bCs w:val="1"/>
          <w:color w:val="005A64"/>
        </w:rPr>
        <w:t>Item 5. Operating and Financial Review and Prospects</w:t>
      </w:r>
    </w:p>
    <w:p>
      <w:pPr>
        <w:ind w:left="380" w:right="2120"/>
        <w:spacing w:after="0" w:line="216" w:lineRule="auto"/>
        <w:rPr>
          <w:sz w:val="20"/>
          <w:szCs w:val="20"/>
          <w:color w:val="auto"/>
        </w:rPr>
      </w:pPr>
      <w:r>
        <w:rPr>
          <w:rFonts w:ascii="Arial" w:cs="Arial" w:eastAsia="Arial" w:hAnsi="Arial"/>
          <w:sz w:val="13"/>
          <w:szCs w:val="13"/>
          <w:color w:val="auto"/>
        </w:rPr>
        <w:t>The following “Operating and Financial Review and Prospects” discussion should be read together with the information in our financial statements and related notes included elsewhere in this Annual Report. The following discussion is based on our financial information prepared in accordance with IFRS as issued by the International Accounting Standards Board, or IASB, which may differ in material respects from generally accepted accounting principles in other jurisdictions, including U.S. GAAP.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in “Risk Factors” and elsewhere in this Annual Report. Please also see “Cautionary Statement Regarding Forward-Looking Statements.”</w:t>
      </w:r>
    </w:p>
    <w:p>
      <w:pPr>
        <w:sectPr>
          <w:pgSz w:w="11900" w:h="16840" w:orient="portrait"/>
          <w:cols w:equalWidth="0" w:num="1">
            <w:col w:w="9020"/>
          </w:cols>
          <w:pgMar w:left="1440" w:top="560" w:right="1440" w:bottom="1440" w:gutter="0" w:footer="0" w:header="0"/>
        </w:sectPr>
      </w:pPr>
    </w:p>
    <w:bookmarkStart w:id="131" w:name="page132"/>
    <w:bookmarkEnd w:id="1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189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005A64"/>
        </w:rPr>
        <w:t>A.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0" w:lineRule="auto"/>
        <w:rPr>
          <w:sz w:val="20"/>
          <w:szCs w:val="20"/>
          <w:color w:val="auto"/>
        </w:rPr>
      </w:pPr>
      <w:r>
        <w:rPr>
          <w:rFonts w:ascii="Arial" w:cs="Arial" w:eastAsia="Arial" w:hAnsi="Arial"/>
          <w:sz w:val="13"/>
          <w:szCs w:val="13"/>
          <w:color w:val="005A64"/>
        </w:rPr>
        <w:t>Financial Operations Overview</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following table shows our consolidated statements of profit or loss for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-5715</wp:posOffset>
            </wp:positionV>
            <wp:extent cx="4300220"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00220" cy="12700"/>
                    </a:xfrm>
                    <a:prstGeom prst="rect">
                      <a:avLst/>
                    </a:prstGeom>
                    <a:noFill/>
                  </pic:spPr>
                </pic:pic>
              </a:graphicData>
            </a:graphic>
          </wp:anchor>
        </w:drawing>
      </w:r>
    </w:p>
    <w:p>
      <w:pPr>
        <w:spacing w:after="0" w:line="34"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1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005A64"/>
              </w:rPr>
              <w:t>Years ended</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005A64"/>
                <w:w w:val="97"/>
              </w:rPr>
              <w:t>December 31,</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420" w:type="dxa"/>
            <w:vAlign w:val="bottom"/>
            <w:vMerge w:val="restart"/>
          </w:tcPr>
          <w:p>
            <w:pPr>
              <w:ind w:left="20"/>
              <w:spacing w:after="0"/>
              <w:rPr>
                <w:sz w:val="20"/>
                <w:szCs w:val="20"/>
                <w:color w:val="auto"/>
              </w:rPr>
            </w:pPr>
            <w:r>
              <w:rPr>
                <w:rFonts w:ascii="Arial" w:cs="Arial" w:eastAsia="Arial" w:hAnsi="Arial"/>
                <w:sz w:val="12"/>
                <w:szCs w:val="12"/>
                <w:i w:val="1"/>
                <w:iCs w:val="1"/>
                <w:color w:val="005A64"/>
              </w:rPr>
              <w:t>(in millions €)</w:t>
            </w:r>
          </w:p>
        </w:tc>
        <w:tc>
          <w:tcPr>
            <w:tcW w:w="6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BECE33"/>
            </w:tcBorders>
          </w:tcPr>
          <w:p>
            <w:pPr>
              <w:spacing w:after="0"/>
              <w:rPr>
                <w:sz w:val="11"/>
                <w:szCs w:val="11"/>
                <w:color w:val="auto"/>
              </w:rPr>
            </w:pPr>
          </w:p>
        </w:tc>
        <w:tc>
          <w:tcPr>
            <w:tcW w:w="740" w:type="dxa"/>
            <w:vAlign w:val="bottom"/>
            <w:tcBorders>
              <w:bottom w:val="single" w:sz="8" w:color="BECE33"/>
            </w:tcBorders>
          </w:tcPr>
          <w:p>
            <w:pPr>
              <w:spacing w:after="0"/>
              <w:rPr>
                <w:sz w:val="11"/>
                <w:szCs w:val="11"/>
                <w:color w:val="auto"/>
              </w:rPr>
            </w:pPr>
          </w:p>
        </w:tc>
        <w:tc>
          <w:tcPr>
            <w:tcW w:w="60" w:type="dxa"/>
            <w:vAlign w:val="bottom"/>
            <w:tcBorders>
              <w:bottom w:val="single" w:sz="8" w:color="BECE33"/>
            </w:tcBorders>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005A64"/>
              </w:rPr>
              <w:t>2023</w:t>
            </w:r>
          </w:p>
        </w:tc>
        <w:tc>
          <w:tcPr>
            <w:tcW w:w="8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005A64"/>
              </w:rPr>
              <w:t>2022</w:t>
            </w:r>
          </w:p>
        </w:tc>
        <w:tc>
          <w:tcPr>
            <w:tcW w:w="0" w:type="dxa"/>
            <w:vAlign w:val="bottom"/>
          </w:tcPr>
          <w:p>
            <w:pPr>
              <w:spacing w:after="0"/>
              <w:rPr>
                <w:sz w:val="1"/>
                <w:szCs w:val="1"/>
                <w:color w:val="auto"/>
              </w:rPr>
            </w:pPr>
          </w:p>
        </w:tc>
      </w:tr>
      <w:tr>
        <w:trPr>
          <w:trHeight w:val="156"/>
        </w:trPr>
        <w:tc>
          <w:tcPr>
            <w:tcW w:w="142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40" w:type="dxa"/>
            <w:vAlign w:val="bottom"/>
            <w:tcBorders>
              <w:right w:val="single" w:sz="8" w:color="BECE33"/>
            </w:tcBorders>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005A64"/>
              </w:rPr>
              <w:t>2024</w:t>
            </w:r>
          </w:p>
        </w:tc>
        <w:tc>
          <w:tcPr>
            <w:tcW w:w="60" w:type="dxa"/>
            <w:vAlign w:val="bottom"/>
            <w:tcBorders>
              <w:right w:val="single" w:sz="8" w:color="BECE33"/>
            </w:tcBorders>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420" w:type="dxa"/>
            <w:vAlign w:val="bottom"/>
            <w:tcBorders>
              <w:bottom w:val="single" w:sz="8" w:color="005A64"/>
            </w:tcBorders>
          </w:tcPr>
          <w:p>
            <w:pPr>
              <w:spacing w:after="0"/>
              <w:rPr>
                <w:sz w:val="2"/>
                <w:szCs w:val="2"/>
                <w:color w:val="auto"/>
              </w:rPr>
            </w:pPr>
          </w:p>
        </w:tc>
        <w:tc>
          <w:tcPr>
            <w:tcW w:w="600" w:type="dxa"/>
            <w:vAlign w:val="bottom"/>
            <w:tcBorders>
              <w:bottom w:val="single" w:sz="8" w:color="005A64"/>
            </w:tcBorders>
          </w:tcPr>
          <w:p>
            <w:pPr>
              <w:spacing w:after="0"/>
              <w:rPr>
                <w:sz w:val="2"/>
                <w:szCs w:val="2"/>
                <w:color w:val="auto"/>
              </w:rPr>
            </w:pPr>
          </w:p>
        </w:tc>
        <w:tc>
          <w:tcPr>
            <w:tcW w:w="2300" w:type="dxa"/>
            <w:vAlign w:val="bottom"/>
            <w:tcBorders>
              <w:bottom w:val="single" w:sz="8" w:color="005A64"/>
            </w:tcBorders>
          </w:tcPr>
          <w:p>
            <w:pPr>
              <w:spacing w:after="0"/>
              <w:rPr>
                <w:sz w:val="2"/>
                <w:szCs w:val="2"/>
                <w:color w:val="auto"/>
              </w:rPr>
            </w:pPr>
          </w:p>
        </w:tc>
        <w:tc>
          <w:tcPr>
            <w:tcW w:w="40" w:type="dxa"/>
            <w:vAlign w:val="bottom"/>
            <w:tcBorders>
              <w:right w:val="single" w:sz="8" w:color="BECE33"/>
            </w:tcBorders>
          </w:tcPr>
          <w:p>
            <w:pPr>
              <w:spacing w:after="0"/>
              <w:rPr>
                <w:sz w:val="2"/>
                <w:szCs w:val="2"/>
                <w:color w:val="auto"/>
              </w:rPr>
            </w:pPr>
          </w:p>
        </w:tc>
        <w:tc>
          <w:tcPr>
            <w:tcW w:w="20" w:type="dxa"/>
            <w:vAlign w:val="bottom"/>
            <w:vMerge w:val="restart"/>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60" w:type="dxa"/>
            <w:vAlign w:val="bottom"/>
            <w:tcBorders>
              <w:right w:val="single" w:sz="8" w:color="BECE33"/>
            </w:tcBorders>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80" w:type="dxa"/>
            <w:vAlign w:val="bottom"/>
            <w:vMerge w:val="restart"/>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420" w:type="dxa"/>
            <w:vAlign w:val="bottom"/>
          </w:tcPr>
          <w:p>
            <w:pPr>
              <w:ind w:left="20"/>
              <w:spacing w:after="0"/>
              <w:rPr>
                <w:sz w:val="20"/>
                <w:szCs w:val="20"/>
                <w:color w:val="auto"/>
              </w:rPr>
            </w:pPr>
            <w:r>
              <w:rPr>
                <w:rFonts w:ascii="Arial" w:cs="Arial" w:eastAsia="Arial" w:hAnsi="Arial"/>
                <w:sz w:val="12"/>
                <w:szCs w:val="12"/>
                <w:color w:val="005A64"/>
              </w:rPr>
              <w:t>Revenues</w:t>
            </w:r>
          </w:p>
        </w:tc>
        <w:tc>
          <w:tcPr>
            <w:tcW w:w="6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40" w:type="dxa"/>
            <w:vAlign w:val="bottom"/>
            <w:tcBorders>
              <w:right w:val="single" w:sz="8" w:color="BECE33"/>
            </w:tcBorders>
          </w:tcPr>
          <w:p>
            <w:pPr>
              <w:spacing w:after="0"/>
              <w:rPr>
                <w:sz w:val="13"/>
                <w:szCs w:val="13"/>
                <w:color w:val="auto"/>
              </w:rPr>
            </w:pPr>
          </w:p>
        </w:tc>
        <w:tc>
          <w:tcPr>
            <w:tcW w:w="2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2,751.1</w:t>
            </w:r>
          </w:p>
        </w:tc>
        <w:tc>
          <w:tcPr>
            <w:tcW w:w="60" w:type="dxa"/>
            <w:vAlign w:val="bottom"/>
            <w:tcBorders>
              <w:right w:val="single" w:sz="8" w:color="BECE33"/>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3,819.0</w:t>
            </w:r>
          </w:p>
        </w:tc>
        <w:tc>
          <w:tcPr>
            <w:tcW w:w="80" w:type="dxa"/>
            <w:vAlign w:val="bottom"/>
            <w:vMerge w:val="continue"/>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color w:val="005A64"/>
              </w:rPr>
              <w:t>17,310.6</w:t>
            </w:r>
          </w:p>
        </w:tc>
        <w:tc>
          <w:tcPr>
            <w:tcW w:w="0" w:type="dxa"/>
            <w:vAlign w:val="bottom"/>
          </w:tcPr>
          <w:p>
            <w:pPr>
              <w:spacing w:after="0"/>
              <w:rPr>
                <w:sz w:val="1"/>
                <w:szCs w:val="1"/>
                <w:color w:val="auto"/>
              </w:rPr>
            </w:pPr>
          </w:p>
        </w:tc>
      </w:tr>
      <w:tr>
        <w:trPr>
          <w:trHeight w:val="181"/>
        </w:trPr>
        <w:tc>
          <w:tcPr>
            <w:tcW w:w="1420" w:type="dxa"/>
            <w:vAlign w:val="bottom"/>
          </w:tcPr>
          <w:p>
            <w:pPr>
              <w:ind w:left="20"/>
              <w:spacing w:after="0"/>
              <w:rPr>
                <w:sz w:val="20"/>
                <w:szCs w:val="20"/>
                <w:color w:val="auto"/>
              </w:rPr>
            </w:pPr>
            <w:r>
              <w:rPr>
                <w:rFonts w:ascii="Arial" w:cs="Arial" w:eastAsia="Arial" w:hAnsi="Arial"/>
                <w:sz w:val="12"/>
                <w:szCs w:val="12"/>
                <w:color w:val="005A64"/>
              </w:rPr>
              <w:t>Cost of sales</w:t>
            </w:r>
          </w:p>
        </w:tc>
        <w:tc>
          <w:tcPr>
            <w:tcW w:w="6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0" w:type="dxa"/>
            <w:vAlign w:val="bottom"/>
            <w:tcBorders>
              <w:right w:val="single" w:sz="8" w:color="BECE33"/>
            </w:tcBorders>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(541.3)</w:t>
            </w:r>
          </w:p>
        </w:tc>
        <w:tc>
          <w:tcPr>
            <w:tcW w:w="60" w:type="dxa"/>
            <w:vAlign w:val="bottom"/>
            <w:tcBorders>
              <w:right w:val="single" w:sz="8" w:color="BECE33"/>
            </w:tcBorders>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(599.8)</w:t>
            </w:r>
          </w:p>
        </w:tc>
        <w:tc>
          <w:tcPr>
            <w:tcW w:w="840" w:type="dxa"/>
            <w:vAlign w:val="bottom"/>
            <w:gridSpan w:val="2"/>
          </w:tcPr>
          <w:p>
            <w:pPr>
              <w:ind w:left="100"/>
              <w:spacing w:after="0"/>
              <w:rPr>
                <w:sz w:val="20"/>
                <w:szCs w:val="20"/>
                <w:color w:val="auto"/>
              </w:rPr>
            </w:pPr>
            <w:r>
              <w:rPr>
                <w:rFonts w:ascii="Arial" w:cs="Arial" w:eastAsia="Arial" w:hAnsi="Arial"/>
                <w:sz w:val="12"/>
                <w:szCs w:val="12"/>
                <w:color w:val="005A64"/>
              </w:rPr>
              <w:t>(2,995.0)</w:t>
            </w:r>
          </w:p>
        </w:tc>
        <w:tc>
          <w:tcPr>
            <w:tcW w:w="0" w:type="dxa"/>
            <w:vAlign w:val="bottom"/>
          </w:tcPr>
          <w:p>
            <w:pPr>
              <w:spacing w:after="0"/>
              <w:rPr>
                <w:sz w:val="1"/>
                <w:szCs w:val="1"/>
                <w:color w:val="auto"/>
              </w:rPr>
            </w:pPr>
          </w:p>
        </w:tc>
      </w:tr>
      <w:tr>
        <w:trPr>
          <w:trHeight w:val="202"/>
        </w:trPr>
        <w:tc>
          <w:tcPr>
            <w:tcW w:w="4360" w:type="dxa"/>
            <w:vAlign w:val="bottom"/>
            <w:tcBorders>
              <w:right w:val="single" w:sz="8" w:color="BECE33"/>
            </w:tcBorders>
            <w:gridSpan w:val="4"/>
          </w:tcPr>
          <w:p>
            <w:pPr>
              <w:ind w:left="20"/>
              <w:spacing w:after="0"/>
              <w:rPr>
                <w:sz w:val="20"/>
                <w:szCs w:val="20"/>
                <w:color w:val="auto"/>
              </w:rPr>
            </w:pPr>
            <w:r>
              <w:rPr>
                <w:rFonts w:ascii="Arial" w:cs="Arial" w:eastAsia="Arial" w:hAnsi="Arial"/>
                <w:sz w:val="12"/>
                <w:szCs w:val="12"/>
                <w:color w:val="005A64"/>
              </w:rPr>
              <w:t>Research and development expenses</w:t>
            </w: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(2,254.2)</w:t>
            </w:r>
          </w:p>
        </w:tc>
        <w:tc>
          <w:tcPr>
            <w:tcW w:w="60" w:type="dxa"/>
            <w:vAlign w:val="bottom"/>
            <w:tcBorders>
              <w:right w:val="single" w:sz="8" w:color="BECE33"/>
            </w:tcBorders>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(1,783.1)</w:t>
            </w:r>
          </w:p>
        </w:tc>
        <w:tc>
          <w:tcPr>
            <w:tcW w:w="840" w:type="dxa"/>
            <w:vAlign w:val="bottom"/>
            <w:gridSpan w:val="2"/>
          </w:tcPr>
          <w:p>
            <w:pPr>
              <w:ind w:left="100"/>
              <w:spacing w:after="0"/>
              <w:rPr>
                <w:sz w:val="20"/>
                <w:szCs w:val="20"/>
                <w:color w:val="auto"/>
              </w:rPr>
            </w:pPr>
            <w:r>
              <w:rPr>
                <w:rFonts w:ascii="Arial" w:cs="Arial" w:eastAsia="Arial" w:hAnsi="Arial"/>
                <w:sz w:val="12"/>
                <w:szCs w:val="12"/>
                <w:color w:val="005A64"/>
              </w:rPr>
              <w:t>(1,537.0)</w:t>
            </w:r>
          </w:p>
        </w:tc>
        <w:tc>
          <w:tcPr>
            <w:tcW w:w="0" w:type="dxa"/>
            <w:vAlign w:val="bottom"/>
          </w:tcPr>
          <w:p>
            <w:pPr>
              <w:spacing w:after="0"/>
              <w:rPr>
                <w:sz w:val="1"/>
                <w:szCs w:val="1"/>
                <w:color w:val="auto"/>
              </w:rPr>
            </w:pPr>
          </w:p>
        </w:tc>
      </w:tr>
      <w:tr>
        <w:trPr>
          <w:trHeight w:val="202"/>
        </w:trPr>
        <w:tc>
          <w:tcPr>
            <w:tcW w:w="2020" w:type="dxa"/>
            <w:vAlign w:val="bottom"/>
            <w:gridSpan w:val="2"/>
          </w:tcPr>
          <w:p>
            <w:pPr>
              <w:ind w:left="20"/>
              <w:spacing w:after="0"/>
              <w:rPr>
                <w:sz w:val="20"/>
                <w:szCs w:val="20"/>
                <w:color w:val="auto"/>
              </w:rPr>
            </w:pPr>
            <w:r>
              <w:rPr>
                <w:rFonts w:ascii="Arial" w:cs="Arial" w:eastAsia="Arial" w:hAnsi="Arial"/>
                <w:sz w:val="12"/>
                <w:szCs w:val="12"/>
                <w:color w:val="005A64"/>
              </w:rPr>
              <w:t>Sales and marketing expenses</w:t>
            </w:r>
          </w:p>
        </w:tc>
        <w:tc>
          <w:tcPr>
            <w:tcW w:w="2300" w:type="dxa"/>
            <w:vAlign w:val="bottom"/>
          </w:tcPr>
          <w:p>
            <w:pPr>
              <w:spacing w:after="0"/>
              <w:rPr>
                <w:sz w:val="17"/>
                <w:szCs w:val="17"/>
                <w:color w:val="auto"/>
              </w:rPr>
            </w:pPr>
          </w:p>
        </w:tc>
        <w:tc>
          <w:tcPr>
            <w:tcW w:w="40" w:type="dxa"/>
            <w:vAlign w:val="bottom"/>
            <w:tcBorders>
              <w:right w:val="single" w:sz="8" w:color="BECE33"/>
            </w:tcBorders>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(67.9)</w:t>
            </w:r>
          </w:p>
        </w:tc>
        <w:tc>
          <w:tcPr>
            <w:tcW w:w="60" w:type="dxa"/>
            <w:vAlign w:val="bottom"/>
            <w:tcBorders>
              <w:right w:val="single" w:sz="8" w:color="BECE33"/>
            </w:tcBorders>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(62.7)</w:t>
            </w:r>
          </w:p>
        </w:tc>
        <w:tc>
          <w:tcPr>
            <w:tcW w:w="840" w:type="dxa"/>
            <w:vAlign w:val="bottom"/>
            <w:gridSpan w:val="2"/>
          </w:tcPr>
          <w:p>
            <w:pPr>
              <w:ind w:left="100"/>
              <w:spacing w:after="0"/>
              <w:rPr>
                <w:sz w:val="20"/>
                <w:szCs w:val="20"/>
                <w:color w:val="auto"/>
              </w:rPr>
            </w:pPr>
            <w:r>
              <w:rPr>
                <w:rFonts w:ascii="Arial" w:cs="Arial" w:eastAsia="Arial" w:hAnsi="Arial"/>
                <w:sz w:val="12"/>
                <w:szCs w:val="12"/>
                <w:color w:val="005A64"/>
              </w:rPr>
              <w:t>(59.5)</w:t>
            </w:r>
          </w:p>
        </w:tc>
        <w:tc>
          <w:tcPr>
            <w:tcW w:w="0" w:type="dxa"/>
            <w:vAlign w:val="bottom"/>
          </w:tcPr>
          <w:p>
            <w:pPr>
              <w:spacing w:after="0"/>
              <w:rPr>
                <w:sz w:val="1"/>
                <w:szCs w:val="1"/>
                <w:color w:val="auto"/>
              </w:rPr>
            </w:pPr>
          </w:p>
        </w:tc>
      </w:tr>
      <w:tr>
        <w:trPr>
          <w:trHeight w:val="202"/>
        </w:trPr>
        <w:tc>
          <w:tcPr>
            <w:tcW w:w="2020" w:type="dxa"/>
            <w:vAlign w:val="bottom"/>
            <w:gridSpan w:val="2"/>
            <w:vMerge w:val="restart"/>
          </w:tcPr>
          <w:p>
            <w:pPr>
              <w:ind w:left="20"/>
              <w:spacing w:after="0"/>
              <w:rPr>
                <w:sz w:val="20"/>
                <w:szCs w:val="20"/>
                <w:color w:val="auto"/>
              </w:rPr>
            </w:pPr>
            <w:r>
              <w:rPr>
                <w:rFonts w:ascii="Arial" w:cs="Arial" w:eastAsia="Arial" w:hAnsi="Arial"/>
                <w:sz w:val="12"/>
                <w:szCs w:val="12"/>
                <w:color w:val="005A64"/>
                <w:w w:val="99"/>
              </w:rPr>
              <w:t>General and administrative expenses</w:t>
            </w:r>
          </w:p>
        </w:tc>
        <w:tc>
          <w:tcPr>
            <w:tcW w:w="2300" w:type="dxa"/>
            <w:vAlign w:val="bottom"/>
          </w:tcPr>
          <w:p>
            <w:pPr>
              <w:jc w:val="right"/>
              <w:ind w:right="2140"/>
              <w:spacing w:after="0"/>
              <w:rPr>
                <w:sz w:val="20"/>
                <w:szCs w:val="20"/>
                <w:color w:val="auto"/>
              </w:rPr>
            </w:pPr>
            <w:r>
              <w:rPr>
                <w:rFonts w:ascii="Arial" w:cs="Arial" w:eastAsia="Arial" w:hAnsi="Arial"/>
                <w:sz w:val="8"/>
                <w:szCs w:val="8"/>
                <w:color w:val="005A64"/>
              </w:rPr>
              <w:t>(1)</w:t>
            </w:r>
          </w:p>
        </w:tc>
        <w:tc>
          <w:tcPr>
            <w:tcW w:w="40" w:type="dxa"/>
            <w:vAlign w:val="bottom"/>
            <w:tcBorders>
              <w:right w:val="single" w:sz="8" w:color="BECE33"/>
            </w:tcBorders>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(531.1)</w:t>
            </w:r>
          </w:p>
        </w:tc>
        <w:tc>
          <w:tcPr>
            <w:tcW w:w="60" w:type="dxa"/>
            <w:vAlign w:val="bottom"/>
            <w:tcBorders>
              <w:right w:val="single" w:sz="8" w:color="BECE33"/>
            </w:tcBorders>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(495.0)</w:t>
            </w:r>
          </w:p>
        </w:tc>
        <w:tc>
          <w:tcPr>
            <w:tcW w:w="840" w:type="dxa"/>
            <w:vAlign w:val="bottom"/>
            <w:gridSpan w:val="2"/>
          </w:tcPr>
          <w:p>
            <w:pPr>
              <w:ind w:left="100"/>
              <w:spacing w:after="0"/>
              <w:rPr>
                <w:sz w:val="20"/>
                <w:szCs w:val="20"/>
                <w:color w:val="auto"/>
              </w:rPr>
            </w:pPr>
            <w:r>
              <w:rPr>
                <w:rFonts w:ascii="Arial" w:cs="Arial" w:eastAsia="Arial" w:hAnsi="Arial"/>
                <w:sz w:val="12"/>
                <w:szCs w:val="12"/>
                <w:color w:val="005A64"/>
              </w:rPr>
              <w:t>(481.7)</w:t>
            </w:r>
          </w:p>
        </w:tc>
        <w:tc>
          <w:tcPr>
            <w:tcW w:w="0" w:type="dxa"/>
            <w:vAlign w:val="bottom"/>
          </w:tcPr>
          <w:p>
            <w:pPr>
              <w:spacing w:after="0"/>
              <w:rPr>
                <w:sz w:val="1"/>
                <w:szCs w:val="1"/>
                <w:color w:val="auto"/>
              </w:rPr>
            </w:pPr>
          </w:p>
        </w:tc>
      </w:tr>
      <w:tr>
        <w:trPr>
          <w:trHeight w:val="51"/>
        </w:trPr>
        <w:tc>
          <w:tcPr>
            <w:tcW w:w="2020" w:type="dxa"/>
            <w:vAlign w:val="bottom"/>
            <w:gridSpan w:val="2"/>
            <w:vMerge w:val="continue"/>
          </w:tcPr>
          <w:p>
            <w:pPr>
              <w:spacing w:after="0"/>
              <w:rPr>
                <w:sz w:val="4"/>
                <w:szCs w:val="4"/>
                <w:color w:val="auto"/>
              </w:rPr>
            </w:pPr>
          </w:p>
        </w:tc>
        <w:tc>
          <w:tcPr>
            <w:tcW w:w="2300" w:type="dxa"/>
            <w:vAlign w:val="bottom"/>
          </w:tcPr>
          <w:p>
            <w:pPr>
              <w:spacing w:after="0"/>
              <w:rPr>
                <w:sz w:val="4"/>
                <w:szCs w:val="4"/>
                <w:color w:val="auto"/>
              </w:rPr>
            </w:pPr>
          </w:p>
        </w:tc>
        <w:tc>
          <w:tcPr>
            <w:tcW w:w="40" w:type="dxa"/>
            <w:vAlign w:val="bottom"/>
            <w:tcBorders>
              <w:right w:val="single" w:sz="8" w:color="BECE33"/>
            </w:tcBorders>
          </w:tcPr>
          <w:p>
            <w:pPr>
              <w:spacing w:after="0"/>
              <w:rPr>
                <w:sz w:val="4"/>
                <w:szCs w:val="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color w:val="005A64"/>
              </w:rPr>
              <w:t>(811.5)</w:t>
            </w:r>
          </w:p>
        </w:tc>
        <w:tc>
          <w:tcPr>
            <w:tcW w:w="60" w:type="dxa"/>
            <w:vAlign w:val="bottom"/>
            <w:tcBorders>
              <w:right w:val="single" w:sz="8" w:color="BECE33"/>
            </w:tcBorders>
          </w:tcPr>
          <w:p>
            <w:pPr>
              <w:spacing w:after="0"/>
              <w:rPr>
                <w:sz w:val="4"/>
                <w:szCs w:val="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color w:val="005A64"/>
              </w:rPr>
              <w:t>(293.0)</w:t>
            </w:r>
          </w:p>
        </w:tc>
        <w:tc>
          <w:tcPr>
            <w:tcW w:w="840" w:type="dxa"/>
            <w:vAlign w:val="bottom"/>
            <w:gridSpan w:val="2"/>
            <w:vMerge w:val="restart"/>
          </w:tcPr>
          <w:p>
            <w:pPr>
              <w:ind w:left="100"/>
              <w:spacing w:after="0"/>
              <w:rPr>
                <w:sz w:val="20"/>
                <w:szCs w:val="20"/>
                <w:color w:val="auto"/>
              </w:rPr>
            </w:pPr>
            <w:r>
              <w:rPr>
                <w:rFonts w:ascii="Arial" w:cs="Arial" w:eastAsia="Arial" w:hAnsi="Arial"/>
                <w:sz w:val="12"/>
                <w:szCs w:val="12"/>
                <w:color w:val="005A64"/>
              </w:rPr>
              <w:t>(410.0)</w:t>
            </w:r>
          </w:p>
        </w:tc>
        <w:tc>
          <w:tcPr>
            <w:tcW w:w="0" w:type="dxa"/>
            <w:vAlign w:val="bottom"/>
          </w:tcPr>
          <w:p>
            <w:pPr>
              <w:spacing w:after="0"/>
              <w:rPr>
                <w:sz w:val="1"/>
                <w:szCs w:val="1"/>
                <w:color w:val="auto"/>
              </w:rPr>
            </w:pPr>
          </w:p>
        </w:tc>
      </w:tr>
      <w:tr>
        <w:trPr>
          <w:trHeight w:val="152"/>
        </w:trPr>
        <w:tc>
          <w:tcPr>
            <w:tcW w:w="1420" w:type="dxa"/>
            <w:vAlign w:val="bottom"/>
            <w:vMerge w:val="restart"/>
          </w:tcPr>
          <w:p>
            <w:pPr>
              <w:ind w:left="20"/>
              <w:spacing w:after="0"/>
              <w:rPr>
                <w:sz w:val="20"/>
                <w:szCs w:val="20"/>
                <w:color w:val="auto"/>
              </w:rPr>
            </w:pPr>
            <w:r>
              <w:rPr>
                <w:rFonts w:ascii="Arial" w:cs="Arial" w:eastAsia="Arial" w:hAnsi="Arial"/>
                <w:sz w:val="12"/>
                <w:szCs w:val="12"/>
                <w:color w:val="005A64"/>
                <w:w w:val="99"/>
              </w:rPr>
              <w:t>Other operating expenses</w:t>
            </w:r>
          </w:p>
        </w:tc>
        <w:tc>
          <w:tcPr>
            <w:tcW w:w="600" w:type="dxa"/>
            <w:vAlign w:val="bottom"/>
          </w:tcPr>
          <w:p>
            <w:pPr>
              <w:jc w:val="right"/>
              <w:ind w:right="440"/>
              <w:spacing w:after="0"/>
              <w:rPr>
                <w:sz w:val="20"/>
                <w:szCs w:val="20"/>
                <w:color w:val="auto"/>
              </w:rPr>
            </w:pPr>
            <w:r>
              <w:rPr>
                <w:rFonts w:ascii="Arial" w:cs="Arial" w:eastAsia="Arial" w:hAnsi="Arial"/>
                <w:sz w:val="8"/>
                <w:szCs w:val="8"/>
                <w:color w:val="005A64"/>
              </w:rPr>
              <w:t>(1)</w:t>
            </w:r>
          </w:p>
        </w:tc>
        <w:tc>
          <w:tcPr>
            <w:tcW w:w="2300" w:type="dxa"/>
            <w:vAlign w:val="bottom"/>
          </w:tcPr>
          <w:p>
            <w:pPr>
              <w:spacing w:after="0"/>
              <w:rPr>
                <w:sz w:val="13"/>
                <w:szCs w:val="13"/>
                <w:color w:val="auto"/>
              </w:rPr>
            </w:pPr>
          </w:p>
        </w:tc>
        <w:tc>
          <w:tcPr>
            <w:tcW w:w="40" w:type="dxa"/>
            <w:vAlign w:val="bottom"/>
            <w:tcBorders>
              <w:right w:val="single" w:sz="8" w:color="BECE33"/>
            </w:tcBorders>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 w:type="dxa"/>
            <w:vAlign w:val="bottom"/>
            <w:tcBorders>
              <w:right w:val="single" w:sz="8" w:color="BECE33"/>
            </w:tcBorders>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14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300" w:type="dxa"/>
            <w:vAlign w:val="bottom"/>
          </w:tcPr>
          <w:p>
            <w:pPr>
              <w:spacing w:after="0"/>
              <w:rPr>
                <w:sz w:val="3"/>
                <w:szCs w:val="3"/>
                <w:color w:val="auto"/>
              </w:rPr>
            </w:pPr>
          </w:p>
        </w:tc>
        <w:tc>
          <w:tcPr>
            <w:tcW w:w="40" w:type="dxa"/>
            <w:vAlign w:val="bottom"/>
            <w:tcBorders>
              <w:right w:val="single" w:sz="8" w:color="BECE33"/>
            </w:tcBorders>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420" w:type="dxa"/>
            <w:vAlign w:val="bottom"/>
          </w:tcPr>
          <w:p>
            <w:pPr>
              <w:ind w:left="20"/>
              <w:spacing w:after="0"/>
              <w:rPr>
                <w:sz w:val="20"/>
                <w:szCs w:val="20"/>
                <w:color w:val="auto"/>
              </w:rPr>
            </w:pPr>
            <w:r>
              <w:rPr>
                <w:rFonts w:ascii="Arial" w:cs="Arial" w:eastAsia="Arial" w:hAnsi="Arial"/>
                <w:sz w:val="12"/>
                <w:szCs w:val="12"/>
                <w:color w:val="005A64"/>
              </w:rPr>
              <w:t>Other operating income</w:t>
            </w:r>
          </w:p>
        </w:tc>
        <w:tc>
          <w:tcPr>
            <w:tcW w:w="6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40" w:type="dxa"/>
            <w:vAlign w:val="bottom"/>
            <w:tcBorders>
              <w:right w:val="single" w:sz="8" w:color="BECE33"/>
            </w:tcBorders>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140.6</w:t>
            </w:r>
          </w:p>
        </w:tc>
        <w:tc>
          <w:tcPr>
            <w:tcW w:w="60" w:type="dxa"/>
            <w:vAlign w:val="bottom"/>
            <w:tcBorders>
              <w:right w:val="single" w:sz="8" w:color="BECE33"/>
            </w:tcBorders>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105.0</w:t>
            </w:r>
          </w:p>
        </w:tc>
        <w:tc>
          <w:tcPr>
            <w:tcW w:w="840" w:type="dxa"/>
            <w:vAlign w:val="bottom"/>
            <w:gridSpan w:val="2"/>
          </w:tcPr>
          <w:p>
            <w:pPr>
              <w:ind w:left="100"/>
              <w:spacing w:after="0"/>
              <w:rPr>
                <w:sz w:val="20"/>
                <w:szCs w:val="20"/>
                <w:color w:val="auto"/>
              </w:rPr>
            </w:pPr>
            <w:r>
              <w:rPr>
                <w:rFonts w:ascii="Arial" w:cs="Arial" w:eastAsia="Arial" w:hAnsi="Arial"/>
                <w:sz w:val="12"/>
                <w:szCs w:val="12"/>
                <w:color w:val="005A64"/>
              </w:rPr>
              <w:t>815.3</w:t>
            </w:r>
          </w:p>
        </w:tc>
        <w:tc>
          <w:tcPr>
            <w:tcW w:w="0" w:type="dxa"/>
            <w:vAlign w:val="bottom"/>
          </w:tcPr>
          <w:p>
            <w:pPr>
              <w:spacing w:after="0"/>
              <w:rPr>
                <w:sz w:val="1"/>
                <w:szCs w:val="1"/>
                <w:color w:val="auto"/>
              </w:rPr>
            </w:pPr>
          </w:p>
        </w:tc>
      </w:tr>
      <w:tr>
        <w:trPr>
          <w:trHeight w:val="208"/>
        </w:trPr>
        <w:tc>
          <w:tcPr>
            <w:tcW w:w="1420" w:type="dxa"/>
            <w:vAlign w:val="bottom"/>
          </w:tcPr>
          <w:p>
            <w:pPr>
              <w:ind w:left="20"/>
              <w:spacing w:after="0"/>
              <w:rPr>
                <w:sz w:val="20"/>
                <w:szCs w:val="20"/>
                <w:color w:val="auto"/>
              </w:rPr>
            </w:pPr>
            <w:r>
              <w:rPr>
                <w:rFonts w:ascii="Arial" w:cs="Arial" w:eastAsia="Arial" w:hAnsi="Arial"/>
                <w:sz w:val="12"/>
                <w:szCs w:val="12"/>
                <w:b w:val="1"/>
                <w:bCs w:val="1"/>
                <w:color w:val="005A64"/>
              </w:rPr>
              <w:t>Operating profit / (loss)</w:t>
            </w:r>
          </w:p>
        </w:tc>
        <w:tc>
          <w:tcPr>
            <w:tcW w:w="6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 w:type="dxa"/>
            <w:vAlign w:val="bottom"/>
            <w:tcBorders>
              <w:right w:val="single" w:sz="8" w:color="BECE33"/>
            </w:tcBorders>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005A64"/>
              </w:rPr>
              <w:t>(1,314.3)</w:t>
            </w:r>
          </w:p>
        </w:tc>
        <w:tc>
          <w:tcPr>
            <w:tcW w:w="60" w:type="dxa"/>
            <w:vAlign w:val="bottom"/>
            <w:tcBorders>
              <w:right w:val="single" w:sz="8" w:color="BECE33"/>
            </w:tcBorders>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005A64"/>
              </w:rPr>
              <w:t>690.4</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005A64"/>
              </w:rPr>
              <w:t>12,642.7</w:t>
            </w:r>
          </w:p>
        </w:tc>
        <w:tc>
          <w:tcPr>
            <w:tcW w:w="0" w:type="dxa"/>
            <w:vAlign w:val="bottom"/>
          </w:tcPr>
          <w:p>
            <w:pPr>
              <w:spacing w:after="0"/>
              <w:rPr>
                <w:sz w:val="1"/>
                <w:szCs w:val="1"/>
                <w:color w:val="auto"/>
              </w:rPr>
            </w:pPr>
          </w:p>
        </w:tc>
      </w:tr>
      <w:tr>
        <w:trPr>
          <w:trHeight w:val="47"/>
        </w:trPr>
        <w:tc>
          <w:tcPr>
            <w:tcW w:w="1420" w:type="dxa"/>
            <w:vAlign w:val="bottom"/>
            <w:tcBorders>
              <w:bottom w:val="single" w:sz="8" w:color="005A64"/>
            </w:tcBorders>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2300" w:type="dxa"/>
            <w:vAlign w:val="bottom"/>
            <w:tcBorders>
              <w:bottom w:val="single" w:sz="8" w:color="005A64"/>
            </w:tcBorders>
          </w:tcPr>
          <w:p>
            <w:pPr>
              <w:spacing w:after="0"/>
              <w:rPr>
                <w:sz w:val="4"/>
                <w:szCs w:val="4"/>
                <w:color w:val="auto"/>
              </w:rPr>
            </w:pPr>
          </w:p>
        </w:tc>
        <w:tc>
          <w:tcPr>
            <w:tcW w:w="40" w:type="dxa"/>
            <w:vAlign w:val="bottom"/>
            <w:tcBorders>
              <w:right w:val="single" w:sz="8" w:color="BECE33"/>
            </w:tcBorders>
          </w:tcPr>
          <w:p>
            <w:pPr>
              <w:spacing w:after="0"/>
              <w:rPr>
                <w:sz w:val="4"/>
                <w:szCs w:val="4"/>
                <w:color w:val="auto"/>
              </w:rPr>
            </w:pPr>
          </w:p>
        </w:tc>
        <w:tc>
          <w:tcPr>
            <w:tcW w:w="20" w:type="dxa"/>
            <w:vAlign w:val="bottom"/>
            <w:vMerge w:val="restart"/>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20" w:type="dxa"/>
            <w:vAlign w:val="bottom"/>
            <w:vMerge w:val="restart"/>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80" w:type="dxa"/>
            <w:vAlign w:val="bottom"/>
            <w:vMerge w:val="restart"/>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1420" w:type="dxa"/>
            <w:vAlign w:val="bottom"/>
          </w:tcPr>
          <w:p>
            <w:pPr>
              <w:ind w:left="20"/>
              <w:spacing w:after="0"/>
              <w:rPr>
                <w:sz w:val="20"/>
                <w:szCs w:val="20"/>
                <w:color w:val="auto"/>
              </w:rPr>
            </w:pPr>
            <w:r>
              <w:rPr>
                <w:rFonts w:ascii="Arial" w:cs="Arial" w:eastAsia="Arial" w:hAnsi="Arial"/>
                <w:sz w:val="12"/>
                <w:szCs w:val="12"/>
                <w:color w:val="005A64"/>
              </w:rPr>
              <w:t>Finance income</w:t>
            </w:r>
          </w:p>
        </w:tc>
        <w:tc>
          <w:tcPr>
            <w:tcW w:w="6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40" w:type="dxa"/>
            <w:vAlign w:val="bottom"/>
            <w:tcBorders>
              <w:right w:val="single" w:sz="8" w:color="BECE33"/>
            </w:tcBorders>
          </w:tcPr>
          <w:p>
            <w:pPr>
              <w:spacing w:after="0"/>
              <w:rPr>
                <w:sz w:val="13"/>
                <w:szCs w:val="13"/>
                <w:color w:val="auto"/>
              </w:rPr>
            </w:pPr>
          </w:p>
        </w:tc>
        <w:tc>
          <w:tcPr>
            <w:tcW w:w="2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664.0</w:t>
            </w:r>
          </w:p>
        </w:tc>
        <w:tc>
          <w:tcPr>
            <w:tcW w:w="60" w:type="dxa"/>
            <w:vAlign w:val="bottom"/>
            <w:tcBorders>
              <w:right w:val="single" w:sz="8" w:color="BECE33"/>
            </w:tcBorders>
          </w:tcPr>
          <w:p>
            <w:pPr>
              <w:spacing w:after="0"/>
              <w:rPr>
                <w:sz w:val="13"/>
                <w:szCs w:val="13"/>
                <w:color w:val="auto"/>
              </w:rPr>
            </w:pPr>
          </w:p>
        </w:tc>
        <w:tc>
          <w:tcPr>
            <w:tcW w:w="2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519.6</w:t>
            </w:r>
          </w:p>
        </w:tc>
        <w:tc>
          <w:tcPr>
            <w:tcW w:w="80" w:type="dxa"/>
            <w:vAlign w:val="bottom"/>
            <w:vMerge w:val="continue"/>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color w:val="005A64"/>
              </w:rPr>
              <w:t>330.3</w:t>
            </w:r>
          </w:p>
        </w:tc>
        <w:tc>
          <w:tcPr>
            <w:tcW w:w="0" w:type="dxa"/>
            <w:vAlign w:val="bottom"/>
          </w:tcPr>
          <w:p>
            <w:pPr>
              <w:spacing w:after="0"/>
              <w:rPr>
                <w:sz w:val="1"/>
                <w:szCs w:val="1"/>
                <w:color w:val="auto"/>
              </w:rPr>
            </w:pPr>
          </w:p>
        </w:tc>
      </w:tr>
      <w:tr>
        <w:trPr>
          <w:trHeight w:val="181"/>
        </w:trPr>
        <w:tc>
          <w:tcPr>
            <w:tcW w:w="1420" w:type="dxa"/>
            <w:vAlign w:val="bottom"/>
          </w:tcPr>
          <w:p>
            <w:pPr>
              <w:ind w:left="20"/>
              <w:spacing w:after="0"/>
              <w:rPr>
                <w:sz w:val="20"/>
                <w:szCs w:val="20"/>
                <w:color w:val="auto"/>
              </w:rPr>
            </w:pPr>
            <w:r>
              <w:rPr>
                <w:rFonts w:ascii="Arial" w:cs="Arial" w:eastAsia="Arial" w:hAnsi="Arial"/>
                <w:sz w:val="12"/>
                <w:szCs w:val="12"/>
                <w:color w:val="005A64"/>
              </w:rPr>
              <w:t>Finance expenses</w:t>
            </w:r>
          </w:p>
        </w:tc>
        <w:tc>
          <w:tcPr>
            <w:tcW w:w="6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0" w:type="dxa"/>
            <w:vAlign w:val="bottom"/>
            <w:tcBorders>
              <w:right w:val="single" w:sz="8" w:color="BECE33"/>
            </w:tcBorders>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(27.4)</w:t>
            </w:r>
          </w:p>
        </w:tc>
        <w:tc>
          <w:tcPr>
            <w:tcW w:w="60" w:type="dxa"/>
            <w:vAlign w:val="bottom"/>
            <w:tcBorders>
              <w:right w:val="single" w:sz="8" w:color="BECE33"/>
            </w:tcBorders>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(23.9)</w:t>
            </w:r>
          </w:p>
        </w:tc>
        <w:tc>
          <w:tcPr>
            <w:tcW w:w="840" w:type="dxa"/>
            <w:vAlign w:val="bottom"/>
            <w:gridSpan w:val="2"/>
          </w:tcPr>
          <w:p>
            <w:pPr>
              <w:ind w:left="100"/>
              <w:spacing w:after="0"/>
              <w:rPr>
                <w:sz w:val="20"/>
                <w:szCs w:val="20"/>
                <w:color w:val="auto"/>
              </w:rPr>
            </w:pPr>
            <w:r>
              <w:rPr>
                <w:rFonts w:ascii="Arial" w:cs="Arial" w:eastAsia="Arial" w:hAnsi="Arial"/>
                <w:sz w:val="12"/>
                <w:szCs w:val="12"/>
                <w:color w:val="005A64"/>
              </w:rPr>
              <w:t>(18.9)</w:t>
            </w:r>
          </w:p>
        </w:tc>
        <w:tc>
          <w:tcPr>
            <w:tcW w:w="0" w:type="dxa"/>
            <w:vAlign w:val="bottom"/>
          </w:tcPr>
          <w:p>
            <w:pPr>
              <w:spacing w:after="0"/>
              <w:rPr>
                <w:sz w:val="1"/>
                <w:szCs w:val="1"/>
                <w:color w:val="auto"/>
              </w:rPr>
            </w:pPr>
          </w:p>
        </w:tc>
      </w:tr>
      <w:tr>
        <w:trPr>
          <w:trHeight w:val="208"/>
        </w:trPr>
        <w:tc>
          <w:tcPr>
            <w:tcW w:w="1420" w:type="dxa"/>
            <w:vAlign w:val="bottom"/>
          </w:tcPr>
          <w:p>
            <w:pPr>
              <w:ind w:left="20"/>
              <w:spacing w:after="0"/>
              <w:rPr>
                <w:sz w:val="20"/>
                <w:szCs w:val="20"/>
                <w:color w:val="auto"/>
              </w:rPr>
            </w:pPr>
            <w:r>
              <w:rPr>
                <w:rFonts w:ascii="Arial" w:cs="Arial" w:eastAsia="Arial" w:hAnsi="Arial"/>
                <w:sz w:val="12"/>
                <w:szCs w:val="12"/>
                <w:b w:val="1"/>
                <w:bCs w:val="1"/>
                <w:color w:val="005A64"/>
                <w:w w:val="99"/>
              </w:rPr>
              <w:t>Profit / (Loss) before tax</w:t>
            </w:r>
          </w:p>
        </w:tc>
        <w:tc>
          <w:tcPr>
            <w:tcW w:w="6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 w:type="dxa"/>
            <w:vAlign w:val="bottom"/>
            <w:tcBorders>
              <w:right w:val="single" w:sz="8" w:color="BECE33"/>
            </w:tcBorders>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005A64"/>
              </w:rPr>
              <w:t>(677.7)</w:t>
            </w:r>
          </w:p>
        </w:tc>
        <w:tc>
          <w:tcPr>
            <w:tcW w:w="60" w:type="dxa"/>
            <w:vAlign w:val="bottom"/>
            <w:tcBorders>
              <w:right w:val="single" w:sz="8" w:color="BECE33"/>
            </w:tcBorders>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005A64"/>
              </w:rPr>
              <w:t>1,186.1</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005A64"/>
              </w:rPr>
              <w:t>12,954.1</w:t>
            </w:r>
          </w:p>
        </w:tc>
        <w:tc>
          <w:tcPr>
            <w:tcW w:w="0" w:type="dxa"/>
            <w:vAlign w:val="bottom"/>
          </w:tcPr>
          <w:p>
            <w:pPr>
              <w:spacing w:after="0"/>
              <w:rPr>
                <w:sz w:val="1"/>
                <w:szCs w:val="1"/>
                <w:color w:val="auto"/>
              </w:rPr>
            </w:pPr>
          </w:p>
        </w:tc>
      </w:tr>
      <w:tr>
        <w:trPr>
          <w:trHeight w:val="47"/>
        </w:trPr>
        <w:tc>
          <w:tcPr>
            <w:tcW w:w="1420" w:type="dxa"/>
            <w:vAlign w:val="bottom"/>
            <w:tcBorders>
              <w:bottom w:val="single" w:sz="8" w:color="005A64"/>
            </w:tcBorders>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2300" w:type="dxa"/>
            <w:vAlign w:val="bottom"/>
            <w:tcBorders>
              <w:bottom w:val="single" w:sz="8" w:color="005A64"/>
            </w:tcBorders>
          </w:tcPr>
          <w:p>
            <w:pPr>
              <w:spacing w:after="0"/>
              <w:rPr>
                <w:sz w:val="4"/>
                <w:szCs w:val="4"/>
                <w:color w:val="auto"/>
              </w:rPr>
            </w:pPr>
          </w:p>
        </w:tc>
        <w:tc>
          <w:tcPr>
            <w:tcW w:w="40" w:type="dxa"/>
            <w:vAlign w:val="bottom"/>
            <w:tcBorders>
              <w:right w:val="single" w:sz="8" w:color="BECE33"/>
            </w:tcBorders>
          </w:tcPr>
          <w:p>
            <w:pPr>
              <w:spacing w:after="0"/>
              <w:rPr>
                <w:sz w:val="4"/>
                <w:szCs w:val="4"/>
                <w:color w:val="auto"/>
              </w:rPr>
            </w:pPr>
          </w:p>
        </w:tc>
        <w:tc>
          <w:tcPr>
            <w:tcW w:w="20" w:type="dxa"/>
            <w:vAlign w:val="bottom"/>
            <w:vMerge w:val="restart"/>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20" w:type="dxa"/>
            <w:vAlign w:val="bottom"/>
            <w:vMerge w:val="restart"/>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80" w:type="dxa"/>
            <w:vAlign w:val="bottom"/>
            <w:vMerge w:val="restart"/>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1420" w:type="dxa"/>
            <w:vAlign w:val="bottom"/>
          </w:tcPr>
          <w:p>
            <w:pPr>
              <w:ind w:left="20"/>
              <w:spacing w:after="0"/>
              <w:rPr>
                <w:sz w:val="20"/>
                <w:szCs w:val="20"/>
                <w:color w:val="auto"/>
              </w:rPr>
            </w:pPr>
            <w:r>
              <w:rPr>
                <w:rFonts w:ascii="Arial" w:cs="Arial" w:eastAsia="Arial" w:hAnsi="Arial"/>
                <w:sz w:val="12"/>
                <w:szCs w:val="12"/>
                <w:color w:val="005A64"/>
              </w:rPr>
              <w:t>Income taxes</w:t>
            </w:r>
          </w:p>
        </w:tc>
        <w:tc>
          <w:tcPr>
            <w:tcW w:w="6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40" w:type="dxa"/>
            <w:vAlign w:val="bottom"/>
            <w:tcBorders>
              <w:right w:val="single" w:sz="8" w:color="BECE33"/>
            </w:tcBorders>
          </w:tcPr>
          <w:p>
            <w:pPr>
              <w:spacing w:after="0"/>
              <w:rPr>
                <w:sz w:val="13"/>
                <w:szCs w:val="13"/>
                <w:color w:val="auto"/>
              </w:rPr>
            </w:pPr>
          </w:p>
        </w:tc>
        <w:tc>
          <w:tcPr>
            <w:tcW w:w="2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12.4</w:t>
            </w:r>
          </w:p>
        </w:tc>
        <w:tc>
          <w:tcPr>
            <w:tcW w:w="60" w:type="dxa"/>
            <w:vAlign w:val="bottom"/>
            <w:tcBorders>
              <w:right w:val="single" w:sz="8" w:color="BECE33"/>
            </w:tcBorders>
          </w:tcPr>
          <w:p>
            <w:pPr>
              <w:spacing w:after="0"/>
              <w:rPr>
                <w:sz w:val="13"/>
                <w:szCs w:val="13"/>
                <w:color w:val="auto"/>
              </w:rPr>
            </w:pPr>
          </w:p>
        </w:tc>
        <w:tc>
          <w:tcPr>
            <w:tcW w:w="2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(255.8)</w:t>
            </w:r>
          </w:p>
        </w:tc>
        <w:tc>
          <w:tcPr>
            <w:tcW w:w="80" w:type="dxa"/>
            <w:vAlign w:val="bottom"/>
            <w:vMerge w:val="continue"/>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color w:val="005A64"/>
              </w:rPr>
              <w:t>(3,519.7)</w:t>
            </w:r>
          </w:p>
        </w:tc>
        <w:tc>
          <w:tcPr>
            <w:tcW w:w="0" w:type="dxa"/>
            <w:vAlign w:val="bottom"/>
          </w:tcPr>
          <w:p>
            <w:pPr>
              <w:spacing w:after="0"/>
              <w:rPr>
                <w:sz w:val="1"/>
                <w:szCs w:val="1"/>
                <w:color w:val="auto"/>
              </w:rPr>
            </w:pPr>
          </w:p>
        </w:tc>
      </w:tr>
      <w:tr>
        <w:trPr>
          <w:trHeight w:val="187"/>
        </w:trPr>
        <w:tc>
          <w:tcPr>
            <w:tcW w:w="1420" w:type="dxa"/>
            <w:vAlign w:val="bottom"/>
          </w:tcPr>
          <w:p>
            <w:pPr>
              <w:ind w:left="20"/>
              <w:spacing w:after="0"/>
              <w:rPr>
                <w:sz w:val="20"/>
                <w:szCs w:val="20"/>
                <w:color w:val="auto"/>
              </w:rPr>
            </w:pPr>
            <w:r>
              <w:rPr>
                <w:rFonts w:ascii="Arial" w:cs="Arial" w:eastAsia="Arial" w:hAnsi="Arial"/>
                <w:sz w:val="12"/>
                <w:szCs w:val="12"/>
                <w:b w:val="1"/>
                <w:bCs w:val="1"/>
                <w:color w:val="005A64"/>
              </w:rPr>
              <w:t>Net profit / (loss)</w:t>
            </w:r>
          </w:p>
        </w:tc>
        <w:tc>
          <w:tcPr>
            <w:tcW w:w="6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 w:type="dxa"/>
            <w:vAlign w:val="bottom"/>
            <w:tcBorders>
              <w:right w:val="single" w:sz="8" w:color="BECE33"/>
            </w:tcBorders>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005A64"/>
              </w:rPr>
              <w:t>(665.3)</w:t>
            </w:r>
          </w:p>
        </w:tc>
        <w:tc>
          <w:tcPr>
            <w:tcW w:w="60" w:type="dxa"/>
            <w:vAlign w:val="bottom"/>
            <w:tcBorders>
              <w:right w:val="single" w:sz="8" w:color="BECE33"/>
            </w:tcBorders>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005A64"/>
              </w:rPr>
              <w:t>930.3</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005A64"/>
              </w:rPr>
              <w:t>9,434.4</w:t>
            </w:r>
          </w:p>
        </w:tc>
        <w:tc>
          <w:tcPr>
            <w:tcW w:w="0" w:type="dxa"/>
            <w:vAlign w:val="bottom"/>
          </w:tcPr>
          <w:p>
            <w:pPr>
              <w:spacing w:after="0"/>
              <w:rPr>
                <w:sz w:val="1"/>
                <w:szCs w:val="1"/>
                <w:color w:val="auto"/>
              </w:rPr>
            </w:pPr>
          </w:p>
        </w:tc>
      </w:tr>
      <w:tr>
        <w:trPr>
          <w:trHeight w:val="47"/>
        </w:trPr>
        <w:tc>
          <w:tcPr>
            <w:tcW w:w="2020" w:type="dxa"/>
            <w:vAlign w:val="bottom"/>
            <w:tcBorders>
              <w:bottom w:val="single" w:sz="8" w:color="005A64"/>
            </w:tcBorders>
            <w:gridSpan w:val="2"/>
          </w:tcPr>
          <w:p>
            <w:pPr>
              <w:spacing w:after="0"/>
              <w:rPr>
                <w:sz w:val="4"/>
                <w:szCs w:val="4"/>
                <w:color w:val="auto"/>
              </w:rPr>
            </w:pPr>
          </w:p>
        </w:tc>
        <w:tc>
          <w:tcPr>
            <w:tcW w:w="2300" w:type="dxa"/>
            <w:vAlign w:val="bottom"/>
            <w:tcBorders>
              <w:bottom w:val="single" w:sz="8" w:color="005A64"/>
            </w:tcBorders>
          </w:tcPr>
          <w:p>
            <w:pPr>
              <w:spacing w:after="0"/>
              <w:rPr>
                <w:sz w:val="4"/>
                <w:szCs w:val="4"/>
                <w:color w:val="auto"/>
              </w:rPr>
            </w:pPr>
          </w:p>
        </w:tc>
        <w:tc>
          <w:tcPr>
            <w:tcW w:w="40" w:type="dxa"/>
            <w:vAlign w:val="bottom"/>
            <w:tcBorders>
              <w:right w:val="single" w:sz="8" w:color="BECE33"/>
            </w:tcBorders>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20" w:type="dxa"/>
            <w:vAlign w:val="bottom"/>
            <w:gridSpan w:val="2"/>
          </w:tcPr>
          <w:p>
            <w:pPr>
              <w:ind w:left="20"/>
              <w:spacing w:after="0"/>
              <w:rPr>
                <w:sz w:val="20"/>
                <w:szCs w:val="20"/>
                <w:color w:val="auto"/>
              </w:rPr>
            </w:pPr>
            <w:r>
              <w:rPr>
                <w:rFonts w:ascii="Arial" w:cs="Arial" w:eastAsia="Arial" w:hAnsi="Arial"/>
                <w:sz w:val="12"/>
                <w:szCs w:val="12"/>
                <w:b w:val="1"/>
                <w:bCs w:val="1"/>
                <w:color w:val="3C9673"/>
              </w:rPr>
              <w:t>Earnings / (Loss) per share</w:t>
            </w:r>
          </w:p>
        </w:tc>
        <w:tc>
          <w:tcPr>
            <w:tcW w:w="2300" w:type="dxa"/>
            <w:vAlign w:val="bottom"/>
          </w:tcPr>
          <w:p>
            <w:pPr>
              <w:spacing w:after="0"/>
              <w:rPr>
                <w:sz w:val="13"/>
                <w:szCs w:val="13"/>
                <w:color w:val="auto"/>
              </w:rPr>
            </w:pPr>
          </w:p>
        </w:tc>
        <w:tc>
          <w:tcPr>
            <w:tcW w:w="40" w:type="dxa"/>
            <w:vAlign w:val="bottom"/>
            <w:tcBorders>
              <w:right w:val="single" w:sz="8" w:color="BECE33"/>
            </w:tcBorders>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Borders>
              <w:right w:val="single" w:sz="8" w:color="BECE33"/>
            </w:tcBorders>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20" w:type="dxa"/>
            <w:vAlign w:val="bottom"/>
            <w:gridSpan w:val="2"/>
          </w:tcPr>
          <w:p>
            <w:pPr>
              <w:ind w:left="20"/>
              <w:spacing w:after="0"/>
              <w:rPr>
                <w:sz w:val="20"/>
                <w:szCs w:val="20"/>
                <w:color w:val="auto"/>
              </w:rPr>
            </w:pPr>
            <w:r>
              <w:rPr>
                <w:rFonts w:ascii="Arial" w:cs="Arial" w:eastAsia="Arial" w:hAnsi="Arial"/>
                <w:sz w:val="12"/>
                <w:szCs w:val="12"/>
                <w:color w:val="005A64"/>
              </w:rPr>
              <w:t>Basic earnings / (loss) per share</w:t>
            </w:r>
          </w:p>
        </w:tc>
        <w:tc>
          <w:tcPr>
            <w:tcW w:w="2300" w:type="dxa"/>
            <w:vAlign w:val="bottom"/>
          </w:tcPr>
          <w:p>
            <w:pPr>
              <w:spacing w:after="0"/>
              <w:rPr>
                <w:sz w:val="15"/>
                <w:szCs w:val="15"/>
                <w:color w:val="auto"/>
              </w:rPr>
            </w:pPr>
          </w:p>
        </w:tc>
        <w:tc>
          <w:tcPr>
            <w:tcW w:w="40" w:type="dxa"/>
            <w:vAlign w:val="bottom"/>
            <w:tcBorders>
              <w:right w:val="single" w:sz="8" w:color="BECE33"/>
            </w:tcBorders>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(2.77)</w:t>
            </w:r>
          </w:p>
        </w:tc>
        <w:tc>
          <w:tcPr>
            <w:tcW w:w="60" w:type="dxa"/>
            <w:vAlign w:val="bottom"/>
            <w:tcBorders>
              <w:right w:val="single" w:sz="8" w:color="BECE33"/>
            </w:tcBorders>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3.87</w:t>
            </w:r>
          </w:p>
        </w:tc>
        <w:tc>
          <w:tcPr>
            <w:tcW w:w="840" w:type="dxa"/>
            <w:vAlign w:val="bottom"/>
            <w:gridSpan w:val="2"/>
          </w:tcPr>
          <w:p>
            <w:pPr>
              <w:ind w:left="100"/>
              <w:spacing w:after="0"/>
              <w:rPr>
                <w:sz w:val="20"/>
                <w:szCs w:val="20"/>
                <w:color w:val="auto"/>
              </w:rPr>
            </w:pPr>
            <w:r>
              <w:rPr>
                <w:rFonts w:ascii="Arial" w:cs="Arial" w:eastAsia="Arial" w:hAnsi="Arial"/>
                <w:sz w:val="12"/>
                <w:szCs w:val="12"/>
                <w:color w:val="005A64"/>
              </w:rPr>
              <w:t>38.78</w:t>
            </w:r>
          </w:p>
        </w:tc>
        <w:tc>
          <w:tcPr>
            <w:tcW w:w="0" w:type="dxa"/>
            <w:vAlign w:val="bottom"/>
          </w:tcPr>
          <w:p>
            <w:pPr>
              <w:spacing w:after="0"/>
              <w:rPr>
                <w:sz w:val="1"/>
                <w:szCs w:val="1"/>
                <w:color w:val="auto"/>
              </w:rPr>
            </w:pPr>
          </w:p>
        </w:tc>
      </w:tr>
      <w:tr>
        <w:trPr>
          <w:trHeight w:val="202"/>
        </w:trPr>
        <w:tc>
          <w:tcPr>
            <w:tcW w:w="2020" w:type="dxa"/>
            <w:vAlign w:val="bottom"/>
            <w:gridSpan w:val="2"/>
          </w:tcPr>
          <w:p>
            <w:pPr>
              <w:ind w:left="20"/>
              <w:spacing w:after="0"/>
              <w:rPr>
                <w:sz w:val="20"/>
                <w:szCs w:val="20"/>
                <w:color w:val="auto"/>
              </w:rPr>
            </w:pPr>
            <w:r>
              <w:rPr>
                <w:rFonts w:ascii="Arial" w:cs="Arial" w:eastAsia="Arial" w:hAnsi="Arial"/>
                <w:sz w:val="12"/>
                <w:szCs w:val="12"/>
                <w:color w:val="005A64"/>
              </w:rPr>
              <w:t>Diluted earnings / (loss) per share</w:t>
            </w:r>
          </w:p>
        </w:tc>
        <w:tc>
          <w:tcPr>
            <w:tcW w:w="2300" w:type="dxa"/>
            <w:vAlign w:val="bottom"/>
          </w:tcPr>
          <w:p>
            <w:pPr>
              <w:spacing w:after="0"/>
              <w:rPr>
                <w:sz w:val="17"/>
                <w:szCs w:val="17"/>
                <w:color w:val="auto"/>
              </w:rPr>
            </w:pPr>
          </w:p>
        </w:tc>
        <w:tc>
          <w:tcPr>
            <w:tcW w:w="40" w:type="dxa"/>
            <w:vAlign w:val="bottom"/>
            <w:tcBorders>
              <w:right w:val="single" w:sz="8" w:color="BECE33"/>
            </w:tcBorders>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(2.77)</w:t>
            </w:r>
          </w:p>
        </w:tc>
        <w:tc>
          <w:tcPr>
            <w:tcW w:w="60" w:type="dxa"/>
            <w:vAlign w:val="bottom"/>
            <w:tcBorders>
              <w:right w:val="single" w:sz="8" w:color="BECE33"/>
            </w:tcBorders>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3.83</w:t>
            </w:r>
          </w:p>
        </w:tc>
        <w:tc>
          <w:tcPr>
            <w:tcW w:w="840" w:type="dxa"/>
            <w:vAlign w:val="bottom"/>
            <w:gridSpan w:val="2"/>
          </w:tcPr>
          <w:p>
            <w:pPr>
              <w:ind w:left="100"/>
              <w:spacing w:after="0"/>
              <w:rPr>
                <w:sz w:val="20"/>
                <w:szCs w:val="20"/>
                <w:color w:val="auto"/>
              </w:rPr>
            </w:pPr>
            <w:r>
              <w:rPr>
                <w:rFonts w:ascii="Arial" w:cs="Arial" w:eastAsia="Arial" w:hAnsi="Arial"/>
                <w:sz w:val="12"/>
                <w:szCs w:val="12"/>
                <w:color w:val="005A64"/>
              </w:rPr>
              <w:t>37.77</w:t>
            </w:r>
          </w:p>
        </w:tc>
        <w:tc>
          <w:tcPr>
            <w:tcW w:w="0" w:type="dxa"/>
            <w:vAlign w:val="bottom"/>
          </w:tcPr>
          <w:p>
            <w:pPr>
              <w:spacing w:after="0"/>
              <w:rPr>
                <w:sz w:val="1"/>
                <w:szCs w:val="1"/>
                <w:color w:val="auto"/>
              </w:rPr>
            </w:pPr>
          </w:p>
        </w:tc>
      </w:tr>
      <w:tr>
        <w:trPr>
          <w:trHeight w:val="53"/>
        </w:trPr>
        <w:tc>
          <w:tcPr>
            <w:tcW w:w="1420" w:type="dxa"/>
            <w:vAlign w:val="bottom"/>
            <w:tcBorders>
              <w:bottom w:val="single" w:sz="8" w:color="005A64"/>
            </w:tcBorders>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2300" w:type="dxa"/>
            <w:vAlign w:val="bottom"/>
            <w:tcBorders>
              <w:bottom w:val="single" w:sz="8" w:color="005A64"/>
            </w:tcBorders>
          </w:tcPr>
          <w:p>
            <w:pPr>
              <w:spacing w:after="0"/>
              <w:rPr>
                <w:sz w:val="4"/>
                <w:szCs w:val="4"/>
                <w:color w:val="auto"/>
              </w:rPr>
            </w:pPr>
          </w:p>
        </w:tc>
        <w:tc>
          <w:tcPr>
            <w:tcW w:w="40" w:type="dxa"/>
            <w:vAlign w:val="bottom"/>
            <w:tcBorders>
              <w:right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74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80" w:right="2060" w:firstLine="3"/>
        <w:spacing w:after="0" w:line="190" w:lineRule="auto"/>
        <w:tabs>
          <w:tab w:leader="none" w:pos="582" w:val="left"/>
        </w:tabs>
        <w:numPr>
          <w:ilvl w:val="0"/>
          <w:numId w:val="22"/>
        </w:numPr>
        <w:rPr>
          <w:rFonts w:ascii="Arial" w:cs="Arial" w:eastAsia="Arial" w:hAnsi="Arial"/>
          <w:sz w:val="16"/>
          <w:szCs w:val="16"/>
          <w:color w:val="005A64"/>
          <w:vertAlign w:val="superscript"/>
        </w:rPr>
      </w:pPr>
      <w:r>
        <w:rPr>
          <w:rFonts w:ascii="Arial" w:cs="Arial" w:eastAsia="Arial" w:hAnsi="Arial"/>
          <w:sz w:val="12"/>
          <w:szCs w:val="12"/>
          <w:color w:val="005A64"/>
        </w:rPr>
        <w:t>Adjustments to the year 2022 figures due to change in functional allocation of general and administrative expenses and other operating expenses.</w:t>
      </w:r>
    </w:p>
    <w:p>
      <w:pPr>
        <w:ind w:left="380" w:right="3060"/>
        <w:spacing w:after="0" w:line="210" w:lineRule="auto"/>
        <w:rPr>
          <w:rFonts w:ascii="Arial" w:cs="Arial" w:eastAsia="Arial" w:hAnsi="Arial"/>
          <w:sz w:val="16"/>
          <w:szCs w:val="16"/>
          <w:color w:val="005A64"/>
          <w:vertAlign w:val="superscript"/>
        </w:rPr>
      </w:pPr>
      <w:r>
        <w:rPr>
          <w:rFonts w:ascii="Arial" w:cs="Arial" w:eastAsia="Arial" w:hAnsi="Arial"/>
          <w:sz w:val="13"/>
          <w:szCs w:val="13"/>
          <w:b w:val="1"/>
          <w:bCs w:val="1"/>
          <w:color w:val="005A64"/>
        </w:rPr>
        <w:t xml:space="preserve">Comparison of the year ended December 31, 2024 and the year ended December 31, 2023 </w:t>
      </w:r>
      <w:r>
        <w:rPr>
          <w:rFonts w:ascii="Arial" w:cs="Arial" w:eastAsia="Arial" w:hAnsi="Arial"/>
          <w:sz w:val="13"/>
          <w:szCs w:val="13"/>
          <w:color w:val="005A64"/>
        </w:rPr>
        <w:t>Revenues</w:t>
      </w:r>
    </w:p>
    <w:p>
      <w:pPr>
        <w:spacing w:after="0" w:line="1" w:lineRule="exact"/>
        <w:rPr>
          <w:rFonts w:ascii="Arial" w:cs="Arial" w:eastAsia="Arial" w:hAnsi="Arial"/>
          <w:sz w:val="16"/>
          <w:szCs w:val="16"/>
          <w:color w:val="005A64"/>
          <w:vertAlign w:val="superscript"/>
        </w:rPr>
      </w:pPr>
    </w:p>
    <w:p>
      <w:pPr>
        <w:ind w:left="380"/>
        <w:spacing w:after="0"/>
        <w:rPr>
          <w:rFonts w:ascii="Arial" w:cs="Arial" w:eastAsia="Arial" w:hAnsi="Arial"/>
          <w:sz w:val="16"/>
          <w:szCs w:val="16"/>
          <w:color w:val="005A64"/>
          <w:vertAlign w:val="superscript"/>
        </w:rPr>
      </w:pPr>
      <w:r>
        <w:rPr>
          <w:rFonts w:ascii="Arial" w:cs="Arial" w:eastAsia="Arial" w:hAnsi="Arial"/>
          <w:sz w:val="13"/>
          <w:szCs w:val="13"/>
          <w:color w:val="auto"/>
        </w:rPr>
        <w:t>The following is a summary of revenues recognized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-5715</wp:posOffset>
            </wp:positionV>
            <wp:extent cx="4281170" cy="12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281170" cy="12700"/>
                    </a:xfrm>
                    <a:prstGeom prst="rect">
                      <a:avLst/>
                    </a:prstGeom>
                    <a:noFill/>
                  </pic:spPr>
                </pic:pic>
              </a:graphicData>
            </a:graphic>
          </wp:anchor>
        </w:drawing>
      </w:r>
    </w:p>
    <w:p>
      <w:pPr>
        <w:spacing w:after="0" w:line="34"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3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005A64"/>
              </w:rPr>
              <w:t>Years ended</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005A64"/>
              </w:rPr>
              <w:t>Change</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005A64"/>
                <w:w w:val="97"/>
              </w:rPr>
              <w:t>December 31,</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20" w:type="dxa"/>
            <w:vAlign w:val="bottom"/>
            <w:gridSpan w:val="2"/>
            <w:vMerge w:val="restart"/>
          </w:tcPr>
          <w:p>
            <w:pPr>
              <w:ind w:left="20"/>
              <w:spacing w:after="0"/>
              <w:rPr>
                <w:sz w:val="20"/>
                <w:szCs w:val="20"/>
                <w:color w:val="auto"/>
              </w:rPr>
            </w:pPr>
            <w:r>
              <w:rPr>
                <w:rFonts w:ascii="Arial" w:cs="Arial" w:eastAsia="Arial" w:hAnsi="Arial"/>
                <w:sz w:val="12"/>
                <w:szCs w:val="12"/>
                <w:i w:val="1"/>
                <w:iCs w:val="1"/>
                <w:color w:val="005A64"/>
              </w:rPr>
              <w:t>(in millions €)</w:t>
            </w:r>
          </w:p>
        </w:tc>
        <w:tc>
          <w:tcPr>
            <w:tcW w:w="40" w:type="dxa"/>
            <w:vAlign w:val="bottom"/>
            <w:tcBorders>
              <w:bottom w:val="single" w:sz="8" w:color="BECE33"/>
            </w:tcBorders>
          </w:tcPr>
          <w:p>
            <w:pPr>
              <w:spacing w:after="0"/>
              <w:rPr>
                <w:sz w:val="11"/>
                <w:szCs w:val="11"/>
                <w:color w:val="auto"/>
              </w:rPr>
            </w:pPr>
          </w:p>
        </w:tc>
        <w:tc>
          <w:tcPr>
            <w:tcW w:w="740" w:type="dxa"/>
            <w:vAlign w:val="bottom"/>
            <w:tcBorders>
              <w:bottom w:val="single" w:sz="8" w:color="BECE33"/>
            </w:tcBorders>
          </w:tcPr>
          <w:p>
            <w:pPr>
              <w:spacing w:after="0"/>
              <w:rPr>
                <w:sz w:val="11"/>
                <w:szCs w:val="11"/>
                <w:color w:val="auto"/>
              </w:rPr>
            </w:pPr>
          </w:p>
        </w:tc>
        <w:tc>
          <w:tcPr>
            <w:tcW w:w="40" w:type="dxa"/>
            <w:vAlign w:val="bottom"/>
            <w:tcBorders>
              <w:bottom w:val="single" w:sz="8" w:color="BECE33"/>
            </w:tcBorders>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005A64"/>
              </w:rPr>
              <w:t>2023</w:t>
            </w:r>
          </w:p>
        </w:tc>
        <w:tc>
          <w:tcPr>
            <w:tcW w:w="40" w:type="dxa"/>
            <w:vAlign w:val="bottom"/>
            <w:vMerge w:val="restart"/>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005A64"/>
              </w:rPr>
              <w:t>€</w:t>
            </w: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005A64"/>
              </w:rPr>
              <w:t>%</w:t>
            </w:r>
          </w:p>
        </w:tc>
        <w:tc>
          <w:tcPr>
            <w:tcW w:w="0" w:type="dxa"/>
            <w:vAlign w:val="bottom"/>
          </w:tcPr>
          <w:p>
            <w:pPr>
              <w:spacing w:after="0"/>
              <w:rPr>
                <w:sz w:val="1"/>
                <w:szCs w:val="1"/>
                <w:color w:val="auto"/>
              </w:rPr>
            </w:pPr>
          </w:p>
        </w:tc>
      </w:tr>
      <w:tr>
        <w:trPr>
          <w:trHeight w:val="156"/>
        </w:trPr>
        <w:tc>
          <w:tcPr>
            <w:tcW w:w="3520" w:type="dxa"/>
            <w:vAlign w:val="bottom"/>
            <w:gridSpan w:val="2"/>
            <w:vMerge w:val="continue"/>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50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40" w:type="dxa"/>
            <w:vAlign w:val="bottom"/>
            <w:vMerge w:val="restart"/>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80" w:type="dxa"/>
            <w:vAlign w:val="bottom"/>
            <w:vMerge w:val="restart"/>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500" w:type="dxa"/>
            <w:vAlign w:val="bottom"/>
          </w:tcPr>
          <w:p>
            <w:pPr>
              <w:ind w:left="20"/>
              <w:spacing w:after="0"/>
              <w:rPr>
                <w:sz w:val="20"/>
                <w:szCs w:val="20"/>
                <w:color w:val="auto"/>
              </w:rPr>
            </w:pPr>
            <w:r>
              <w:rPr>
                <w:rFonts w:ascii="Arial" w:cs="Arial" w:eastAsia="Arial" w:hAnsi="Arial"/>
                <w:sz w:val="12"/>
                <w:szCs w:val="12"/>
                <w:color w:val="005A64"/>
              </w:rPr>
              <w:t>COVID-19 vaccine revenues</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2,432.1</w:t>
            </w:r>
          </w:p>
        </w:tc>
        <w:tc>
          <w:tcPr>
            <w:tcW w:w="4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005A64"/>
              </w:rPr>
              <w:t>3,776.2</w:t>
            </w:r>
          </w:p>
        </w:tc>
        <w:tc>
          <w:tcPr>
            <w:tcW w:w="40" w:type="dxa"/>
            <w:vAlign w:val="bottom"/>
            <w:vMerge w:val="continue"/>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color w:val="005A64"/>
              </w:rPr>
              <w:t>(1,344.1)</w:t>
            </w:r>
          </w:p>
        </w:tc>
        <w:tc>
          <w:tcPr>
            <w:tcW w:w="8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(36)</w:t>
            </w:r>
          </w:p>
        </w:tc>
        <w:tc>
          <w:tcPr>
            <w:tcW w:w="0" w:type="dxa"/>
            <w:vAlign w:val="bottom"/>
          </w:tcPr>
          <w:p>
            <w:pPr>
              <w:spacing w:after="0"/>
              <w:rPr>
                <w:sz w:val="1"/>
                <w:szCs w:val="1"/>
                <w:color w:val="auto"/>
              </w:rPr>
            </w:pPr>
          </w:p>
        </w:tc>
      </w:tr>
      <w:tr>
        <w:trPr>
          <w:trHeight w:val="181"/>
        </w:trPr>
        <w:tc>
          <w:tcPr>
            <w:tcW w:w="3520" w:type="dxa"/>
            <w:vAlign w:val="bottom"/>
            <w:gridSpan w:val="2"/>
          </w:tcPr>
          <w:p>
            <w:pPr>
              <w:ind w:left="20"/>
              <w:spacing w:after="0"/>
              <w:rPr>
                <w:sz w:val="20"/>
                <w:szCs w:val="20"/>
                <w:color w:val="auto"/>
              </w:rPr>
            </w:pPr>
            <w:r>
              <w:rPr>
                <w:rFonts w:ascii="Arial" w:cs="Arial" w:eastAsia="Arial" w:hAnsi="Arial"/>
                <w:sz w:val="12"/>
                <w:szCs w:val="12"/>
                <w:color w:val="005A64"/>
              </w:rPr>
              <w:t>Other revenues</w:t>
            </w:r>
          </w:p>
        </w:tc>
        <w:tc>
          <w:tcPr>
            <w:tcW w:w="780" w:type="dxa"/>
            <w:vAlign w:val="bottom"/>
            <w:gridSpan w:val="2"/>
          </w:tcPr>
          <w:p>
            <w:pPr>
              <w:ind w:left="40"/>
              <w:spacing w:after="0"/>
              <w:rPr>
                <w:sz w:val="20"/>
                <w:szCs w:val="20"/>
                <w:color w:val="auto"/>
              </w:rPr>
            </w:pPr>
            <w:r>
              <w:rPr>
                <w:rFonts w:ascii="Arial" w:cs="Arial" w:eastAsia="Arial" w:hAnsi="Arial"/>
                <w:sz w:val="12"/>
                <w:szCs w:val="12"/>
                <w:color w:val="005A64"/>
              </w:rPr>
              <w:t>319.0</w:t>
            </w:r>
          </w:p>
        </w:tc>
        <w:tc>
          <w:tcPr>
            <w:tcW w:w="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color w:val="005A64"/>
              </w:rPr>
              <w:t>42.8</w:t>
            </w:r>
          </w:p>
        </w:tc>
        <w:tc>
          <w:tcPr>
            <w:tcW w:w="800" w:type="dxa"/>
            <w:vAlign w:val="bottom"/>
            <w:gridSpan w:val="2"/>
          </w:tcPr>
          <w:p>
            <w:pPr>
              <w:ind w:left="60"/>
              <w:spacing w:after="0"/>
              <w:rPr>
                <w:sz w:val="20"/>
                <w:szCs w:val="20"/>
                <w:color w:val="auto"/>
              </w:rPr>
            </w:pPr>
            <w:r>
              <w:rPr>
                <w:rFonts w:ascii="Arial" w:cs="Arial" w:eastAsia="Arial" w:hAnsi="Arial"/>
                <w:sz w:val="12"/>
                <w:szCs w:val="12"/>
                <w:color w:val="005A64"/>
              </w:rPr>
              <w:t>276.2</w:t>
            </w:r>
          </w:p>
        </w:tc>
        <w:tc>
          <w:tcPr>
            <w:tcW w:w="820" w:type="dxa"/>
            <w:vAlign w:val="bottom"/>
            <w:gridSpan w:val="2"/>
          </w:tcPr>
          <w:p>
            <w:pPr>
              <w:ind w:left="80"/>
              <w:spacing w:after="0"/>
              <w:rPr>
                <w:sz w:val="20"/>
                <w:szCs w:val="20"/>
                <w:color w:val="auto"/>
              </w:rPr>
            </w:pPr>
            <w:r>
              <w:rPr>
                <w:rFonts w:ascii="Arial" w:cs="Arial" w:eastAsia="Arial" w:hAnsi="Arial"/>
                <w:sz w:val="12"/>
                <w:szCs w:val="12"/>
                <w:color w:val="005A64"/>
              </w:rPr>
              <w:t>645</w:t>
            </w:r>
          </w:p>
        </w:tc>
        <w:tc>
          <w:tcPr>
            <w:tcW w:w="0" w:type="dxa"/>
            <w:vAlign w:val="bottom"/>
          </w:tcPr>
          <w:p>
            <w:pPr>
              <w:spacing w:after="0"/>
              <w:rPr>
                <w:sz w:val="1"/>
                <w:szCs w:val="1"/>
                <w:color w:val="auto"/>
              </w:rPr>
            </w:pPr>
          </w:p>
        </w:tc>
      </w:tr>
      <w:tr>
        <w:trPr>
          <w:trHeight w:val="208"/>
        </w:trPr>
        <w:tc>
          <w:tcPr>
            <w:tcW w:w="352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 revenues</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005A64"/>
              </w:rPr>
              <w:t>2,751.1</w:t>
            </w:r>
          </w:p>
        </w:tc>
        <w:tc>
          <w:tcPr>
            <w:tcW w:w="4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005A64"/>
              </w:rPr>
              <w:t>3,819.0</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005A64"/>
              </w:rPr>
              <w:t>(1,067.9)</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005A64"/>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-483235</wp:posOffset>
            </wp:positionV>
            <wp:extent cx="526415" cy="5200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6415" cy="520065"/>
                    </a:xfrm>
                    <a:prstGeom prst="rect">
                      <a:avLst/>
                    </a:prstGeom>
                    <a:noFill/>
                  </pic:spPr>
                </pic:pic>
              </a:graphicData>
            </a:graphic>
          </wp:anchor>
        </w:drawing>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3"/>
          <w:szCs w:val="13"/>
          <w:color w:val="005A64"/>
        </w:rPr>
        <w:t>COVID-19 vaccine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428117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281170" cy="6350"/>
                    </a:xfrm>
                    <a:prstGeom prst="rect">
                      <a:avLst/>
                    </a:prstGeom>
                    <a:noFill/>
                  </pic:spPr>
                </pic:pic>
              </a:graphicData>
            </a:graphic>
          </wp:anchor>
        </w:drawing>
      </w:r>
    </w:p>
    <w:p>
      <w:pPr>
        <w:ind w:left="380" w:right="2120"/>
        <w:spacing w:after="0" w:line="218" w:lineRule="auto"/>
        <w:rPr>
          <w:sz w:val="20"/>
          <w:szCs w:val="20"/>
          <w:color w:val="auto"/>
        </w:rPr>
      </w:pPr>
      <w:r>
        <w:rPr>
          <w:rFonts w:ascii="Arial" w:cs="Arial" w:eastAsia="Arial" w:hAnsi="Arial"/>
          <w:sz w:val="13"/>
          <w:szCs w:val="13"/>
          <w:color w:val="auto"/>
        </w:rPr>
        <w:t>During the year ended December 31, 2024, COVID-19 vaccines revenues were recognized from the supply and sales of our COVID-19 vaccine worldwide, mainly comprising our share of the collaboration partner’s gross profit derived from sales in the collaboration partner’s territory. During the year ended December 31, 2024, our commercial revenues decreased as compared to the year ended December 31, 2023, in line with a lower COVID-19 vaccine market demand. In addition, write -downs by our collaboration partner Pfizer, significantly reduced our gross profit share and hence negatively influenced our revenues for the year ended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190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640"/>
        <w:spacing w:after="0" w:line="220" w:lineRule="auto"/>
        <w:rPr>
          <w:sz w:val="20"/>
          <w:szCs w:val="20"/>
          <w:color w:val="auto"/>
        </w:rPr>
      </w:pPr>
      <w:r>
        <w:rPr>
          <w:rFonts w:ascii="Arial" w:cs="Arial" w:eastAsia="Arial" w:hAnsi="Arial"/>
          <w:sz w:val="13"/>
          <w:szCs w:val="13"/>
          <w:color w:val="auto"/>
        </w:rPr>
        <w:t>2024. Our COVID-19 vaccine revenues are subject to seasonal effects in the fall / winter of the northern hemisphere.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color w:val="005A64"/>
        </w:rPr>
        <w:t>Other revenues</w:t>
      </w:r>
    </w:p>
    <w:p>
      <w:pPr>
        <w:ind w:left="380" w:right="2160"/>
        <w:spacing w:after="0" w:line="210" w:lineRule="auto"/>
        <w:rPr>
          <w:sz w:val="20"/>
          <w:szCs w:val="20"/>
          <w:color w:val="auto"/>
        </w:rPr>
      </w:pPr>
      <w:r>
        <w:rPr>
          <w:rFonts w:ascii="Arial" w:cs="Arial" w:eastAsia="Arial" w:hAnsi="Arial"/>
          <w:sz w:val="13"/>
          <w:szCs w:val="13"/>
          <w:color w:val="auto"/>
        </w:rPr>
        <w:t>During the year ended December 31, 2024, our other revenues were mainly derived from a pandemic preparedness contract with the German government effectively supplemented in the three months ended March 31, 2024.</w:t>
      </w:r>
    </w:p>
    <w:p>
      <w:pPr>
        <w:ind w:left="380"/>
        <w:spacing w:after="0" w:line="213" w:lineRule="auto"/>
        <w:rPr>
          <w:sz w:val="20"/>
          <w:szCs w:val="20"/>
          <w:color w:val="auto"/>
        </w:rPr>
      </w:pPr>
      <w:r>
        <w:rPr>
          <w:rFonts w:ascii="Arial" w:cs="Arial" w:eastAsia="Arial" w:hAnsi="Arial"/>
          <w:sz w:val="13"/>
          <w:szCs w:val="13"/>
          <w:color w:val="005A64"/>
        </w:rPr>
        <w:t>Cost of Sales</w:t>
      </w:r>
    </w:p>
    <w:p>
      <w:pPr>
        <w:spacing w:after="0" w:line="1"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 xml:space="preserve">From the year ended December 31, 2023, to the year ended December 31, 2024, cost of sales decreased by €58.5 million, or 10%, from €599.8 million to €541.3 million, mainly due to recognizing lower cost of sales from our decreased COVID-19 vaccine sales, which included the share of gross profit that we owe our collaboration partner Pfizer based on our sales. In addition, cost of sales was impacted by expenses arising from inventory write-downs and scrapings in the context of the launch of our variant adapted COVID-19 vaccine in the amount of €125.8 million during the year ended December 31, 2024 (€94.5 million for year ended December 31, 2023). </w:t>
      </w:r>
      <w:r>
        <w:rPr>
          <w:rFonts w:ascii="Arial" w:cs="Arial" w:eastAsia="Arial" w:hAnsi="Arial"/>
          <w:sz w:val="13"/>
          <w:szCs w:val="13"/>
          <w:color w:val="005A64"/>
        </w:rPr>
        <w:t>Research and Development Expenses</w:t>
      </w:r>
    </w:p>
    <w:p>
      <w:pPr>
        <w:spacing w:after="0" w:line="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following table summarizes our research and development expenses for the periods indicated:</w:t>
      </w:r>
    </w:p>
    <w:p>
      <w:pPr>
        <w:sectPr>
          <w:pgSz w:w="11900" w:h="16840" w:orient="portrait"/>
          <w:cols w:equalWidth="0" w:num="1">
            <w:col w:w="9020"/>
          </w:cols>
          <w:pgMar w:left="1440" w:top="1440" w:right="1440" w:bottom="816" w:gutter="0" w:footer="0" w:header="0"/>
        </w:sectPr>
      </w:pPr>
    </w:p>
    <w:bookmarkStart w:id="132" w:name="page133"/>
    <w:bookmarkEnd w:id="132"/>
    <w:tbl>
      <w:tblPr>
        <w:tblLayout w:type="fixed"/>
        <w:tblInd w:w="380" w:type="dxa"/>
        <w:tblCellMar>
          <w:top w:w="0" w:type="dxa"/>
          <w:left w:w="0" w:type="dxa"/>
          <w:bottom w:w="0" w:type="dxa"/>
          <w:right w:w="0" w:type="dxa"/>
        </w:tblCellMar>
      </w:tblPr>
      <w:tr>
        <w:trPr>
          <w:trHeight w:val="138"/>
        </w:trPr>
        <w:tc>
          <w:tcPr>
            <w:tcW w:w="3560" w:type="dxa"/>
            <w:vAlign w:val="bottom"/>
          </w:tcPr>
          <w:p>
            <w:pPr>
              <w:spacing w:after="0"/>
              <w:rPr>
                <w:sz w:val="12"/>
                <w:szCs w:val="12"/>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005A64"/>
              </w:rPr>
              <w:t>Years ended</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005A64"/>
              </w:rPr>
              <w:t>Change</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5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005A64"/>
                <w:w w:val="97"/>
              </w:rPr>
              <w:t>December 31,</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60" w:type="dxa"/>
            <w:vAlign w:val="bottom"/>
            <w:vMerge w:val="restart"/>
          </w:tcPr>
          <w:p>
            <w:pPr>
              <w:ind w:left="20"/>
              <w:spacing w:after="0"/>
              <w:rPr>
                <w:sz w:val="20"/>
                <w:szCs w:val="20"/>
                <w:color w:val="auto"/>
              </w:rPr>
            </w:pPr>
            <w:r>
              <w:rPr>
                <w:rFonts w:ascii="Arial" w:cs="Arial" w:eastAsia="Arial" w:hAnsi="Arial"/>
                <w:sz w:val="12"/>
                <w:szCs w:val="12"/>
                <w:i w:val="1"/>
                <w:iCs w:val="1"/>
                <w:color w:val="005A64"/>
              </w:rPr>
              <w:t>(in millions €)</w:t>
            </w:r>
          </w:p>
        </w:tc>
        <w:tc>
          <w:tcPr>
            <w:tcW w:w="740" w:type="dxa"/>
            <w:vAlign w:val="bottom"/>
            <w:tcBorders>
              <w:bottom w:val="single" w:sz="8" w:color="BECD32"/>
            </w:tcBorders>
          </w:tcPr>
          <w:p>
            <w:pPr>
              <w:spacing w:after="0"/>
              <w:rPr>
                <w:sz w:val="11"/>
                <w:szCs w:val="11"/>
                <w:color w:val="auto"/>
              </w:rPr>
            </w:pPr>
          </w:p>
        </w:tc>
        <w:tc>
          <w:tcPr>
            <w:tcW w:w="60" w:type="dxa"/>
            <w:vAlign w:val="bottom"/>
            <w:tcBorders>
              <w:bottom w:val="single" w:sz="8" w:color="BECD32"/>
            </w:tcBorders>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005A64"/>
              </w:rPr>
              <w:t>2023</w:t>
            </w:r>
          </w:p>
        </w:tc>
        <w:tc>
          <w:tcPr>
            <w:tcW w:w="40" w:type="dxa"/>
            <w:vAlign w:val="bottom"/>
            <w:vMerge w:val="restart"/>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005A64"/>
              </w:rPr>
              <w:t>€</w:t>
            </w: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005A64"/>
              </w:rPr>
              <w:t>%</w:t>
            </w:r>
          </w:p>
        </w:tc>
        <w:tc>
          <w:tcPr>
            <w:tcW w:w="0" w:type="dxa"/>
            <w:vAlign w:val="bottom"/>
          </w:tcPr>
          <w:p>
            <w:pPr>
              <w:spacing w:after="0"/>
              <w:rPr>
                <w:sz w:val="1"/>
                <w:szCs w:val="1"/>
                <w:color w:val="auto"/>
              </w:rPr>
            </w:pPr>
          </w:p>
        </w:tc>
      </w:tr>
      <w:tr>
        <w:trPr>
          <w:trHeight w:val="156"/>
        </w:trPr>
        <w:tc>
          <w:tcPr>
            <w:tcW w:w="356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005A64"/>
              </w:rPr>
              <w:t>2024</w:t>
            </w:r>
          </w:p>
        </w:tc>
        <w:tc>
          <w:tcPr>
            <w:tcW w:w="60" w:type="dxa"/>
            <w:vAlign w:val="bottom"/>
            <w:tcBorders>
              <w:right w:val="single" w:sz="8" w:color="BECD32"/>
            </w:tcBorders>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560" w:type="dxa"/>
            <w:vAlign w:val="bottom"/>
            <w:tcBorders>
              <w:bottom w:val="single" w:sz="8" w:color="005A64"/>
            </w:tcBorders>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60" w:type="dxa"/>
            <w:vAlign w:val="bottom"/>
            <w:tcBorders>
              <w:right w:val="single" w:sz="8" w:color="BECD32"/>
            </w:tcBorders>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40" w:type="dxa"/>
            <w:vAlign w:val="bottom"/>
            <w:vMerge w:val="restart"/>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80" w:type="dxa"/>
            <w:vAlign w:val="bottom"/>
            <w:vMerge w:val="restart"/>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560" w:type="dxa"/>
            <w:vAlign w:val="bottom"/>
          </w:tcPr>
          <w:p>
            <w:pPr>
              <w:ind w:left="20"/>
              <w:spacing w:after="0"/>
              <w:rPr>
                <w:sz w:val="20"/>
                <w:szCs w:val="20"/>
                <w:color w:val="auto"/>
              </w:rPr>
            </w:pPr>
            <w:r>
              <w:rPr>
                <w:rFonts w:ascii="Arial" w:cs="Arial" w:eastAsia="Arial" w:hAnsi="Arial"/>
                <w:sz w:val="12"/>
                <w:szCs w:val="12"/>
                <w:color w:val="005A64"/>
              </w:rPr>
              <w:t>Non-COVID-19 vaccine</w:t>
            </w:r>
          </w:p>
        </w:tc>
        <w:tc>
          <w:tcPr>
            <w:tcW w:w="740" w:type="dxa"/>
            <w:vAlign w:val="bottom"/>
          </w:tcPr>
          <w:p>
            <w:pPr>
              <w:spacing w:after="0"/>
              <w:rPr>
                <w:sz w:val="20"/>
                <w:szCs w:val="20"/>
                <w:color w:val="auto"/>
              </w:rPr>
            </w:pPr>
            <w:r>
              <w:rPr>
                <w:rFonts w:ascii="Arial" w:cs="Arial" w:eastAsia="Arial" w:hAnsi="Arial"/>
                <w:sz w:val="12"/>
                <w:szCs w:val="12"/>
                <w:color w:val="005A64"/>
              </w:rPr>
              <w:t>2,018.2</w:t>
            </w:r>
          </w:p>
        </w:tc>
        <w:tc>
          <w:tcPr>
            <w:tcW w:w="60" w:type="dxa"/>
            <w:vAlign w:val="bottom"/>
            <w:tcBorders>
              <w:right w:val="single" w:sz="8" w:color="BECD32"/>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005A64"/>
              </w:rPr>
              <w:t>1,470.1</w:t>
            </w:r>
          </w:p>
        </w:tc>
        <w:tc>
          <w:tcPr>
            <w:tcW w:w="40" w:type="dxa"/>
            <w:vAlign w:val="bottom"/>
            <w:vMerge w:val="continue"/>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color w:val="005A64"/>
              </w:rPr>
              <w:t>548.1</w:t>
            </w:r>
          </w:p>
        </w:tc>
        <w:tc>
          <w:tcPr>
            <w:tcW w:w="8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37</w:t>
            </w:r>
          </w:p>
        </w:tc>
        <w:tc>
          <w:tcPr>
            <w:tcW w:w="0" w:type="dxa"/>
            <w:vAlign w:val="bottom"/>
          </w:tcPr>
          <w:p>
            <w:pPr>
              <w:spacing w:after="0"/>
              <w:rPr>
                <w:sz w:val="1"/>
                <w:szCs w:val="1"/>
                <w:color w:val="auto"/>
              </w:rPr>
            </w:pPr>
          </w:p>
        </w:tc>
      </w:tr>
      <w:tr>
        <w:trPr>
          <w:trHeight w:val="181"/>
        </w:trPr>
        <w:tc>
          <w:tcPr>
            <w:tcW w:w="3560" w:type="dxa"/>
            <w:vAlign w:val="bottom"/>
          </w:tcPr>
          <w:p>
            <w:pPr>
              <w:ind w:left="20"/>
              <w:spacing w:after="0"/>
              <w:rPr>
                <w:sz w:val="20"/>
                <w:szCs w:val="20"/>
                <w:color w:val="auto"/>
              </w:rPr>
            </w:pPr>
            <w:r>
              <w:rPr>
                <w:rFonts w:ascii="Arial" w:cs="Arial" w:eastAsia="Arial" w:hAnsi="Arial"/>
                <w:sz w:val="12"/>
                <w:szCs w:val="12"/>
                <w:color w:val="005A64"/>
              </w:rPr>
              <w:t>COVID-19 vaccine</w:t>
            </w:r>
          </w:p>
        </w:tc>
        <w:tc>
          <w:tcPr>
            <w:tcW w:w="740" w:type="dxa"/>
            <w:vAlign w:val="bottom"/>
          </w:tcPr>
          <w:p>
            <w:pPr>
              <w:spacing w:after="0"/>
              <w:rPr>
                <w:sz w:val="20"/>
                <w:szCs w:val="20"/>
                <w:color w:val="auto"/>
              </w:rPr>
            </w:pPr>
            <w:r>
              <w:rPr>
                <w:rFonts w:ascii="Arial" w:cs="Arial" w:eastAsia="Arial" w:hAnsi="Arial"/>
                <w:sz w:val="12"/>
                <w:szCs w:val="12"/>
                <w:color w:val="005A64"/>
              </w:rPr>
              <w:t>236.0</w:t>
            </w:r>
          </w:p>
        </w:tc>
        <w:tc>
          <w:tcPr>
            <w:tcW w:w="60" w:type="dxa"/>
            <w:vAlign w:val="bottom"/>
            <w:tcBorders>
              <w:right w:val="single" w:sz="8" w:color="BECD32"/>
            </w:tcBorders>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color w:val="005A64"/>
              </w:rPr>
              <w:t>313.0</w:t>
            </w:r>
          </w:p>
        </w:tc>
        <w:tc>
          <w:tcPr>
            <w:tcW w:w="800" w:type="dxa"/>
            <w:vAlign w:val="bottom"/>
            <w:gridSpan w:val="2"/>
          </w:tcPr>
          <w:p>
            <w:pPr>
              <w:ind w:left="60"/>
              <w:spacing w:after="0"/>
              <w:rPr>
                <w:sz w:val="20"/>
                <w:szCs w:val="20"/>
                <w:color w:val="auto"/>
              </w:rPr>
            </w:pPr>
            <w:r>
              <w:rPr>
                <w:rFonts w:ascii="Arial" w:cs="Arial" w:eastAsia="Arial" w:hAnsi="Arial"/>
                <w:sz w:val="12"/>
                <w:szCs w:val="12"/>
                <w:color w:val="005A64"/>
              </w:rPr>
              <w:t>(77.0)</w:t>
            </w:r>
          </w:p>
        </w:tc>
        <w:tc>
          <w:tcPr>
            <w:tcW w:w="820" w:type="dxa"/>
            <w:vAlign w:val="bottom"/>
            <w:gridSpan w:val="2"/>
          </w:tcPr>
          <w:p>
            <w:pPr>
              <w:ind w:left="80"/>
              <w:spacing w:after="0"/>
              <w:rPr>
                <w:sz w:val="20"/>
                <w:szCs w:val="20"/>
                <w:color w:val="auto"/>
              </w:rPr>
            </w:pPr>
            <w:r>
              <w:rPr>
                <w:rFonts w:ascii="Arial" w:cs="Arial" w:eastAsia="Arial" w:hAnsi="Arial"/>
                <w:sz w:val="12"/>
                <w:szCs w:val="12"/>
                <w:color w:val="005A64"/>
              </w:rPr>
              <w:t>(25)</w:t>
            </w:r>
          </w:p>
        </w:tc>
        <w:tc>
          <w:tcPr>
            <w:tcW w:w="0" w:type="dxa"/>
            <w:vAlign w:val="bottom"/>
          </w:tcPr>
          <w:p>
            <w:pPr>
              <w:spacing w:after="0"/>
              <w:rPr>
                <w:sz w:val="1"/>
                <w:szCs w:val="1"/>
                <w:color w:val="auto"/>
              </w:rPr>
            </w:pPr>
          </w:p>
        </w:tc>
      </w:tr>
      <w:tr>
        <w:trPr>
          <w:trHeight w:val="255"/>
        </w:trPr>
        <w:tc>
          <w:tcPr>
            <w:tcW w:w="3560" w:type="dxa"/>
            <w:vAlign w:val="bottom"/>
          </w:tcPr>
          <w:p>
            <w:pPr>
              <w:ind w:left="20"/>
              <w:spacing w:after="0"/>
              <w:rPr>
                <w:sz w:val="20"/>
                <w:szCs w:val="20"/>
                <w:color w:val="auto"/>
              </w:rPr>
            </w:pPr>
            <w:r>
              <w:rPr>
                <w:rFonts w:ascii="Arial" w:cs="Arial" w:eastAsia="Arial" w:hAnsi="Arial"/>
                <w:sz w:val="12"/>
                <w:szCs w:val="12"/>
                <w:b w:val="1"/>
                <w:bCs w:val="1"/>
                <w:color w:val="005A64"/>
              </w:rPr>
              <w:t>Total research and development expenses</w:t>
            </w:r>
          </w:p>
        </w:tc>
        <w:tc>
          <w:tcPr>
            <w:tcW w:w="740" w:type="dxa"/>
            <w:vAlign w:val="bottom"/>
          </w:tcPr>
          <w:p>
            <w:pPr>
              <w:spacing w:after="0"/>
              <w:rPr>
                <w:sz w:val="20"/>
                <w:szCs w:val="20"/>
                <w:color w:val="auto"/>
              </w:rPr>
            </w:pPr>
            <w:r>
              <w:rPr>
                <w:rFonts w:ascii="Arial" w:cs="Arial" w:eastAsia="Arial" w:hAnsi="Arial"/>
                <w:sz w:val="12"/>
                <w:szCs w:val="12"/>
                <w:b w:val="1"/>
                <w:bCs w:val="1"/>
                <w:color w:val="005A64"/>
              </w:rPr>
              <w:t>2,254.2</w:t>
            </w:r>
          </w:p>
        </w:tc>
        <w:tc>
          <w:tcPr>
            <w:tcW w:w="60" w:type="dxa"/>
            <w:vAlign w:val="bottom"/>
            <w:tcBorders>
              <w:right w:val="single" w:sz="8" w:color="BECD32"/>
            </w:tcBorders>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005A64"/>
              </w:rPr>
              <w:t>1,783.1</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005A64"/>
              </w:rPr>
              <w:t>471.1</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005A64"/>
              </w:rPr>
              <w:t>26</w:t>
            </w:r>
          </w:p>
        </w:tc>
        <w:tc>
          <w:tcPr>
            <w:tcW w:w="0" w:type="dxa"/>
            <w:vAlign w:val="bottom"/>
          </w:tcPr>
          <w:p>
            <w:pPr>
              <w:spacing w:after="0"/>
              <w:rPr>
                <w:sz w:val="1"/>
                <w:szCs w:val="1"/>
                <w:color w:val="auto"/>
              </w:rPr>
            </w:pPr>
          </w:p>
        </w:tc>
      </w:tr>
      <w:tr>
        <w:trPr>
          <w:trHeight w:val="20"/>
        </w:trPr>
        <w:tc>
          <w:tcPr>
            <w:tcW w:w="3560" w:type="dxa"/>
            <w:vAlign w:val="bottom"/>
            <w:tcBorders>
              <w:right w:val="single" w:sz="8" w:color="BECE33"/>
            </w:tcBorders>
            <w:shd w:val="clear" w:color="auto" w:fill="005A64"/>
          </w:tcPr>
          <w:p>
            <w:pPr>
              <w:spacing w:after="0" w:line="20" w:lineRule="exact"/>
              <w:rPr>
                <w:sz w:val="1"/>
                <w:szCs w:val="1"/>
                <w:color w:val="auto"/>
              </w:rPr>
            </w:pPr>
          </w:p>
        </w:tc>
        <w:tc>
          <w:tcPr>
            <w:tcW w:w="740" w:type="dxa"/>
            <w:vAlign w:val="bottom"/>
            <w:shd w:val="clear" w:color="auto" w:fill="BECE33"/>
          </w:tcPr>
          <w:p>
            <w:pPr>
              <w:spacing w:after="0" w:line="20" w:lineRule="exact"/>
              <w:rPr>
                <w:sz w:val="1"/>
                <w:szCs w:val="1"/>
                <w:color w:val="auto"/>
              </w:rPr>
            </w:pPr>
          </w:p>
        </w:tc>
        <w:tc>
          <w:tcPr>
            <w:tcW w:w="60" w:type="dxa"/>
            <w:vAlign w:val="bottom"/>
            <w:tcBorders>
              <w:right w:val="single" w:sz="8" w:color="BECE33"/>
            </w:tcBorders>
            <w:shd w:val="clear" w:color="auto" w:fill="BECE3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5A6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5A6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5A6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hanging="197"/>
        <w:spacing w:after="0" w:line="214" w:lineRule="auto"/>
        <w:tabs>
          <w:tab w:leader="none" w:pos="580" w:val="left"/>
        </w:tabs>
        <w:numPr>
          <w:ilvl w:val="0"/>
          <w:numId w:val="23"/>
        </w:numPr>
        <w:rPr>
          <w:rFonts w:ascii="Arial" w:cs="Arial" w:eastAsia="Arial" w:hAnsi="Arial"/>
          <w:sz w:val="16"/>
          <w:szCs w:val="16"/>
          <w:color w:val="005A64"/>
          <w:vertAlign w:val="superscript"/>
        </w:rPr>
      </w:pPr>
      <w:r>
        <w:rPr>
          <w:rFonts w:ascii="Arial" w:cs="Arial" w:eastAsia="Arial" w:hAnsi="Arial"/>
          <w:sz w:val="12"/>
          <w:szCs w:val="12"/>
          <w:color w:val="005A64"/>
        </w:rPr>
        <w:drawing>
          <wp:anchor simplePos="0" relativeHeight="251657728" behindDoc="1" locked="0" layoutInCell="0" allowOverlap="1">
            <wp:simplePos x="0" y="0"/>
            <wp:positionH relativeFrom="page">
              <wp:posOffset>1157605</wp:posOffset>
            </wp:positionH>
            <wp:positionV relativeFrom="page">
              <wp:posOffset>361950</wp:posOffset>
            </wp:positionV>
            <wp:extent cx="4281170"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281170" cy="12700"/>
                    </a:xfrm>
                    <a:prstGeom prst="rect">
                      <a:avLst/>
                    </a:prstGeom>
                    <a:noFill/>
                  </pic:spPr>
                </pic:pic>
              </a:graphicData>
            </a:graphic>
          </wp:anchor>
        </w:drawing>
        <w:t>Break-down as per internal cost allocation logic.</w:t>
      </w:r>
    </w:p>
    <w:p>
      <w:pPr>
        <w:ind w:left="380" w:right="2080"/>
        <w:spacing w:after="0" w:line="210" w:lineRule="auto"/>
        <w:rPr>
          <w:sz w:val="20"/>
          <w:szCs w:val="20"/>
          <w:color w:val="auto"/>
        </w:rPr>
      </w:pPr>
      <w:r>
        <w:rPr>
          <w:rFonts w:ascii="Arial" w:cs="Arial" w:eastAsia="Arial" w:hAnsi="Arial"/>
          <w:sz w:val="13"/>
          <w:szCs w:val="13"/>
          <w:color w:val="auto"/>
        </w:rPr>
        <w:t>From the year ended December 31, 2023, to the year ended December 31, 2024, our research and development expenses increased by €471.1 million, or 26%, from €1,783.1 million to €2,254.2 million, mainly influenced by advancing key pipeline candidates, such as our ADC antibody and individualized cancer -immunotherapy product candidates. Further contributions to the increase came from higher personnel expenses resulting from an increase in headcount.</w:t>
      </w:r>
    </w:p>
    <w:p>
      <w:pPr>
        <w:ind w:left="380"/>
        <w:spacing w:after="0" w:line="215" w:lineRule="auto"/>
        <w:rPr>
          <w:sz w:val="20"/>
          <w:szCs w:val="20"/>
          <w:color w:val="auto"/>
        </w:rPr>
      </w:pPr>
      <w:r>
        <w:rPr>
          <w:rFonts w:ascii="Arial" w:cs="Arial" w:eastAsia="Arial" w:hAnsi="Arial"/>
          <w:sz w:val="13"/>
          <w:szCs w:val="13"/>
          <w:color w:val="005A64"/>
        </w:rPr>
        <w:t>Sales and Marketing Expenses</w:t>
      </w:r>
    </w:p>
    <w:p>
      <w:pPr>
        <w:ind w:left="380" w:right="2100"/>
        <w:spacing w:after="0" w:line="210" w:lineRule="auto"/>
        <w:rPr>
          <w:sz w:val="20"/>
          <w:szCs w:val="20"/>
          <w:color w:val="auto"/>
        </w:rPr>
      </w:pPr>
      <w:r>
        <w:rPr>
          <w:rFonts w:ascii="Arial" w:cs="Arial" w:eastAsia="Arial" w:hAnsi="Arial"/>
          <w:sz w:val="13"/>
          <w:szCs w:val="13"/>
          <w:color w:val="auto"/>
        </w:rPr>
        <w:t>From the year ended December 31, 2023, to the year ended December 31, 2024, our sales and marketing expenses increased by €5.2 million, or 8%, from €62.7 million to €67.9 million, mainly due to increased expenses for setup and enhancement of commercial IT platforms and an increase in personnel expenses resulting from an increase in headcount.</w:t>
      </w:r>
    </w:p>
    <w:p>
      <w:pPr>
        <w:ind w:left="380"/>
        <w:spacing w:after="0" w:line="214" w:lineRule="auto"/>
        <w:rPr>
          <w:sz w:val="20"/>
          <w:szCs w:val="20"/>
          <w:color w:val="auto"/>
        </w:rPr>
      </w:pPr>
      <w:r>
        <w:rPr>
          <w:rFonts w:ascii="Arial" w:cs="Arial" w:eastAsia="Arial" w:hAnsi="Arial"/>
          <w:sz w:val="13"/>
          <w:szCs w:val="13"/>
          <w:color w:val="005A64"/>
        </w:rPr>
        <w:t>General and Administrative Expenses</w:t>
      </w:r>
    </w:p>
    <w:p>
      <w:pPr>
        <w:ind w:left="380" w:right="2080"/>
        <w:spacing w:after="0" w:line="210" w:lineRule="auto"/>
        <w:rPr>
          <w:sz w:val="20"/>
          <w:szCs w:val="20"/>
          <w:color w:val="auto"/>
        </w:rPr>
      </w:pPr>
      <w:r>
        <w:rPr>
          <w:rFonts w:ascii="Arial" w:cs="Arial" w:eastAsia="Arial" w:hAnsi="Arial"/>
          <w:sz w:val="13"/>
          <w:szCs w:val="13"/>
          <w:color w:val="auto"/>
        </w:rPr>
        <w:t>From the year ended December 31, 2023, to the year ended December 31, 2024, our general and administrative expenses increased by €36.1 million, or 7%, from €495.0 million to €531.1 million, mainly influenced by increased expenses for IT services as well as by an increase in personnel expenses resulting from an increase in headcount.</w:t>
      </w:r>
    </w:p>
    <w:p>
      <w:pPr>
        <w:ind w:left="380"/>
        <w:spacing w:after="0" w:line="214" w:lineRule="auto"/>
        <w:rPr>
          <w:sz w:val="20"/>
          <w:szCs w:val="20"/>
          <w:color w:val="auto"/>
        </w:rPr>
      </w:pPr>
      <w:r>
        <w:rPr>
          <w:rFonts w:ascii="Arial" w:cs="Arial" w:eastAsia="Arial" w:hAnsi="Arial"/>
          <w:sz w:val="13"/>
          <w:szCs w:val="13"/>
          <w:color w:val="005A64"/>
        </w:rPr>
        <w:t>Other Operating Result</w:t>
      </w:r>
    </w:p>
    <w:p>
      <w:pPr>
        <w:jc w:val="both"/>
        <w:ind w:left="380" w:right="2140"/>
        <w:spacing w:after="0" w:line="226" w:lineRule="auto"/>
        <w:rPr>
          <w:sz w:val="20"/>
          <w:szCs w:val="20"/>
          <w:color w:val="auto"/>
        </w:rPr>
      </w:pPr>
      <w:r>
        <w:rPr>
          <w:rFonts w:ascii="Arial" w:cs="Arial" w:eastAsia="Arial" w:hAnsi="Arial"/>
          <w:sz w:val="13"/>
          <w:szCs w:val="13"/>
          <w:color w:val="auto"/>
        </w:rPr>
        <w:t>From the year ended December 31, 2023, to the year ended December 31, 2024, our other result decreased by €482.9 million, or 257%, from negative €188.0 million to a negative result of € 670.9 million. The decreased other operating result was mainly due to the settlement of contractual disputes and related expenses to such disputes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191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300"/>
        <w:spacing w:after="0" w:line="220" w:lineRule="auto"/>
        <w:rPr>
          <w:sz w:val="20"/>
          <w:szCs w:val="20"/>
          <w:color w:val="auto"/>
        </w:rPr>
      </w:pPr>
      <w:r>
        <w:rPr>
          <w:rFonts w:ascii="Arial" w:cs="Arial" w:eastAsia="Arial" w:hAnsi="Arial"/>
          <w:sz w:val="13"/>
          <w:szCs w:val="13"/>
          <w:color w:val="auto"/>
        </w:rPr>
        <w:t>and other litigations. The amounts shown for contractual disputes are net of the related reimbursements to be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color w:val="005A64"/>
        </w:rPr>
        <w:t>Finance Result</w:t>
      </w:r>
    </w:p>
    <w:p>
      <w:pPr>
        <w:ind w:left="380" w:right="2080"/>
        <w:spacing w:after="0" w:line="210" w:lineRule="auto"/>
        <w:rPr>
          <w:sz w:val="20"/>
          <w:szCs w:val="20"/>
          <w:color w:val="auto"/>
        </w:rPr>
      </w:pPr>
      <w:r>
        <w:rPr>
          <w:rFonts w:ascii="Arial" w:cs="Arial" w:eastAsia="Arial" w:hAnsi="Arial"/>
          <w:sz w:val="13"/>
          <w:szCs w:val="13"/>
          <w:color w:val="auto"/>
        </w:rPr>
        <w:t>From the year ended December 31, 2023, to the year ended December 31, 2024, our total financial result increased by €140.9 million from a positive financial result of €495.7 million to a positive financial result of €636.6 million, which was driven by interest income earned on security investments as bonds, commercial paper, reverse repos and deposits as well as fair value adjustments in relation to our money market funds.</w:t>
      </w:r>
    </w:p>
    <w:p>
      <w:pPr>
        <w:ind w:left="380"/>
        <w:spacing w:after="0" w:line="214" w:lineRule="auto"/>
        <w:rPr>
          <w:sz w:val="20"/>
          <w:szCs w:val="20"/>
          <w:color w:val="auto"/>
        </w:rPr>
      </w:pPr>
      <w:r>
        <w:rPr>
          <w:rFonts w:ascii="Arial" w:cs="Arial" w:eastAsia="Arial" w:hAnsi="Arial"/>
          <w:sz w:val="13"/>
          <w:szCs w:val="13"/>
          <w:b w:val="1"/>
          <w:bCs w:val="1"/>
          <w:color w:val="auto"/>
        </w:rPr>
        <w:t>Income Taxes</w:t>
      </w:r>
    </w:p>
    <w:p>
      <w:pPr>
        <w:ind w:left="380"/>
        <w:spacing w:after="0"/>
        <w:rPr>
          <w:sz w:val="20"/>
          <w:szCs w:val="20"/>
          <w:color w:val="auto"/>
        </w:rPr>
      </w:pPr>
      <w:r>
        <w:rPr>
          <w:rFonts w:ascii="Arial" w:cs="Arial" w:eastAsia="Arial" w:hAnsi="Arial"/>
          <w:sz w:val="13"/>
          <w:szCs w:val="13"/>
          <w:color w:val="auto"/>
        </w:rPr>
        <w:t>The following table summarizes our income taxes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-5715</wp:posOffset>
            </wp:positionV>
            <wp:extent cx="4281170" cy="127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281170" cy="12700"/>
                    </a:xfrm>
                    <a:prstGeom prst="rect">
                      <a:avLst/>
                    </a:prstGeom>
                    <a:noFill/>
                  </pic:spPr>
                </pic:pic>
              </a:graphicData>
            </a:graphic>
          </wp:anchor>
        </w:drawing>
      </w:r>
    </w:p>
    <w:p>
      <w:pPr>
        <w:spacing w:after="0" w:line="34"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3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005A64"/>
              </w:rPr>
              <w:t>Years ended</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005A64"/>
              </w:rPr>
              <w:t>Change</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005A64"/>
                <w:w w:val="97"/>
              </w:rPr>
              <w:t>December 31,</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20" w:type="dxa"/>
            <w:vAlign w:val="bottom"/>
            <w:gridSpan w:val="2"/>
            <w:vMerge w:val="restart"/>
          </w:tcPr>
          <w:p>
            <w:pPr>
              <w:ind w:left="20"/>
              <w:spacing w:after="0"/>
              <w:rPr>
                <w:sz w:val="20"/>
                <w:szCs w:val="20"/>
                <w:color w:val="auto"/>
              </w:rPr>
            </w:pPr>
            <w:r>
              <w:rPr>
                <w:rFonts w:ascii="Arial" w:cs="Arial" w:eastAsia="Arial" w:hAnsi="Arial"/>
                <w:sz w:val="12"/>
                <w:szCs w:val="12"/>
                <w:i w:val="1"/>
                <w:iCs w:val="1"/>
                <w:color w:val="005A64"/>
              </w:rPr>
              <w:t>(in millions €)</w:t>
            </w:r>
          </w:p>
        </w:tc>
        <w:tc>
          <w:tcPr>
            <w:tcW w:w="40" w:type="dxa"/>
            <w:vAlign w:val="bottom"/>
            <w:tcBorders>
              <w:bottom w:val="single" w:sz="8" w:color="BECE33"/>
            </w:tcBorders>
          </w:tcPr>
          <w:p>
            <w:pPr>
              <w:spacing w:after="0"/>
              <w:rPr>
                <w:sz w:val="11"/>
                <w:szCs w:val="11"/>
                <w:color w:val="auto"/>
              </w:rPr>
            </w:pPr>
          </w:p>
        </w:tc>
        <w:tc>
          <w:tcPr>
            <w:tcW w:w="740" w:type="dxa"/>
            <w:vAlign w:val="bottom"/>
            <w:tcBorders>
              <w:bottom w:val="single" w:sz="8" w:color="BECE33"/>
            </w:tcBorders>
          </w:tcPr>
          <w:p>
            <w:pPr>
              <w:spacing w:after="0"/>
              <w:rPr>
                <w:sz w:val="11"/>
                <w:szCs w:val="11"/>
                <w:color w:val="auto"/>
              </w:rPr>
            </w:pPr>
          </w:p>
        </w:tc>
        <w:tc>
          <w:tcPr>
            <w:tcW w:w="40" w:type="dxa"/>
            <w:vAlign w:val="bottom"/>
            <w:tcBorders>
              <w:bottom w:val="single" w:sz="8" w:color="BECE33"/>
            </w:tcBorders>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005A64"/>
              </w:rPr>
              <w:t>2023</w:t>
            </w:r>
          </w:p>
        </w:tc>
        <w:tc>
          <w:tcPr>
            <w:tcW w:w="40" w:type="dxa"/>
            <w:vAlign w:val="bottom"/>
            <w:vMerge w:val="restart"/>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005A64"/>
              </w:rPr>
              <w:t>€</w:t>
            </w: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005A64"/>
              </w:rPr>
              <w:t>%</w:t>
            </w:r>
          </w:p>
        </w:tc>
        <w:tc>
          <w:tcPr>
            <w:tcW w:w="0" w:type="dxa"/>
            <w:vAlign w:val="bottom"/>
          </w:tcPr>
          <w:p>
            <w:pPr>
              <w:spacing w:after="0"/>
              <w:rPr>
                <w:sz w:val="1"/>
                <w:szCs w:val="1"/>
                <w:color w:val="auto"/>
              </w:rPr>
            </w:pPr>
          </w:p>
        </w:tc>
      </w:tr>
      <w:tr>
        <w:trPr>
          <w:trHeight w:val="156"/>
        </w:trPr>
        <w:tc>
          <w:tcPr>
            <w:tcW w:w="3520" w:type="dxa"/>
            <w:vAlign w:val="bottom"/>
            <w:gridSpan w:val="2"/>
            <w:vMerge w:val="continue"/>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50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40" w:type="dxa"/>
            <w:vAlign w:val="bottom"/>
            <w:vMerge w:val="restart"/>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80" w:type="dxa"/>
            <w:vAlign w:val="bottom"/>
            <w:vMerge w:val="restart"/>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500" w:type="dxa"/>
            <w:vAlign w:val="bottom"/>
          </w:tcPr>
          <w:p>
            <w:pPr>
              <w:ind w:left="20"/>
              <w:spacing w:after="0"/>
              <w:rPr>
                <w:sz w:val="20"/>
                <w:szCs w:val="20"/>
                <w:color w:val="auto"/>
              </w:rPr>
            </w:pPr>
            <w:r>
              <w:rPr>
                <w:rFonts w:ascii="Arial" w:cs="Arial" w:eastAsia="Arial" w:hAnsi="Arial"/>
                <w:sz w:val="12"/>
                <w:szCs w:val="12"/>
                <w:color w:val="005A64"/>
              </w:rPr>
              <w:t>Current income taxes</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(2.3)</w:t>
            </w:r>
          </w:p>
        </w:tc>
        <w:tc>
          <w:tcPr>
            <w:tcW w:w="4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005A64"/>
              </w:rPr>
              <w:t>243.1</w:t>
            </w:r>
          </w:p>
        </w:tc>
        <w:tc>
          <w:tcPr>
            <w:tcW w:w="40" w:type="dxa"/>
            <w:vAlign w:val="bottom"/>
            <w:vMerge w:val="continue"/>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color w:val="005A64"/>
              </w:rPr>
              <w:t>(245.4)</w:t>
            </w:r>
          </w:p>
        </w:tc>
        <w:tc>
          <w:tcPr>
            <w:tcW w:w="8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(101)</w:t>
            </w:r>
          </w:p>
        </w:tc>
        <w:tc>
          <w:tcPr>
            <w:tcW w:w="0" w:type="dxa"/>
            <w:vAlign w:val="bottom"/>
          </w:tcPr>
          <w:p>
            <w:pPr>
              <w:spacing w:after="0"/>
              <w:rPr>
                <w:sz w:val="1"/>
                <w:szCs w:val="1"/>
                <w:color w:val="auto"/>
              </w:rPr>
            </w:pPr>
          </w:p>
        </w:tc>
      </w:tr>
      <w:tr>
        <w:trPr>
          <w:trHeight w:val="181"/>
        </w:trPr>
        <w:tc>
          <w:tcPr>
            <w:tcW w:w="3520" w:type="dxa"/>
            <w:vAlign w:val="bottom"/>
            <w:gridSpan w:val="2"/>
          </w:tcPr>
          <w:p>
            <w:pPr>
              <w:ind w:left="20"/>
              <w:spacing w:after="0"/>
              <w:rPr>
                <w:sz w:val="20"/>
                <w:szCs w:val="20"/>
                <w:color w:val="auto"/>
              </w:rPr>
            </w:pPr>
            <w:r>
              <w:rPr>
                <w:rFonts w:ascii="Arial" w:cs="Arial" w:eastAsia="Arial" w:hAnsi="Arial"/>
                <w:sz w:val="12"/>
                <w:szCs w:val="12"/>
                <w:color w:val="005A64"/>
              </w:rPr>
              <w:t>Deferred taxes</w:t>
            </w:r>
          </w:p>
        </w:tc>
        <w:tc>
          <w:tcPr>
            <w:tcW w:w="780" w:type="dxa"/>
            <w:vAlign w:val="bottom"/>
            <w:gridSpan w:val="2"/>
          </w:tcPr>
          <w:p>
            <w:pPr>
              <w:ind w:left="40"/>
              <w:spacing w:after="0"/>
              <w:rPr>
                <w:sz w:val="20"/>
                <w:szCs w:val="20"/>
                <w:color w:val="auto"/>
              </w:rPr>
            </w:pPr>
            <w:r>
              <w:rPr>
                <w:rFonts w:ascii="Arial" w:cs="Arial" w:eastAsia="Arial" w:hAnsi="Arial"/>
                <w:sz w:val="12"/>
                <w:szCs w:val="12"/>
                <w:color w:val="005A64"/>
              </w:rPr>
              <w:t>(10.1)</w:t>
            </w:r>
          </w:p>
        </w:tc>
        <w:tc>
          <w:tcPr>
            <w:tcW w:w="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color w:val="005A64"/>
              </w:rPr>
              <w:t>12.7</w:t>
            </w:r>
          </w:p>
        </w:tc>
        <w:tc>
          <w:tcPr>
            <w:tcW w:w="800" w:type="dxa"/>
            <w:vAlign w:val="bottom"/>
            <w:gridSpan w:val="2"/>
          </w:tcPr>
          <w:p>
            <w:pPr>
              <w:ind w:left="60"/>
              <w:spacing w:after="0"/>
              <w:rPr>
                <w:sz w:val="20"/>
                <w:szCs w:val="20"/>
                <w:color w:val="auto"/>
              </w:rPr>
            </w:pPr>
            <w:r>
              <w:rPr>
                <w:rFonts w:ascii="Arial" w:cs="Arial" w:eastAsia="Arial" w:hAnsi="Arial"/>
                <w:sz w:val="12"/>
                <w:szCs w:val="12"/>
                <w:color w:val="005A64"/>
              </w:rPr>
              <w:t>(22.8)</w:t>
            </w:r>
          </w:p>
        </w:tc>
        <w:tc>
          <w:tcPr>
            <w:tcW w:w="820" w:type="dxa"/>
            <w:vAlign w:val="bottom"/>
            <w:gridSpan w:val="2"/>
          </w:tcPr>
          <w:p>
            <w:pPr>
              <w:ind w:left="80"/>
              <w:spacing w:after="0"/>
              <w:rPr>
                <w:sz w:val="20"/>
                <w:szCs w:val="20"/>
                <w:color w:val="auto"/>
              </w:rPr>
            </w:pPr>
            <w:r>
              <w:rPr>
                <w:rFonts w:ascii="Arial" w:cs="Arial" w:eastAsia="Arial" w:hAnsi="Arial"/>
                <w:sz w:val="12"/>
                <w:szCs w:val="12"/>
                <w:color w:val="005A64"/>
              </w:rPr>
              <w:t>(180)</w:t>
            </w:r>
          </w:p>
        </w:tc>
        <w:tc>
          <w:tcPr>
            <w:tcW w:w="0" w:type="dxa"/>
            <w:vAlign w:val="bottom"/>
          </w:tcPr>
          <w:p>
            <w:pPr>
              <w:spacing w:after="0"/>
              <w:rPr>
                <w:sz w:val="1"/>
                <w:szCs w:val="1"/>
                <w:color w:val="auto"/>
              </w:rPr>
            </w:pPr>
          </w:p>
        </w:tc>
      </w:tr>
      <w:tr>
        <w:trPr>
          <w:trHeight w:val="208"/>
        </w:trPr>
        <w:tc>
          <w:tcPr>
            <w:tcW w:w="3520" w:type="dxa"/>
            <w:vAlign w:val="bottom"/>
            <w:gridSpan w:val="2"/>
          </w:tcPr>
          <w:p>
            <w:pPr>
              <w:ind w:left="20"/>
              <w:spacing w:after="0"/>
              <w:rPr>
                <w:sz w:val="20"/>
                <w:szCs w:val="20"/>
                <w:color w:val="auto"/>
              </w:rPr>
            </w:pPr>
            <w:r>
              <w:rPr>
                <w:rFonts w:ascii="Arial" w:cs="Arial" w:eastAsia="Arial" w:hAnsi="Arial"/>
                <w:sz w:val="12"/>
                <w:szCs w:val="12"/>
                <w:b w:val="1"/>
                <w:bCs w:val="1"/>
                <w:color w:val="005A64"/>
              </w:rPr>
              <w:t>Income taxes expenses / (income)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005A64"/>
              </w:rPr>
              <w:t>(12.4)</w:t>
            </w:r>
          </w:p>
        </w:tc>
        <w:tc>
          <w:tcPr>
            <w:tcW w:w="4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005A64"/>
              </w:rPr>
              <w:t>255.8</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005A64"/>
              </w:rPr>
              <w:t>(268.2)</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005A64"/>
              </w:rPr>
              <w:t>(105)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-483235</wp:posOffset>
            </wp:positionV>
            <wp:extent cx="526415" cy="5200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6415" cy="520065"/>
                    </a:xfrm>
                    <a:prstGeom prst="rect">
                      <a:avLst/>
                    </a:prstGeom>
                    <a:noFill/>
                  </pic:spPr>
                </pic:pic>
              </a:graphicData>
            </a:graphic>
          </wp:anchor>
        </w:drawing>
      </w:r>
    </w:p>
    <w:p>
      <w:pPr>
        <w:spacing w:after="0" w:line="17" w:lineRule="exact"/>
        <w:rPr>
          <w:sz w:val="20"/>
          <w:szCs w:val="20"/>
          <w:color w:val="auto"/>
        </w:rPr>
      </w:pPr>
    </w:p>
    <w:p>
      <w:pPr>
        <w:ind w:left="380" w:right="2200"/>
        <w:spacing w:after="0" w:line="214" w:lineRule="auto"/>
        <w:rPr>
          <w:sz w:val="20"/>
          <w:szCs w:val="20"/>
          <w:color w:val="auto"/>
        </w:rPr>
      </w:pPr>
      <w:r>
        <w:rPr>
          <w:rFonts w:ascii="Arial" w:cs="Arial" w:eastAsia="Arial" w:hAnsi="Arial"/>
          <w:sz w:val="13"/>
          <w:szCs w:val="13"/>
          <w:color w:val="auto"/>
        </w:rPr>
        <w:t>Our current income taxes represent mainly corporate and trade taxes derived by our German tax group. The decrease in profit during the year ended December 31, 2024, as compared to the year ended December 31, 2023, led to lower taxable income for the year ended December 31, 2024, for the German tax group. Corporate and trade tax prepayments have been made exceeding the tax charge. Refunds will become due once tax declarations have been filed and assessed.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-416560</wp:posOffset>
            </wp:positionV>
            <wp:extent cx="4281170"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281170" cy="6350"/>
                    </a:xfrm>
                    <a:prstGeom prst="rect">
                      <a:avLst/>
                    </a:prstGeom>
                    <a:noFill/>
                  </pic:spPr>
                </pic:pic>
              </a:graphicData>
            </a:graphic>
          </wp:anchor>
        </w:drawing>
      </w:r>
    </w:p>
    <w:p>
      <w:pPr>
        <w:ind w:left="380" w:right="2440"/>
        <w:spacing w:after="0" w:line="210" w:lineRule="auto"/>
        <w:rPr>
          <w:sz w:val="20"/>
          <w:szCs w:val="20"/>
          <w:color w:val="auto"/>
        </w:rPr>
      </w:pPr>
      <w:r>
        <w:rPr>
          <w:rFonts w:ascii="Arial" w:cs="Arial" w:eastAsia="Arial" w:hAnsi="Arial"/>
          <w:sz w:val="13"/>
          <w:szCs w:val="13"/>
          <w:color w:val="auto"/>
        </w:rPr>
        <w:t>As of December 31, 2024, our accumulated tax losses comprised tax losses of German entities that were incurred prior to the establishment of a tax group with BioNTech SE or by entities that are not within the tax group or U.S. tax group.</w:t>
      </w:r>
    </w:p>
    <w:p>
      <w:pPr>
        <w:spacing w:after="0" w:line="2"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The amount of deductible temporary differences, unused tax losses, and unused tax credits for which no deferred tax asset is recognized in the statement of financial position as of December 31, 2024, was €2,028.8 million. Thus, as of December 31, 2024, we have not recognized deferred tax assets for unused tax losses and temporary differences in an amount of €332.4 million (December 31, 2023: €138.0 million) as the criteria of the recognition guidance for IAS 12, which requires that no reliance should be placed on future events that cannot be controlled and are uncertain, are not met. Unrecognized deferred tax assets are re-assessed at each reporting date and are recognized to the extent that it has become probable that future taxable profits will allow the deferred tax asset to be recovered.</w:t>
      </w:r>
    </w:p>
    <w:p>
      <w:pPr>
        <w:spacing w:after="0" w:line="5"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As of December 31, 2024, we maintain the non- recognition of deferred tax assets for unused U.S. federal and state tax losses and tax credits at an amount of €30.5 million and €4.0 million, respectively, as there is not sufficient probability in terms of IAS 12 that future taxable income will be available against which these unused tax losses and tax credits can be utilized. The material unrecognized U.S. federal and state tax losses and tax credits will begin to expire in 2036.</w:t>
      </w:r>
    </w:p>
    <w:p>
      <w:pPr>
        <w:spacing w:after="0" w:line="3"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The realization of deferred tax assets is dependent upon the generation of future taxable income, the amount and timing of which are subject to uncertainties. We may become subject to income tax audits and adjustments by local tax authorities. The assessments of the recoverability of deferred tax assets and the nature of uncertain tax positions are subject to significant judgment by management and subject to change.</w:t>
      </w:r>
    </w:p>
    <w:p>
      <w:pPr>
        <w:spacing w:after="0" w:line="2" w:lineRule="exact"/>
        <w:rPr>
          <w:sz w:val="20"/>
          <w:szCs w:val="20"/>
          <w:color w:val="auto"/>
        </w:rPr>
      </w:pPr>
    </w:p>
    <w:p>
      <w:pPr>
        <w:ind w:left="380" w:right="2220"/>
        <w:spacing w:after="0" w:line="226" w:lineRule="auto"/>
        <w:rPr>
          <w:sz w:val="20"/>
          <w:szCs w:val="20"/>
          <w:color w:val="auto"/>
        </w:rPr>
      </w:pPr>
      <w:r>
        <w:rPr>
          <w:rFonts w:ascii="Arial" w:cs="Arial" w:eastAsia="Arial" w:hAnsi="Arial"/>
          <w:sz w:val="13"/>
          <w:szCs w:val="13"/>
          <w:color w:val="auto"/>
        </w:rPr>
        <w:t>The group does not recognize deferred tax liabilities for taxable temporary differences associated with investments in subsidiaries, in cases where the group is able to control the timing of the reversal of the temporary difference and it is probable that the temporary differences will not reverse in the foreseeable future.</w:t>
      </w:r>
    </w:p>
    <w:p>
      <w:pPr>
        <w:sectPr>
          <w:pgSz w:w="11900" w:h="16840" w:orient="portrait"/>
          <w:cols w:equalWidth="0" w:num="1">
            <w:col w:w="9020"/>
          </w:cols>
          <w:pgMar w:left="1440" w:top="634" w:right="1440" w:bottom="1440" w:gutter="0" w:footer="0" w:header="0"/>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192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200"/>
        <w:spacing w:after="0" w:line="220" w:lineRule="auto"/>
        <w:rPr>
          <w:sz w:val="20"/>
          <w:szCs w:val="20"/>
          <w:color w:val="auto"/>
        </w:rPr>
      </w:pPr>
      <w:r>
        <w:rPr>
          <w:rFonts w:ascii="Arial" w:cs="Arial" w:eastAsia="Arial" w:hAnsi="Arial"/>
          <w:sz w:val="13"/>
          <w:szCs w:val="13"/>
          <w:color w:val="auto"/>
        </w:rPr>
        <w:t>The aggregate amount of temporary differences associated with investments in subsidiaries, for which deferred tax liabilities have not been recognized is €14.5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color w:val="005A64"/>
        </w:rPr>
        <w:t>Information about Our Operating Segments</w:t>
      </w:r>
    </w:p>
    <w:p>
      <w:pPr>
        <w:jc w:val="both"/>
        <w:ind w:left="380" w:right="2120"/>
        <w:spacing w:after="0" w:line="210" w:lineRule="auto"/>
        <w:rPr>
          <w:sz w:val="20"/>
          <w:szCs w:val="20"/>
          <w:color w:val="auto"/>
        </w:rPr>
      </w:pPr>
      <w:r>
        <w:rPr>
          <w:rFonts w:ascii="Arial" w:cs="Arial" w:eastAsia="Arial" w:hAnsi="Arial"/>
          <w:sz w:val="13"/>
          <w:szCs w:val="13"/>
          <w:color w:val="auto"/>
        </w:rPr>
        <w:t>Decisions with respect to business operations and resource allocations are made by our Management Board, as the chief operating decision maker based on BioNTech as a whole. Accordingly, we operate and make decisions as a single operating segment, which is also our reporting segment.</w:t>
      </w:r>
    </w:p>
    <w:p>
      <w:pPr>
        <w:ind w:left="380"/>
        <w:spacing w:after="0" w:line="213" w:lineRule="auto"/>
        <w:rPr>
          <w:sz w:val="20"/>
          <w:szCs w:val="20"/>
          <w:color w:val="auto"/>
        </w:rPr>
      </w:pPr>
      <w:r>
        <w:rPr>
          <w:rFonts w:ascii="Arial" w:cs="Arial" w:eastAsia="Arial" w:hAnsi="Arial"/>
          <w:sz w:val="13"/>
          <w:szCs w:val="13"/>
          <w:color w:val="005A64"/>
        </w:rPr>
        <w:t>Related Party Transactions</w:t>
      </w:r>
    </w:p>
    <w:p>
      <w:pPr>
        <w:spacing w:after="0" w:line="1"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Related party transactions that occurred during the years ended December 31, 2024 and 2023 are explained in Item 7. of this Annual Report as well as in Note 21 of our consolidated financial statements included elsewhere in this Annual Report.</w:t>
      </w:r>
    </w:p>
    <w:p>
      <w:pPr>
        <w:ind w:left="380"/>
        <w:spacing w:after="0" w:line="213" w:lineRule="auto"/>
        <w:rPr>
          <w:sz w:val="20"/>
          <w:szCs w:val="20"/>
          <w:color w:val="auto"/>
        </w:rPr>
      </w:pPr>
      <w:r>
        <w:rPr>
          <w:rFonts w:ascii="Arial" w:cs="Arial" w:eastAsia="Arial" w:hAnsi="Arial"/>
          <w:sz w:val="13"/>
          <w:szCs w:val="13"/>
          <w:color w:val="005A64"/>
        </w:rPr>
        <w:t>Key Performance Indicators</w:t>
      </w:r>
    </w:p>
    <w:p>
      <w:pPr>
        <w:ind w:left="380"/>
        <w:spacing w:after="0" w:line="211" w:lineRule="auto"/>
        <w:rPr>
          <w:sz w:val="20"/>
          <w:szCs w:val="20"/>
          <w:color w:val="auto"/>
        </w:rPr>
      </w:pPr>
      <w:r>
        <w:rPr>
          <w:rFonts w:ascii="Arial" w:cs="Arial" w:eastAsia="Arial" w:hAnsi="Arial"/>
          <w:sz w:val="13"/>
          <w:szCs w:val="13"/>
          <w:b w:val="1"/>
          <w:bCs w:val="1"/>
          <w:color w:val="auto"/>
        </w:rPr>
        <w:t>Financial key performance indicators</w:t>
      </w:r>
    </w:p>
    <w:p>
      <w:pPr>
        <w:jc w:val="both"/>
        <w:ind w:left="380" w:right="2120"/>
        <w:spacing w:after="0" w:line="210" w:lineRule="auto"/>
        <w:rPr>
          <w:sz w:val="20"/>
          <w:szCs w:val="20"/>
          <w:color w:val="auto"/>
        </w:rPr>
      </w:pPr>
      <w:r>
        <w:rPr>
          <w:rFonts w:ascii="Arial" w:cs="Arial" w:eastAsia="Arial" w:hAnsi="Arial"/>
          <w:sz w:val="13"/>
          <w:szCs w:val="13"/>
          <w:color w:val="auto"/>
        </w:rPr>
        <w:t>The following financial performance indicators are the focus of managing our operational business development. We use the key figures on the basis of current exchange rates (not currency- adjusted) and take into account the effects of potential M&amp;A activities or collaborations to the extent that they are published.</w:t>
      </w:r>
    </w:p>
    <w:p>
      <w:pPr>
        <w:ind w:left="380"/>
        <w:spacing w:after="0" w:line="213" w:lineRule="auto"/>
        <w:rPr>
          <w:sz w:val="20"/>
          <w:szCs w:val="20"/>
          <w:color w:val="auto"/>
        </w:rPr>
      </w:pPr>
      <w:r>
        <w:rPr>
          <w:rFonts w:ascii="Arial" w:cs="Arial" w:eastAsia="Arial" w:hAnsi="Arial"/>
          <w:sz w:val="13"/>
          <w:szCs w:val="13"/>
          <w:i w:val="1"/>
          <w:iCs w:val="1"/>
          <w:color w:val="auto"/>
        </w:rPr>
        <w:t>Revenues</w:t>
      </w:r>
    </w:p>
    <w:p>
      <w:pPr>
        <w:spacing w:after="0" w:line="1"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Total revenues mainly comprise expected commercial revenue, particularly in connection with our COVID-19 business as well as other revenue sources. Revenues are heavily influenced by the volumes available under the collaboration and the agreed upon purchase quantities. Our revenues include our share of the collaboration partners' gross profit and, hence, are also influenced by the incurring costs. For further information on the composition of commercial COVID-19 vaccine sales and the components contained therein, see the comments on revenues under Item 5. Operating Results. Our sales serve as a performance indicator of our commercial earning power.</w:t>
      </w:r>
    </w:p>
    <w:p>
      <w:pPr>
        <w:ind w:left="380"/>
        <w:spacing w:after="0" w:line="217" w:lineRule="auto"/>
        <w:rPr>
          <w:sz w:val="20"/>
          <w:szCs w:val="20"/>
          <w:color w:val="auto"/>
        </w:rPr>
      </w:pPr>
      <w:r>
        <w:rPr>
          <w:rFonts w:ascii="Arial" w:cs="Arial" w:eastAsia="Arial" w:hAnsi="Arial"/>
          <w:sz w:val="13"/>
          <w:szCs w:val="13"/>
          <w:i w:val="1"/>
          <w:iCs w:val="1"/>
          <w:color w:val="auto"/>
        </w:rPr>
        <w:t>Research and development expenses</w:t>
      </w:r>
    </w:p>
    <w:p>
      <w:pPr>
        <w:ind w:left="380" w:right="2340"/>
        <w:spacing w:after="0" w:line="210" w:lineRule="auto"/>
        <w:rPr>
          <w:sz w:val="20"/>
          <w:szCs w:val="20"/>
          <w:color w:val="auto"/>
        </w:rPr>
      </w:pPr>
      <w:r>
        <w:rPr>
          <w:rFonts w:ascii="Arial" w:cs="Arial" w:eastAsia="Arial" w:hAnsi="Arial"/>
          <w:sz w:val="13"/>
          <w:szCs w:val="13"/>
          <w:color w:val="auto"/>
        </w:rPr>
        <w:t>Research and development expenses are an indicator of our future earnings potential, as this is highly dependent on the development of the clinical pipeline and the responsible use of the financial resources generated. This figure mainly includes expenses for the development of our clinical product candidates, early exploratory research and research and development overhead costs.</w:t>
      </w:r>
    </w:p>
    <w:p>
      <w:pPr>
        <w:ind w:left="380"/>
        <w:spacing w:after="0" w:line="214" w:lineRule="auto"/>
        <w:rPr>
          <w:sz w:val="20"/>
          <w:szCs w:val="20"/>
          <w:color w:val="auto"/>
        </w:rPr>
      </w:pPr>
      <w:r>
        <w:rPr>
          <w:rFonts w:ascii="Arial" w:cs="Arial" w:eastAsia="Arial" w:hAnsi="Arial"/>
          <w:sz w:val="13"/>
          <w:szCs w:val="13"/>
          <w:i w:val="1"/>
          <w:iCs w:val="1"/>
          <w:color w:val="auto"/>
        </w:rPr>
        <w:t>Sales, general and administrative expenses</w:t>
      </w:r>
    </w:p>
    <w:p>
      <w:pPr>
        <w:ind w:left="380" w:right="2200"/>
        <w:spacing w:after="0" w:line="210" w:lineRule="auto"/>
        <w:rPr>
          <w:sz w:val="20"/>
          <w:szCs w:val="20"/>
          <w:color w:val="auto"/>
        </w:rPr>
      </w:pPr>
      <w:r>
        <w:rPr>
          <w:rFonts w:ascii="Arial" w:cs="Arial" w:eastAsia="Arial" w:hAnsi="Arial"/>
          <w:sz w:val="13"/>
          <w:szCs w:val="13"/>
          <w:color w:val="auto"/>
        </w:rPr>
        <w:t>These costs include sales and marketing costs as well as general and administrative costs. We use this measure to manage the costs associated with the expansion of the sales and marketing organization to ensure the necessary infrastructure and digital capacity for future market-ready products, as well as to manage the internal administrative and coordination functions associated with the expansion of research and development, such as finance, human resources, or business development, with regard to the associated cost development. In addition, we also use the following financial performance indicators:</w:t>
      </w:r>
    </w:p>
    <w:p>
      <w:pPr>
        <w:ind w:left="380"/>
        <w:spacing w:after="0" w:line="216" w:lineRule="auto"/>
        <w:rPr>
          <w:sz w:val="20"/>
          <w:szCs w:val="20"/>
          <w:color w:val="auto"/>
        </w:rPr>
      </w:pPr>
      <w:r>
        <w:rPr>
          <w:rFonts w:ascii="Arial" w:cs="Arial" w:eastAsia="Arial" w:hAnsi="Arial"/>
          <w:sz w:val="13"/>
          <w:szCs w:val="13"/>
          <w:i w:val="1"/>
          <w:iCs w:val="1"/>
          <w:color w:val="auto"/>
        </w:rPr>
        <w:t>Capital expenditures for operating activities</w:t>
      </w:r>
    </w:p>
    <w:p>
      <w:pPr>
        <w:ind w:left="380" w:right="2180"/>
        <w:spacing w:after="0" w:line="210" w:lineRule="auto"/>
        <w:rPr>
          <w:sz w:val="20"/>
          <w:szCs w:val="20"/>
          <w:color w:val="auto"/>
        </w:rPr>
      </w:pPr>
      <w:r>
        <w:rPr>
          <w:rFonts w:ascii="Arial" w:cs="Arial" w:eastAsia="Arial" w:hAnsi="Arial"/>
          <w:sz w:val="13"/>
          <w:szCs w:val="13"/>
          <w:color w:val="auto"/>
        </w:rPr>
        <w:t>Capital expenditures for operating activities include expenditures for the acquisition of property, plant and equipment as well as expenditures for the acquisition of intangible assets and rights of use, unless they are made as part of business combinations. These mainly include expenditures for the expansion and improvement of our research and development as well as manufacturing facilities and investments in a state-of-the-art IT infrastructure to support the company in all digitization projects.</w:t>
      </w:r>
    </w:p>
    <w:p>
      <w:pPr>
        <w:ind w:left="380"/>
        <w:spacing w:after="0" w:line="215" w:lineRule="auto"/>
        <w:rPr>
          <w:sz w:val="20"/>
          <w:szCs w:val="20"/>
          <w:color w:val="auto"/>
        </w:rPr>
      </w:pPr>
      <w:r>
        <w:rPr>
          <w:rFonts w:ascii="Arial" w:cs="Arial" w:eastAsia="Arial" w:hAnsi="Arial"/>
          <w:sz w:val="13"/>
          <w:szCs w:val="13"/>
          <w:b w:val="1"/>
          <w:bCs w:val="1"/>
          <w:color w:val="auto"/>
        </w:rPr>
        <w:t>Non-financial key performance indicators</w:t>
      </w:r>
    </w:p>
    <w:p>
      <w:pPr>
        <w:ind w:left="380"/>
        <w:spacing w:after="0" w:line="211" w:lineRule="auto"/>
        <w:rPr>
          <w:sz w:val="20"/>
          <w:szCs w:val="20"/>
          <w:color w:val="auto"/>
        </w:rPr>
      </w:pPr>
      <w:r>
        <w:rPr>
          <w:rFonts w:ascii="Arial" w:cs="Arial" w:eastAsia="Arial" w:hAnsi="Arial"/>
          <w:sz w:val="13"/>
          <w:szCs w:val="13"/>
          <w:i w:val="1"/>
          <w:iCs w:val="1"/>
          <w:color w:val="auto"/>
        </w:rPr>
        <w:t>R&amp;D Pipeline progress</w:t>
      </w:r>
    </w:p>
    <w:p>
      <w:pPr>
        <w:ind w:left="380" w:right="2240"/>
        <w:spacing w:after="0" w:line="234" w:lineRule="auto"/>
        <w:rPr>
          <w:sz w:val="20"/>
          <w:szCs w:val="20"/>
          <w:color w:val="auto"/>
        </w:rPr>
      </w:pPr>
      <w:r>
        <w:rPr>
          <w:rFonts w:ascii="Arial" w:cs="Arial" w:eastAsia="Arial" w:hAnsi="Arial"/>
          <w:sz w:val="13"/>
          <w:szCs w:val="13"/>
          <w:color w:val="auto"/>
        </w:rPr>
        <w:t>Progress in research achievements, such as initiating registration-directed studies and advancing towards first BLA submission, is a key performance indicator. We are working to clinically demonstrate the benefit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193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7" w:lineRule="auto"/>
        <w:rPr>
          <w:sz w:val="20"/>
          <w:szCs w:val="20"/>
          <w:color w:val="auto"/>
        </w:rPr>
      </w:pPr>
      <w:r>
        <w:rPr>
          <w:rFonts w:ascii="Arial" w:cs="Arial" w:eastAsia="Arial" w:hAnsi="Arial"/>
          <w:sz w:val="13"/>
          <w:szCs w:val="13"/>
          <w:color w:val="auto"/>
        </w:rPr>
        <w:t>additional treatment approaches, further develop additional product candidates in the form of pivotal studies, and continuously expand collaborations and manufacturing capabilities to offer innovative treatments to patients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b w:val="1"/>
          <w:bCs w:val="1"/>
          <w:color w:val="005A64"/>
        </w:rPr>
        <w:t>B. Liquidity and Capital Resources</w:t>
      </w:r>
    </w:p>
    <w:p>
      <w:pPr>
        <w:ind w:left="380" w:right="2100"/>
        <w:spacing w:after="0" w:line="215" w:lineRule="auto"/>
        <w:rPr>
          <w:sz w:val="20"/>
          <w:szCs w:val="20"/>
          <w:color w:val="auto"/>
        </w:rPr>
      </w:pPr>
      <w:r>
        <w:rPr>
          <w:rFonts w:ascii="Arial" w:cs="Arial" w:eastAsia="Arial" w:hAnsi="Arial"/>
          <w:sz w:val="13"/>
          <w:szCs w:val="13"/>
          <w:color w:val="auto"/>
        </w:rPr>
        <w:t>Given our strong financial, scientific and operational accomplishments, we believe we have the resources to diligently allocate our current capital to drive a multi-platform strategy and deliver a fully integrated global biotechnology company. We focus our R&amp;D, on rapidly advancing our diversified clinical oncology pipeline with synergistic potential, developing next generation COVID-19 vaccines to maintain leadership and pandemic preparedness, as well as broadening the label of and access to the existing vaccine. We also plan to invest heavily to build out our global development organization, bringing in talent with clinical and regulatory expertise needed to accelerate our pipeline development. We are also diversifying our therapeutic area footprint, which will enable us to fully leverage the potential of all technology platforms across autoimmune diseases, inflammatory diseases, cardiovascular disease, neurodegenerative diseases, and regenerative medicines. In addition, we plan to enhance capabilities through complementary acquisitions, technologies, infrastructure and manufacturing. To</w:t>
      </w:r>
    </w:p>
    <w:p>
      <w:pPr>
        <w:sectPr>
          <w:pgSz w:w="11900" w:h="16840" w:orient="portrait"/>
          <w:cols w:equalWidth="0" w:num="1">
            <w:col w:w="9020"/>
          </w:cols>
          <w:pgMar w:left="1440" w:top="1440" w:right="1440" w:bottom="10" w:gutter="0" w:footer="0" w:header="0"/>
        </w:sectPr>
      </w:pPr>
    </w:p>
    <w:bookmarkStart w:id="134" w:name="page135"/>
    <w:bookmarkEnd w:id="134"/>
    <w:p>
      <w:pPr>
        <w:ind w:left="380" w:right="2120"/>
        <w:spacing w:after="0" w:line="214" w:lineRule="auto"/>
        <w:rPr>
          <w:sz w:val="20"/>
          <w:szCs w:val="20"/>
          <w:color w:val="auto"/>
        </w:rPr>
      </w:pPr>
      <w:r>
        <w:rPr>
          <w:rFonts w:ascii="Arial" w:cs="Arial" w:eastAsia="Arial" w:hAnsi="Arial"/>
          <w:sz w:val="13"/>
          <w:szCs w:val="13"/>
          <w:color w:val="auto"/>
        </w:rPr>
        <w:t>support our future trajectory, growing the organization and expanding our team is of utmost importance. Additionally, investing in manufacturing capabilities for key technologies, deploying our global footprint in key regions including Europe, the United States, Asia and Africa and building a targeted AI-enabled commercialization team in key markets remain priorities for us. As a science and innovation driven company, we will continue to focus investments on R&amp;D and scaling the business for commercial readiness in oncology in multiple countries by the end of 2025.</w:t>
      </w:r>
    </w:p>
    <w:p>
      <w:pPr>
        <w:spacing w:after="0" w:line="1"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As of December 31, 2024, we had cash and cash equivalents of € 9,761.9 million, current security investments of €6,536.2 million and non-current security investments of €1,061.1 million accumulating to €17,359.2 million in cash, cash equivalents and security investments. In general, the aim is to protect and maximize the financial resources available for further research and development projects.</w:t>
      </w:r>
    </w:p>
    <w:p>
      <w:pPr>
        <w:spacing w:after="0" w:line="2"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Cash and cash equivalents and financial securities are invested in accordance with our asset management and investment policy, primarily with a focus on liquidity and capital preservation, and consist primarily of cash in bank accounts and on hand as well as long- and short-term financial investments.</w:t>
      </w:r>
    </w:p>
    <w:p>
      <w:pPr>
        <w:ind w:left="380"/>
        <w:spacing w:after="0" w:line="213" w:lineRule="auto"/>
        <w:rPr>
          <w:sz w:val="20"/>
          <w:szCs w:val="20"/>
          <w:color w:val="auto"/>
        </w:rPr>
      </w:pPr>
      <w:r>
        <w:rPr>
          <w:rFonts w:ascii="Arial" w:cs="Arial" w:eastAsia="Arial" w:hAnsi="Arial"/>
          <w:sz w:val="13"/>
          <w:szCs w:val="13"/>
          <w:color w:val="005A64"/>
        </w:rPr>
        <w:t>Cash Flow</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following table summarizes the primary sources and uses of cash for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-5715</wp:posOffset>
            </wp:positionV>
            <wp:extent cx="4300220" cy="12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00220" cy="12700"/>
                    </a:xfrm>
                    <a:prstGeom prst="rect">
                      <a:avLst/>
                    </a:prstGeom>
                    <a:noFill/>
                  </pic:spPr>
                </pic:pic>
              </a:graphicData>
            </a:graphic>
          </wp:anchor>
        </w:drawing>
      </w:r>
    </w:p>
    <w:p>
      <w:pPr>
        <w:spacing w:after="0" w:line="45"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005A64"/>
        </w:rPr>
        <w:t>Years ended</w:t>
      </w:r>
    </w:p>
    <w:p>
      <w:pPr>
        <w:ind w:left="4080"/>
        <w:spacing w:after="0"/>
        <w:rPr>
          <w:sz w:val="20"/>
          <w:szCs w:val="20"/>
          <w:color w:val="auto"/>
        </w:rPr>
      </w:pPr>
      <w:r>
        <w:rPr>
          <w:rFonts w:ascii="Arial" w:cs="Arial" w:eastAsia="Arial" w:hAnsi="Arial"/>
          <w:sz w:val="12"/>
          <w:szCs w:val="12"/>
          <w:b w:val="1"/>
          <w:bCs w:val="1"/>
          <w:color w:val="005A64"/>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2560320</wp:posOffset>
            </wp:positionH>
            <wp:positionV relativeFrom="paragraph">
              <wp:posOffset>97790</wp:posOffset>
            </wp:positionV>
            <wp:extent cx="673735" cy="9499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3735" cy="949960"/>
                    </a:xfrm>
                    <a:prstGeom prst="rect">
                      <a:avLst/>
                    </a:prstGeom>
                    <a:noFill/>
                  </pic:spPr>
                </pic:pic>
              </a:graphicData>
            </a:graphic>
          </wp:anchor>
        </w:drawing>
      </w:r>
    </w:p>
    <w:p>
      <w:pPr>
        <w:spacing w:after="0" w:line="114"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3660" w:type="dxa"/>
            <w:vAlign w:val="bottom"/>
            <w:gridSpan w:val="2"/>
          </w:tcPr>
          <w:p>
            <w:pPr>
              <w:ind w:left="20"/>
              <w:spacing w:after="0"/>
              <w:rPr>
                <w:sz w:val="20"/>
                <w:szCs w:val="20"/>
                <w:color w:val="auto"/>
              </w:rPr>
            </w:pPr>
            <w:r>
              <w:rPr>
                <w:rFonts w:ascii="Arial" w:cs="Arial" w:eastAsia="Arial" w:hAnsi="Arial"/>
                <w:sz w:val="12"/>
                <w:szCs w:val="12"/>
                <w:i w:val="1"/>
                <w:iCs w:val="1"/>
                <w:color w:val="005A64"/>
              </w:rPr>
              <w:t>(in millions €)</w:t>
            </w:r>
          </w:p>
        </w:tc>
        <w:tc>
          <w:tcPr>
            <w:tcW w:w="1000" w:type="dxa"/>
            <w:vAlign w:val="bottom"/>
            <w:tcBorders>
              <w:top w:val="single" w:sz="8" w:color="BECE33"/>
            </w:tcBorders>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60" w:type="dxa"/>
            <w:vAlign w:val="bottom"/>
            <w:tcBorders>
              <w:top w:val="single" w:sz="8" w:color="BECE33"/>
            </w:tcBorders>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2023</w:t>
            </w: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005A64"/>
              </w:rPr>
              <w:t>2022</w:t>
            </w:r>
          </w:p>
        </w:tc>
      </w:tr>
      <w:tr>
        <w:trPr>
          <w:trHeight w:val="166"/>
        </w:trPr>
        <w:tc>
          <w:tcPr>
            <w:tcW w:w="3640" w:type="dxa"/>
            <w:vAlign w:val="bottom"/>
            <w:tcBorders>
              <w:top w:val="single" w:sz="8" w:color="005A64"/>
            </w:tcBorders>
          </w:tcPr>
          <w:p>
            <w:pPr>
              <w:ind w:left="20"/>
              <w:spacing w:after="0"/>
              <w:rPr>
                <w:sz w:val="20"/>
                <w:szCs w:val="20"/>
                <w:color w:val="auto"/>
              </w:rPr>
            </w:pPr>
            <w:r>
              <w:rPr>
                <w:rFonts w:ascii="Arial" w:cs="Arial" w:eastAsia="Arial" w:hAnsi="Arial"/>
                <w:sz w:val="12"/>
                <w:szCs w:val="12"/>
                <w:b w:val="1"/>
                <w:bCs w:val="1"/>
                <w:color w:val="3C9673"/>
              </w:rPr>
              <w:t>Net cash flows from / (used in):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top w:val="single" w:sz="8" w:color="005A64"/>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top w:val="single" w:sz="8" w:color="005A64"/>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top w:val="single" w:sz="8" w:color="005A64"/>
            </w:tcBorders>
          </w:tcPr>
          <w:p>
            <w:pPr>
              <w:spacing w:after="0"/>
              <w:rPr>
                <w:sz w:val="14"/>
                <w:szCs w:val="14"/>
                <w:color w:val="auto"/>
              </w:rPr>
            </w:pPr>
          </w:p>
        </w:tc>
      </w:tr>
      <w:tr>
        <w:trPr>
          <w:trHeight w:val="175"/>
        </w:trPr>
        <w:tc>
          <w:tcPr>
            <w:tcW w:w="3660" w:type="dxa"/>
            <w:vAlign w:val="bottom"/>
            <w:gridSpan w:val="2"/>
          </w:tcPr>
          <w:p>
            <w:pPr>
              <w:ind w:left="20"/>
              <w:spacing w:after="0"/>
              <w:rPr>
                <w:sz w:val="20"/>
                <w:szCs w:val="20"/>
                <w:color w:val="auto"/>
              </w:rPr>
            </w:pPr>
            <w:r>
              <w:rPr>
                <w:rFonts w:ascii="Arial" w:cs="Arial" w:eastAsia="Arial" w:hAnsi="Arial"/>
                <w:sz w:val="12"/>
                <w:szCs w:val="12"/>
                <w:color w:val="005A64"/>
              </w:rPr>
              <w:t>Operating activities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207.7</w:t>
            </w:r>
          </w:p>
        </w:tc>
        <w:tc>
          <w:tcPr>
            <w:tcW w:w="6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5,371.4</w:t>
            </w:r>
          </w:p>
        </w:tc>
        <w:tc>
          <w:tcPr>
            <w:tcW w:w="1060" w:type="dxa"/>
            <w:vAlign w:val="bottom"/>
            <w:gridSpan w:val="2"/>
          </w:tcPr>
          <w:p>
            <w:pPr>
              <w:ind w:left="80"/>
              <w:spacing w:after="0"/>
              <w:rPr>
                <w:sz w:val="20"/>
                <w:szCs w:val="20"/>
                <w:color w:val="auto"/>
              </w:rPr>
            </w:pPr>
            <w:r>
              <w:rPr>
                <w:rFonts w:ascii="Arial" w:cs="Arial" w:eastAsia="Arial" w:hAnsi="Arial"/>
                <w:sz w:val="12"/>
                <w:szCs w:val="12"/>
                <w:color w:val="005A64"/>
              </w:rPr>
              <w:t>13,577.4</w:t>
            </w:r>
          </w:p>
        </w:tc>
      </w:tr>
      <w:tr>
        <w:trPr>
          <w:trHeight w:val="202"/>
        </w:trPr>
        <w:tc>
          <w:tcPr>
            <w:tcW w:w="3660" w:type="dxa"/>
            <w:vAlign w:val="bottom"/>
            <w:gridSpan w:val="2"/>
          </w:tcPr>
          <w:p>
            <w:pPr>
              <w:ind w:left="20"/>
              <w:spacing w:after="0"/>
              <w:rPr>
                <w:sz w:val="20"/>
                <w:szCs w:val="20"/>
                <w:color w:val="auto"/>
              </w:rPr>
            </w:pPr>
            <w:r>
              <w:rPr>
                <w:rFonts w:ascii="Arial" w:cs="Arial" w:eastAsia="Arial" w:hAnsi="Arial"/>
                <w:sz w:val="12"/>
                <w:szCs w:val="12"/>
                <w:color w:val="005A64"/>
              </w:rPr>
              <w:t>Investing activities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(2,081.2)</w:t>
            </w:r>
          </w:p>
        </w:tc>
        <w:tc>
          <w:tcPr>
            <w:tcW w:w="6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(6,954.5)</w:t>
            </w:r>
          </w:p>
        </w:tc>
        <w:tc>
          <w:tcPr>
            <w:tcW w:w="1060" w:type="dxa"/>
            <w:vAlign w:val="bottom"/>
            <w:gridSpan w:val="2"/>
          </w:tcPr>
          <w:p>
            <w:pPr>
              <w:ind w:left="80"/>
              <w:spacing w:after="0"/>
              <w:rPr>
                <w:sz w:val="20"/>
                <w:szCs w:val="20"/>
                <w:color w:val="auto"/>
              </w:rPr>
            </w:pPr>
            <w:r>
              <w:rPr>
                <w:rFonts w:ascii="Arial" w:cs="Arial" w:eastAsia="Arial" w:hAnsi="Arial"/>
                <w:sz w:val="12"/>
                <w:szCs w:val="12"/>
                <w:color w:val="005A64"/>
              </w:rPr>
              <w:t>(35.3)</w:t>
            </w:r>
          </w:p>
        </w:tc>
      </w:tr>
      <w:tr>
        <w:trPr>
          <w:trHeight w:val="202"/>
        </w:trPr>
        <w:tc>
          <w:tcPr>
            <w:tcW w:w="3660" w:type="dxa"/>
            <w:vAlign w:val="bottom"/>
            <w:gridSpan w:val="2"/>
          </w:tcPr>
          <w:p>
            <w:pPr>
              <w:ind w:left="20"/>
              <w:spacing w:after="0"/>
              <w:rPr>
                <w:sz w:val="20"/>
                <w:szCs w:val="20"/>
                <w:color w:val="auto"/>
              </w:rPr>
            </w:pPr>
            <w:r>
              <w:rPr>
                <w:rFonts w:ascii="Arial" w:cs="Arial" w:eastAsia="Arial" w:hAnsi="Arial"/>
                <w:sz w:val="12"/>
                <w:szCs w:val="12"/>
                <w:color w:val="005A64"/>
              </w:rPr>
              <w:t>Financing activities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(45.9)</w:t>
            </w:r>
          </w:p>
        </w:tc>
        <w:tc>
          <w:tcPr>
            <w:tcW w:w="6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(778.6)</w:t>
            </w:r>
          </w:p>
        </w:tc>
        <w:tc>
          <w:tcPr>
            <w:tcW w:w="1060" w:type="dxa"/>
            <w:vAlign w:val="bottom"/>
            <w:gridSpan w:val="2"/>
          </w:tcPr>
          <w:p>
            <w:pPr>
              <w:ind w:left="80"/>
              <w:spacing w:after="0"/>
              <w:rPr>
                <w:sz w:val="20"/>
                <w:szCs w:val="20"/>
                <w:color w:val="auto"/>
              </w:rPr>
            </w:pPr>
            <w:r>
              <w:rPr>
                <w:rFonts w:ascii="Arial" w:cs="Arial" w:eastAsia="Arial" w:hAnsi="Arial"/>
                <w:sz w:val="12"/>
                <w:szCs w:val="12"/>
                <w:color w:val="005A64"/>
              </w:rPr>
              <w:t>(1,419.3)</w:t>
            </w:r>
          </w:p>
        </w:tc>
      </w:tr>
      <w:tr>
        <w:trPr>
          <w:trHeight w:val="164"/>
        </w:trPr>
        <w:tc>
          <w:tcPr>
            <w:tcW w:w="366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 cash inflow / (outflow) before change in cash and cash</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(1,919.4)</w:t>
            </w:r>
          </w:p>
        </w:tc>
        <w:tc>
          <w:tcPr>
            <w:tcW w:w="6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(2,361.7)</w:t>
            </w: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005A64"/>
              </w:rPr>
              <w:t>12,122.8</w:t>
            </w:r>
          </w:p>
        </w:tc>
      </w:tr>
      <w:tr>
        <w:trPr>
          <w:trHeight w:val="121"/>
        </w:trPr>
        <w:tc>
          <w:tcPr>
            <w:tcW w:w="3660" w:type="dxa"/>
            <w:vAlign w:val="bottom"/>
            <w:gridSpan w:val="2"/>
          </w:tcPr>
          <w:p>
            <w:pPr>
              <w:ind w:left="20"/>
              <w:spacing w:after="0" w:line="121" w:lineRule="exact"/>
              <w:rPr>
                <w:sz w:val="20"/>
                <w:szCs w:val="20"/>
                <w:color w:val="auto"/>
              </w:rPr>
            </w:pPr>
            <w:r>
              <w:rPr>
                <w:rFonts w:ascii="Arial" w:cs="Arial" w:eastAsia="Arial" w:hAnsi="Arial"/>
                <w:sz w:val="12"/>
                <w:szCs w:val="12"/>
                <w:b w:val="1"/>
                <w:bCs w:val="1"/>
                <w:color w:val="005A64"/>
              </w:rPr>
              <w:t>equivalents resulting from exchange rate differences and</w:t>
            </w: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66"/>
        </w:trPr>
        <w:tc>
          <w:tcPr>
            <w:tcW w:w="3660" w:type="dxa"/>
            <w:vAlign w:val="bottom"/>
            <w:gridSpan w:val="2"/>
          </w:tcPr>
          <w:p>
            <w:pPr>
              <w:ind w:left="20"/>
              <w:spacing w:after="0"/>
              <w:rPr>
                <w:sz w:val="20"/>
                <w:szCs w:val="20"/>
                <w:color w:val="auto"/>
              </w:rPr>
            </w:pPr>
            <w:r>
              <w:rPr>
                <w:rFonts w:ascii="Arial" w:cs="Arial" w:eastAsia="Arial" w:hAnsi="Arial"/>
                <w:sz w:val="12"/>
                <w:szCs w:val="12"/>
                <w:b w:val="1"/>
                <w:bCs w:val="1"/>
                <w:color w:val="005A64"/>
              </w:rPr>
              <w:t>other valuation effects</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61"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430022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00220" cy="6350"/>
                    </a:xfrm>
                    <a:prstGeom prst="rect">
                      <a:avLst/>
                    </a:prstGeom>
                    <a:noFill/>
                  </pic:spPr>
                </pic:pic>
              </a:graphicData>
            </a:graphic>
          </wp:anchor>
        </w:drawing>
      </w:r>
    </w:p>
    <w:p>
      <w:pPr>
        <w:ind w:left="380" w:right="2160"/>
        <w:spacing w:after="0" w:line="234" w:lineRule="auto"/>
        <w:rPr>
          <w:sz w:val="20"/>
          <w:szCs w:val="20"/>
          <w:color w:val="auto"/>
        </w:rPr>
      </w:pPr>
      <w:r>
        <w:rPr>
          <w:rFonts w:ascii="Arial" w:cs="Arial" w:eastAsia="Arial" w:hAnsi="Arial"/>
          <w:sz w:val="13"/>
          <w:szCs w:val="13"/>
          <w:color w:val="auto"/>
        </w:rPr>
        <w:t>We derive cash flows from operations primarily from the sale of products and services rendered. Our cash flows from operating activities are significantly influenced by cash we generate from our COVID-19 vaccine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194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400"/>
        <w:spacing w:after="0" w:line="220" w:lineRule="auto"/>
        <w:rPr>
          <w:sz w:val="20"/>
          <w:szCs w:val="20"/>
          <w:color w:val="auto"/>
        </w:rPr>
      </w:pPr>
      <w:r>
        <w:rPr>
          <w:rFonts w:ascii="Arial" w:cs="Arial" w:eastAsia="Arial" w:hAnsi="Arial"/>
          <w:sz w:val="13"/>
          <w:szCs w:val="13"/>
          <w:color w:val="auto"/>
        </w:rPr>
        <w:t>collaboration under which we receive a share of our collaboration partner’s gross profit as well as our use of cash for operating expenses and working capital to support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00"/>
        <w:spacing w:after="0" w:line="210" w:lineRule="auto"/>
        <w:rPr>
          <w:sz w:val="20"/>
          <w:szCs w:val="20"/>
          <w:color w:val="auto"/>
        </w:rPr>
      </w:pPr>
      <w:r>
        <w:rPr>
          <w:rFonts w:ascii="Arial" w:cs="Arial" w:eastAsia="Arial" w:hAnsi="Arial"/>
          <w:sz w:val="13"/>
          <w:szCs w:val="13"/>
          <w:color w:val="auto"/>
        </w:rPr>
        <w:t>Cash received from our revenue streams exceeded the cash payments for our operating activities for the year ended December 31, 2024, resulting in a positive cash contribution of €184.0 million. Additionally, the positive cash contribution from interest and other payments related to the security investments of €474.9 million and grants of €106.0 million were offset mainly by exercised share-based payment programs and related wage tax payments of €154.5 million as well as by tax payments of €389.2 million. In total, the cash inflow from operating activities was €207.7 million.</w:t>
      </w:r>
    </w:p>
    <w:p>
      <w:pPr>
        <w:spacing w:after="0" w:line="4"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Net cash generated in operating activities for the year ended December 31, 2023, was €5,371.4 million, comprising a profit before tax of €1,186.1 million, negative non-cash adjustments of €393.2 million, and a net positive change in assets and liabilities of €5,574.8 million. Non-cash items primarily included net foreign exchange differences as well as share -based payment expenses without cash-effect. The net positive change in assets and liabilities was primarily due to a decrease in trade receivables related to our COVID-19 collaboration with Pfizer.</w:t>
      </w:r>
    </w:p>
    <w:p>
      <w:pPr>
        <w:spacing w:after="0" w:line="4"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Net cash generated in operating activities for the year ended December 31, 2022, was €13,577.4 million, comprising a profit before tax of €12,954.1 million, positive non-cash adjustments of €370.9 million, and a net positive change in assets and liabilities of €4,518.5 million. Non-cash items primarily included net foreign exchange differences as well as share -based payment expenses without cash-effect. The net positive change in assets and liabilities was primarily due to a decrease in trade receivables related to our COVID-19 collaboration with Pfizer.</w:t>
      </w:r>
    </w:p>
    <w:p>
      <w:pPr>
        <w:ind w:left="380"/>
        <w:spacing w:after="0" w:line="216" w:lineRule="auto"/>
        <w:rPr>
          <w:sz w:val="20"/>
          <w:szCs w:val="20"/>
          <w:color w:val="auto"/>
        </w:rPr>
      </w:pPr>
      <w:r>
        <w:rPr>
          <w:rFonts w:ascii="Arial" w:cs="Arial" w:eastAsia="Arial" w:hAnsi="Arial"/>
          <w:sz w:val="13"/>
          <w:szCs w:val="13"/>
          <w:b w:val="1"/>
          <w:bCs w:val="1"/>
          <w:color w:val="auto"/>
        </w:rPr>
        <w:t>Investing Activities</w:t>
      </w:r>
    </w:p>
    <w:p>
      <w:pPr>
        <w:ind w:left="380" w:right="2120"/>
        <w:spacing w:after="0" w:line="210" w:lineRule="auto"/>
        <w:rPr>
          <w:sz w:val="20"/>
          <w:szCs w:val="20"/>
          <w:color w:val="auto"/>
        </w:rPr>
      </w:pPr>
      <w:r>
        <w:rPr>
          <w:rFonts w:ascii="Arial" w:cs="Arial" w:eastAsia="Arial" w:hAnsi="Arial"/>
          <w:sz w:val="13"/>
          <w:szCs w:val="13"/>
          <w:color w:val="auto"/>
        </w:rPr>
        <w:t>Net cash used in investing activities for the year ended December 31, 2024, was €2,081.2 million. The amount includes net investments of €1,400.1 million spend into security investments, €188.9 million in equity instruments and €165.8 million in intangibles, mainly driven from in- licensing arrangements. In addition, the amount for capital expenditures supporting our operating activities amounts to €307.1 million whereof the majority was related to investments in building our laboratory and office facilities in Mainz, Germany as well as the sites in Singapore and Kigali, Rwanda.</w:t>
      </w:r>
    </w:p>
    <w:p>
      <w:pPr>
        <w:spacing w:after="0" w:line="4"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Net cash used in investing activities for the year ended December 31, 2023, was €6,954.5 million. The amount includes €5,912.1 million spend into security investments, €330.6 million caused by or driven from in-licensing arrangements as well as €336.9 million for collaborations or M&amp;A transactions. In addition, the amount for capital expenditures supporting our operating activities amounts to €275.5 million whereof the majority was related to investments in building our laboratory and office facilities in Mainz, Germany.</w:t>
      </w:r>
    </w:p>
    <w:p>
      <w:pPr>
        <w:spacing w:after="0" w:line="3"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Net cash used in investing activities for the year ended December 31, 2022, was € 35.3 million, comprising the release of €375.2 million cash deposits and compensated by €329.2 million, which was attributable to the purchase of property, plant and equipment including the amounts spent with respect to the acquisition of the land and laboratory as well as the office facility of our headquarter in Mainz, Germany. Intangible assets investments amounted to €34.1 million, which was mainly attributable to certain patents and licenses. Therefore, the total capital expenditure spent on tangible and intangible assets during the year ended December 31, 2022, amounted to €363.3 million.</w:t>
      </w:r>
    </w:p>
    <w:p>
      <w:pPr>
        <w:ind w:left="380"/>
        <w:spacing w:after="0" w:line="217" w:lineRule="auto"/>
        <w:rPr>
          <w:sz w:val="20"/>
          <w:szCs w:val="20"/>
          <w:color w:val="auto"/>
        </w:rPr>
      </w:pPr>
      <w:r>
        <w:rPr>
          <w:rFonts w:ascii="Arial" w:cs="Arial" w:eastAsia="Arial" w:hAnsi="Arial"/>
          <w:sz w:val="13"/>
          <w:szCs w:val="13"/>
          <w:b w:val="1"/>
          <w:bCs w:val="1"/>
          <w:color w:val="auto"/>
        </w:rPr>
        <w:t>Financing Activities</w:t>
      </w:r>
    </w:p>
    <w:p>
      <w:pPr>
        <w:ind w:left="380" w:right="2100"/>
        <w:spacing w:after="0" w:line="210" w:lineRule="auto"/>
        <w:rPr>
          <w:sz w:val="20"/>
          <w:szCs w:val="20"/>
          <w:color w:val="auto"/>
        </w:rPr>
      </w:pPr>
      <w:r>
        <w:rPr>
          <w:rFonts w:ascii="Arial" w:cs="Arial" w:eastAsia="Arial" w:hAnsi="Arial"/>
          <w:sz w:val="13"/>
          <w:szCs w:val="13"/>
          <w:color w:val="auto"/>
        </w:rPr>
        <w:t>Net cash used in financing activities for the year ended December 31, 2024, was €45.9 million, comprising €43.6 million used for lease payments.</w:t>
      </w:r>
    </w:p>
    <w:p>
      <w:pPr>
        <w:spacing w:after="0" w:line="1"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Net cash used in financing activities for the year ended December 31, 2023, was €778.6 million, comprising the €738.5 million used for the share repurchase programs of ADS.</w:t>
      </w:r>
    </w:p>
    <w:p>
      <w:pPr>
        <w:spacing w:after="0" w:line="1" w:lineRule="exact"/>
        <w:rPr>
          <w:sz w:val="20"/>
          <w:szCs w:val="20"/>
          <w:color w:val="auto"/>
        </w:rPr>
      </w:pPr>
    </w:p>
    <w:p>
      <w:pPr>
        <w:ind w:left="380" w:right="2260"/>
        <w:spacing w:after="0" w:line="234" w:lineRule="auto"/>
        <w:rPr>
          <w:sz w:val="20"/>
          <w:szCs w:val="20"/>
          <w:color w:val="auto"/>
        </w:rPr>
      </w:pPr>
      <w:r>
        <w:rPr>
          <w:rFonts w:ascii="Arial" w:cs="Arial" w:eastAsia="Arial" w:hAnsi="Arial"/>
          <w:sz w:val="13"/>
          <w:szCs w:val="13"/>
          <w:color w:val="auto"/>
        </w:rPr>
        <w:t>Net cash used in financing activities for the year ended December 31, 2022, was €1,419.3 million, comprising the €986.4 million used for the first tranche of our $1.5 billion share repurchase program of ADS as well as the</w:t>
      </w:r>
    </w:p>
    <w:p>
      <w:pPr>
        <w:sectPr>
          <w:pgSz w:w="11900" w:h="16840" w:orient="portrait"/>
          <w:cols w:equalWidth="0" w:num="1">
            <w:col w:w="9020"/>
          </w:cols>
          <w:pgMar w:left="1440" w:top="560" w:right="1440" w:bottom="725" w:gutter="0" w:footer="0" w:header="0"/>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195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40"/>
        <w:spacing w:after="0" w:line="220" w:lineRule="auto"/>
        <w:rPr>
          <w:sz w:val="20"/>
          <w:szCs w:val="20"/>
          <w:color w:val="auto"/>
        </w:rPr>
      </w:pPr>
      <w:r>
        <w:rPr>
          <w:rFonts w:ascii="Arial" w:cs="Arial" w:eastAsia="Arial" w:hAnsi="Arial"/>
          <w:sz w:val="13"/>
          <w:szCs w:val="13"/>
          <w:color w:val="auto"/>
        </w:rPr>
        <w:t>€484.3 million special cash dividend paid in June 2022. Whereas €110.5 million cash generated was attributable to the Pfizer equity investment as part of our HZV collaboration.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color w:val="005A64"/>
        </w:rPr>
        <w:t>Operation and Funding Requirements</w:t>
      </w:r>
    </w:p>
    <w:p>
      <w:pPr>
        <w:ind w:left="380" w:right="2220"/>
        <w:spacing w:after="0" w:line="210" w:lineRule="auto"/>
        <w:rPr>
          <w:sz w:val="20"/>
          <w:szCs w:val="20"/>
          <w:color w:val="auto"/>
        </w:rPr>
      </w:pPr>
      <w:r>
        <w:rPr>
          <w:rFonts w:ascii="Arial" w:cs="Arial" w:eastAsia="Arial" w:hAnsi="Arial"/>
          <w:sz w:val="13"/>
          <w:szCs w:val="13"/>
          <w:color w:val="auto"/>
        </w:rPr>
        <w:t>As part of our capital allocation strategy, we expect to continue to incur operating expenses for the foreseeable future. We anticipate that our expenses will increase substantially if and as we and our collaborators: •continue or expand our research or development of our programs in preclinical development; •continue or expand the scope of our clinical trials for our product candidates;</w:t>
      </w:r>
    </w:p>
    <w:p>
      <w:pPr>
        <w:spacing w:after="0" w:line="2" w:lineRule="exact"/>
        <w:rPr>
          <w:sz w:val="20"/>
          <w:szCs w:val="20"/>
          <w:color w:val="auto"/>
        </w:rPr>
      </w:pPr>
    </w:p>
    <w:p>
      <w:pPr>
        <w:ind w:left="380" w:right="2940"/>
        <w:spacing w:after="0" w:line="210" w:lineRule="auto"/>
        <w:rPr>
          <w:sz w:val="20"/>
          <w:szCs w:val="20"/>
          <w:color w:val="auto"/>
        </w:rPr>
      </w:pPr>
      <w:r>
        <w:rPr>
          <w:rFonts w:ascii="Arial" w:cs="Arial" w:eastAsia="Arial" w:hAnsi="Arial"/>
          <w:sz w:val="13"/>
          <w:szCs w:val="13"/>
          <w:color w:val="auto"/>
        </w:rPr>
        <w:t>•initiate additional preclinical, clinical, or other trials for our product candidates, including under our collaboration agreements;</w:t>
      </w:r>
    </w:p>
    <w:p>
      <w:pPr>
        <w:spacing w:after="0" w:line="1" w:lineRule="exact"/>
        <w:rPr>
          <w:sz w:val="20"/>
          <w:szCs w:val="20"/>
          <w:color w:val="auto"/>
        </w:rPr>
      </w:pPr>
    </w:p>
    <w:p>
      <w:pPr>
        <w:ind w:left="380" w:right="2740"/>
        <w:spacing w:after="0"/>
        <w:rPr>
          <w:sz w:val="20"/>
          <w:szCs w:val="20"/>
          <w:color w:val="auto"/>
        </w:rPr>
      </w:pPr>
      <w:r>
        <w:rPr>
          <w:rFonts w:ascii="Arial" w:cs="Arial" w:eastAsia="Arial" w:hAnsi="Arial"/>
          <w:sz w:val="13"/>
          <w:szCs w:val="13"/>
          <w:color w:val="auto"/>
        </w:rPr>
        <w:t>•continue to invest in our immunotherapy platforms to conduct research to identify novel technologies; •change or increase our manufacturing capacity or capability; •change or add additional suppliers;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•add additional infrastructure to our quality control, quality assurance, legal, compliance and other groups</w:t>
      </w:r>
    </w:p>
    <w:p>
      <w:pPr>
        <w:ind w:left="380"/>
        <w:spacing w:after="0" w:line="210" w:lineRule="auto"/>
        <w:rPr>
          <w:sz w:val="20"/>
          <w:szCs w:val="20"/>
          <w:color w:val="auto"/>
        </w:rPr>
      </w:pPr>
      <w:r>
        <w:rPr>
          <w:rFonts w:ascii="Arial" w:cs="Arial" w:eastAsia="Arial" w:hAnsi="Arial"/>
          <w:sz w:val="13"/>
          <w:szCs w:val="13"/>
          <w:color w:val="auto"/>
        </w:rPr>
        <w:t>to support our operations as a public company and our product development and commercialization</w:t>
      </w:r>
    </w:p>
    <w:p>
      <w:pPr>
        <w:ind w:left="380"/>
        <w:spacing w:after="0" w:line="211" w:lineRule="auto"/>
        <w:rPr>
          <w:sz w:val="20"/>
          <w:szCs w:val="20"/>
          <w:color w:val="auto"/>
        </w:rPr>
      </w:pPr>
      <w:r>
        <w:rPr>
          <w:rFonts w:ascii="Arial" w:cs="Arial" w:eastAsia="Arial" w:hAnsi="Arial"/>
          <w:sz w:val="13"/>
          <w:szCs w:val="13"/>
          <w:color w:val="auto"/>
        </w:rPr>
        <w:t>efforts, including new and expanded sites globally;</w:t>
      </w:r>
    </w:p>
    <w:p>
      <w:pPr>
        <w:ind w:left="380"/>
        <w:spacing w:after="0" w:line="211" w:lineRule="auto"/>
        <w:rPr>
          <w:sz w:val="20"/>
          <w:szCs w:val="20"/>
          <w:color w:val="auto"/>
        </w:rPr>
      </w:pPr>
      <w:r>
        <w:rPr>
          <w:rFonts w:ascii="Arial" w:cs="Arial" w:eastAsia="Arial" w:hAnsi="Arial"/>
          <w:sz w:val="13"/>
          <w:szCs w:val="13"/>
          <w:color w:val="auto"/>
        </w:rPr>
        <w:t>•attract and retain skilled personnel;</w:t>
      </w:r>
    </w:p>
    <w:p>
      <w:pPr>
        <w:ind w:left="380"/>
        <w:spacing w:after="0" w:line="211" w:lineRule="auto"/>
        <w:rPr>
          <w:sz w:val="20"/>
          <w:szCs w:val="20"/>
          <w:color w:val="auto"/>
        </w:rPr>
      </w:pPr>
      <w:r>
        <w:rPr>
          <w:rFonts w:ascii="Arial" w:cs="Arial" w:eastAsia="Arial" w:hAnsi="Arial"/>
          <w:sz w:val="13"/>
          <w:szCs w:val="13"/>
          <w:color w:val="auto"/>
        </w:rPr>
        <w:t>•seek marketing approvals and reimbursement for our product candidates;</w:t>
      </w:r>
    </w:p>
    <w:p>
      <w:pPr>
        <w:ind w:left="380"/>
        <w:spacing w:after="0" w:line="211" w:lineRule="auto"/>
        <w:rPr>
          <w:sz w:val="20"/>
          <w:szCs w:val="20"/>
          <w:color w:val="auto"/>
        </w:rPr>
      </w:pPr>
      <w:r>
        <w:rPr>
          <w:rFonts w:ascii="Arial" w:cs="Arial" w:eastAsia="Arial" w:hAnsi="Arial"/>
          <w:sz w:val="13"/>
          <w:szCs w:val="13"/>
          <w:color w:val="auto"/>
        </w:rPr>
        <w:t>•develop our sales, marketing, and distribution infrastructure for our COVID-19 vaccine;</w:t>
      </w:r>
    </w:p>
    <w:p>
      <w:pPr>
        <w:ind w:left="380" w:right="2660"/>
        <w:spacing w:after="0" w:line="210" w:lineRule="auto"/>
        <w:rPr>
          <w:sz w:val="20"/>
          <w:szCs w:val="20"/>
          <w:color w:val="auto"/>
        </w:rPr>
      </w:pPr>
      <w:r>
        <w:rPr>
          <w:rFonts w:ascii="Arial" w:cs="Arial" w:eastAsia="Arial" w:hAnsi="Arial"/>
          <w:sz w:val="13"/>
          <w:szCs w:val="13"/>
          <w:color w:val="auto"/>
        </w:rPr>
        <w:t>•enhance our commercial infrastructure for other product candidates for which we are seeking to obtain marketing approval;</w:t>
      </w:r>
    </w:p>
    <w:p>
      <w:pPr>
        <w:ind w:left="380"/>
        <w:spacing w:after="0" w:line="212" w:lineRule="auto"/>
        <w:rPr>
          <w:sz w:val="20"/>
          <w:szCs w:val="20"/>
          <w:color w:val="auto"/>
        </w:rPr>
      </w:pPr>
      <w:r>
        <w:rPr>
          <w:rFonts w:ascii="Arial" w:cs="Arial" w:eastAsia="Arial" w:hAnsi="Arial"/>
          <w:sz w:val="13"/>
          <w:szCs w:val="13"/>
          <w:color w:val="auto"/>
        </w:rPr>
        <w:t>•seek to identify and validate additional product candidates;</w:t>
      </w:r>
    </w:p>
    <w:p>
      <w:pPr>
        <w:ind w:left="380"/>
        <w:spacing w:after="0" w:line="211" w:lineRule="auto"/>
        <w:rPr>
          <w:sz w:val="20"/>
          <w:szCs w:val="20"/>
          <w:color w:val="auto"/>
        </w:rPr>
      </w:pPr>
      <w:r>
        <w:rPr>
          <w:rFonts w:ascii="Arial" w:cs="Arial" w:eastAsia="Arial" w:hAnsi="Arial"/>
          <w:sz w:val="13"/>
          <w:szCs w:val="13"/>
          <w:color w:val="auto"/>
        </w:rPr>
        <w:t>•acquire or in-license other product candidates and technologies;</w:t>
      </w:r>
    </w:p>
    <w:p>
      <w:pPr>
        <w:ind w:left="380"/>
        <w:spacing w:after="0" w:line="211" w:lineRule="auto"/>
        <w:rPr>
          <w:sz w:val="20"/>
          <w:szCs w:val="20"/>
          <w:color w:val="auto"/>
        </w:rPr>
      </w:pPr>
      <w:r>
        <w:rPr>
          <w:rFonts w:ascii="Arial" w:cs="Arial" w:eastAsia="Arial" w:hAnsi="Arial"/>
          <w:sz w:val="13"/>
          <w:szCs w:val="13"/>
          <w:color w:val="auto"/>
        </w:rPr>
        <w:t>•acquire other companies;</w:t>
      </w:r>
    </w:p>
    <w:p>
      <w:pPr>
        <w:ind w:left="380"/>
        <w:spacing w:after="0" w:line="211" w:lineRule="auto"/>
        <w:rPr>
          <w:sz w:val="20"/>
          <w:szCs w:val="20"/>
          <w:color w:val="auto"/>
        </w:rPr>
      </w:pPr>
      <w:r>
        <w:rPr>
          <w:rFonts w:ascii="Arial" w:cs="Arial" w:eastAsia="Arial" w:hAnsi="Arial"/>
          <w:sz w:val="13"/>
          <w:szCs w:val="13"/>
          <w:color w:val="auto"/>
        </w:rPr>
        <w:t>•make milestone or other payments under any in-license agreements;</w:t>
      </w:r>
    </w:p>
    <w:p>
      <w:pPr>
        <w:ind w:left="380" w:right="3720"/>
        <w:spacing w:after="0" w:line="210" w:lineRule="auto"/>
        <w:rPr>
          <w:sz w:val="20"/>
          <w:szCs w:val="20"/>
          <w:color w:val="auto"/>
        </w:rPr>
      </w:pPr>
      <w:r>
        <w:rPr>
          <w:rFonts w:ascii="Arial" w:cs="Arial" w:eastAsia="Arial" w:hAnsi="Arial"/>
          <w:sz w:val="13"/>
          <w:szCs w:val="13"/>
          <w:color w:val="auto"/>
        </w:rPr>
        <w:t>•maintain, protect, defend, enforce and expand our intellectual property portfolio; and •experience any delays or encounter issues with any of the above.</w:t>
      </w:r>
    </w:p>
    <w:p>
      <w:pPr>
        <w:spacing w:after="0" w:line="1" w:lineRule="exact"/>
        <w:rPr>
          <w:sz w:val="20"/>
          <w:szCs w:val="20"/>
          <w:color w:val="auto"/>
        </w:rPr>
      </w:pPr>
    </w:p>
    <w:p>
      <w:pPr>
        <w:ind w:left="380" w:right="2100"/>
        <w:spacing w:after="0" w:line="215" w:lineRule="auto"/>
        <w:rPr>
          <w:sz w:val="20"/>
          <w:szCs w:val="20"/>
          <w:color w:val="auto"/>
        </w:rPr>
      </w:pPr>
      <w:r>
        <w:rPr>
          <w:rFonts w:ascii="Arial" w:cs="Arial" w:eastAsia="Arial" w:hAnsi="Arial"/>
          <w:sz w:val="13"/>
          <w:szCs w:val="13"/>
          <w:color w:val="auto"/>
        </w:rPr>
        <w:t>We are a party to license and research and development agreements with universities and other third parties, as well as patent assignment agreements, under which we have obtained rights to patents, patent applications and know-how. We enter into contracts in the normal course of business with CROs for clinical trials and clinical and commercial supply manufacturing, and with vendors for preclinical research studies and for other services and products for operating purposes. We work together with CMOs who manufacture our product candidates and products, and enter into lease agreements to lease laboratory, GMP manufacturing, storage and office spaces. Purchase obligations under our agreements, to the extent that they are quantifiable and not cancellable, have been considered when defining our guidance for future cash commitments. Most of the committed cash outflow within one year is related to lease payments amounting to €48.1 million commitments under purchase agreements and contractual obligations amounting to €227.9 million. Further, we have lease payment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196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260"/>
        <w:spacing w:after="0" w:line="220" w:lineRule="auto"/>
        <w:rPr>
          <w:sz w:val="20"/>
          <w:szCs w:val="20"/>
          <w:color w:val="auto"/>
        </w:rPr>
      </w:pPr>
      <w:r>
        <w:rPr>
          <w:rFonts w:ascii="Arial" w:cs="Arial" w:eastAsia="Arial" w:hAnsi="Arial"/>
          <w:sz w:val="13"/>
          <w:szCs w:val="13"/>
          <w:color w:val="auto"/>
        </w:rPr>
        <w:t>with an amount of € 243.0 million and commitments under purchase agreements and contractual obligations of €1,151.9 million for the years 2026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jc w:val="both"/>
        <w:ind w:left="380" w:right="2200"/>
        <w:spacing w:after="0" w:line="210" w:lineRule="auto"/>
        <w:rPr>
          <w:sz w:val="20"/>
          <w:szCs w:val="20"/>
          <w:color w:val="auto"/>
        </w:rPr>
      </w:pPr>
      <w:r>
        <w:rPr>
          <w:rFonts w:ascii="Arial" w:cs="Arial" w:eastAsia="Arial" w:hAnsi="Arial"/>
          <w:sz w:val="13"/>
          <w:szCs w:val="13"/>
          <w:color w:val="auto"/>
        </w:rPr>
        <w:t>We are subject to all of the risks related to the development and commercialization of pharmaceutical products, and we may encounter unforeseen expenses, difficulties, complications, delays and other unknown factors that may adversely affect our business.</w:t>
      </w:r>
    </w:p>
    <w:p>
      <w:pPr>
        <w:spacing w:after="0" w:line="2" w:lineRule="exact"/>
        <w:rPr>
          <w:sz w:val="20"/>
          <w:szCs w:val="20"/>
          <w:color w:val="auto"/>
        </w:rPr>
      </w:pPr>
    </w:p>
    <w:p>
      <w:pPr>
        <w:ind w:left="380" w:right="2120"/>
        <w:spacing w:after="0" w:line="234" w:lineRule="auto"/>
        <w:rPr>
          <w:sz w:val="20"/>
          <w:szCs w:val="20"/>
          <w:color w:val="auto"/>
        </w:rPr>
      </w:pPr>
      <w:r>
        <w:rPr>
          <w:rFonts w:ascii="Arial" w:cs="Arial" w:eastAsia="Arial" w:hAnsi="Arial"/>
          <w:sz w:val="13"/>
          <w:szCs w:val="13"/>
          <w:color w:val="auto"/>
        </w:rPr>
        <w:t>Our future funding requirements, both near and long term, will depend on many factors, including, but not limited to:</w:t>
      </w:r>
    </w:p>
    <w:p>
      <w:pPr>
        <w:sectPr>
          <w:pgSz w:w="11900" w:h="16840" w:orient="portrait"/>
          <w:cols w:equalWidth="0" w:num="1">
            <w:col w:w="9020"/>
          </w:cols>
          <w:pgMar w:left="1440" w:top="1440" w:right="1440" w:bottom="0" w:gutter="0" w:footer="0" w:header="0"/>
        </w:sectPr>
      </w:pPr>
    </w:p>
    <w:bookmarkStart w:id="136" w:name="page137"/>
    <w:bookmarkEnd w:id="136"/>
    <w:p>
      <w:pPr>
        <w:ind w:left="380" w:right="2580"/>
        <w:spacing w:after="0" w:line="220" w:lineRule="auto"/>
        <w:rPr>
          <w:sz w:val="20"/>
          <w:szCs w:val="20"/>
          <w:color w:val="auto"/>
        </w:rPr>
      </w:pPr>
      <w:r>
        <w:rPr>
          <w:rFonts w:ascii="Arial" w:cs="Arial" w:eastAsia="Arial" w:hAnsi="Arial"/>
          <w:sz w:val="13"/>
          <w:szCs w:val="13"/>
          <w:color w:val="auto"/>
        </w:rPr>
        <w:t>•the initiation, progress, timing, costs, and results of preclinical or nonclinical studies and clinical trials for our product candidates;</w:t>
      </w:r>
    </w:p>
    <w:p>
      <w:pPr>
        <w:spacing w:after="0" w:line="1" w:lineRule="exact"/>
        <w:rPr>
          <w:sz w:val="20"/>
          <w:szCs w:val="20"/>
          <w:color w:val="auto"/>
        </w:rPr>
      </w:pPr>
    </w:p>
    <w:p>
      <w:pPr>
        <w:ind w:left="380" w:right="3120"/>
        <w:spacing w:after="0" w:line="210" w:lineRule="auto"/>
        <w:rPr>
          <w:sz w:val="20"/>
          <w:szCs w:val="20"/>
          <w:color w:val="auto"/>
        </w:rPr>
      </w:pPr>
      <w:r>
        <w:rPr>
          <w:rFonts w:ascii="Arial" w:cs="Arial" w:eastAsia="Arial" w:hAnsi="Arial"/>
          <w:sz w:val="13"/>
          <w:szCs w:val="13"/>
          <w:color w:val="auto"/>
        </w:rPr>
        <w:t>•the amount and timing of revenues and associated costs from sales of our COVID-19 vaccine; •the results of research and our other platform activities;</w:t>
      </w:r>
    </w:p>
    <w:p>
      <w:pPr>
        <w:ind w:left="380"/>
        <w:spacing w:after="0" w:line="212" w:lineRule="auto"/>
        <w:rPr>
          <w:sz w:val="20"/>
          <w:szCs w:val="20"/>
          <w:color w:val="auto"/>
        </w:rPr>
      </w:pPr>
      <w:r>
        <w:rPr>
          <w:rFonts w:ascii="Arial" w:cs="Arial" w:eastAsia="Arial" w:hAnsi="Arial"/>
          <w:sz w:val="13"/>
          <w:szCs w:val="13"/>
          <w:color w:val="auto"/>
        </w:rPr>
        <w:t>•the clinical development plans we establish for our product candidates;</w:t>
      </w:r>
    </w:p>
    <w:p>
      <w:pPr>
        <w:spacing w:after="0" w:line="1" w:lineRule="exact"/>
        <w:rPr>
          <w:sz w:val="20"/>
          <w:szCs w:val="20"/>
          <w:color w:val="auto"/>
        </w:rPr>
      </w:pPr>
    </w:p>
    <w:p>
      <w:pPr>
        <w:ind w:left="380" w:right="2980"/>
        <w:spacing w:after="0" w:line="210" w:lineRule="auto"/>
        <w:rPr>
          <w:sz w:val="20"/>
          <w:szCs w:val="20"/>
          <w:color w:val="auto"/>
        </w:rPr>
      </w:pPr>
      <w:r>
        <w:rPr>
          <w:rFonts w:ascii="Arial" w:cs="Arial" w:eastAsia="Arial" w:hAnsi="Arial"/>
          <w:sz w:val="13"/>
          <w:szCs w:val="13"/>
          <w:color w:val="auto"/>
        </w:rPr>
        <w:t>•the terms of any agreements with our current or future collaborators, and the achievement of any milestone payments under such agreements to be paid to us or our collaborators;</w:t>
      </w:r>
    </w:p>
    <w:p>
      <w:pPr>
        <w:ind w:left="380"/>
        <w:spacing w:after="0" w:line="212" w:lineRule="auto"/>
        <w:rPr>
          <w:sz w:val="20"/>
          <w:szCs w:val="20"/>
          <w:color w:val="auto"/>
        </w:rPr>
      </w:pPr>
      <w:r>
        <w:rPr>
          <w:rFonts w:ascii="Arial" w:cs="Arial" w:eastAsia="Arial" w:hAnsi="Arial"/>
          <w:sz w:val="13"/>
          <w:szCs w:val="13"/>
          <w:color w:val="auto"/>
        </w:rPr>
        <w:t>•the number and characteristics of product candidates that we develop or may in-license;</w:t>
      </w:r>
    </w:p>
    <w:p>
      <w:pPr>
        <w:spacing w:after="0" w:line="1"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•the outcome, timing and cost of meeting regulatory requirements established by the FDA, the EMA and other comparable regulatory authorities;</w:t>
      </w:r>
    </w:p>
    <w:p>
      <w:pPr>
        <w:spacing w:after="0" w:line="1" w:lineRule="exact"/>
        <w:rPr>
          <w:sz w:val="20"/>
          <w:szCs w:val="20"/>
          <w:color w:val="auto"/>
        </w:rPr>
      </w:pPr>
    </w:p>
    <w:p>
      <w:pPr>
        <w:ind w:left="380" w:right="2740"/>
        <w:spacing w:after="0" w:line="210" w:lineRule="auto"/>
        <w:rPr>
          <w:sz w:val="20"/>
          <w:szCs w:val="20"/>
          <w:color w:val="auto"/>
        </w:rPr>
      </w:pPr>
      <w:r>
        <w:rPr>
          <w:rFonts w:ascii="Arial" w:cs="Arial" w:eastAsia="Arial" w:hAnsi="Arial"/>
          <w:sz w:val="13"/>
          <w:szCs w:val="13"/>
          <w:color w:val="auto"/>
        </w:rPr>
        <w:t>•the cost of filing, prosecuting, obtaining, maintaining, protecting, defending and enforcing our patent claims and other intellectual property rights, including actions for patent and other intellectual property infringement, misappropriation and other violations brought by third parties against us regarding our product candidates or actions by us challenging the patent or intellectual property rights of others; •the effect of competing technological and market developments, including other products that may compete with one or more of our product candidates;</w:t>
      </w:r>
    </w:p>
    <w:p>
      <w:pPr>
        <w:spacing w:after="0" w:line="4"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•the cost and timing of completion and further expansion of clinical and commercial scale manufacturing activities sufficient to support all of our current and future programs;</w:t>
      </w:r>
    </w:p>
    <w:p>
      <w:pPr>
        <w:ind w:left="380"/>
        <w:spacing w:after="0" w:line="212" w:lineRule="auto"/>
        <w:rPr>
          <w:sz w:val="20"/>
          <w:szCs w:val="20"/>
          <w:color w:val="auto"/>
        </w:rPr>
      </w:pPr>
      <w:r>
        <w:rPr>
          <w:rFonts w:ascii="Arial" w:cs="Arial" w:eastAsia="Arial" w:hAnsi="Arial"/>
          <w:sz w:val="13"/>
          <w:szCs w:val="13"/>
          <w:color w:val="auto"/>
        </w:rPr>
        <w:t>•the cost of establishing sales, marketing, and distribution capabilities for any product candidates for</w:t>
      </w:r>
    </w:p>
    <w:p>
      <w:pPr>
        <w:ind w:left="380"/>
        <w:spacing w:after="0" w:line="211" w:lineRule="auto"/>
        <w:rPr>
          <w:sz w:val="20"/>
          <w:szCs w:val="20"/>
          <w:color w:val="auto"/>
        </w:rPr>
      </w:pPr>
      <w:r>
        <w:rPr>
          <w:rFonts w:ascii="Arial" w:cs="Arial" w:eastAsia="Arial" w:hAnsi="Arial"/>
          <w:sz w:val="13"/>
          <w:szCs w:val="13"/>
          <w:color w:val="auto"/>
        </w:rPr>
        <w:t>which we may receive marketing approval and reimbursement in regions where we choose to</w:t>
      </w:r>
    </w:p>
    <w:p>
      <w:pPr>
        <w:ind w:left="380"/>
        <w:spacing w:after="0" w:line="211" w:lineRule="auto"/>
        <w:rPr>
          <w:sz w:val="20"/>
          <w:szCs w:val="20"/>
          <w:color w:val="auto"/>
        </w:rPr>
      </w:pPr>
      <w:r>
        <w:rPr>
          <w:rFonts w:ascii="Arial" w:cs="Arial" w:eastAsia="Arial" w:hAnsi="Arial"/>
          <w:sz w:val="13"/>
          <w:szCs w:val="13"/>
          <w:color w:val="auto"/>
        </w:rPr>
        <w:t>commercialize our products on our own; and</w:t>
      </w:r>
    </w:p>
    <w:p>
      <w:pPr>
        <w:ind w:left="380"/>
        <w:spacing w:after="0" w:line="211" w:lineRule="auto"/>
        <w:rPr>
          <w:sz w:val="20"/>
          <w:szCs w:val="20"/>
          <w:color w:val="auto"/>
        </w:rPr>
      </w:pPr>
      <w:r>
        <w:rPr>
          <w:rFonts w:ascii="Arial" w:cs="Arial" w:eastAsia="Arial" w:hAnsi="Arial"/>
          <w:sz w:val="13"/>
          <w:szCs w:val="13"/>
          <w:color w:val="auto"/>
        </w:rPr>
        <w:t>•the terms of any ADS repurchases we make.</w:t>
      </w:r>
    </w:p>
    <w:p>
      <w:pPr>
        <w:ind w:left="380"/>
        <w:spacing w:after="0" w:line="211" w:lineRule="auto"/>
        <w:rPr>
          <w:sz w:val="20"/>
          <w:szCs w:val="20"/>
          <w:color w:val="auto"/>
        </w:rPr>
      </w:pPr>
      <w:r>
        <w:rPr>
          <w:rFonts w:ascii="Arial" w:cs="Arial" w:eastAsia="Arial" w:hAnsi="Arial"/>
          <w:sz w:val="13"/>
          <w:szCs w:val="13"/>
          <w:b w:val="1"/>
          <w:bCs w:val="1"/>
          <w:color w:val="005A64"/>
        </w:rPr>
        <w:t>C. Research and Development, Patents and Licenses, etc.</w:t>
      </w:r>
    </w:p>
    <w:p>
      <w:pPr>
        <w:ind w:left="380" w:right="2500"/>
        <w:spacing w:after="0" w:line="210" w:lineRule="auto"/>
        <w:rPr>
          <w:sz w:val="20"/>
          <w:szCs w:val="20"/>
          <w:color w:val="auto"/>
        </w:rPr>
      </w:pPr>
      <w:r>
        <w:rPr>
          <w:rFonts w:ascii="Arial" w:cs="Arial" w:eastAsia="Arial" w:hAnsi="Arial"/>
          <w:sz w:val="13"/>
          <w:szCs w:val="13"/>
          <w:color w:val="auto"/>
        </w:rPr>
        <w:t>Full details of our research and development activities and expenditures are given in Item 4 and under the description of the “Operating Results” in this Item 5 within this Annual Report.</w:t>
      </w:r>
    </w:p>
    <w:p>
      <w:pPr>
        <w:ind w:left="380"/>
        <w:spacing w:after="0" w:line="212" w:lineRule="auto"/>
        <w:rPr>
          <w:sz w:val="20"/>
          <w:szCs w:val="20"/>
          <w:color w:val="auto"/>
        </w:rPr>
      </w:pPr>
      <w:r>
        <w:rPr>
          <w:rFonts w:ascii="Arial" w:cs="Arial" w:eastAsia="Arial" w:hAnsi="Arial"/>
          <w:sz w:val="13"/>
          <w:szCs w:val="13"/>
          <w:b w:val="1"/>
          <w:bCs w:val="1"/>
          <w:color w:val="005A64"/>
        </w:rPr>
        <w:t>D. Trend Information</w:t>
      </w:r>
    </w:p>
    <w:p>
      <w:pPr>
        <w:spacing w:after="0" w:line="1" w:lineRule="exact"/>
        <w:rPr>
          <w:sz w:val="20"/>
          <w:szCs w:val="20"/>
          <w:color w:val="auto"/>
        </w:rPr>
      </w:pPr>
    </w:p>
    <w:p>
      <w:pPr>
        <w:ind w:left="380" w:right="2280"/>
        <w:spacing w:after="0" w:line="234" w:lineRule="auto"/>
        <w:rPr>
          <w:sz w:val="20"/>
          <w:szCs w:val="20"/>
          <w:color w:val="auto"/>
        </w:rPr>
      </w:pPr>
      <w:r>
        <w:rPr>
          <w:rFonts w:ascii="Arial" w:cs="Arial" w:eastAsia="Arial" w:hAnsi="Arial"/>
          <w:sz w:val="13"/>
          <w:szCs w:val="13"/>
          <w:color w:val="auto"/>
        </w:rPr>
        <w:t>See the description of “Operating Results” as well as Liquidity and Capital Resources in this Item 5, “Business Overview” in Item 4 and “Risk Factors” in Item 3 within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197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005A64"/>
        </w:rPr>
        <w:t>E.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40"/>
        <w:spacing w:after="0" w:line="210" w:lineRule="auto"/>
        <w:rPr>
          <w:sz w:val="20"/>
          <w:szCs w:val="20"/>
          <w:color w:val="auto"/>
        </w:rPr>
      </w:pPr>
      <w:r>
        <w:rPr>
          <w:rFonts w:ascii="Arial" w:cs="Arial" w:eastAsia="Arial" w:hAnsi="Arial"/>
          <w:sz w:val="13"/>
          <w:szCs w:val="13"/>
          <w:color w:val="auto"/>
        </w:rPr>
        <w:t>For a discussion of our Significant Accounting Judgments, Estimates and Assumption please refer to Note 3 to our consolidated financial statements included elsewhere in this Annual Report.</w:t>
      </w:r>
    </w:p>
    <w:p>
      <w:pPr>
        <w:ind w:left="380"/>
        <w:spacing w:after="0" w:line="212" w:lineRule="auto"/>
        <w:rPr>
          <w:sz w:val="20"/>
          <w:szCs w:val="20"/>
          <w:color w:val="auto"/>
        </w:rPr>
      </w:pPr>
      <w:r>
        <w:rPr>
          <w:rFonts w:ascii="Arial" w:cs="Arial" w:eastAsia="Arial" w:hAnsi="Arial"/>
          <w:sz w:val="13"/>
          <w:szCs w:val="13"/>
          <w:b w:val="1"/>
          <w:bCs w:val="1"/>
          <w:color w:val="005A64"/>
        </w:rPr>
        <w:t>F. Comparison of the year ended December 31, 2023 and the year ended December 31, 2022</w:t>
      </w:r>
    </w:p>
    <w:p>
      <w:pPr>
        <w:spacing w:after="0" w:line="1" w:lineRule="exact"/>
        <w:rPr>
          <w:sz w:val="20"/>
          <w:szCs w:val="20"/>
          <w:color w:val="auto"/>
        </w:rPr>
      </w:pPr>
    </w:p>
    <w:p>
      <w:pPr>
        <w:ind w:left="380" w:right="2180"/>
        <w:spacing w:after="0" w:line="212" w:lineRule="auto"/>
        <w:rPr>
          <w:sz w:val="20"/>
          <w:szCs w:val="20"/>
          <w:color w:val="auto"/>
        </w:rPr>
      </w:pPr>
      <w:r>
        <w:rPr>
          <w:rFonts w:ascii="Arial" w:cs="Arial" w:eastAsia="Arial" w:hAnsi="Arial"/>
          <w:sz w:val="13"/>
          <w:szCs w:val="13"/>
          <w:color w:val="auto"/>
        </w:rPr>
        <w:t>For a discussion of our operating results for the year ended December 31, 2022, and a comparison of the years ended December 31, 2023 and 2022, please refer to Item 5 of our Annual Report on Form 20-F for the year ended December 31, 2023.</w:t>
      </w:r>
    </w:p>
    <w:p>
      <w:pPr>
        <w:ind w:left="380"/>
        <w:spacing w:after="0" w:line="208" w:lineRule="auto"/>
        <w:rPr>
          <w:sz w:val="20"/>
          <w:szCs w:val="20"/>
          <w:color w:val="auto"/>
        </w:rPr>
      </w:pPr>
      <w:r>
        <w:rPr>
          <w:rFonts w:ascii="Arial" w:cs="Arial" w:eastAsia="Arial" w:hAnsi="Arial"/>
          <w:sz w:val="16"/>
          <w:szCs w:val="16"/>
          <w:b w:val="1"/>
          <w:bCs w:val="1"/>
          <w:color w:val="005A64"/>
        </w:rPr>
        <w:t>Item 6. Directors, Senior Management and Employees</w:t>
      </w:r>
    </w:p>
    <w:p>
      <w:pPr>
        <w:ind w:left="380"/>
        <w:spacing w:after="0" w:line="211" w:lineRule="auto"/>
        <w:rPr>
          <w:sz w:val="20"/>
          <w:szCs w:val="20"/>
          <w:color w:val="auto"/>
        </w:rPr>
      </w:pPr>
      <w:r>
        <w:rPr>
          <w:rFonts w:ascii="Arial" w:cs="Arial" w:eastAsia="Arial" w:hAnsi="Arial"/>
          <w:sz w:val="13"/>
          <w:szCs w:val="13"/>
          <w:b w:val="1"/>
          <w:bCs w:val="1"/>
          <w:color w:val="005A64"/>
        </w:rPr>
        <w:t>A. Directors and Senior Management</w:t>
      </w:r>
    </w:p>
    <w:p>
      <w:pPr>
        <w:ind w:left="380"/>
        <w:spacing w:after="0" w:line="211" w:lineRule="auto"/>
        <w:rPr>
          <w:sz w:val="20"/>
          <w:szCs w:val="20"/>
          <w:color w:val="auto"/>
        </w:rPr>
      </w:pPr>
      <w:r>
        <w:rPr>
          <w:rFonts w:ascii="Arial" w:cs="Arial" w:eastAsia="Arial" w:hAnsi="Arial"/>
          <w:sz w:val="13"/>
          <w:szCs w:val="13"/>
          <w:color w:val="005A64"/>
        </w:rPr>
        <w:t>Management Board (Vorstand)</w:t>
      </w:r>
    </w:p>
    <w:p>
      <w:pPr>
        <w:ind w:left="380" w:right="2120"/>
        <w:spacing w:after="0" w:line="210" w:lineRule="auto"/>
        <w:rPr>
          <w:sz w:val="20"/>
          <w:szCs w:val="20"/>
          <w:color w:val="auto"/>
        </w:rPr>
      </w:pPr>
      <w:r>
        <w:rPr>
          <w:rFonts w:ascii="Arial" w:cs="Arial" w:eastAsia="Arial" w:hAnsi="Arial"/>
          <w:sz w:val="13"/>
          <w:szCs w:val="13"/>
          <w:color w:val="auto"/>
        </w:rPr>
        <w:t>In January 2024, our Supervisory Board unanimously appointed Annemarie Hanekamp to the Management Board as our new Chief Commercial Officer (CCO), effective July 1, 2024. Annemarie Hanekamp replaced Sean Marett, who retired as CCO and whose service contract and term of office ended prematurely by mutual agreement. Sean Marett entered into a 12-month consultancy agreement with the Company on July 1, 2024, to ensure a smooth transition of services.</w:t>
      </w:r>
    </w:p>
    <w:p>
      <w:pPr>
        <w:spacing w:after="0" w:line="3" w:lineRule="exact"/>
        <w:rPr>
          <w:sz w:val="20"/>
          <w:szCs w:val="20"/>
          <w:color w:val="auto"/>
        </w:rPr>
      </w:pPr>
    </w:p>
    <w:p>
      <w:pPr>
        <w:ind w:left="380" w:right="2220"/>
        <w:spacing w:after="0" w:line="234" w:lineRule="auto"/>
        <w:rPr>
          <w:sz w:val="20"/>
          <w:szCs w:val="20"/>
          <w:color w:val="auto"/>
        </w:rPr>
      </w:pPr>
      <w:r>
        <w:rPr>
          <w:rFonts w:ascii="Arial" w:cs="Arial" w:eastAsia="Arial" w:hAnsi="Arial"/>
          <w:sz w:val="13"/>
          <w:szCs w:val="13"/>
          <w:color w:val="auto"/>
        </w:rPr>
        <w:t>The following table sets forth the names and functions of the current members of our Management Board, their ages as of December 31, 2024, and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-12700</wp:posOffset>
            </wp:positionV>
            <wp:extent cx="4268470" cy="127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268470" cy="12700"/>
                    </a:xfrm>
                    <a:prstGeom prst="rect">
                      <a:avLst/>
                    </a:prstGeom>
                    <a:noFill/>
                  </pic:spPr>
                </pic:pic>
              </a:graphicData>
            </a:graphic>
          </wp:anchor>
        </w:drawing>
      </w:r>
    </w:p>
    <w:p>
      <w:pPr>
        <w:spacing w:after="0" w:line="90" w:lineRule="exact"/>
        <w:rPr>
          <w:sz w:val="20"/>
          <w:szCs w:val="20"/>
          <w:color w:val="auto"/>
        </w:rPr>
      </w:pPr>
    </w:p>
    <w:tbl>
      <w:tblPr>
        <w:tblLayout w:type="fixed"/>
        <w:tblInd w:w="380" w:type="dxa"/>
        <w:tblCellMar>
          <w:top w:w="0" w:type="dxa"/>
          <w:left w:w="0" w:type="dxa"/>
          <w:bottom w:w="0" w:type="dxa"/>
          <w:right w:w="0" w:type="dxa"/>
        </w:tblCellMar>
      </w:tblPr>
      <w:tr>
        <w:trPr>
          <w:trHeight w:val="166"/>
        </w:trPr>
        <w:tc>
          <w:tcPr>
            <w:tcW w:w="1960" w:type="dxa"/>
            <w:vAlign w:val="bottom"/>
          </w:tcPr>
          <w:p>
            <w:pPr>
              <w:ind w:left="20"/>
              <w:spacing w:after="0"/>
              <w:rPr>
                <w:sz w:val="20"/>
                <w:szCs w:val="20"/>
                <w:color w:val="auto"/>
              </w:rPr>
            </w:pPr>
            <w:r>
              <w:rPr>
                <w:rFonts w:ascii="Arial" w:cs="Arial" w:eastAsia="Arial" w:hAnsi="Arial"/>
                <w:sz w:val="12"/>
                <w:szCs w:val="12"/>
                <w:b w:val="1"/>
                <w:bCs w:val="1"/>
                <w:color w:val="005A64"/>
              </w:rPr>
              <w:t>Name</w:t>
            </w:r>
          </w:p>
        </w:tc>
        <w:tc>
          <w:tcPr>
            <w:tcW w:w="4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005A64"/>
              </w:rPr>
              <w:t>Age</w:t>
            </w:r>
          </w:p>
        </w:tc>
        <w:tc>
          <w:tcPr>
            <w:tcW w:w="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005A64"/>
                <w:w w:val="99"/>
              </w:rPr>
              <w:t>Term Expires</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40" w:type="dxa"/>
            <w:vAlign w:val="bottom"/>
          </w:tcPr>
          <w:p>
            <w:pPr>
              <w:ind w:left="20"/>
              <w:spacing w:after="0"/>
              <w:rPr>
                <w:sz w:val="20"/>
                <w:szCs w:val="20"/>
                <w:color w:val="auto"/>
              </w:rPr>
            </w:pPr>
            <w:r>
              <w:rPr>
                <w:rFonts w:ascii="Arial" w:cs="Arial" w:eastAsia="Arial" w:hAnsi="Arial"/>
                <w:sz w:val="12"/>
                <w:szCs w:val="12"/>
                <w:b w:val="1"/>
                <w:bCs w:val="1"/>
                <w:color w:val="005A64"/>
              </w:rPr>
              <w:t>Position</w:t>
            </w:r>
          </w:p>
        </w:tc>
        <w:tc>
          <w:tcPr>
            <w:tcW w:w="0" w:type="dxa"/>
            <w:vAlign w:val="bottom"/>
          </w:tcPr>
          <w:p>
            <w:pPr>
              <w:spacing w:after="0"/>
              <w:rPr>
                <w:sz w:val="1"/>
                <w:szCs w:val="1"/>
                <w:color w:val="auto"/>
              </w:rPr>
            </w:pPr>
          </w:p>
        </w:tc>
      </w:tr>
      <w:tr>
        <w:trPr>
          <w:trHeight w:val="47"/>
        </w:trPr>
        <w:tc>
          <w:tcPr>
            <w:tcW w:w="1960" w:type="dxa"/>
            <w:vAlign w:val="bottom"/>
            <w:tcBorders>
              <w:bottom w:val="single" w:sz="8" w:color="005A64"/>
            </w:tcBorders>
          </w:tcPr>
          <w:p>
            <w:pPr>
              <w:spacing w:after="0"/>
              <w:rPr>
                <w:sz w:val="4"/>
                <w:szCs w:val="4"/>
                <w:color w:val="auto"/>
              </w:rPr>
            </w:pPr>
          </w:p>
        </w:tc>
        <w:tc>
          <w:tcPr>
            <w:tcW w:w="40" w:type="dxa"/>
            <w:vAlign w:val="bottom"/>
            <w:vMerge w:val="restart"/>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40" w:type="dxa"/>
            <w:vAlign w:val="bottom"/>
            <w:vMerge w:val="restart"/>
          </w:tcPr>
          <w:p>
            <w:pPr>
              <w:spacing w:after="0"/>
              <w:rPr>
                <w:sz w:val="4"/>
                <w:szCs w:val="4"/>
                <w:color w:val="auto"/>
              </w:rPr>
            </w:pPr>
          </w:p>
        </w:tc>
        <w:tc>
          <w:tcPr>
            <w:tcW w:w="1240" w:type="dxa"/>
            <w:vAlign w:val="bottom"/>
            <w:tcBorders>
              <w:bottom w:val="single" w:sz="8" w:color="005A64"/>
            </w:tcBorders>
            <w:gridSpan w:val="2"/>
          </w:tcPr>
          <w:p>
            <w:pPr>
              <w:spacing w:after="0"/>
              <w:rPr>
                <w:sz w:val="4"/>
                <w:szCs w:val="4"/>
                <w:color w:val="auto"/>
              </w:rPr>
            </w:pPr>
          </w:p>
        </w:tc>
        <w:tc>
          <w:tcPr>
            <w:tcW w:w="40" w:type="dxa"/>
            <w:vAlign w:val="bottom"/>
            <w:vMerge w:val="restart"/>
          </w:tcPr>
          <w:p>
            <w:pPr>
              <w:spacing w:after="0"/>
              <w:rPr>
                <w:sz w:val="4"/>
                <w:szCs w:val="4"/>
                <w:color w:val="auto"/>
              </w:rPr>
            </w:pPr>
          </w:p>
        </w:tc>
        <w:tc>
          <w:tcPr>
            <w:tcW w:w="26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1960" w:type="dxa"/>
            <w:vAlign w:val="bottom"/>
          </w:tcPr>
          <w:p>
            <w:pPr>
              <w:ind w:left="20"/>
              <w:spacing w:after="0"/>
              <w:rPr>
                <w:sz w:val="20"/>
                <w:szCs w:val="20"/>
                <w:color w:val="auto"/>
              </w:rPr>
            </w:pPr>
            <w:r>
              <w:rPr>
                <w:rFonts w:ascii="Arial" w:cs="Arial" w:eastAsia="Arial" w:hAnsi="Arial"/>
                <w:sz w:val="12"/>
                <w:szCs w:val="12"/>
                <w:color w:val="005A64"/>
              </w:rPr>
              <w:t>Prof. Ugur Sahin, M.D.</w:t>
            </w:r>
          </w:p>
        </w:tc>
        <w:tc>
          <w:tcPr>
            <w:tcW w:w="40" w:type="dxa"/>
            <w:vAlign w:val="bottom"/>
            <w:vMerge w:val="continue"/>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color w:val="005A64"/>
              </w:rPr>
              <w:t>59</w:t>
            </w:r>
          </w:p>
        </w:tc>
        <w:tc>
          <w:tcPr>
            <w:tcW w:w="40" w:type="dxa"/>
            <w:vAlign w:val="bottom"/>
            <w:vMerge w:val="continue"/>
          </w:tcPr>
          <w:p>
            <w:pPr>
              <w:spacing w:after="0"/>
              <w:rPr>
                <w:sz w:val="13"/>
                <w:szCs w:val="13"/>
                <w:color w:val="auto"/>
              </w:rPr>
            </w:pPr>
          </w:p>
        </w:tc>
        <w:tc>
          <w:tcPr>
            <w:tcW w:w="1240" w:type="dxa"/>
            <w:vAlign w:val="bottom"/>
            <w:gridSpan w:val="2"/>
          </w:tcPr>
          <w:p>
            <w:pPr>
              <w:spacing w:after="0"/>
              <w:rPr>
                <w:sz w:val="20"/>
                <w:szCs w:val="20"/>
                <w:color w:val="auto"/>
              </w:rPr>
            </w:pPr>
            <w:r>
              <w:rPr>
                <w:rFonts w:ascii="Arial" w:cs="Arial" w:eastAsia="Arial" w:hAnsi="Arial"/>
                <w:sz w:val="12"/>
                <w:szCs w:val="12"/>
                <w:color w:val="005A64"/>
              </w:rPr>
              <w:t>December 31, 2026</w:t>
            </w:r>
          </w:p>
        </w:tc>
        <w:tc>
          <w:tcPr>
            <w:tcW w:w="40" w:type="dxa"/>
            <w:vAlign w:val="bottom"/>
            <w:vMerge w:val="continue"/>
          </w:tcPr>
          <w:p>
            <w:pPr>
              <w:spacing w:after="0"/>
              <w:rPr>
                <w:sz w:val="13"/>
                <w:szCs w:val="13"/>
                <w:color w:val="auto"/>
              </w:rPr>
            </w:pPr>
          </w:p>
        </w:tc>
        <w:tc>
          <w:tcPr>
            <w:tcW w:w="2640" w:type="dxa"/>
            <w:vAlign w:val="bottom"/>
          </w:tcPr>
          <w:p>
            <w:pPr>
              <w:ind w:left="20"/>
              <w:spacing w:after="0"/>
              <w:rPr>
                <w:sz w:val="20"/>
                <w:szCs w:val="20"/>
                <w:color w:val="auto"/>
              </w:rPr>
            </w:pPr>
            <w:r>
              <w:rPr>
                <w:rFonts w:ascii="Arial" w:cs="Arial" w:eastAsia="Arial" w:hAnsi="Arial"/>
                <w:sz w:val="12"/>
                <w:szCs w:val="12"/>
                <w:color w:val="005A64"/>
              </w:rPr>
              <w:t>Chief Executive Officer</w:t>
            </w:r>
          </w:p>
        </w:tc>
        <w:tc>
          <w:tcPr>
            <w:tcW w:w="0" w:type="dxa"/>
            <w:vAlign w:val="bottom"/>
          </w:tcPr>
          <w:p>
            <w:pPr>
              <w:spacing w:after="0"/>
              <w:rPr>
                <w:sz w:val="1"/>
                <w:szCs w:val="1"/>
                <w:color w:val="auto"/>
              </w:rPr>
            </w:pPr>
          </w:p>
        </w:tc>
      </w:tr>
      <w:tr>
        <w:trPr>
          <w:trHeight w:val="143"/>
        </w:trPr>
        <w:tc>
          <w:tcPr>
            <w:tcW w:w="1960" w:type="dxa"/>
            <w:vAlign w:val="bottom"/>
          </w:tcPr>
          <w:p>
            <w:pPr>
              <w:ind w:left="1220"/>
              <w:spacing w:after="0"/>
              <w:rPr>
                <w:sz w:val="20"/>
                <w:szCs w:val="20"/>
                <w:color w:val="auto"/>
              </w:rPr>
            </w:pPr>
            <w:r>
              <w:rPr>
                <w:rFonts w:ascii="Arial" w:cs="Arial" w:eastAsia="Arial" w:hAnsi="Arial"/>
                <w:sz w:val="8"/>
                <w:szCs w:val="8"/>
                <w:color w:val="005A64"/>
              </w:rPr>
              <w:t>(1)</w:t>
            </w:r>
          </w:p>
        </w:tc>
        <w:tc>
          <w:tcPr>
            <w:tcW w:w="800" w:type="dxa"/>
            <w:vAlign w:val="bottom"/>
            <w:gridSpan w:val="2"/>
          </w:tcPr>
          <w:p>
            <w:pPr>
              <w:ind w:left="60"/>
              <w:spacing w:after="0"/>
              <w:rPr>
                <w:sz w:val="20"/>
                <w:szCs w:val="20"/>
                <w:color w:val="auto"/>
              </w:rPr>
            </w:pPr>
            <w:r>
              <w:rPr>
                <w:rFonts w:ascii="Arial" w:cs="Arial" w:eastAsia="Arial" w:hAnsi="Arial"/>
                <w:sz w:val="12"/>
                <w:szCs w:val="12"/>
                <w:color w:val="005A64"/>
              </w:rPr>
              <w:t>44</w:t>
            </w:r>
          </w:p>
        </w:tc>
        <w:tc>
          <w:tcPr>
            <w:tcW w:w="40" w:type="dxa"/>
            <w:vAlign w:val="bottom"/>
          </w:tcPr>
          <w:p>
            <w:pPr>
              <w:spacing w:after="0"/>
              <w:rPr>
                <w:sz w:val="12"/>
                <w:szCs w:val="12"/>
                <w:color w:val="auto"/>
              </w:rPr>
            </w:pPr>
          </w:p>
        </w:tc>
        <w:tc>
          <w:tcPr>
            <w:tcW w:w="780" w:type="dxa"/>
            <w:vAlign w:val="bottom"/>
          </w:tcPr>
          <w:p>
            <w:pPr>
              <w:spacing w:after="0"/>
              <w:rPr>
                <w:sz w:val="20"/>
                <w:szCs w:val="20"/>
                <w:color w:val="auto"/>
              </w:rPr>
            </w:pPr>
            <w:r>
              <w:rPr>
                <w:rFonts w:ascii="Arial" w:cs="Arial" w:eastAsia="Arial" w:hAnsi="Arial"/>
                <w:sz w:val="12"/>
                <w:szCs w:val="12"/>
                <w:color w:val="005A64"/>
                <w:w w:val="99"/>
              </w:rPr>
              <w:t>June 30, 2028</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40" w:type="dxa"/>
            <w:vAlign w:val="bottom"/>
          </w:tcPr>
          <w:p>
            <w:pPr>
              <w:ind w:left="20"/>
              <w:spacing w:after="0"/>
              <w:rPr>
                <w:sz w:val="20"/>
                <w:szCs w:val="20"/>
                <w:color w:val="auto"/>
              </w:rPr>
            </w:pPr>
            <w:r>
              <w:rPr>
                <w:rFonts w:ascii="Arial" w:cs="Arial" w:eastAsia="Arial" w:hAnsi="Arial"/>
                <w:sz w:val="12"/>
                <w:szCs w:val="12"/>
                <w:color w:val="005A64"/>
              </w:rPr>
              <w:t>Chief Commercial Officer</w:t>
            </w:r>
          </w:p>
        </w:tc>
        <w:tc>
          <w:tcPr>
            <w:tcW w:w="0" w:type="dxa"/>
            <w:vAlign w:val="bottom"/>
          </w:tcPr>
          <w:p>
            <w:pPr>
              <w:spacing w:after="0"/>
              <w:rPr>
                <w:sz w:val="1"/>
                <w:szCs w:val="1"/>
                <w:color w:val="auto"/>
              </w:rPr>
            </w:pPr>
          </w:p>
        </w:tc>
      </w:tr>
      <w:tr>
        <w:trPr>
          <w:trHeight w:val="80"/>
        </w:trPr>
        <w:tc>
          <w:tcPr>
            <w:tcW w:w="1960" w:type="dxa"/>
            <w:vAlign w:val="bottom"/>
          </w:tcPr>
          <w:p>
            <w:pPr>
              <w:ind w:left="20"/>
              <w:spacing w:after="0" w:line="81" w:lineRule="exact"/>
              <w:rPr>
                <w:sz w:val="20"/>
                <w:szCs w:val="20"/>
                <w:color w:val="auto"/>
              </w:rPr>
            </w:pPr>
            <w:r>
              <w:rPr>
                <w:rFonts w:ascii="Arial" w:cs="Arial" w:eastAsia="Arial" w:hAnsi="Arial"/>
                <w:sz w:val="9"/>
                <w:szCs w:val="9"/>
                <w:color w:val="005A64"/>
              </w:rPr>
              <w:t>Annemarie Hanekamp</w:t>
            </w: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1960" w:type="dxa"/>
            <w:vAlign w:val="bottom"/>
          </w:tcPr>
          <w:p>
            <w:pPr>
              <w:ind w:left="20"/>
              <w:spacing w:after="0"/>
              <w:rPr>
                <w:sz w:val="20"/>
                <w:szCs w:val="20"/>
                <w:color w:val="auto"/>
              </w:rPr>
            </w:pPr>
            <w:r>
              <w:rPr>
                <w:rFonts w:ascii="Arial" w:cs="Arial" w:eastAsia="Arial" w:hAnsi="Arial"/>
                <w:sz w:val="12"/>
                <w:szCs w:val="12"/>
                <w:color w:val="005A64"/>
              </w:rPr>
              <w:t>Jens Holstein</w:t>
            </w:r>
          </w:p>
        </w:tc>
        <w:tc>
          <w:tcPr>
            <w:tcW w:w="800" w:type="dxa"/>
            <w:vAlign w:val="bottom"/>
            <w:gridSpan w:val="2"/>
          </w:tcPr>
          <w:p>
            <w:pPr>
              <w:ind w:left="60"/>
              <w:spacing w:after="0"/>
              <w:rPr>
                <w:sz w:val="20"/>
                <w:szCs w:val="20"/>
                <w:color w:val="auto"/>
              </w:rPr>
            </w:pPr>
            <w:r>
              <w:rPr>
                <w:rFonts w:ascii="Arial" w:cs="Arial" w:eastAsia="Arial" w:hAnsi="Arial"/>
                <w:sz w:val="12"/>
                <w:szCs w:val="12"/>
                <w:color w:val="005A64"/>
              </w:rPr>
              <w:t>61</w:t>
            </w:r>
          </w:p>
        </w:tc>
        <w:tc>
          <w:tcPr>
            <w:tcW w:w="40" w:type="dxa"/>
            <w:vAlign w:val="bottom"/>
          </w:tcPr>
          <w:p>
            <w:pPr>
              <w:spacing w:after="0"/>
              <w:rPr>
                <w:sz w:val="13"/>
                <w:szCs w:val="13"/>
                <w:color w:val="auto"/>
              </w:rPr>
            </w:pPr>
          </w:p>
        </w:tc>
        <w:tc>
          <w:tcPr>
            <w:tcW w:w="780" w:type="dxa"/>
            <w:vAlign w:val="bottom"/>
            <w:vMerge w:val="restart"/>
          </w:tcPr>
          <w:p>
            <w:pPr>
              <w:spacing w:after="0"/>
              <w:rPr>
                <w:sz w:val="20"/>
                <w:szCs w:val="20"/>
                <w:color w:val="auto"/>
              </w:rPr>
            </w:pPr>
            <w:r>
              <w:rPr>
                <w:rFonts w:ascii="Arial" w:cs="Arial" w:eastAsia="Arial" w:hAnsi="Arial"/>
                <w:sz w:val="12"/>
                <w:szCs w:val="12"/>
                <w:color w:val="005A64"/>
                <w:w w:val="99"/>
              </w:rPr>
              <w:t>June 30, 2025</w:t>
            </w:r>
          </w:p>
        </w:tc>
        <w:tc>
          <w:tcPr>
            <w:tcW w:w="460" w:type="dxa"/>
            <w:vAlign w:val="bottom"/>
          </w:tcPr>
          <w:p>
            <w:pPr>
              <w:jc w:val="right"/>
              <w:ind w:right="320"/>
              <w:spacing w:after="0"/>
              <w:rPr>
                <w:sz w:val="20"/>
                <w:szCs w:val="20"/>
                <w:color w:val="auto"/>
              </w:rPr>
            </w:pPr>
            <w:r>
              <w:rPr>
                <w:rFonts w:ascii="Arial" w:cs="Arial" w:eastAsia="Arial" w:hAnsi="Arial"/>
                <w:sz w:val="8"/>
                <w:szCs w:val="8"/>
                <w:color w:val="005A64"/>
                <w:w w:val="81"/>
              </w:rPr>
              <w:t>(2)</w:t>
            </w:r>
          </w:p>
        </w:tc>
        <w:tc>
          <w:tcPr>
            <w:tcW w:w="40" w:type="dxa"/>
            <w:vAlign w:val="bottom"/>
          </w:tcPr>
          <w:p>
            <w:pPr>
              <w:spacing w:after="0"/>
              <w:rPr>
                <w:sz w:val="13"/>
                <w:szCs w:val="13"/>
                <w:color w:val="auto"/>
              </w:rPr>
            </w:pPr>
          </w:p>
        </w:tc>
        <w:tc>
          <w:tcPr>
            <w:tcW w:w="2640" w:type="dxa"/>
            <w:vAlign w:val="bottom"/>
          </w:tcPr>
          <w:p>
            <w:pPr>
              <w:ind w:left="20"/>
              <w:spacing w:after="0"/>
              <w:rPr>
                <w:sz w:val="20"/>
                <w:szCs w:val="20"/>
                <w:color w:val="auto"/>
              </w:rPr>
            </w:pPr>
            <w:r>
              <w:rPr>
                <w:rFonts w:ascii="Arial" w:cs="Arial" w:eastAsia="Arial" w:hAnsi="Arial"/>
                <w:sz w:val="12"/>
                <w:szCs w:val="12"/>
                <w:color w:val="005A64"/>
              </w:rPr>
              <w:t>Chief Financial Officer</w:t>
            </w:r>
          </w:p>
        </w:tc>
        <w:tc>
          <w:tcPr>
            <w:tcW w:w="0" w:type="dxa"/>
            <w:vAlign w:val="bottom"/>
          </w:tcPr>
          <w:p>
            <w:pPr>
              <w:spacing w:after="0"/>
              <w:rPr>
                <w:sz w:val="1"/>
                <w:szCs w:val="1"/>
                <w:color w:val="auto"/>
              </w:rPr>
            </w:pPr>
          </w:p>
        </w:tc>
      </w:tr>
      <w:tr>
        <w:trPr>
          <w:trHeight w:val="42"/>
        </w:trPr>
        <w:tc>
          <w:tcPr>
            <w:tcW w:w="1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960" w:type="dxa"/>
            <w:vAlign w:val="bottom"/>
          </w:tcPr>
          <w:p>
            <w:pPr>
              <w:ind w:left="20"/>
              <w:spacing w:after="0"/>
              <w:rPr>
                <w:sz w:val="20"/>
                <w:szCs w:val="20"/>
                <w:color w:val="auto"/>
              </w:rPr>
            </w:pPr>
            <w:r>
              <w:rPr>
                <w:rFonts w:ascii="Arial" w:cs="Arial" w:eastAsia="Arial" w:hAnsi="Arial"/>
                <w:sz w:val="12"/>
                <w:szCs w:val="12"/>
                <w:color w:val="005A64"/>
              </w:rPr>
              <w:t>Sierk Poetting, Ph.D.</w:t>
            </w:r>
          </w:p>
        </w:tc>
        <w:tc>
          <w:tcPr>
            <w:tcW w:w="800" w:type="dxa"/>
            <w:vAlign w:val="bottom"/>
            <w:gridSpan w:val="2"/>
          </w:tcPr>
          <w:p>
            <w:pPr>
              <w:ind w:left="60"/>
              <w:spacing w:after="0"/>
              <w:rPr>
                <w:sz w:val="20"/>
                <w:szCs w:val="20"/>
                <w:color w:val="auto"/>
              </w:rPr>
            </w:pPr>
            <w:r>
              <w:rPr>
                <w:rFonts w:ascii="Arial" w:cs="Arial" w:eastAsia="Arial" w:hAnsi="Arial"/>
                <w:sz w:val="12"/>
                <w:szCs w:val="12"/>
                <w:color w:val="005A64"/>
              </w:rPr>
              <w:t>50</w:t>
            </w:r>
          </w:p>
        </w:tc>
        <w:tc>
          <w:tcPr>
            <w:tcW w:w="4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Arial" w:cs="Arial" w:eastAsia="Arial" w:hAnsi="Arial"/>
                <w:sz w:val="12"/>
                <w:szCs w:val="12"/>
                <w:color w:val="005A64"/>
              </w:rPr>
              <w:t>November 30, 2026</w:t>
            </w:r>
          </w:p>
        </w:tc>
        <w:tc>
          <w:tcPr>
            <w:tcW w:w="40" w:type="dxa"/>
            <w:vAlign w:val="bottom"/>
          </w:tcPr>
          <w:p>
            <w:pPr>
              <w:spacing w:after="0"/>
              <w:rPr>
                <w:sz w:val="13"/>
                <w:szCs w:val="13"/>
                <w:color w:val="auto"/>
              </w:rPr>
            </w:pPr>
          </w:p>
        </w:tc>
        <w:tc>
          <w:tcPr>
            <w:tcW w:w="2640" w:type="dxa"/>
            <w:vAlign w:val="bottom"/>
          </w:tcPr>
          <w:p>
            <w:pPr>
              <w:ind w:left="20"/>
              <w:spacing w:after="0"/>
              <w:rPr>
                <w:sz w:val="20"/>
                <w:szCs w:val="20"/>
                <w:color w:val="auto"/>
              </w:rPr>
            </w:pPr>
            <w:r>
              <w:rPr>
                <w:rFonts w:ascii="Arial" w:cs="Arial" w:eastAsia="Arial" w:hAnsi="Arial"/>
                <w:sz w:val="12"/>
                <w:szCs w:val="12"/>
                <w:color w:val="005A64"/>
              </w:rPr>
              <w:t>Chief Operating Officer</w:t>
            </w:r>
          </w:p>
        </w:tc>
        <w:tc>
          <w:tcPr>
            <w:tcW w:w="0" w:type="dxa"/>
            <w:vAlign w:val="bottom"/>
          </w:tcPr>
          <w:p>
            <w:pPr>
              <w:spacing w:after="0"/>
              <w:rPr>
                <w:sz w:val="1"/>
                <w:szCs w:val="1"/>
                <w:color w:val="auto"/>
              </w:rPr>
            </w:pPr>
          </w:p>
        </w:tc>
      </w:tr>
      <w:tr>
        <w:trPr>
          <w:trHeight w:val="202"/>
        </w:trPr>
        <w:tc>
          <w:tcPr>
            <w:tcW w:w="1960" w:type="dxa"/>
            <w:vAlign w:val="bottom"/>
          </w:tcPr>
          <w:p>
            <w:pPr>
              <w:ind w:left="20"/>
              <w:spacing w:after="0"/>
              <w:rPr>
                <w:sz w:val="20"/>
                <w:szCs w:val="20"/>
                <w:color w:val="auto"/>
              </w:rPr>
            </w:pPr>
            <w:r>
              <w:rPr>
                <w:rFonts w:ascii="Arial" w:cs="Arial" w:eastAsia="Arial" w:hAnsi="Arial"/>
                <w:sz w:val="12"/>
                <w:szCs w:val="12"/>
                <w:color w:val="005A64"/>
              </w:rPr>
              <w:t>Ryan Richardson</w:t>
            </w:r>
          </w:p>
        </w:tc>
        <w:tc>
          <w:tcPr>
            <w:tcW w:w="800" w:type="dxa"/>
            <w:vAlign w:val="bottom"/>
            <w:gridSpan w:val="2"/>
          </w:tcPr>
          <w:p>
            <w:pPr>
              <w:ind w:left="60"/>
              <w:spacing w:after="0"/>
              <w:rPr>
                <w:sz w:val="20"/>
                <w:szCs w:val="20"/>
                <w:color w:val="auto"/>
              </w:rPr>
            </w:pPr>
            <w:r>
              <w:rPr>
                <w:rFonts w:ascii="Arial" w:cs="Arial" w:eastAsia="Arial" w:hAnsi="Arial"/>
                <w:sz w:val="12"/>
                <w:szCs w:val="12"/>
                <w:color w:val="005A64"/>
              </w:rPr>
              <w:t>45</w:t>
            </w:r>
          </w:p>
        </w:tc>
        <w:tc>
          <w:tcPr>
            <w:tcW w:w="4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2"/>
                <w:szCs w:val="12"/>
                <w:color w:val="005A64"/>
              </w:rPr>
              <w:t>December 31, 2026</w:t>
            </w:r>
          </w:p>
        </w:tc>
        <w:tc>
          <w:tcPr>
            <w:tcW w:w="40" w:type="dxa"/>
            <w:vAlign w:val="bottom"/>
          </w:tcPr>
          <w:p>
            <w:pPr>
              <w:spacing w:after="0"/>
              <w:rPr>
                <w:sz w:val="17"/>
                <w:szCs w:val="17"/>
                <w:color w:val="auto"/>
              </w:rPr>
            </w:pPr>
          </w:p>
        </w:tc>
        <w:tc>
          <w:tcPr>
            <w:tcW w:w="2640" w:type="dxa"/>
            <w:vAlign w:val="bottom"/>
          </w:tcPr>
          <w:p>
            <w:pPr>
              <w:ind w:left="20"/>
              <w:spacing w:after="0"/>
              <w:rPr>
                <w:sz w:val="20"/>
                <w:szCs w:val="20"/>
                <w:color w:val="auto"/>
              </w:rPr>
            </w:pPr>
            <w:r>
              <w:rPr>
                <w:rFonts w:ascii="Arial" w:cs="Arial" w:eastAsia="Arial" w:hAnsi="Arial"/>
                <w:sz w:val="12"/>
                <w:szCs w:val="12"/>
                <w:color w:val="005A64"/>
              </w:rPr>
              <w:t>Chief Strategy Officer</w:t>
            </w:r>
          </w:p>
        </w:tc>
        <w:tc>
          <w:tcPr>
            <w:tcW w:w="0" w:type="dxa"/>
            <w:vAlign w:val="bottom"/>
          </w:tcPr>
          <w:p>
            <w:pPr>
              <w:spacing w:after="0"/>
              <w:rPr>
                <w:sz w:val="1"/>
                <w:szCs w:val="1"/>
                <w:color w:val="auto"/>
              </w:rPr>
            </w:pPr>
          </w:p>
        </w:tc>
      </w:tr>
      <w:tr>
        <w:trPr>
          <w:trHeight w:val="202"/>
        </w:trPr>
        <w:tc>
          <w:tcPr>
            <w:tcW w:w="1960" w:type="dxa"/>
            <w:vAlign w:val="bottom"/>
          </w:tcPr>
          <w:p>
            <w:pPr>
              <w:ind w:left="20"/>
              <w:spacing w:after="0"/>
              <w:rPr>
                <w:sz w:val="20"/>
                <w:szCs w:val="20"/>
                <w:color w:val="auto"/>
              </w:rPr>
            </w:pPr>
            <w:r>
              <w:rPr>
                <w:rFonts w:ascii="Arial" w:cs="Arial" w:eastAsia="Arial" w:hAnsi="Arial"/>
                <w:sz w:val="12"/>
                <w:szCs w:val="12"/>
                <w:color w:val="005A64"/>
              </w:rPr>
              <w:t>James Ryan, Ph.D.</w:t>
            </w:r>
          </w:p>
        </w:tc>
        <w:tc>
          <w:tcPr>
            <w:tcW w:w="800" w:type="dxa"/>
            <w:vAlign w:val="bottom"/>
            <w:gridSpan w:val="2"/>
          </w:tcPr>
          <w:p>
            <w:pPr>
              <w:ind w:left="60"/>
              <w:spacing w:after="0"/>
              <w:rPr>
                <w:sz w:val="20"/>
                <w:szCs w:val="20"/>
                <w:color w:val="auto"/>
              </w:rPr>
            </w:pPr>
            <w:r>
              <w:rPr>
                <w:rFonts w:ascii="Arial" w:cs="Arial" w:eastAsia="Arial" w:hAnsi="Arial"/>
                <w:sz w:val="12"/>
                <w:szCs w:val="12"/>
                <w:color w:val="005A64"/>
              </w:rPr>
              <w:t>49</w:t>
            </w:r>
          </w:p>
        </w:tc>
        <w:tc>
          <w:tcPr>
            <w:tcW w:w="4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2"/>
                <w:szCs w:val="12"/>
                <w:color w:val="005A64"/>
              </w:rPr>
              <w:t>August 31, 2027</w:t>
            </w:r>
          </w:p>
        </w:tc>
        <w:tc>
          <w:tcPr>
            <w:tcW w:w="40" w:type="dxa"/>
            <w:vAlign w:val="bottom"/>
          </w:tcPr>
          <w:p>
            <w:pPr>
              <w:spacing w:after="0"/>
              <w:rPr>
                <w:sz w:val="17"/>
                <w:szCs w:val="17"/>
                <w:color w:val="auto"/>
              </w:rPr>
            </w:pPr>
          </w:p>
        </w:tc>
        <w:tc>
          <w:tcPr>
            <w:tcW w:w="2640" w:type="dxa"/>
            <w:vAlign w:val="bottom"/>
          </w:tcPr>
          <w:p>
            <w:pPr>
              <w:ind w:left="20"/>
              <w:spacing w:after="0"/>
              <w:rPr>
                <w:sz w:val="20"/>
                <w:szCs w:val="20"/>
                <w:color w:val="auto"/>
              </w:rPr>
            </w:pPr>
            <w:r>
              <w:rPr>
                <w:rFonts w:ascii="Arial" w:cs="Arial" w:eastAsia="Arial" w:hAnsi="Arial"/>
                <w:sz w:val="12"/>
                <w:szCs w:val="12"/>
                <w:color w:val="005A64"/>
              </w:rPr>
              <w:t>Chief Legal Officer and Chief Business Officer</w:t>
            </w:r>
          </w:p>
        </w:tc>
        <w:tc>
          <w:tcPr>
            <w:tcW w:w="0" w:type="dxa"/>
            <w:vAlign w:val="bottom"/>
          </w:tcPr>
          <w:p>
            <w:pPr>
              <w:spacing w:after="0"/>
              <w:rPr>
                <w:sz w:val="1"/>
                <w:szCs w:val="1"/>
                <w:color w:val="auto"/>
              </w:rPr>
            </w:pPr>
          </w:p>
        </w:tc>
      </w:tr>
      <w:tr>
        <w:trPr>
          <w:trHeight w:val="202"/>
        </w:trPr>
        <w:tc>
          <w:tcPr>
            <w:tcW w:w="1960" w:type="dxa"/>
            <w:vAlign w:val="bottom"/>
          </w:tcPr>
          <w:p>
            <w:pPr>
              <w:ind w:left="20"/>
              <w:spacing w:after="0"/>
              <w:rPr>
                <w:sz w:val="20"/>
                <w:szCs w:val="20"/>
                <w:color w:val="auto"/>
              </w:rPr>
            </w:pPr>
            <w:r>
              <w:rPr>
                <w:rFonts w:ascii="Arial" w:cs="Arial" w:eastAsia="Arial" w:hAnsi="Arial"/>
                <w:sz w:val="12"/>
                <w:szCs w:val="12"/>
                <w:color w:val="005A64"/>
              </w:rPr>
              <w:t>Prof. Özlem Türeci, M.D.</w:t>
            </w:r>
          </w:p>
        </w:tc>
        <w:tc>
          <w:tcPr>
            <w:tcW w:w="800" w:type="dxa"/>
            <w:vAlign w:val="bottom"/>
            <w:gridSpan w:val="2"/>
          </w:tcPr>
          <w:p>
            <w:pPr>
              <w:ind w:left="60"/>
              <w:spacing w:after="0"/>
              <w:rPr>
                <w:sz w:val="20"/>
                <w:szCs w:val="20"/>
                <w:color w:val="auto"/>
              </w:rPr>
            </w:pPr>
            <w:r>
              <w:rPr>
                <w:rFonts w:ascii="Arial" w:cs="Arial" w:eastAsia="Arial" w:hAnsi="Arial"/>
                <w:sz w:val="12"/>
                <w:szCs w:val="12"/>
                <w:color w:val="005A64"/>
              </w:rPr>
              <w:t>56</w:t>
            </w:r>
          </w:p>
        </w:tc>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2"/>
                <w:szCs w:val="12"/>
                <w:color w:val="005A64"/>
              </w:rPr>
              <w:t>May 31, 2025</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40" w:type="dxa"/>
            <w:vAlign w:val="bottom"/>
          </w:tcPr>
          <w:p>
            <w:pPr>
              <w:ind w:left="20"/>
              <w:spacing w:after="0"/>
              <w:rPr>
                <w:sz w:val="20"/>
                <w:szCs w:val="20"/>
                <w:color w:val="auto"/>
              </w:rPr>
            </w:pPr>
            <w:r>
              <w:rPr>
                <w:rFonts w:ascii="Arial" w:cs="Arial" w:eastAsia="Arial" w:hAnsi="Arial"/>
                <w:sz w:val="12"/>
                <w:szCs w:val="12"/>
                <w:color w:val="005A64"/>
              </w:rPr>
              <w:t>Chief Medical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33655</wp:posOffset>
            </wp:positionV>
            <wp:extent cx="426847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268470" cy="6350"/>
                    </a:xfrm>
                    <a:prstGeom prst="rect">
                      <a:avLst/>
                    </a:prstGeom>
                    <a:noFill/>
                  </pic:spPr>
                </pic:pic>
              </a:graphicData>
            </a:graphic>
          </wp:anchor>
        </w:drawing>
      </w:r>
    </w:p>
    <w:p>
      <w:pPr>
        <w:spacing w:after="0" w:line="73" w:lineRule="exact"/>
        <w:rPr>
          <w:sz w:val="20"/>
          <w:szCs w:val="20"/>
          <w:color w:val="auto"/>
        </w:rPr>
      </w:pPr>
    </w:p>
    <w:p>
      <w:pPr>
        <w:ind w:left="380" w:right="2200" w:firstLine="3"/>
        <w:spacing w:after="0" w:line="209" w:lineRule="auto"/>
        <w:tabs>
          <w:tab w:leader="none" w:pos="582" w:val="left"/>
        </w:tabs>
        <w:numPr>
          <w:ilvl w:val="0"/>
          <w:numId w:val="24"/>
        </w:numPr>
        <w:rPr>
          <w:rFonts w:ascii="Arial" w:cs="Arial" w:eastAsia="Arial" w:hAnsi="Arial"/>
          <w:sz w:val="16"/>
          <w:szCs w:val="16"/>
          <w:color w:val="005A64"/>
          <w:vertAlign w:val="superscript"/>
        </w:rPr>
      </w:pPr>
      <w:r>
        <w:rPr>
          <w:rFonts w:ascii="Arial" w:cs="Arial" w:eastAsia="Arial" w:hAnsi="Arial"/>
          <w:sz w:val="12"/>
          <w:szCs w:val="12"/>
          <w:color w:val="005A64"/>
        </w:rPr>
        <w:t>Appointed effective as of July 1, 2024. Annemarie Hanekamp replaced Sean Marett, who retired as CCO and whose service contract and term of office ended prematurely by mutual agreement. Sean Marett entered into a 12-month consultancy agreement with the Company on July 1, 2024, to ensure a smooth transition of services.</w:t>
      </w:r>
    </w:p>
    <w:p>
      <w:pPr>
        <w:spacing w:after="0" w:line="13" w:lineRule="exact"/>
        <w:rPr>
          <w:rFonts w:ascii="Arial" w:cs="Arial" w:eastAsia="Arial" w:hAnsi="Arial"/>
          <w:sz w:val="16"/>
          <w:szCs w:val="16"/>
          <w:color w:val="005A64"/>
          <w:vertAlign w:val="superscript"/>
        </w:rPr>
      </w:pPr>
    </w:p>
    <w:p>
      <w:pPr>
        <w:ind w:left="380" w:right="2180" w:firstLine="3"/>
        <w:spacing w:after="0" w:line="190" w:lineRule="auto"/>
        <w:tabs>
          <w:tab w:leader="none" w:pos="582" w:val="left"/>
        </w:tabs>
        <w:numPr>
          <w:ilvl w:val="0"/>
          <w:numId w:val="24"/>
        </w:numPr>
        <w:rPr>
          <w:rFonts w:ascii="Arial" w:cs="Arial" w:eastAsia="Arial" w:hAnsi="Arial"/>
          <w:sz w:val="16"/>
          <w:szCs w:val="16"/>
          <w:color w:val="005A64"/>
          <w:vertAlign w:val="superscript"/>
        </w:rPr>
      </w:pPr>
      <w:r>
        <w:rPr>
          <w:rFonts w:ascii="Arial" w:cs="Arial" w:eastAsia="Arial" w:hAnsi="Arial"/>
          <w:sz w:val="12"/>
          <w:szCs w:val="12"/>
          <w:color w:val="005A64"/>
        </w:rPr>
        <w:t>Jens Holstein, our Chief Financial Officer, plans to retire at the end of his term. A successor will be announced in due course.</w:t>
      </w:r>
    </w:p>
    <w:p>
      <w:pPr>
        <w:ind w:left="380" w:right="2220"/>
        <w:spacing w:after="0" w:line="210" w:lineRule="auto"/>
        <w:rPr>
          <w:rFonts w:ascii="Arial" w:cs="Arial" w:eastAsia="Arial" w:hAnsi="Arial"/>
          <w:sz w:val="16"/>
          <w:szCs w:val="16"/>
          <w:color w:val="005A64"/>
          <w:vertAlign w:val="superscript"/>
        </w:rPr>
      </w:pPr>
      <w:r>
        <w:rPr>
          <w:rFonts w:ascii="Arial" w:cs="Arial" w:eastAsia="Arial" w:hAnsi="Arial"/>
          <w:sz w:val="13"/>
          <w:szCs w:val="13"/>
          <w:color w:val="auto"/>
        </w:rPr>
        <w:t>The business address of the members of our Management Board is the same as our business address: An der Goldgrube 12, D-55131 Mainz, Germany.</w:t>
      </w:r>
    </w:p>
    <w:p>
      <w:pPr>
        <w:spacing w:after="0" w:line="1" w:lineRule="exact"/>
        <w:rPr>
          <w:rFonts w:ascii="Arial" w:cs="Arial" w:eastAsia="Arial" w:hAnsi="Arial"/>
          <w:sz w:val="16"/>
          <w:szCs w:val="16"/>
          <w:color w:val="005A64"/>
          <w:vertAlign w:val="superscript"/>
        </w:rPr>
      </w:pPr>
    </w:p>
    <w:p>
      <w:pPr>
        <w:ind w:left="380" w:right="2140"/>
        <w:spacing w:after="0" w:line="218" w:lineRule="auto"/>
        <w:rPr>
          <w:rFonts w:ascii="Arial" w:cs="Arial" w:eastAsia="Arial" w:hAnsi="Arial"/>
          <w:sz w:val="16"/>
          <w:szCs w:val="16"/>
          <w:color w:val="005A64"/>
          <w:vertAlign w:val="superscript"/>
        </w:rPr>
      </w:pPr>
      <w:r>
        <w:rPr>
          <w:rFonts w:ascii="Arial" w:cs="Arial" w:eastAsia="Arial" w:hAnsi="Arial"/>
          <w:sz w:val="13"/>
          <w:szCs w:val="13"/>
          <w:color w:val="auto"/>
        </w:rPr>
        <w:t xml:space="preserve">The following is a brief summary of the business experience of the members of our Management Board (including Sean Marett, who retired as planned from the Management Board of BioNTech as of June 30, 2024): </w:t>
      </w:r>
      <w:r>
        <w:rPr>
          <w:rFonts w:ascii="Arial" w:cs="Arial" w:eastAsia="Arial" w:hAnsi="Arial"/>
          <w:sz w:val="13"/>
          <w:szCs w:val="13"/>
          <w:b w:val="1"/>
          <w:bCs w:val="1"/>
          <w:color w:val="auto"/>
        </w:rPr>
        <w:t xml:space="preserve">Prof. Ugur Sahin, M.D., </w:t>
      </w:r>
      <w:r>
        <w:rPr>
          <w:rFonts w:ascii="Arial" w:cs="Arial" w:eastAsia="Arial" w:hAnsi="Arial"/>
          <w:sz w:val="13"/>
          <w:szCs w:val="13"/>
          <w:color w:val="auto"/>
        </w:rPr>
        <w:t>co-founded BioNTech in 2008 and has served as our Chief Executive Officer since that</w:t>
      </w:r>
      <w:r>
        <w:rPr>
          <w:rFonts w:ascii="Arial" w:cs="Arial" w:eastAsia="Arial" w:hAnsi="Arial"/>
          <w:sz w:val="13"/>
          <w:szCs w:val="13"/>
          <w:b w:val="1"/>
          <w:bCs w:val="1"/>
          <w:color w:val="auto"/>
        </w:rPr>
        <w:t xml:space="preserve"> </w:t>
      </w:r>
      <w:r>
        <w:rPr>
          <w:rFonts w:ascii="Arial" w:cs="Arial" w:eastAsia="Arial" w:hAnsi="Arial"/>
          <w:sz w:val="13"/>
          <w:szCs w:val="13"/>
          <w:color w:val="auto"/>
        </w:rPr>
        <w:t>time. He is a physician, immunologist and leader in the development of novel approaches to fight cancer and infectious diseases. Ugur Sahin is one of the world’s foremost experts on messenger ribonucleic acid (mRNA) medicines. He has pioneered several fundamental breakthroughs enabling the development of mRNA vaccines</w:t>
      </w:r>
    </w:p>
    <w:p>
      <w:pPr>
        <w:sectPr>
          <w:pgSz w:w="11900" w:h="16840" w:orient="portrait"/>
          <w:cols w:equalWidth="0" w:num="1">
            <w:col w:w="9020"/>
          </w:cols>
          <w:pgMar w:left="1440" w:top="560" w:right="1440" w:bottom="50" w:gutter="0" w:footer="0" w:header="0"/>
        </w:sectPr>
      </w:pPr>
    </w:p>
    <w:bookmarkStart w:id="137" w:name="page138"/>
    <w:bookmarkEnd w:id="137"/>
    <w:p>
      <w:pPr>
        <w:ind w:left="380" w:right="2100"/>
        <w:spacing w:after="0" w:line="227" w:lineRule="auto"/>
        <w:rPr>
          <w:sz w:val="20"/>
          <w:szCs w:val="20"/>
          <w:color w:val="auto"/>
        </w:rPr>
      </w:pPr>
      <w:r>
        <w:rPr>
          <w:rFonts w:ascii="Arial" w:cs="Arial" w:eastAsia="Arial" w:hAnsi="Arial"/>
          <w:sz w:val="13"/>
          <w:szCs w:val="13"/>
          <w:color w:val="auto"/>
        </w:rPr>
        <w:t>and other types of immunotherapies. He initiated and oversaw “Project Lightspeed”, the historic development of the first mRNA vaccine for COVID-19, moving from lab and clinical testing to conditional approval within an unprecedented 11-month period. He also leads BioNTech’s research and development of neoantigen specific as well as non-neoantigen specific mRNA cancer immunotherapies, which can be individually tailored and produced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198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3" w:lineRule="auto"/>
        <w:rPr>
          <w:sz w:val="20"/>
          <w:szCs w:val="20"/>
          <w:color w:val="auto"/>
        </w:rPr>
      </w:pPr>
      <w:r>
        <w:rPr>
          <w:rFonts w:ascii="Arial" w:cs="Arial" w:eastAsia="Arial" w:hAnsi="Arial"/>
          <w:sz w:val="13"/>
          <w:szCs w:val="13"/>
          <w:color w:val="auto"/>
        </w:rPr>
        <w:t>on demand according to the profile of non-synonymous mutations identified by next-generation sequencing in patients’ tumors. Ugur Sahin is co-inventor of more than 500 filed patents applications and patents. His academic credentials include serving as a Full Professor in Translational Oncology &amp; Immunology at Johannes Gutenberg University in Mainz, Germany, where he was the supervisor of more than 50 Ph.D. students. He also holds the role of Chairman of the Scientific Management Board of the Helmholtz Institute for Translational Oncology (HI-TRON). Based on his contributions to scientific discovery, Ugur Sahin has received numerous awards and recognitions, including the German Sustainability Award, the Mustafa Prize, and the German Cancer Award. He is married to Özlem Türeci.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-667385</wp:posOffset>
            </wp:positionV>
            <wp:extent cx="523113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60"/>
        <w:spacing w:after="0" w:line="210" w:lineRule="auto"/>
        <w:rPr>
          <w:sz w:val="20"/>
          <w:szCs w:val="20"/>
          <w:color w:val="auto"/>
        </w:rPr>
      </w:pPr>
      <w:r>
        <w:rPr>
          <w:rFonts w:ascii="Arial" w:cs="Arial" w:eastAsia="Arial" w:hAnsi="Arial"/>
          <w:sz w:val="13"/>
          <w:szCs w:val="13"/>
          <w:b w:val="1"/>
          <w:bCs w:val="1"/>
          <w:color w:val="auto"/>
        </w:rPr>
        <w:t xml:space="preserve">Annemarie Hanekamp </w:t>
      </w:r>
      <w:r>
        <w:rPr>
          <w:rFonts w:ascii="Arial" w:cs="Arial" w:eastAsia="Arial" w:hAnsi="Arial"/>
          <w:sz w:val="13"/>
          <w:szCs w:val="13"/>
          <w:color w:val="auto"/>
        </w:rPr>
        <w:t>is our Chief Commercial Officer. She joined BioNTech in 2024 and has more than 20</w:t>
      </w:r>
      <w:r>
        <w:rPr>
          <w:rFonts w:ascii="Arial" w:cs="Arial" w:eastAsia="Arial" w:hAnsi="Arial"/>
          <w:sz w:val="13"/>
          <w:szCs w:val="13"/>
          <w:b w:val="1"/>
          <w:bCs w:val="1"/>
          <w:color w:val="auto"/>
        </w:rPr>
        <w:t xml:space="preserve"> </w:t>
      </w:r>
      <w:r>
        <w:rPr>
          <w:rFonts w:ascii="Arial" w:cs="Arial" w:eastAsia="Arial" w:hAnsi="Arial"/>
          <w:sz w:val="13"/>
          <w:szCs w:val="13"/>
          <w:color w:val="auto"/>
        </w:rPr>
        <w:t>years of experience in the healthcare industry, including 15 years of commercial experience in companies ranging from early-stage biotechnology companies to full-scale pharmaceutical companies. She successfully delivered significant value in a broad range of roles: at Novartis (NYSE: NV), she led the U.S. and global teams through a time of strategic opportunities and operational headwinds following an unprecedented strong launch uptake of their novel treatment for prostate cancer. She was also responsible for building a new global oncology organization following a company-wide transformation. At Bristol-Myers Squibb Co. (NYSE: BMY), she held a pivotal role in evolving the company’s U.S. oncology strategy, resulting in significant and sustainable growth including an expanded market access as well as product launches. Annemarie Hanekamp holds degrees in biomedical sciences as well as organizational leadership.</w:t>
      </w:r>
    </w:p>
    <w:p>
      <w:pPr>
        <w:spacing w:after="0" w:line="6"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b w:val="1"/>
          <w:bCs w:val="1"/>
          <w:color w:val="auto"/>
        </w:rPr>
        <w:t xml:space="preserve">Jens Holstein </w:t>
      </w:r>
      <w:r>
        <w:rPr>
          <w:rFonts w:ascii="Arial" w:cs="Arial" w:eastAsia="Arial" w:hAnsi="Arial"/>
          <w:sz w:val="13"/>
          <w:szCs w:val="13"/>
          <w:color w:val="auto"/>
        </w:rPr>
        <w:t>is our Chief Financial Officer. Prior to joining BioNTech in 2021, Jens was CFO of dual-listed</w:t>
      </w:r>
      <w:r>
        <w:rPr>
          <w:rFonts w:ascii="Arial" w:cs="Arial" w:eastAsia="Arial" w:hAnsi="Arial"/>
          <w:sz w:val="13"/>
          <w:szCs w:val="13"/>
          <w:b w:val="1"/>
          <w:bCs w:val="1"/>
          <w:color w:val="auto"/>
        </w:rPr>
        <w:t xml:space="preserve"> </w:t>
      </w:r>
      <w:r>
        <w:rPr>
          <w:rFonts w:ascii="Arial" w:cs="Arial" w:eastAsia="Arial" w:hAnsi="Arial"/>
          <w:sz w:val="13"/>
          <w:szCs w:val="13"/>
          <w:color w:val="auto"/>
        </w:rPr>
        <w:t>MorphoSys AG (Nasdaq/FWB: MOR) where he was instrumental in building a fully integrated biopharmaceutical company. Before joining MorphoSys in 2011, Jens Holstein served in multiple CFO positions as well as general management roles within the Fresenius SE Group. He served as Regional CFO for the region EME (Europe/ Middle East) and as Managing Director of Fresenius Kabi Deutschland GmbH. From 2006 to 2010, he was Regional CFO of Fresenius Kabi Asia Pacific Ltd., based in Hong Kong. Prior to this appointment, Jens Holstein was Managing Director of Fresenius ProServe GmbH, and CFO and Labor Director of the company’s subsidiary Wittgensteiner Kliniken AG. Earlier positions within Fresenius included General Manager of hospitalia care GmbH, Commercial Manager of the Projects &amp; Service business unit of Fresenius AG and Commercial Manager of hospitalia international GmbH. Jens Holstein also spent several years in the consulting industry, including in M&amp;A with positions in Frankfurt and London. Jens Holstein holds a Diploma in Business Administration from the University of Münster, Germany. He is also a non-executive member of the board of directors at global genomic diagnostics company Veracyte Inc.</w:t>
      </w:r>
    </w:p>
    <w:p>
      <w:pPr>
        <w:spacing w:after="0" w:line="8"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b w:val="1"/>
          <w:bCs w:val="1"/>
          <w:color w:val="auto"/>
        </w:rPr>
        <w:t xml:space="preserve">Sean Marett </w:t>
      </w:r>
      <w:r>
        <w:rPr>
          <w:rFonts w:ascii="Arial" w:cs="Arial" w:eastAsia="Arial" w:hAnsi="Arial"/>
          <w:sz w:val="13"/>
          <w:szCs w:val="13"/>
          <w:color w:val="auto"/>
        </w:rPr>
        <w:t>was our Chief Business Officer and Chief Commercial Officer until retiring from the Management</w:t>
      </w:r>
      <w:r>
        <w:rPr>
          <w:rFonts w:ascii="Arial" w:cs="Arial" w:eastAsia="Arial" w:hAnsi="Arial"/>
          <w:sz w:val="13"/>
          <w:szCs w:val="13"/>
          <w:b w:val="1"/>
          <w:bCs w:val="1"/>
          <w:color w:val="auto"/>
        </w:rPr>
        <w:t xml:space="preserve"> </w:t>
      </w:r>
      <w:r>
        <w:rPr>
          <w:rFonts w:ascii="Arial" w:cs="Arial" w:eastAsia="Arial" w:hAnsi="Arial"/>
          <w:sz w:val="13"/>
          <w:szCs w:val="13"/>
          <w:color w:val="auto"/>
        </w:rPr>
        <w:t>Board of BioNTech with effect as of June 30, 2024. He joined BioNTech in 2012. Prior to that, he worked in global strategic and regional marketing and sales roles at GlaxoSmithKline (NYSE: GSK) in the United States and Pfizer (NYSE: PFE) in Europe, before taking business development executive roles at Evotec (Nasdaq: EVO; FWB: EVT) and Lorantis. He has successfully executed complex licensing transactions with large pharmaceutical companies, negotiated M&amp;A transactions and raised finance from investors. Sean Marett built and ran a contract clinical manufacturing organization with operations across Europe and the United States for over half a decade for the contract manufacturer NextPharma. Sean Marett has been Chairman of PHMR Ltd, a company specializing in market access and pharmaceutical reimbursement, since 2017. He previously held non-executive directorship of KWS BioTest Ltd (successfully sold to Charles River) from 2011 until 2018 and was a member of the investment committee of Mann BioInvest Ltd, a fund dedicated to biotechnology and pharmaceutical company investments from 2013 until 2016. He holds a BSc (Hons) in Biochemistry from Kings College London and an MBA from Manchester Business School.</w:t>
      </w:r>
    </w:p>
    <w:p>
      <w:pPr>
        <w:spacing w:after="0" w:line="8"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b w:val="1"/>
          <w:bCs w:val="1"/>
          <w:color w:val="auto"/>
        </w:rPr>
        <w:t xml:space="preserve">Sierk Poetting, Ph.D., </w:t>
      </w:r>
      <w:r>
        <w:rPr>
          <w:rFonts w:ascii="Arial" w:cs="Arial" w:eastAsia="Arial" w:hAnsi="Arial"/>
          <w:sz w:val="13"/>
          <w:szCs w:val="13"/>
          <w:color w:val="auto"/>
        </w:rPr>
        <w:t>is our Chief Operating Officer. He joined BioNTech in September 2014 from Novartis</w:t>
      </w:r>
      <w:r>
        <w:rPr>
          <w:rFonts w:ascii="Arial" w:cs="Arial" w:eastAsia="Arial" w:hAnsi="Arial"/>
          <w:sz w:val="13"/>
          <w:szCs w:val="13"/>
          <w:b w:val="1"/>
          <w:bCs w:val="1"/>
          <w:color w:val="auto"/>
        </w:rPr>
        <w:t xml:space="preserve"> </w:t>
      </w:r>
      <w:r>
        <w:rPr>
          <w:rFonts w:ascii="Arial" w:cs="Arial" w:eastAsia="Arial" w:hAnsi="Arial"/>
          <w:sz w:val="13"/>
          <w:szCs w:val="13"/>
          <w:color w:val="auto"/>
        </w:rPr>
        <w:t>(NYSE: NV), where he served in various positions from May 2012 to August 2014 as Vice President and Chief Financial Officer for the Sandoz Division in North America. Sierk Poetting started his career as a consultant with McKinsey &amp; Company. A German citizen, Sierk Poetting holds a Master of Science in Optical Sciences from the University of Arizona and a Ph.D. in Physics from the Ludwig-Maximilians University in Munich.</w:t>
      </w:r>
    </w:p>
    <w:p>
      <w:pPr>
        <w:spacing w:after="0" w:line="3" w:lineRule="exact"/>
        <w:rPr>
          <w:sz w:val="20"/>
          <w:szCs w:val="20"/>
          <w:color w:val="auto"/>
        </w:rPr>
      </w:pPr>
    </w:p>
    <w:p>
      <w:pPr>
        <w:ind w:left="380" w:right="2280"/>
        <w:spacing w:after="0" w:line="234" w:lineRule="auto"/>
        <w:rPr>
          <w:sz w:val="20"/>
          <w:szCs w:val="20"/>
          <w:color w:val="auto"/>
        </w:rPr>
      </w:pPr>
      <w:r>
        <w:rPr>
          <w:rFonts w:ascii="Arial" w:cs="Arial" w:eastAsia="Arial" w:hAnsi="Arial"/>
          <w:sz w:val="13"/>
          <w:szCs w:val="13"/>
          <w:b w:val="1"/>
          <w:bCs w:val="1"/>
          <w:color w:val="auto"/>
        </w:rPr>
        <w:t xml:space="preserve">Ryan Richardson </w:t>
      </w:r>
      <w:r>
        <w:rPr>
          <w:rFonts w:ascii="Arial" w:cs="Arial" w:eastAsia="Arial" w:hAnsi="Arial"/>
          <w:sz w:val="13"/>
          <w:szCs w:val="13"/>
          <w:color w:val="auto"/>
        </w:rPr>
        <w:t>is our Chief Strategy Officer. He brings more than 20 years of experience in the healthcare</w:t>
      </w:r>
      <w:r>
        <w:rPr>
          <w:rFonts w:ascii="Arial" w:cs="Arial" w:eastAsia="Arial" w:hAnsi="Arial"/>
          <w:sz w:val="13"/>
          <w:szCs w:val="13"/>
          <w:b w:val="1"/>
          <w:bCs w:val="1"/>
          <w:color w:val="auto"/>
        </w:rPr>
        <w:t xml:space="preserve"> </w:t>
      </w:r>
      <w:r>
        <w:rPr>
          <w:rFonts w:ascii="Arial" w:cs="Arial" w:eastAsia="Arial" w:hAnsi="Arial"/>
          <w:sz w:val="13"/>
          <w:szCs w:val="13"/>
          <w:color w:val="auto"/>
        </w:rPr>
        <w:t>and finance industries to BioNTech. Ryan joined BioNTech in 2018 as Senior Vice President,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199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sectPr>
          <w:pgSz w:w="11900" w:h="16840" w:orient="portrait"/>
          <w:cols w:equalWidth="0" w:num="1">
            <w:col w:w="9020"/>
          </w:cols>
          <w:pgMar w:left="1440" w:top="560" w:right="1440" w:bottom="77" w:gutter="0" w:footer="0" w:header="0"/>
        </w:sectPr>
      </w:pPr>
    </w:p>
    <w:p>
      <w:pPr>
        <w:ind w:left="1120"/>
        <w:spacing w:after="0"/>
        <w:rPr>
          <w:rFonts w:ascii="Arial" w:cs="Arial" w:eastAsia="Arial" w:hAnsi="Arial"/>
          <w:sz w:val="9"/>
          <w:szCs w:val="9"/>
          <w:b w:val="1"/>
          <w:bCs w:val="1"/>
          <w:color w:val="005A64"/>
        </w:rPr>
      </w:pPr>
      <w:hyperlink w:anchor="page3">
        <w:r>
          <w:rPr>
            <w:rFonts w:ascii="Arial" w:cs="Arial" w:eastAsia="Arial" w:hAnsi="Arial"/>
            <w:sz w:val="9"/>
            <w:szCs w:val="9"/>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37465</wp:posOffset>
            </wp:positionV>
            <wp:extent cx="523113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560" w:right="1440" w:bottom="77" w:gutter="0" w:footer="0" w:header="0"/>
          <w:type w:val="continuous"/>
        </w:sectPr>
      </w:pPr>
    </w:p>
    <w:bookmarkStart w:id="138" w:name="page139"/>
    <w:bookmarkEnd w:id="138"/>
    <w:p>
      <w:pPr>
        <w:ind w:left="380" w:right="2180"/>
        <w:spacing w:after="0" w:line="212" w:lineRule="auto"/>
        <w:rPr>
          <w:sz w:val="20"/>
          <w:szCs w:val="20"/>
          <w:color w:val="auto"/>
        </w:rPr>
      </w:pPr>
      <w:r>
        <w:rPr>
          <w:rFonts w:ascii="Arial" w:cs="Arial" w:eastAsia="Arial" w:hAnsi="Arial"/>
          <w:sz w:val="13"/>
          <w:szCs w:val="13"/>
          <w:color w:val="auto"/>
        </w:rPr>
        <w:t>Development &amp; Strategy and was appointed to Chief Strategy Officer and a Member of the Management Board in 2020. Prior to joining BioNTech, Ryan Richardson was an Executive Director in the Global Healthcare Investment Banking team at J.P. Morgan in London, where he advised companies in the biotech and life sciences industry on cross-border M&amp;A, equity and debt capital financings. Earlier in his career, Ryan Richardson worked as a Management Consultant to biopharmaceutical companies in the United States and Europe, focusing on a wide range of strategic and operational projects in the areas of commercial strategy, pricing and market access, new product planning, and R&amp;D transformation. Ryan has also worked as a Health Economist at IMS Health in London. Ryan was the recipient of the 2018 Eisenhower Zhi Xing Fellowship to China, and the 2005-6 Robert R. Bosch Fellowship to Germany. Ryan Richardson holds an International MBA from the University of Chicago Booth School of Business, an MSc from the London School of Economics, and a BS in Biology from the University of Kansas.</w:t>
      </w:r>
    </w:p>
    <w:p>
      <w:pPr>
        <w:spacing w:after="0" w:line="5"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b w:val="1"/>
          <w:bCs w:val="1"/>
          <w:color w:val="auto"/>
        </w:rPr>
        <w:t xml:space="preserve">James Ryan, Ph.D., </w:t>
      </w:r>
      <w:r>
        <w:rPr>
          <w:rFonts w:ascii="Arial" w:cs="Arial" w:eastAsia="Arial" w:hAnsi="Arial"/>
          <w:sz w:val="13"/>
          <w:szCs w:val="13"/>
          <w:color w:val="auto"/>
        </w:rPr>
        <w:t>is our Chief Legal Officer and Chief Business Officer. He brings nearly 20 years of global</w:t>
      </w:r>
      <w:r>
        <w:rPr>
          <w:rFonts w:ascii="Arial" w:cs="Arial" w:eastAsia="Arial" w:hAnsi="Arial"/>
          <w:sz w:val="13"/>
          <w:szCs w:val="13"/>
          <w:b w:val="1"/>
          <w:bCs w:val="1"/>
          <w:color w:val="auto"/>
        </w:rPr>
        <w:t xml:space="preserve"> </w:t>
      </w:r>
      <w:r>
        <w:rPr>
          <w:rFonts w:ascii="Arial" w:cs="Arial" w:eastAsia="Arial" w:hAnsi="Arial"/>
          <w:sz w:val="13"/>
          <w:szCs w:val="13"/>
          <w:color w:val="auto"/>
        </w:rPr>
        <w:t>legal and IP expertise in the pharmaceutical industry to BioNTech. James Ryan joined the Company in 2018 as General Counsel and Senior Vice President Legal &amp; IP and was appointed to Chief Legal Officer and a Member of the Management Board in 2023 and to Chief Business Officer in July 2024. He has guided BioNTech through a wide range of key business, IP and transactional activities, mergers and acquisitions, strategic collaborations and equity capital markets transactions, including the Company’s IPO in 2019. James Ryan and his teams played a pivotal role in the successful development of the Pfizer-BioNTech COVID-19 vaccine, supporting every legal aspect of the program, its launch and commercialization. Prior to joining BioNTech, he established the legal group of GW Pharmaceuticals (NASDAQ: GWPH), where he also served as Head of Legal Affairs. Earlier in his career, James Ryan worked for a number of UK and U.S. law firms, including Special Counsel at Covington &amp; Burling LLP, where he specialized in commercial and strategic transactions with a focus on companies in the life sciences sector. James has a Ph.D. in epigenetics from the University of St Andrews, is a member of the Law Society of England &amp; Wales, and is a member of the Law Society of Ireland.</w:t>
      </w:r>
    </w:p>
    <w:p>
      <w:pPr>
        <w:spacing w:after="0" w:line="8" w:lineRule="exact"/>
        <w:rPr>
          <w:sz w:val="20"/>
          <w:szCs w:val="20"/>
          <w:color w:val="auto"/>
        </w:rPr>
      </w:pPr>
    </w:p>
    <w:p>
      <w:pPr>
        <w:ind w:left="380" w:right="2120"/>
        <w:spacing w:after="0" w:line="215" w:lineRule="auto"/>
        <w:rPr>
          <w:sz w:val="20"/>
          <w:szCs w:val="20"/>
          <w:color w:val="auto"/>
        </w:rPr>
      </w:pPr>
      <w:r>
        <w:rPr>
          <w:rFonts w:ascii="Arial" w:cs="Arial" w:eastAsia="Arial" w:hAnsi="Arial"/>
          <w:sz w:val="13"/>
          <w:szCs w:val="13"/>
          <w:b w:val="1"/>
          <w:bCs w:val="1"/>
          <w:color w:val="auto"/>
        </w:rPr>
        <w:t xml:space="preserve">Prof. Özlem Türeci, M.D., </w:t>
      </w:r>
      <w:r>
        <w:rPr>
          <w:rFonts w:ascii="Arial" w:cs="Arial" w:eastAsia="Arial" w:hAnsi="Arial"/>
          <w:sz w:val="13"/>
          <w:szCs w:val="13"/>
          <w:color w:val="auto"/>
        </w:rPr>
        <w:t>Co-founder and Chief Medical Officer of BioNTech, is a physician, immunologist, and</w:t>
      </w:r>
      <w:r>
        <w:rPr>
          <w:rFonts w:ascii="Arial" w:cs="Arial" w:eastAsia="Arial" w:hAnsi="Arial"/>
          <w:sz w:val="13"/>
          <w:szCs w:val="13"/>
          <w:b w:val="1"/>
          <w:bCs w:val="1"/>
          <w:color w:val="auto"/>
        </w:rPr>
        <w:t xml:space="preserve"> </w:t>
      </w:r>
      <w:r>
        <w:rPr>
          <w:rFonts w:ascii="Arial" w:cs="Arial" w:eastAsia="Arial" w:hAnsi="Arial"/>
          <w:sz w:val="13"/>
          <w:szCs w:val="13"/>
          <w:color w:val="auto"/>
        </w:rPr>
        <w:t>cancer researcher with translational and clinical experience. She has helped lead the discovery of cancer antigens, the development of mRNA -based individualized and off-the- shelf immunotherapy candidates and other types of immunotherapies which are currently in clinical development. Özlem Türeci leads the clinical development of BioNTech’s “Project Lightspeed”, the company’s successful effort to develop and distribute an mRNA-based vaccine against COVID-19, a historic achievement completed in less than one year. Özlem Türeci previously served as CEO and Chief Medical Officer of Ganymed Pharmaceuticals AG, which she co- founded with Ugur Sahin and Christoph Huber. She is also a professor for Personalized Immunotherapy at the University Medical Center Mainz and the Helmholtz Institute for Translational Oncology Mainz (HI -TRON) and currently serves as President of the Association for Cancer Immunotherapy (CIMT) in Germany. She is a recipient of the German Sustainability Award, among other notable recognitions. Özlem Türeci is married to Ugur Sahin.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200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005A64"/>
        </w:rPr>
        <w:t>Supervisory Board (Aufsichtsrat)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300"/>
        <w:spacing w:after="0" w:line="226" w:lineRule="auto"/>
        <w:rPr>
          <w:sz w:val="20"/>
          <w:szCs w:val="20"/>
          <w:color w:val="auto"/>
        </w:rPr>
      </w:pPr>
      <w:r>
        <w:rPr>
          <w:rFonts w:ascii="Arial" w:cs="Arial" w:eastAsia="Arial" w:hAnsi="Arial"/>
          <w:sz w:val="13"/>
          <w:szCs w:val="13"/>
          <w:color w:val="auto"/>
        </w:rPr>
        <w:t>The following table sets forth the names and functions of the members of our Supervisory Board during 2024, their ages as of December 31, 2024, their terms (which expire on the date of the relevant year’s general shareholders’ meeting) and their principal occupations outside of our Company:</w:t>
      </w:r>
    </w:p>
    <w:p>
      <w:pPr>
        <w:sectPr>
          <w:pgSz w:w="11900" w:h="16840" w:orient="portrait"/>
          <w:cols w:equalWidth="0" w:num="1">
            <w:col w:w="9020"/>
          </w:cols>
          <w:pgMar w:left="1440" w:top="560" w:right="1440" w:bottom="1440" w:gutter="0" w:footer="0" w:header="0"/>
        </w:sectPr>
      </w:pPr>
    </w:p>
    <w:bookmarkStart w:id="139" w:name="page140"/>
    <w:bookmarkEnd w:id="139"/>
    <w:tbl>
      <w:tblPr>
        <w:tblLayout w:type="fixed"/>
        <w:tblInd w:w="380" w:type="dxa"/>
        <w:tblCellMar>
          <w:top w:w="0" w:type="dxa"/>
          <w:left w:w="0" w:type="dxa"/>
          <w:bottom w:w="0" w:type="dxa"/>
          <w:right w:w="0" w:type="dxa"/>
        </w:tblCellMar>
      </w:tblPr>
      <w:tr>
        <w:trPr>
          <w:trHeight w:val="152"/>
        </w:trPr>
        <w:tc>
          <w:tcPr>
            <w:tcW w:w="1920" w:type="dxa"/>
            <w:vAlign w:val="bottom"/>
          </w:tcPr>
          <w:p>
            <w:pPr>
              <w:ind w:left="20"/>
              <w:spacing w:after="0"/>
              <w:rPr>
                <w:sz w:val="20"/>
                <w:szCs w:val="20"/>
                <w:color w:val="auto"/>
              </w:rPr>
            </w:pPr>
            <w:r>
              <w:rPr>
                <w:rFonts w:ascii="Arial" w:cs="Arial" w:eastAsia="Arial" w:hAnsi="Arial"/>
                <w:sz w:val="12"/>
                <w:szCs w:val="12"/>
                <w:b w:val="1"/>
                <w:bCs w:val="1"/>
                <w:color w:val="005A64"/>
              </w:rPr>
              <w:t>Name</w:t>
            </w:r>
          </w:p>
        </w:tc>
        <w:tc>
          <w:tcPr>
            <w:tcW w:w="4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005A64"/>
              </w:rPr>
              <w:t>Age</w:t>
            </w:r>
          </w:p>
        </w:tc>
        <w:tc>
          <w:tcPr>
            <w:tcW w:w="6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005A64"/>
              </w:rPr>
              <w:t>Term</w:t>
            </w:r>
          </w:p>
        </w:tc>
        <w:tc>
          <w:tcPr>
            <w:tcW w:w="6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2"/>
                <w:szCs w:val="12"/>
                <w:b w:val="1"/>
                <w:bCs w:val="1"/>
                <w:color w:val="005A64"/>
              </w:rPr>
              <w:t>Principal Occupation</w:t>
            </w:r>
          </w:p>
        </w:tc>
      </w:tr>
      <w:tr>
        <w:trPr>
          <w:trHeight w:val="192"/>
        </w:trPr>
        <w:tc>
          <w:tcPr>
            <w:tcW w:w="1920" w:type="dxa"/>
            <w:vAlign w:val="bottom"/>
            <w:tcBorders>
              <w:bottom w:val="single" w:sz="8" w:color="005A64"/>
            </w:tcBorders>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Borders>
              <w:bottom w:val="single" w:sz="8" w:color="005A64"/>
            </w:tcBorders>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bottom w:val="single" w:sz="8" w:color="005A64"/>
            </w:tcBorders>
          </w:tcPr>
          <w:p>
            <w:pPr>
              <w:spacing w:after="0"/>
              <w:rPr>
                <w:sz w:val="20"/>
                <w:szCs w:val="20"/>
                <w:color w:val="auto"/>
              </w:rPr>
            </w:pPr>
            <w:r>
              <w:rPr>
                <w:rFonts w:ascii="Arial" w:cs="Arial" w:eastAsia="Arial" w:hAnsi="Arial"/>
                <w:sz w:val="12"/>
                <w:szCs w:val="12"/>
                <w:b w:val="1"/>
                <w:bCs w:val="1"/>
                <w:color w:val="005A64"/>
              </w:rPr>
              <w:t>Expires</w:t>
            </w:r>
            <w:r>
              <w:rPr>
                <w:rFonts w:ascii="Arial" w:cs="Arial" w:eastAsia="Arial" w:hAnsi="Arial"/>
                <w:sz w:val="16"/>
                <w:szCs w:val="16"/>
                <w:color w:val="005A64"/>
                <w:vertAlign w:val="superscript"/>
              </w:rPr>
              <w:t>(1)</w:t>
            </w:r>
          </w:p>
        </w:tc>
        <w:tc>
          <w:tcPr>
            <w:tcW w:w="60" w:type="dxa"/>
            <w:vAlign w:val="bottom"/>
          </w:tcPr>
          <w:p>
            <w:pPr>
              <w:spacing w:after="0"/>
              <w:rPr>
                <w:sz w:val="16"/>
                <w:szCs w:val="16"/>
                <w:color w:val="auto"/>
              </w:rPr>
            </w:pPr>
          </w:p>
        </w:tc>
        <w:tc>
          <w:tcPr>
            <w:tcW w:w="3400" w:type="dxa"/>
            <w:vAlign w:val="bottom"/>
            <w:tcBorders>
              <w:bottom w:val="single" w:sz="8" w:color="005A64"/>
            </w:tcBorders>
          </w:tcPr>
          <w:p>
            <w:pPr>
              <w:spacing w:after="0"/>
              <w:rPr>
                <w:sz w:val="16"/>
                <w:szCs w:val="16"/>
                <w:color w:val="auto"/>
              </w:rPr>
            </w:pPr>
          </w:p>
        </w:tc>
      </w:tr>
      <w:tr>
        <w:trPr>
          <w:trHeight w:val="132"/>
        </w:trPr>
        <w:tc>
          <w:tcPr>
            <w:tcW w:w="1920" w:type="dxa"/>
            <w:vAlign w:val="bottom"/>
          </w:tcPr>
          <w:p>
            <w:pPr>
              <w:ind w:left="20"/>
              <w:spacing w:after="0" w:line="132" w:lineRule="exact"/>
              <w:rPr>
                <w:sz w:val="20"/>
                <w:szCs w:val="20"/>
                <w:color w:val="auto"/>
              </w:rPr>
            </w:pPr>
            <w:r>
              <w:rPr>
                <w:rFonts w:ascii="Arial" w:cs="Arial" w:eastAsia="Arial" w:hAnsi="Arial"/>
                <w:sz w:val="12"/>
                <w:szCs w:val="12"/>
                <w:color w:val="005A64"/>
              </w:rPr>
              <w:t>Helmut Jeggle</w:t>
            </w:r>
          </w:p>
        </w:tc>
        <w:tc>
          <w:tcPr>
            <w:tcW w:w="660" w:type="dxa"/>
            <w:vAlign w:val="bottom"/>
            <w:gridSpan w:val="2"/>
          </w:tcPr>
          <w:p>
            <w:pPr>
              <w:ind w:left="60"/>
              <w:spacing w:after="0" w:line="132" w:lineRule="exact"/>
              <w:rPr>
                <w:sz w:val="20"/>
                <w:szCs w:val="20"/>
                <w:color w:val="auto"/>
              </w:rPr>
            </w:pPr>
            <w:r>
              <w:rPr>
                <w:rFonts w:ascii="Arial" w:cs="Arial" w:eastAsia="Arial" w:hAnsi="Arial"/>
                <w:sz w:val="12"/>
                <w:szCs w:val="12"/>
                <w:color w:val="005A64"/>
              </w:rPr>
              <w:t>54</w:t>
            </w: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color w:val="005A64"/>
              </w:rPr>
              <w:t>2026</w:t>
            </w:r>
          </w:p>
        </w:tc>
        <w:tc>
          <w:tcPr>
            <w:tcW w:w="60" w:type="dxa"/>
            <w:vAlign w:val="bottom"/>
          </w:tcPr>
          <w:p>
            <w:pPr>
              <w:spacing w:after="0"/>
              <w:rPr>
                <w:sz w:val="11"/>
                <w:szCs w:val="11"/>
                <w:color w:val="auto"/>
              </w:rPr>
            </w:pPr>
          </w:p>
        </w:tc>
        <w:tc>
          <w:tcPr>
            <w:tcW w:w="3400" w:type="dxa"/>
            <w:vAlign w:val="bottom"/>
          </w:tcPr>
          <w:p>
            <w:pPr>
              <w:spacing w:after="0" w:line="132" w:lineRule="exact"/>
              <w:rPr>
                <w:sz w:val="20"/>
                <w:szCs w:val="20"/>
                <w:color w:val="auto"/>
              </w:rPr>
            </w:pPr>
            <w:r>
              <w:rPr>
                <w:rFonts w:ascii="Arial" w:cs="Arial" w:eastAsia="Arial" w:hAnsi="Arial"/>
                <w:sz w:val="12"/>
                <w:szCs w:val="12"/>
                <w:color w:val="005A64"/>
              </w:rPr>
              <w:t>Managing partner and entrepreneurial venture capital investor</w:t>
            </w:r>
          </w:p>
        </w:tc>
      </w:tr>
      <w:tr>
        <w:trPr>
          <w:trHeight w:val="121"/>
        </w:trPr>
        <w:tc>
          <w:tcPr>
            <w:tcW w:w="1920" w:type="dxa"/>
            <w:vAlign w:val="bottom"/>
          </w:tcPr>
          <w:p>
            <w:pPr>
              <w:ind w:left="20"/>
              <w:spacing w:after="0" w:line="121" w:lineRule="exact"/>
              <w:rPr>
                <w:sz w:val="20"/>
                <w:szCs w:val="20"/>
                <w:color w:val="auto"/>
              </w:rPr>
            </w:pPr>
            <w:r>
              <w:rPr>
                <w:rFonts w:ascii="Arial" w:cs="Arial" w:eastAsia="Arial" w:hAnsi="Arial"/>
                <w:sz w:val="12"/>
                <w:szCs w:val="12"/>
                <w:color w:val="005A64"/>
              </w:rPr>
              <w:t>(Chair Supervisory Board)</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0" w:type="dxa"/>
            <w:vAlign w:val="bottom"/>
          </w:tcPr>
          <w:p>
            <w:pPr>
              <w:spacing w:after="0" w:line="121" w:lineRule="exact"/>
              <w:rPr>
                <w:sz w:val="20"/>
                <w:szCs w:val="20"/>
                <w:color w:val="auto"/>
              </w:rPr>
            </w:pPr>
            <w:r>
              <w:rPr>
                <w:rFonts w:ascii="Arial" w:cs="Arial" w:eastAsia="Arial" w:hAnsi="Arial"/>
                <w:sz w:val="12"/>
                <w:szCs w:val="12"/>
                <w:color w:val="005A64"/>
              </w:rPr>
              <w:t>of Salvia GmbH (Supervisory Board member of 4SC AG,</w:t>
            </w:r>
          </w:p>
        </w:tc>
      </w:tr>
      <w:tr>
        <w:trPr>
          <w:trHeight w:val="121"/>
        </w:trPr>
        <w:tc>
          <w:tcPr>
            <w:tcW w:w="1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0" w:type="dxa"/>
            <w:vAlign w:val="bottom"/>
          </w:tcPr>
          <w:p>
            <w:pPr>
              <w:spacing w:after="0" w:line="121" w:lineRule="exact"/>
              <w:rPr>
                <w:sz w:val="20"/>
                <w:szCs w:val="20"/>
                <w:color w:val="auto"/>
              </w:rPr>
            </w:pPr>
            <w:r>
              <w:rPr>
                <w:rFonts w:ascii="Arial" w:cs="Arial" w:eastAsia="Arial" w:hAnsi="Arial"/>
                <w:sz w:val="12"/>
                <w:szCs w:val="12"/>
                <w:color w:val="005A64"/>
              </w:rPr>
              <w:t>AiCuris AG and Tonies SE, Board Director at Bambusa</w:t>
            </w:r>
          </w:p>
        </w:tc>
      </w:tr>
      <w:tr>
        <w:trPr>
          <w:trHeight w:val="160"/>
        </w:trPr>
        <w:tc>
          <w:tcPr>
            <w:tcW w:w="1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2"/>
                <w:szCs w:val="12"/>
                <w:color w:val="005A64"/>
              </w:rPr>
              <w:t>Therapeutics Inc.)</w:t>
            </w:r>
          </w:p>
        </w:tc>
      </w:tr>
      <w:tr>
        <w:trPr>
          <w:trHeight w:val="275"/>
        </w:trPr>
        <w:tc>
          <w:tcPr>
            <w:tcW w:w="1920" w:type="dxa"/>
            <w:vAlign w:val="bottom"/>
          </w:tcPr>
          <w:p>
            <w:pPr>
              <w:ind w:left="20"/>
              <w:spacing w:after="0"/>
              <w:rPr>
                <w:sz w:val="20"/>
                <w:szCs w:val="20"/>
                <w:color w:val="auto"/>
              </w:rPr>
            </w:pPr>
            <w:r>
              <w:rPr>
                <w:rFonts w:ascii="Arial" w:cs="Arial" w:eastAsia="Arial" w:hAnsi="Arial"/>
                <w:sz w:val="12"/>
                <w:szCs w:val="12"/>
                <w:color w:val="005A64"/>
              </w:rPr>
              <w:t>Ulrich Wandschneider, Ph.D.</w:t>
            </w:r>
          </w:p>
        </w:tc>
        <w:tc>
          <w:tcPr>
            <w:tcW w:w="660" w:type="dxa"/>
            <w:vAlign w:val="bottom"/>
            <w:gridSpan w:val="2"/>
          </w:tcPr>
          <w:p>
            <w:pPr>
              <w:ind w:left="60"/>
              <w:spacing w:after="0"/>
              <w:rPr>
                <w:sz w:val="20"/>
                <w:szCs w:val="20"/>
                <w:color w:val="auto"/>
              </w:rPr>
            </w:pPr>
            <w:r>
              <w:rPr>
                <w:rFonts w:ascii="Arial" w:cs="Arial" w:eastAsia="Arial" w:hAnsi="Arial"/>
                <w:sz w:val="12"/>
                <w:szCs w:val="12"/>
                <w:color w:val="005A64"/>
              </w:rPr>
              <w:t>63</w:t>
            </w:r>
          </w:p>
        </w:tc>
        <w:tc>
          <w:tcPr>
            <w:tcW w:w="680" w:type="dxa"/>
            <w:vAlign w:val="bottom"/>
            <w:gridSpan w:val="2"/>
          </w:tcPr>
          <w:p>
            <w:pPr>
              <w:ind w:left="60"/>
              <w:spacing w:after="0"/>
              <w:rPr>
                <w:sz w:val="20"/>
                <w:szCs w:val="20"/>
                <w:color w:val="auto"/>
              </w:rPr>
            </w:pPr>
            <w:r>
              <w:rPr>
                <w:rFonts w:ascii="Arial" w:cs="Arial" w:eastAsia="Arial" w:hAnsi="Arial"/>
                <w:sz w:val="12"/>
                <w:szCs w:val="12"/>
                <w:color w:val="005A64"/>
              </w:rPr>
              <w:t>2027</w:t>
            </w:r>
          </w:p>
        </w:tc>
        <w:tc>
          <w:tcPr>
            <w:tcW w:w="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2"/>
                <w:szCs w:val="12"/>
                <w:color w:val="005A64"/>
              </w:rPr>
              <w:t>Managing director of beebusy capital GmbH and independent</w:t>
            </w:r>
          </w:p>
        </w:tc>
      </w:tr>
      <w:tr>
        <w:trPr>
          <w:trHeight w:val="121"/>
        </w:trPr>
        <w:tc>
          <w:tcPr>
            <w:tcW w:w="1920" w:type="dxa"/>
            <w:vAlign w:val="bottom"/>
          </w:tcPr>
          <w:p>
            <w:pPr>
              <w:ind w:left="20"/>
              <w:spacing w:after="0" w:line="121" w:lineRule="exact"/>
              <w:rPr>
                <w:sz w:val="20"/>
                <w:szCs w:val="20"/>
                <w:color w:val="auto"/>
              </w:rPr>
            </w:pPr>
            <w:r>
              <w:rPr>
                <w:rFonts w:ascii="Arial" w:cs="Arial" w:eastAsia="Arial" w:hAnsi="Arial"/>
                <w:sz w:val="12"/>
                <w:szCs w:val="12"/>
                <w:color w:val="005A64"/>
              </w:rPr>
              <w:t>(Deputy Chair Supervisory Board)</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0" w:type="dxa"/>
            <w:vAlign w:val="bottom"/>
          </w:tcPr>
          <w:p>
            <w:pPr>
              <w:spacing w:after="0" w:line="121" w:lineRule="exact"/>
              <w:rPr>
                <w:sz w:val="20"/>
                <w:szCs w:val="20"/>
                <w:color w:val="auto"/>
              </w:rPr>
            </w:pPr>
            <w:r>
              <w:rPr>
                <w:rFonts w:ascii="Arial" w:cs="Arial" w:eastAsia="Arial" w:hAnsi="Arial"/>
                <w:sz w:val="12"/>
                <w:szCs w:val="12"/>
                <w:color w:val="005A64"/>
              </w:rPr>
              <w:t>consultant to companies in the lifescience and healthcare</w:t>
            </w:r>
          </w:p>
        </w:tc>
      </w:tr>
      <w:tr>
        <w:trPr>
          <w:trHeight w:val="160"/>
        </w:trPr>
        <w:tc>
          <w:tcPr>
            <w:tcW w:w="1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2"/>
                <w:szCs w:val="12"/>
                <w:color w:val="005A64"/>
              </w:rPr>
              <w:t>sector (Supervisory Board Member at Marienhaus GmbH)</w:t>
            </w:r>
          </w:p>
        </w:tc>
      </w:tr>
      <w:tr>
        <w:trPr>
          <w:trHeight w:val="255"/>
        </w:trPr>
        <w:tc>
          <w:tcPr>
            <w:tcW w:w="1920" w:type="dxa"/>
            <w:vAlign w:val="bottom"/>
          </w:tcPr>
          <w:p>
            <w:pPr>
              <w:ind w:left="20"/>
              <w:spacing w:after="0"/>
              <w:rPr>
                <w:sz w:val="20"/>
                <w:szCs w:val="20"/>
                <w:color w:val="auto"/>
              </w:rPr>
            </w:pPr>
            <w:r>
              <w:rPr>
                <w:rFonts w:ascii="Arial" w:cs="Arial" w:eastAsia="Arial" w:hAnsi="Arial"/>
                <w:sz w:val="12"/>
                <w:szCs w:val="12"/>
                <w:color w:val="005A64"/>
              </w:rPr>
              <w:t>Baroness Nicola Blackwood</w:t>
            </w:r>
          </w:p>
        </w:tc>
        <w:tc>
          <w:tcPr>
            <w:tcW w:w="660" w:type="dxa"/>
            <w:vAlign w:val="bottom"/>
            <w:gridSpan w:val="2"/>
          </w:tcPr>
          <w:p>
            <w:pPr>
              <w:ind w:left="60"/>
              <w:spacing w:after="0"/>
              <w:rPr>
                <w:sz w:val="20"/>
                <w:szCs w:val="20"/>
                <w:color w:val="auto"/>
              </w:rPr>
            </w:pPr>
            <w:r>
              <w:rPr>
                <w:rFonts w:ascii="Arial" w:cs="Arial" w:eastAsia="Arial" w:hAnsi="Arial"/>
                <w:sz w:val="12"/>
                <w:szCs w:val="12"/>
                <w:color w:val="005A64"/>
              </w:rPr>
              <w:t>45</w:t>
            </w:r>
          </w:p>
        </w:tc>
        <w:tc>
          <w:tcPr>
            <w:tcW w:w="680" w:type="dxa"/>
            <w:vAlign w:val="bottom"/>
            <w:gridSpan w:val="2"/>
          </w:tcPr>
          <w:p>
            <w:pPr>
              <w:ind w:left="60"/>
              <w:spacing w:after="0"/>
              <w:rPr>
                <w:sz w:val="20"/>
                <w:szCs w:val="20"/>
                <w:color w:val="auto"/>
              </w:rPr>
            </w:pPr>
            <w:r>
              <w:rPr>
                <w:rFonts w:ascii="Arial" w:cs="Arial" w:eastAsia="Arial" w:hAnsi="Arial"/>
                <w:sz w:val="12"/>
                <w:szCs w:val="12"/>
                <w:color w:val="005A64"/>
              </w:rPr>
              <w:t>2027</w:t>
            </w:r>
          </w:p>
        </w:tc>
        <w:tc>
          <w:tcPr>
            <w:tcW w:w="60" w:type="dxa"/>
            <w:vAlign w:val="bottom"/>
          </w:tcPr>
          <w:p>
            <w:pPr>
              <w:spacing w:after="0"/>
              <w:rPr>
                <w:sz w:val="22"/>
                <w:szCs w:val="22"/>
                <w:color w:val="auto"/>
              </w:rPr>
            </w:pPr>
          </w:p>
        </w:tc>
        <w:tc>
          <w:tcPr>
            <w:tcW w:w="3400" w:type="dxa"/>
            <w:vAlign w:val="bottom"/>
          </w:tcPr>
          <w:p>
            <w:pPr>
              <w:spacing w:after="0"/>
              <w:rPr>
                <w:sz w:val="20"/>
                <w:szCs w:val="20"/>
                <w:color w:val="auto"/>
              </w:rPr>
            </w:pPr>
            <w:r>
              <w:rPr>
                <w:rFonts w:ascii="Arial" w:cs="Arial" w:eastAsia="Arial" w:hAnsi="Arial"/>
                <w:sz w:val="12"/>
                <w:szCs w:val="12"/>
                <w:color w:val="005A64"/>
              </w:rPr>
              <w:t>Managing Director and Chair of Oxford University Innovations</w:t>
            </w:r>
          </w:p>
        </w:tc>
      </w:tr>
      <w:tr>
        <w:trPr>
          <w:trHeight w:val="121"/>
        </w:trPr>
        <w:tc>
          <w:tcPr>
            <w:tcW w:w="1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0" w:type="dxa"/>
            <w:vAlign w:val="bottom"/>
          </w:tcPr>
          <w:p>
            <w:pPr>
              <w:spacing w:after="0" w:line="121" w:lineRule="exact"/>
              <w:rPr>
                <w:sz w:val="20"/>
                <w:szCs w:val="20"/>
                <w:color w:val="auto"/>
              </w:rPr>
            </w:pPr>
            <w:r>
              <w:rPr>
                <w:rFonts w:ascii="Arial" w:cs="Arial" w:eastAsia="Arial" w:hAnsi="Arial"/>
                <w:sz w:val="12"/>
                <w:szCs w:val="12"/>
                <w:color w:val="005A64"/>
              </w:rPr>
              <w:t>Limited (Equity Partner, ReCode Health Ventures LLC,</w:t>
            </w:r>
          </w:p>
        </w:tc>
      </w:tr>
      <w:tr>
        <w:trPr>
          <w:trHeight w:val="121"/>
        </w:trPr>
        <w:tc>
          <w:tcPr>
            <w:tcW w:w="1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0" w:type="dxa"/>
            <w:vAlign w:val="bottom"/>
          </w:tcPr>
          <w:p>
            <w:pPr>
              <w:spacing w:after="0" w:line="121" w:lineRule="exact"/>
              <w:rPr>
                <w:sz w:val="20"/>
                <w:szCs w:val="20"/>
                <w:color w:val="auto"/>
              </w:rPr>
            </w:pPr>
            <w:r>
              <w:rPr>
                <w:rFonts w:ascii="Arial" w:cs="Arial" w:eastAsia="Arial" w:hAnsi="Arial"/>
                <w:sz w:val="12"/>
                <w:szCs w:val="12"/>
                <w:color w:val="005A64"/>
              </w:rPr>
              <w:t>Trustee and Director of the Alan Turing Institute, Chair of the</w:t>
            </w:r>
          </w:p>
        </w:tc>
      </w:tr>
      <w:tr>
        <w:trPr>
          <w:trHeight w:val="121"/>
        </w:trPr>
        <w:tc>
          <w:tcPr>
            <w:tcW w:w="1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0" w:type="dxa"/>
            <w:vAlign w:val="bottom"/>
          </w:tcPr>
          <w:p>
            <w:pPr>
              <w:spacing w:after="0" w:line="121" w:lineRule="exact"/>
              <w:rPr>
                <w:sz w:val="20"/>
                <w:szCs w:val="20"/>
                <w:color w:val="auto"/>
              </w:rPr>
            </w:pPr>
            <w:r>
              <w:rPr>
                <w:rFonts w:ascii="Arial" w:cs="Arial" w:eastAsia="Arial" w:hAnsi="Arial"/>
                <w:sz w:val="12"/>
                <w:szCs w:val="12"/>
                <w:color w:val="005A64"/>
              </w:rPr>
              <w:t>Advisory Board of Genomics England Limited, Independent</w:t>
            </w:r>
          </w:p>
        </w:tc>
      </w:tr>
      <w:tr>
        <w:trPr>
          <w:trHeight w:val="160"/>
        </w:trPr>
        <w:tc>
          <w:tcPr>
            <w:tcW w:w="1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2"/>
                <w:szCs w:val="12"/>
                <w:color w:val="005A64"/>
              </w:rPr>
              <w:t>NED on the RTW Biotech Opportunities Ltd.)</w:t>
            </w:r>
          </w:p>
        </w:tc>
      </w:tr>
      <w:tr>
        <w:trPr>
          <w:trHeight w:val="285"/>
        </w:trPr>
        <w:tc>
          <w:tcPr>
            <w:tcW w:w="1920" w:type="dxa"/>
            <w:vAlign w:val="bottom"/>
          </w:tcPr>
          <w:p>
            <w:pPr>
              <w:ind w:left="20"/>
              <w:spacing w:after="0"/>
              <w:rPr>
                <w:sz w:val="20"/>
                <w:szCs w:val="20"/>
                <w:color w:val="auto"/>
              </w:rPr>
            </w:pPr>
            <w:r>
              <w:rPr>
                <w:rFonts w:ascii="Arial" w:cs="Arial" w:eastAsia="Arial" w:hAnsi="Arial"/>
                <w:sz w:val="12"/>
                <w:szCs w:val="12"/>
                <w:color w:val="005A64"/>
              </w:rPr>
              <w:t>Prof. Anja Morawietz, Ph.D.</w:t>
            </w:r>
          </w:p>
        </w:tc>
        <w:tc>
          <w:tcPr>
            <w:tcW w:w="660" w:type="dxa"/>
            <w:vAlign w:val="bottom"/>
            <w:gridSpan w:val="2"/>
          </w:tcPr>
          <w:p>
            <w:pPr>
              <w:ind w:left="60"/>
              <w:spacing w:after="0"/>
              <w:rPr>
                <w:sz w:val="20"/>
                <w:szCs w:val="20"/>
                <w:color w:val="auto"/>
              </w:rPr>
            </w:pPr>
            <w:r>
              <w:rPr>
                <w:rFonts w:ascii="Arial" w:cs="Arial" w:eastAsia="Arial" w:hAnsi="Arial"/>
                <w:sz w:val="12"/>
                <w:szCs w:val="12"/>
                <w:color w:val="005A64"/>
              </w:rPr>
              <w:t>47</w:t>
            </w:r>
          </w:p>
        </w:tc>
        <w:tc>
          <w:tcPr>
            <w:tcW w:w="680" w:type="dxa"/>
            <w:vAlign w:val="bottom"/>
            <w:gridSpan w:val="2"/>
          </w:tcPr>
          <w:p>
            <w:pPr>
              <w:ind w:left="60"/>
              <w:spacing w:after="0"/>
              <w:rPr>
                <w:sz w:val="20"/>
                <w:szCs w:val="20"/>
                <w:color w:val="auto"/>
              </w:rPr>
            </w:pPr>
            <w:r>
              <w:rPr>
                <w:rFonts w:ascii="Arial" w:cs="Arial" w:eastAsia="Arial" w:hAnsi="Arial"/>
                <w:sz w:val="12"/>
                <w:szCs w:val="12"/>
                <w:color w:val="005A64"/>
              </w:rPr>
              <w:t>2026</w:t>
            </w:r>
          </w:p>
        </w:tc>
        <w:tc>
          <w:tcPr>
            <w:tcW w:w="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Arial" w:cs="Arial" w:eastAsia="Arial" w:hAnsi="Arial"/>
                <w:sz w:val="12"/>
                <w:szCs w:val="12"/>
                <w:color w:val="005A64"/>
              </w:rPr>
              <w:t>Certified Public Accountant and Management Consultant,</w:t>
            </w:r>
          </w:p>
        </w:tc>
      </w:tr>
      <w:tr>
        <w:trPr>
          <w:trHeight w:val="121"/>
        </w:trPr>
        <w:tc>
          <w:tcPr>
            <w:tcW w:w="1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0" w:type="dxa"/>
            <w:vAlign w:val="bottom"/>
          </w:tcPr>
          <w:p>
            <w:pPr>
              <w:spacing w:after="0" w:line="121" w:lineRule="exact"/>
              <w:rPr>
                <w:sz w:val="20"/>
                <w:szCs w:val="20"/>
                <w:color w:val="auto"/>
              </w:rPr>
            </w:pPr>
            <w:r>
              <w:rPr>
                <w:rFonts w:ascii="Arial" w:cs="Arial" w:eastAsia="Arial" w:hAnsi="Arial"/>
                <w:sz w:val="12"/>
                <w:szCs w:val="12"/>
                <w:color w:val="005A64"/>
              </w:rPr>
              <w:t>Professor of External Accounting and General Business</w:t>
            </w:r>
          </w:p>
        </w:tc>
      </w:tr>
      <w:tr>
        <w:trPr>
          <w:trHeight w:val="121"/>
        </w:trPr>
        <w:tc>
          <w:tcPr>
            <w:tcW w:w="1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0" w:type="dxa"/>
            <w:vAlign w:val="bottom"/>
          </w:tcPr>
          <w:p>
            <w:pPr>
              <w:spacing w:after="0" w:line="121" w:lineRule="exact"/>
              <w:rPr>
                <w:sz w:val="20"/>
                <w:szCs w:val="20"/>
                <w:color w:val="auto"/>
              </w:rPr>
            </w:pPr>
            <w:r>
              <w:rPr>
                <w:rFonts w:ascii="Arial" w:cs="Arial" w:eastAsia="Arial" w:hAnsi="Arial"/>
                <w:sz w:val="12"/>
                <w:szCs w:val="12"/>
                <w:color w:val="005A64"/>
              </w:rPr>
              <w:t>Administration at the Nuremberg University of Applied</w:t>
            </w:r>
          </w:p>
        </w:tc>
      </w:tr>
      <w:tr>
        <w:trPr>
          <w:trHeight w:val="160"/>
        </w:trPr>
        <w:tc>
          <w:tcPr>
            <w:tcW w:w="1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2"/>
                <w:szCs w:val="12"/>
                <w:color w:val="005A64"/>
              </w:rPr>
              <w:t>Sciences Georg Simon Ohm</w:t>
            </w:r>
          </w:p>
        </w:tc>
      </w:tr>
      <w:tr>
        <w:trPr>
          <w:trHeight w:val="285"/>
        </w:trPr>
        <w:tc>
          <w:tcPr>
            <w:tcW w:w="1920" w:type="dxa"/>
            <w:vAlign w:val="bottom"/>
          </w:tcPr>
          <w:p>
            <w:pPr>
              <w:ind w:left="20"/>
              <w:spacing w:after="0"/>
              <w:rPr>
                <w:sz w:val="20"/>
                <w:szCs w:val="20"/>
                <w:color w:val="auto"/>
              </w:rPr>
            </w:pPr>
            <w:r>
              <w:rPr>
                <w:rFonts w:ascii="Arial" w:cs="Arial" w:eastAsia="Arial" w:hAnsi="Arial"/>
                <w:sz w:val="12"/>
                <w:szCs w:val="12"/>
                <w:color w:val="005A64"/>
              </w:rPr>
              <w:t>Michael Motschmann</w:t>
            </w:r>
          </w:p>
        </w:tc>
        <w:tc>
          <w:tcPr>
            <w:tcW w:w="660" w:type="dxa"/>
            <w:vAlign w:val="bottom"/>
            <w:gridSpan w:val="2"/>
          </w:tcPr>
          <w:p>
            <w:pPr>
              <w:ind w:left="60"/>
              <w:spacing w:after="0"/>
              <w:rPr>
                <w:sz w:val="20"/>
                <w:szCs w:val="20"/>
                <w:color w:val="auto"/>
              </w:rPr>
            </w:pPr>
            <w:r>
              <w:rPr>
                <w:rFonts w:ascii="Arial" w:cs="Arial" w:eastAsia="Arial" w:hAnsi="Arial"/>
                <w:sz w:val="12"/>
                <w:szCs w:val="12"/>
                <w:color w:val="005A64"/>
              </w:rPr>
              <w:t>67</w:t>
            </w:r>
          </w:p>
        </w:tc>
        <w:tc>
          <w:tcPr>
            <w:tcW w:w="680" w:type="dxa"/>
            <w:vAlign w:val="bottom"/>
            <w:gridSpan w:val="2"/>
          </w:tcPr>
          <w:p>
            <w:pPr>
              <w:ind w:left="60"/>
              <w:spacing w:after="0"/>
              <w:rPr>
                <w:sz w:val="20"/>
                <w:szCs w:val="20"/>
                <w:color w:val="auto"/>
              </w:rPr>
            </w:pPr>
            <w:r>
              <w:rPr>
                <w:rFonts w:ascii="Arial" w:cs="Arial" w:eastAsia="Arial" w:hAnsi="Arial"/>
                <w:sz w:val="12"/>
                <w:szCs w:val="12"/>
                <w:color w:val="005A64"/>
              </w:rPr>
              <w:t>2027</w:t>
            </w:r>
          </w:p>
        </w:tc>
        <w:tc>
          <w:tcPr>
            <w:tcW w:w="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Arial" w:cs="Arial" w:eastAsia="Arial" w:hAnsi="Arial"/>
                <w:sz w:val="12"/>
                <w:szCs w:val="12"/>
                <w:color w:val="005A64"/>
              </w:rPr>
              <w:t>Member of the Management Board and head of equity</w:t>
            </w:r>
          </w:p>
        </w:tc>
      </w:tr>
      <w:tr>
        <w:trPr>
          <w:trHeight w:val="121"/>
        </w:trPr>
        <w:tc>
          <w:tcPr>
            <w:tcW w:w="1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0" w:type="dxa"/>
            <w:vAlign w:val="bottom"/>
          </w:tcPr>
          <w:p>
            <w:pPr>
              <w:spacing w:after="0" w:line="121" w:lineRule="exact"/>
              <w:rPr>
                <w:sz w:val="20"/>
                <w:szCs w:val="20"/>
                <w:color w:val="auto"/>
              </w:rPr>
            </w:pPr>
            <w:r>
              <w:rPr>
                <w:rFonts w:ascii="Arial" w:cs="Arial" w:eastAsia="Arial" w:hAnsi="Arial"/>
                <w:sz w:val="12"/>
                <w:szCs w:val="12"/>
                <w:color w:val="005A64"/>
              </w:rPr>
              <w:t>investments of MIG Capital AG (Supervisory Board member</w:t>
            </w:r>
          </w:p>
        </w:tc>
      </w:tr>
      <w:tr>
        <w:trPr>
          <w:trHeight w:val="121"/>
        </w:trPr>
        <w:tc>
          <w:tcPr>
            <w:tcW w:w="1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0" w:type="dxa"/>
            <w:vAlign w:val="bottom"/>
          </w:tcPr>
          <w:p>
            <w:pPr>
              <w:spacing w:after="0" w:line="121" w:lineRule="exact"/>
              <w:rPr>
                <w:sz w:val="20"/>
                <w:szCs w:val="20"/>
                <w:color w:val="auto"/>
              </w:rPr>
            </w:pPr>
            <w:r>
              <w:rPr>
                <w:rFonts w:ascii="Arial" w:cs="Arial" w:eastAsia="Arial" w:hAnsi="Arial"/>
                <w:sz w:val="12"/>
                <w:szCs w:val="12"/>
                <w:color w:val="005A64"/>
              </w:rPr>
              <w:t>AFFiRiS AG, APK AG, HMW-Emissionshaus AG and HMW-</w:t>
            </w:r>
          </w:p>
        </w:tc>
      </w:tr>
      <w:tr>
        <w:trPr>
          <w:trHeight w:val="160"/>
        </w:trPr>
        <w:tc>
          <w:tcPr>
            <w:tcW w:w="1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2"/>
                <w:szCs w:val="12"/>
                <w:color w:val="005A64"/>
              </w:rPr>
              <w:t>Innovations AG)</w:t>
            </w:r>
          </w:p>
        </w:tc>
      </w:tr>
      <w:tr>
        <w:trPr>
          <w:trHeight w:val="285"/>
        </w:trPr>
        <w:tc>
          <w:tcPr>
            <w:tcW w:w="1920" w:type="dxa"/>
            <w:vAlign w:val="bottom"/>
          </w:tcPr>
          <w:p>
            <w:pPr>
              <w:ind w:left="20"/>
              <w:spacing w:after="0"/>
              <w:rPr>
                <w:sz w:val="20"/>
                <w:szCs w:val="20"/>
                <w:color w:val="auto"/>
              </w:rPr>
            </w:pPr>
            <w:r>
              <w:rPr>
                <w:rFonts w:ascii="Arial" w:cs="Arial" w:eastAsia="Arial" w:hAnsi="Arial"/>
                <w:sz w:val="12"/>
                <w:szCs w:val="12"/>
                <w:color w:val="005A64"/>
              </w:rPr>
              <w:t>Prof. Rudolf Staudigl, Ph.D.</w:t>
            </w:r>
          </w:p>
        </w:tc>
        <w:tc>
          <w:tcPr>
            <w:tcW w:w="660" w:type="dxa"/>
            <w:vAlign w:val="bottom"/>
            <w:gridSpan w:val="2"/>
          </w:tcPr>
          <w:p>
            <w:pPr>
              <w:ind w:left="60"/>
              <w:spacing w:after="0"/>
              <w:rPr>
                <w:sz w:val="20"/>
                <w:szCs w:val="20"/>
                <w:color w:val="auto"/>
              </w:rPr>
            </w:pPr>
            <w:r>
              <w:rPr>
                <w:rFonts w:ascii="Arial" w:cs="Arial" w:eastAsia="Arial" w:hAnsi="Arial"/>
                <w:sz w:val="12"/>
                <w:szCs w:val="12"/>
                <w:color w:val="005A64"/>
              </w:rPr>
              <w:t>70</w:t>
            </w:r>
          </w:p>
        </w:tc>
        <w:tc>
          <w:tcPr>
            <w:tcW w:w="680" w:type="dxa"/>
            <w:vAlign w:val="bottom"/>
            <w:gridSpan w:val="2"/>
          </w:tcPr>
          <w:p>
            <w:pPr>
              <w:ind w:left="60"/>
              <w:spacing w:after="0"/>
              <w:rPr>
                <w:sz w:val="20"/>
                <w:szCs w:val="20"/>
                <w:color w:val="auto"/>
              </w:rPr>
            </w:pPr>
            <w:r>
              <w:rPr>
                <w:rFonts w:ascii="Arial" w:cs="Arial" w:eastAsia="Arial" w:hAnsi="Arial"/>
                <w:sz w:val="12"/>
                <w:szCs w:val="12"/>
                <w:color w:val="005A64"/>
              </w:rPr>
              <w:t>2026</w:t>
            </w:r>
          </w:p>
        </w:tc>
        <w:tc>
          <w:tcPr>
            <w:tcW w:w="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Arial" w:cs="Arial" w:eastAsia="Arial" w:hAnsi="Arial"/>
                <w:sz w:val="12"/>
                <w:szCs w:val="12"/>
                <w:color w:val="005A64"/>
              </w:rPr>
              <w:t>Independent consultant (member of the Supervisory Board of</w:t>
            </w:r>
          </w:p>
        </w:tc>
      </w:tr>
      <w:tr>
        <w:trPr>
          <w:trHeight w:val="121"/>
        </w:trPr>
        <w:tc>
          <w:tcPr>
            <w:tcW w:w="1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0" w:type="dxa"/>
            <w:vAlign w:val="bottom"/>
          </w:tcPr>
          <w:p>
            <w:pPr>
              <w:spacing w:after="0" w:line="121" w:lineRule="exact"/>
              <w:rPr>
                <w:sz w:val="20"/>
                <w:szCs w:val="20"/>
                <w:color w:val="auto"/>
              </w:rPr>
            </w:pPr>
            <w:r>
              <w:rPr>
                <w:rFonts w:ascii="Arial" w:cs="Arial" w:eastAsia="Arial" w:hAnsi="Arial"/>
                <w:sz w:val="12"/>
                <w:szCs w:val="12"/>
                <w:color w:val="005A64"/>
              </w:rPr>
              <w:t>TÜV Süd Aktiengesellschaft until 3 July 2024, member of the</w:t>
            </w:r>
          </w:p>
        </w:tc>
      </w:tr>
      <w:tr>
        <w:trPr>
          <w:trHeight w:val="160"/>
        </w:trPr>
        <w:tc>
          <w:tcPr>
            <w:tcW w:w="1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2"/>
                <w:szCs w:val="12"/>
                <w:color w:val="005A64"/>
              </w:rPr>
              <w:t>Supervisory Board of Groz-Beckert KG (Deputy Chair))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1157605</wp:posOffset>
            </wp:positionH>
            <wp:positionV relativeFrom="page">
              <wp:posOffset>361950</wp:posOffset>
            </wp:positionV>
            <wp:extent cx="4268470" cy="127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268470" cy="1270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65405</wp:posOffset>
            </wp:positionV>
            <wp:extent cx="426847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268470" cy="6350"/>
                    </a:xfrm>
                    <a:prstGeom prst="rect">
                      <a:avLst/>
                    </a:prstGeom>
                    <a:noFill/>
                  </pic:spPr>
                </pic:pic>
              </a:graphicData>
            </a:graphic>
          </wp:anchor>
        </w:drawing>
      </w:r>
    </w:p>
    <w:p>
      <w:pPr>
        <w:spacing w:after="0" w:line="73" w:lineRule="exact"/>
        <w:rPr>
          <w:sz w:val="20"/>
          <w:szCs w:val="20"/>
          <w:color w:val="auto"/>
        </w:rPr>
      </w:pPr>
    </w:p>
    <w:p>
      <w:pPr>
        <w:ind w:left="580" w:hanging="197"/>
        <w:spacing w:after="0"/>
        <w:tabs>
          <w:tab w:leader="none" w:pos="580" w:val="left"/>
        </w:tabs>
        <w:numPr>
          <w:ilvl w:val="0"/>
          <w:numId w:val="25"/>
        </w:numPr>
        <w:rPr>
          <w:rFonts w:ascii="Arial" w:cs="Arial" w:eastAsia="Arial" w:hAnsi="Arial"/>
          <w:sz w:val="16"/>
          <w:szCs w:val="16"/>
          <w:color w:val="005A64"/>
          <w:vertAlign w:val="superscript"/>
        </w:rPr>
      </w:pPr>
      <w:r>
        <w:rPr>
          <w:rFonts w:ascii="Arial" w:cs="Arial" w:eastAsia="Arial" w:hAnsi="Arial"/>
          <w:sz w:val="12"/>
          <w:szCs w:val="12"/>
          <w:color w:val="005A64"/>
        </w:rPr>
        <w:t>Term expires as of the AGM during the years indicated.</w:t>
      </w:r>
    </w:p>
    <w:p>
      <w:pPr>
        <w:ind w:left="380" w:right="2280"/>
        <w:spacing w:after="0" w:line="210" w:lineRule="auto"/>
        <w:rPr>
          <w:sz w:val="20"/>
          <w:szCs w:val="20"/>
          <w:color w:val="auto"/>
        </w:rPr>
      </w:pPr>
      <w:r>
        <w:rPr>
          <w:rFonts w:ascii="Arial" w:cs="Arial" w:eastAsia="Arial" w:hAnsi="Arial"/>
          <w:sz w:val="13"/>
          <w:szCs w:val="13"/>
          <w:color w:val="auto"/>
        </w:rPr>
        <w:t>The business address of the members of our Supervisory Board is the same as our business address: An der Goldgrube 12, D-55131 Mainz, Germany.</w:t>
      </w:r>
    </w:p>
    <w:p>
      <w:pPr>
        <w:spacing w:after="0" w:line="1" w:lineRule="exact"/>
        <w:rPr>
          <w:sz w:val="20"/>
          <w:szCs w:val="20"/>
          <w:color w:val="auto"/>
        </w:rPr>
      </w:pPr>
    </w:p>
    <w:p>
      <w:pPr>
        <w:ind w:left="380" w:right="2200"/>
        <w:spacing w:after="0" w:line="222" w:lineRule="auto"/>
        <w:rPr>
          <w:sz w:val="20"/>
          <w:szCs w:val="20"/>
          <w:color w:val="auto"/>
        </w:rPr>
      </w:pPr>
      <w:r>
        <w:rPr>
          <w:rFonts w:ascii="Arial" w:cs="Arial" w:eastAsia="Arial" w:hAnsi="Arial"/>
          <w:sz w:val="13"/>
          <w:szCs w:val="13"/>
          <w:color w:val="auto"/>
        </w:rPr>
        <w:t xml:space="preserve">The following is a brief summary of the prior business experience of the members of our Supervisory Board: </w:t>
      </w:r>
      <w:r>
        <w:rPr>
          <w:rFonts w:ascii="Arial" w:cs="Arial" w:eastAsia="Arial" w:hAnsi="Arial"/>
          <w:sz w:val="13"/>
          <w:szCs w:val="13"/>
          <w:b w:val="1"/>
          <w:bCs w:val="1"/>
          <w:color w:val="auto"/>
        </w:rPr>
        <w:t xml:space="preserve">Helmut Jeggle </w:t>
      </w:r>
      <w:r>
        <w:rPr>
          <w:rFonts w:ascii="Arial" w:cs="Arial" w:eastAsia="Arial" w:hAnsi="Arial"/>
          <w:sz w:val="13"/>
          <w:szCs w:val="13"/>
          <w:color w:val="auto"/>
        </w:rPr>
        <w:t>has been Chair of our Supervisory Board since its foundation in 2008. He has a degree in</w:t>
      </w:r>
      <w:r>
        <w:rPr>
          <w:rFonts w:ascii="Arial" w:cs="Arial" w:eastAsia="Arial" w:hAnsi="Arial"/>
          <w:sz w:val="13"/>
          <w:szCs w:val="13"/>
          <w:b w:val="1"/>
          <w:bCs w:val="1"/>
          <w:color w:val="auto"/>
        </w:rPr>
        <w:t xml:space="preserve"> </w:t>
      </w:r>
      <w:r>
        <w:rPr>
          <w:rFonts w:ascii="Arial" w:cs="Arial" w:eastAsia="Arial" w:hAnsi="Arial"/>
          <w:sz w:val="13"/>
          <w:szCs w:val="13"/>
          <w:color w:val="auto"/>
        </w:rPr>
        <w:t>business administration from the University of Applied Sciences in Neu-Ulm and an MBA (Master of Business Administration) from the Stuttgart Institute of Management and Technology. From 2000 to 2007, Helmut Jeggle</w:t>
      </w:r>
    </w:p>
    <w:p>
      <w:pPr>
        <w:spacing w:after="0" w:line="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201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7" w:lineRule="auto"/>
        <w:rPr>
          <w:sz w:val="20"/>
          <w:szCs w:val="20"/>
          <w:color w:val="auto"/>
        </w:rPr>
      </w:pPr>
      <w:r>
        <w:rPr>
          <w:rFonts w:ascii="Arial" w:cs="Arial" w:eastAsia="Arial" w:hAnsi="Arial"/>
          <w:sz w:val="13"/>
          <w:szCs w:val="13"/>
          <w:color w:val="auto"/>
        </w:rPr>
        <w:t>and he serves as chairman or member of various Advisory Boards, such as chairman of the Advisory Board of Argentum Pflege Holding GmbH and Panorama Fachklinik GmbH and member of the Advisory Board of Creative Balloons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080"/>
        <w:spacing w:after="0" w:line="210" w:lineRule="auto"/>
        <w:rPr>
          <w:sz w:val="20"/>
          <w:szCs w:val="20"/>
          <w:color w:val="auto"/>
        </w:rPr>
      </w:pPr>
      <w:r>
        <w:rPr>
          <w:rFonts w:ascii="Arial" w:cs="Arial" w:eastAsia="Arial" w:hAnsi="Arial"/>
          <w:sz w:val="13"/>
          <w:szCs w:val="13"/>
          <w:b w:val="1"/>
          <w:bCs w:val="1"/>
          <w:color w:val="auto"/>
        </w:rPr>
        <w:t xml:space="preserve">Baroness Nicola Blackwood </w:t>
      </w:r>
      <w:r>
        <w:rPr>
          <w:rFonts w:ascii="Arial" w:cs="Arial" w:eastAsia="Arial" w:hAnsi="Arial"/>
          <w:sz w:val="13"/>
          <w:szCs w:val="13"/>
          <w:color w:val="auto"/>
        </w:rPr>
        <w:t>has served as a member of our Supervisory Board since May 25, 2023. She has</w:t>
      </w:r>
      <w:r>
        <w:rPr>
          <w:rFonts w:ascii="Arial" w:cs="Arial" w:eastAsia="Arial" w:hAnsi="Arial"/>
          <w:sz w:val="13"/>
          <w:szCs w:val="13"/>
          <w:b w:val="1"/>
          <w:bCs w:val="1"/>
          <w:color w:val="auto"/>
        </w:rPr>
        <w:t xml:space="preserve"> </w:t>
      </w:r>
      <w:r>
        <w:rPr>
          <w:rFonts w:ascii="Arial" w:cs="Arial" w:eastAsia="Arial" w:hAnsi="Arial"/>
          <w:sz w:val="13"/>
          <w:szCs w:val="13"/>
          <w:color w:val="auto"/>
        </w:rPr>
        <w:t>been Chair of Genomics England since 2020 and Chair of Oxford University Innovation since 2021. She is a member of the House of Lords, the upper chamber of the Parliament of the United Kingdom (UK). Blackwood was elected Member of Parliament for Oxford West and Abingdon 2010 to 2017 and served as Minister for Innovation at the UK Department of Health and Social Care from 2016 to 2017 and 2019 to 2020 where she led on life sciences, NHS data and digital transformation and global health security. Among other roles, she was Chair of the technical regulator, the Human Tissue Authority, as well as a Chair of the UK House of Commons Science and Technology Select Committee and a member of the House of Lords Science and Technology Select Committee. Nicola Blackwood was educated at Trinity College of Music, London, St Anne’s College, Oxford, and Emmanuel College, Cambridge.</w:t>
      </w:r>
    </w:p>
    <w:p>
      <w:pPr>
        <w:spacing w:after="0" w:line="6"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b w:val="1"/>
          <w:bCs w:val="1"/>
          <w:color w:val="auto"/>
        </w:rPr>
        <w:t xml:space="preserve">Prof. Anja Morawietz, Ph.D., </w:t>
      </w:r>
      <w:r>
        <w:rPr>
          <w:rFonts w:ascii="Arial" w:cs="Arial" w:eastAsia="Arial" w:hAnsi="Arial"/>
          <w:sz w:val="13"/>
          <w:szCs w:val="13"/>
          <w:color w:val="auto"/>
        </w:rPr>
        <w:t>has served as a member of our Supervisory Board since 2022. She has been a</w:t>
      </w:r>
      <w:r>
        <w:rPr>
          <w:rFonts w:ascii="Arial" w:cs="Arial" w:eastAsia="Arial" w:hAnsi="Arial"/>
          <w:sz w:val="13"/>
          <w:szCs w:val="13"/>
          <w:b w:val="1"/>
          <w:bCs w:val="1"/>
          <w:color w:val="auto"/>
        </w:rPr>
        <w:t xml:space="preserve"> </w:t>
      </w:r>
      <w:r>
        <w:rPr>
          <w:rFonts w:ascii="Arial" w:cs="Arial" w:eastAsia="Arial" w:hAnsi="Arial"/>
          <w:sz w:val="13"/>
          <w:szCs w:val="13"/>
          <w:color w:val="auto"/>
        </w:rPr>
        <w:t>professor of external accounting and general business administration at the Nuremberg University of Applied Sciences Georg Simon Ohm since 2015. Her research areas are international and national accounting, current developments in corporate governance and sustainability reporting. She also works as a freelance auditor, particularly in audit-related consulting. Previously, she worked for ten years for auditing company KPMG AG, where she conducted audits of annual and consolidated financial statements and advised clients on accounting and regulatory issues. After training as a bank clerk at Norddeutsche Landesbank in Hanover, Anja Morawietz studied business administration at Goethe University in Frankfurt am Main, where she also completed her doctorate as an external doctoral candidate.</w:t>
      </w:r>
    </w:p>
    <w:p>
      <w:pPr>
        <w:spacing w:after="0" w:line="5" w:lineRule="exact"/>
        <w:rPr>
          <w:sz w:val="20"/>
          <w:szCs w:val="20"/>
          <w:color w:val="auto"/>
        </w:rPr>
      </w:pPr>
    </w:p>
    <w:p>
      <w:pPr>
        <w:ind w:left="380" w:right="2300"/>
        <w:spacing w:after="0" w:line="210" w:lineRule="auto"/>
        <w:rPr>
          <w:sz w:val="20"/>
          <w:szCs w:val="20"/>
          <w:color w:val="auto"/>
        </w:rPr>
      </w:pPr>
      <w:r>
        <w:rPr>
          <w:rFonts w:ascii="Arial" w:cs="Arial" w:eastAsia="Arial" w:hAnsi="Arial"/>
          <w:sz w:val="13"/>
          <w:szCs w:val="13"/>
          <w:b w:val="1"/>
          <w:bCs w:val="1"/>
          <w:color w:val="auto"/>
        </w:rPr>
        <w:t xml:space="preserve">Michael Motschmann </w:t>
      </w:r>
      <w:r>
        <w:rPr>
          <w:rFonts w:ascii="Arial" w:cs="Arial" w:eastAsia="Arial" w:hAnsi="Arial"/>
          <w:sz w:val="13"/>
          <w:szCs w:val="13"/>
          <w:color w:val="auto"/>
        </w:rPr>
        <w:t>has served as a member of our Supervisory Board since 2008. He co-founded MIG</w:t>
      </w:r>
      <w:r>
        <w:rPr>
          <w:rFonts w:ascii="Arial" w:cs="Arial" w:eastAsia="Arial" w:hAnsi="Arial"/>
          <w:sz w:val="13"/>
          <w:szCs w:val="13"/>
          <w:b w:val="1"/>
          <w:bCs w:val="1"/>
          <w:color w:val="auto"/>
        </w:rPr>
        <w:t xml:space="preserve"> </w:t>
      </w:r>
      <w:r>
        <w:rPr>
          <w:rFonts w:ascii="Arial" w:cs="Arial" w:eastAsia="Arial" w:hAnsi="Arial"/>
          <w:sz w:val="13"/>
          <w:szCs w:val="13"/>
          <w:color w:val="auto"/>
        </w:rPr>
        <w:t>Verwaltungs AG, or MIG, in 2004, where he serves on the Management Board and as Head of Equity Investments. In his role with MIG, Michael Motschmann currently serves on the supervisory boards of several private portfolio companies.</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b w:val="1"/>
          <w:bCs w:val="1"/>
          <w:color w:val="auto"/>
        </w:rPr>
        <w:t xml:space="preserve">Prof. Rudolf Staudigl, Ph.D., </w:t>
      </w:r>
      <w:r>
        <w:rPr>
          <w:rFonts w:ascii="Arial" w:cs="Arial" w:eastAsia="Arial" w:hAnsi="Arial"/>
          <w:sz w:val="13"/>
          <w:szCs w:val="13"/>
          <w:color w:val="auto"/>
        </w:rPr>
        <w:t>has served as a member of our Supervisory Board since 2022. He studied</w:t>
      </w:r>
      <w:r>
        <w:rPr>
          <w:rFonts w:ascii="Arial" w:cs="Arial" w:eastAsia="Arial" w:hAnsi="Arial"/>
          <w:sz w:val="13"/>
          <w:szCs w:val="13"/>
          <w:b w:val="1"/>
          <w:bCs w:val="1"/>
          <w:color w:val="auto"/>
        </w:rPr>
        <w:t xml:space="preserve"> </w:t>
      </w:r>
      <w:r>
        <w:rPr>
          <w:rFonts w:ascii="Arial" w:cs="Arial" w:eastAsia="Arial" w:hAnsi="Arial"/>
          <w:sz w:val="13"/>
          <w:szCs w:val="13"/>
          <w:color w:val="auto"/>
        </w:rPr>
        <w:t>chemistry at Ludwig Maximilian University of Munich, obtaining his Ph.D. (Dr. rer. nat) in 1981. After postdoctoral research at Harvard University (Cambridge, USA) and Ludwig Maximilian University, he joined Wacker Chemitronic in 1983. Mr. Staudigl became Vice President of Operations at Wacker Siltronic Corporation (Portland, Oregon, USA) in 1989 and President a year later. He joined the Executive Board of Wacker Chemitronic in 1993. In 1995, Rudolf Staudigl was appointed to the Executive Board of Wacker Chemie. In May 2008, Rudolf Staudigl was appointed President &amp; CEO of Wacker Chemie AG. Until July 2024, he was a member of the Supervisory Board of TÜV Süd Aktiengesellschaft. He currently serves as Deputy Chairman of the Supervisory Board of Groz-Beckert.</w:t>
      </w:r>
    </w:p>
    <w:p>
      <w:pPr>
        <w:ind w:left="380"/>
        <w:spacing w:after="0" w:line="219" w:lineRule="auto"/>
        <w:rPr>
          <w:sz w:val="20"/>
          <w:szCs w:val="20"/>
          <w:color w:val="auto"/>
        </w:rPr>
      </w:pPr>
      <w:r>
        <w:rPr>
          <w:rFonts w:ascii="Arial" w:cs="Arial" w:eastAsia="Arial" w:hAnsi="Arial"/>
          <w:sz w:val="13"/>
          <w:szCs w:val="13"/>
          <w:b w:val="1"/>
          <w:bCs w:val="1"/>
          <w:color w:val="005A64"/>
        </w:rPr>
        <w:t>B. Compensation</w:t>
      </w:r>
    </w:p>
    <w:p>
      <w:pPr>
        <w:ind w:left="380"/>
        <w:spacing w:after="0" w:line="211" w:lineRule="auto"/>
        <w:rPr>
          <w:sz w:val="20"/>
          <w:szCs w:val="20"/>
          <w:color w:val="auto"/>
        </w:rPr>
      </w:pPr>
      <w:r>
        <w:rPr>
          <w:rFonts w:ascii="Arial" w:cs="Arial" w:eastAsia="Arial" w:hAnsi="Arial"/>
          <w:sz w:val="13"/>
          <w:szCs w:val="13"/>
          <w:color w:val="005A64"/>
        </w:rPr>
        <w:t>Amount of Compensation of Our Supervisory Board and Management Board Members</w:t>
      </w:r>
    </w:p>
    <w:p>
      <w:pPr>
        <w:ind w:left="380" w:right="2320"/>
        <w:spacing w:after="0" w:line="210" w:lineRule="auto"/>
        <w:rPr>
          <w:sz w:val="20"/>
          <w:szCs w:val="20"/>
          <w:color w:val="auto"/>
        </w:rPr>
      </w:pPr>
      <w:r>
        <w:rPr>
          <w:rFonts w:ascii="Arial" w:cs="Arial" w:eastAsia="Arial" w:hAnsi="Arial"/>
          <w:sz w:val="13"/>
          <w:szCs w:val="13"/>
          <w:color w:val="auto"/>
        </w:rPr>
        <w:t xml:space="preserve">The compensation of the members of our Supervisory Board and Management Board is disclosed below in accordance with Section 162 Paragraph 1 of the German Stock Corporation Act, or AktG, and in line with our Compensation Report published on our website at </w:t>
      </w:r>
      <w:r>
        <w:rPr>
          <w:rFonts w:ascii="Arial" w:cs="Arial" w:eastAsia="Arial" w:hAnsi="Arial"/>
          <w:sz w:val="13"/>
          <w:szCs w:val="13"/>
          <w:color w:val="26948B"/>
        </w:rPr>
        <w:t>www.biontech.de</w:t>
      </w:r>
      <w:r>
        <w:rPr>
          <w:rFonts w:ascii="Arial" w:cs="Arial" w:eastAsia="Arial" w:hAnsi="Arial"/>
          <w:sz w:val="13"/>
          <w:szCs w:val="13"/>
          <w:color w:val="auto"/>
        </w:rPr>
        <w:t>.</w:t>
      </w:r>
    </w:p>
    <w:p>
      <w:pPr>
        <w:spacing w:after="0" w:line="2" w:lineRule="exact"/>
        <w:rPr>
          <w:sz w:val="20"/>
          <w:szCs w:val="20"/>
          <w:color w:val="auto"/>
        </w:rPr>
      </w:pPr>
    </w:p>
    <w:p>
      <w:pPr>
        <w:ind w:left="380" w:right="2240"/>
        <w:spacing w:after="0" w:line="216" w:lineRule="auto"/>
        <w:rPr>
          <w:sz w:val="20"/>
          <w:szCs w:val="20"/>
          <w:color w:val="auto"/>
        </w:rPr>
      </w:pPr>
      <w:r>
        <w:rPr>
          <w:rFonts w:ascii="Arial" w:cs="Arial" w:eastAsia="Arial" w:hAnsi="Arial"/>
          <w:sz w:val="13"/>
          <w:szCs w:val="13"/>
          <w:color w:val="auto"/>
        </w:rPr>
        <w:t>Compensation is considered granted if it either has been actually received or the activities to which it relates have been performed. Compensation is considered owed if the compensation components are legally due, but have not yet been received. Where the preceding definition applies, compensation is referred to only as being “granted and owed”. The Institute of Public Auditors in Germany, Incorporated Association (Institut der Wirtschaftsprüfer, IDW) has provided two interpretations for the presentation. According to interpretation 1, compensation is only shown as granted and owed in the year in which it is received (inflow principle; Zuflussprinzip). According to interpretation 2, compensation may also be disclosed in the compensation report for the financial year in which the activity underlying the compensation was performed (vesting principle; Erdienungsprinzip). The Supervisory Board and the Management Board have decided to apply interpretation 2</w:t>
      </w:r>
    </w:p>
    <w:p>
      <w:pPr>
        <w:sectPr>
          <w:pgSz w:w="11900" w:h="16840" w:orient="portrait"/>
          <w:cols w:equalWidth="0" w:num="1">
            <w:col w:w="9020"/>
          </w:cols>
          <w:pgMar w:left="1440" w:top="700" w:right="1440" w:bottom="1440" w:gutter="0" w:footer="0" w:header="0"/>
        </w:sectPr>
      </w:pPr>
    </w:p>
    <w:bookmarkStart w:id="140" w:name="page141"/>
    <w:bookmarkEnd w:id="140"/>
    <w:p>
      <w:pPr>
        <w:ind w:left="380"/>
        <w:spacing w:after="0"/>
        <w:rPr>
          <w:sz w:val="20"/>
          <w:szCs w:val="20"/>
          <w:color w:val="auto"/>
        </w:rPr>
      </w:pPr>
      <w:r>
        <w:rPr>
          <w:rFonts w:ascii="Arial" w:cs="Arial" w:eastAsia="Arial" w:hAnsi="Arial"/>
          <w:sz w:val="13"/>
          <w:szCs w:val="13"/>
          <w:color w:val="auto"/>
        </w:rPr>
        <w:t>202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220"/>
        <w:spacing w:after="0" w:line="215" w:lineRule="auto"/>
        <w:rPr>
          <w:sz w:val="20"/>
          <w:szCs w:val="20"/>
          <w:color w:val="auto"/>
        </w:rPr>
      </w:pPr>
      <w:r>
        <w:rPr>
          <w:rFonts w:ascii="Arial" w:cs="Arial" w:eastAsia="Arial" w:hAnsi="Arial"/>
          <w:sz w:val="13"/>
          <w:szCs w:val="13"/>
          <w:color w:val="auto"/>
        </w:rPr>
        <w:t>for short-term compensation components such as fixed compensation and short-term incentives, or STI, and interpretation 1 for share- based payments (including long-term incentives, or LTI). An approach which deviates from interpretation 1 was chosen because it allows a fair presentation of the actual benefits, which are, for example, subject to final underlying share price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60"/>
        <w:spacing w:after="0" w:line="210" w:lineRule="auto"/>
        <w:rPr>
          <w:sz w:val="20"/>
          <w:szCs w:val="20"/>
          <w:color w:val="auto"/>
        </w:rPr>
      </w:pPr>
      <w:r>
        <w:rPr>
          <w:rFonts w:ascii="Arial" w:cs="Arial" w:eastAsia="Arial" w:hAnsi="Arial"/>
          <w:sz w:val="13"/>
          <w:szCs w:val="13"/>
          <w:color w:val="auto"/>
        </w:rPr>
        <w:t>The total compensation granted or owed according to Section 162 Paragraph 1 AktG to all members of the Supervisory Board and the Management Board for the years ended December 31, 2024 and 2023, is presented in the following sections.</w:t>
      </w:r>
    </w:p>
    <w:p>
      <w:pPr>
        <w:ind w:left="380"/>
        <w:spacing w:after="0" w:line="213" w:lineRule="auto"/>
        <w:rPr>
          <w:sz w:val="20"/>
          <w:szCs w:val="20"/>
          <w:color w:val="auto"/>
        </w:rPr>
      </w:pPr>
      <w:r>
        <w:rPr>
          <w:rFonts w:ascii="Arial" w:cs="Arial" w:eastAsia="Arial" w:hAnsi="Arial"/>
          <w:sz w:val="13"/>
          <w:szCs w:val="13"/>
          <w:color w:val="005A64"/>
        </w:rPr>
        <w:t>Compensation of Our Supervisory Board Members</w:t>
      </w:r>
    </w:p>
    <w:p>
      <w:pPr>
        <w:spacing w:after="0" w:line="1" w:lineRule="exact"/>
        <w:rPr>
          <w:sz w:val="20"/>
          <w:szCs w:val="20"/>
          <w:color w:val="auto"/>
        </w:rPr>
      </w:pPr>
    </w:p>
    <w:p>
      <w:pPr>
        <w:ind w:left="380" w:right="2220"/>
        <w:spacing w:after="0" w:line="210" w:lineRule="auto"/>
        <w:rPr>
          <w:sz w:val="20"/>
          <w:szCs w:val="20"/>
          <w:color w:val="auto"/>
        </w:rPr>
      </w:pPr>
      <w:r>
        <w:rPr>
          <w:rFonts w:ascii="Arial" w:cs="Arial" w:eastAsia="Arial" w:hAnsi="Arial"/>
          <w:sz w:val="13"/>
          <w:szCs w:val="13"/>
          <w:color w:val="auto"/>
        </w:rPr>
        <w:t>The compensation of our Supervisory Board reflects the duties, time commitment and demands of the role, the Company’s market position, the need to be able to attract suitably qualified candidates and is designed to promote the Company’s long-term development and business strategy.</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Under article 9 of the Company’s Articles of Association, our Supervisory Board receives 100% fixed compensation. All members of the Supervisory Board are also reimbursed for their expenses. While retaining the system for the compensation of Supervisory Board members, the compensation of the Supervisory Board and its committee members was adjusted during the year ended December 31, 2024, to take into account the increasing time commitment required from them in terms of their activities, responsibilities and necessary qualifications and competencies under German stock corporation and European laws and the life sciences industry. The new system was approved by the Annual General Meeting, or AGM, on May 17, 2024, and was applied on a pro rata basis upon the entry of the revised Articles of Association in our Commercial Register on August 30, 2024. Pursuant to Section 113 Paragraph 3 AktG, as amended by the Act Implementing the Second Shareholder Rights Directive, a listed company’s AGM must pass a resolution on the compensation of its Supervisory Board members at least every four years.</w:t>
      </w:r>
    </w:p>
    <w:p>
      <w:pPr>
        <w:spacing w:after="0" w:line="7"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Until August 30, 2024, each member of the Supervisory Board received annual base compensation of €70,000 (the Chair and Vice Chair received €210,000 and €105,000, respectively). The Chair of the Audit Committee received an additional €30,000 per year. Other committee Chairs each received an additional €15,000 per year. Each ordinary committee member received an additional €5,000 per committee. As of August 30, 2024, the members of the Supervisory Board receive annual base compensation of €120,000 (the Chair and Vice Chair receive € 360,000 and €180,000, respectively). The Chair of the Audit Committee receives an additional €50,000 per year. Other committee Chairs each receive an additional €30,000 per year. Each ordinary committee member receives an additional €10,000 per committee.</w:t>
      </w:r>
    </w:p>
    <w:p>
      <w:pPr>
        <w:spacing w:after="0" w:line="5"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Compensation is provided on a pro rata basis for individuals who are members of the Supervisory Board or a committee for part of the financial year. In 2023, this applied to Christoph Huber, who left as of our AGM on May 23, 2023, and Nicola Blackwood, who joined on the same date. Pro rata compensation was also paid to members of the Product Committee, which was established on October 1, 2023.</w:t>
      </w:r>
    </w:p>
    <w:p>
      <w:pPr>
        <w:ind w:left="380"/>
        <w:spacing w:after="0" w:line="214" w:lineRule="auto"/>
        <w:rPr>
          <w:sz w:val="20"/>
          <w:szCs w:val="20"/>
          <w:color w:val="auto"/>
        </w:rPr>
      </w:pPr>
      <w:r>
        <w:rPr>
          <w:rFonts w:ascii="Arial" w:cs="Arial" w:eastAsia="Arial" w:hAnsi="Arial"/>
          <w:sz w:val="13"/>
          <w:szCs w:val="13"/>
          <w:color w:val="auto"/>
        </w:rPr>
        <w:t>BioNTech also covers any value-added tax applicable to compensation or expense reimbursement.</w:t>
      </w:r>
    </w:p>
    <w:p>
      <w:pPr>
        <w:ind w:left="380"/>
        <w:spacing w:after="0"/>
        <w:rPr>
          <w:sz w:val="20"/>
          <w:szCs w:val="20"/>
          <w:color w:val="auto"/>
        </w:rPr>
      </w:pPr>
      <w:r>
        <w:rPr>
          <w:rFonts w:ascii="Arial" w:cs="Arial" w:eastAsia="Arial" w:hAnsi="Arial"/>
          <w:sz w:val="13"/>
          <w:szCs w:val="13"/>
          <w:color w:val="auto"/>
        </w:rPr>
        <w:t>Supervisory Board members are included in our D&amp;O liability insurance and are co-insured at our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203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60"/>
        <w:spacing w:after="0" w:line="248" w:lineRule="auto"/>
        <w:rPr>
          <w:sz w:val="20"/>
          <w:szCs w:val="20"/>
          <w:color w:val="auto"/>
        </w:rPr>
      </w:pPr>
      <w:r>
        <w:rPr>
          <w:rFonts w:ascii="Arial" w:cs="Arial" w:eastAsia="Arial" w:hAnsi="Arial"/>
          <w:sz w:val="13"/>
          <w:szCs w:val="13"/>
          <w:color w:val="auto"/>
        </w:rPr>
        <w:t>The compensation granted and owed to our Supervisory Board members during the years ended December 31, 2024 and 2023, is presented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-189230</wp:posOffset>
            </wp:positionV>
            <wp:extent cx="523113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231130" cy="635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-15875</wp:posOffset>
            </wp:positionV>
            <wp:extent cx="4281170" cy="127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281170" cy="12700"/>
                    </a:xfrm>
                    <a:prstGeom prst="rect">
                      <a:avLst/>
                    </a:prstGeom>
                    <a:noFill/>
                  </pic:spPr>
                </pic:pic>
              </a:graphicData>
            </a:graphic>
          </wp:anchor>
        </w:drawing>
      </w:r>
    </w:p>
    <w:p>
      <w:pPr>
        <w:spacing w:after="0" w:line="25" w:lineRule="exact"/>
        <w:rPr>
          <w:sz w:val="20"/>
          <w:szCs w:val="20"/>
          <w:color w:val="auto"/>
        </w:rPr>
      </w:pPr>
    </w:p>
    <w:tbl>
      <w:tblPr>
        <w:tblLayout w:type="fixed"/>
        <w:tblInd w:w="390" w:type="dxa"/>
        <w:tblCellMar>
          <w:top w:w="0" w:type="dxa"/>
          <w:left w:w="0" w:type="dxa"/>
          <w:bottom w:w="0" w:type="dxa"/>
          <w:right w:w="0" w:type="dxa"/>
        </w:tblCellMar>
      </w:tblPr>
      <w:tr>
        <w:trPr>
          <w:trHeight w:val="161"/>
        </w:trPr>
        <w:tc>
          <w:tcPr>
            <w:tcW w:w="940" w:type="dxa"/>
            <w:vAlign w:val="bottom"/>
          </w:tcPr>
          <w:p>
            <w:pPr>
              <w:ind w:left="20"/>
              <w:spacing w:after="0"/>
              <w:rPr>
                <w:sz w:val="20"/>
                <w:szCs w:val="20"/>
                <w:color w:val="auto"/>
              </w:rPr>
            </w:pPr>
            <w:r>
              <w:rPr>
                <w:rFonts w:ascii="Arial" w:cs="Arial" w:eastAsia="Arial" w:hAnsi="Arial"/>
                <w:sz w:val="11"/>
                <w:szCs w:val="11"/>
                <w:i w:val="1"/>
                <w:iCs w:val="1"/>
                <w:color w:val="005A64"/>
              </w:rPr>
              <w:t>in thousands €</w:t>
            </w:r>
            <w:r>
              <w:rPr>
                <w:rFonts w:ascii="Arial" w:cs="Arial" w:eastAsia="Arial" w:hAnsi="Arial"/>
                <w:sz w:val="14"/>
                <w:szCs w:val="14"/>
                <w:i w:val="1"/>
                <w:iCs w:val="1"/>
                <w:color w:val="005A64"/>
                <w:vertAlign w:val="superscript"/>
              </w:rPr>
              <w:t>(1)</w:t>
            </w:r>
          </w:p>
        </w:tc>
        <w:tc>
          <w:tcPr>
            <w:tcW w:w="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005A64"/>
              </w:rPr>
              <w:t>Helmut</w:t>
            </w:r>
          </w:p>
        </w:tc>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1"/>
                <w:szCs w:val="11"/>
                <w:b w:val="1"/>
                <w:bCs w:val="1"/>
                <w:color w:val="005A64"/>
              </w:rPr>
              <w:t>Ulrich</w:t>
            </w:r>
          </w:p>
        </w:tc>
        <w:tc>
          <w:tcPr>
            <w:tcW w:w="2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005A64"/>
              </w:rPr>
              <w:t>Baroness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005A64"/>
              </w:rPr>
              <w:t>Prof.</w:t>
            </w:r>
          </w:p>
        </w:tc>
        <w:tc>
          <w:tcPr>
            <w:tcW w:w="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005A64"/>
              </w:rPr>
              <w:t>Prof. Anja</w:t>
            </w:r>
          </w:p>
        </w:tc>
        <w:tc>
          <w:tcPr>
            <w:tcW w:w="2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1"/>
                <w:szCs w:val="11"/>
                <w:b w:val="1"/>
                <w:bCs w:val="1"/>
                <w:color w:val="005A64"/>
              </w:rPr>
              <w:t>Michael</w:t>
            </w:r>
          </w:p>
        </w:tc>
        <w:tc>
          <w:tcPr>
            <w:tcW w:w="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005A64"/>
              </w:rPr>
              <w:t>Prof. Rudolf</w:t>
            </w:r>
          </w:p>
        </w:tc>
        <w:tc>
          <w:tcPr>
            <w:tcW w:w="0" w:type="dxa"/>
            <w:vAlign w:val="bottom"/>
          </w:tcPr>
          <w:p>
            <w:pPr>
              <w:spacing w:after="0"/>
              <w:rPr>
                <w:sz w:val="1"/>
                <w:szCs w:val="1"/>
                <w:color w:val="auto"/>
              </w:rPr>
            </w:pPr>
          </w:p>
        </w:tc>
      </w:tr>
      <w:tr>
        <w:trPr>
          <w:trHeight w:val="61"/>
        </w:trPr>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line="61" w:lineRule="exact"/>
              <w:rPr>
                <w:sz w:val="20"/>
                <w:szCs w:val="20"/>
                <w:color w:val="auto"/>
              </w:rPr>
            </w:pPr>
            <w:r>
              <w:rPr>
                <w:rFonts w:ascii="Arial" w:cs="Arial" w:eastAsia="Arial" w:hAnsi="Arial"/>
                <w:sz w:val="7"/>
                <w:szCs w:val="7"/>
                <w:b w:val="1"/>
                <w:bCs w:val="1"/>
                <w:color w:val="005A64"/>
              </w:rPr>
              <w:t>Jeggle</w:t>
            </w:r>
          </w:p>
        </w:tc>
        <w:tc>
          <w:tcPr>
            <w:tcW w:w="20" w:type="dxa"/>
            <w:vAlign w:val="bottom"/>
          </w:tcPr>
          <w:p>
            <w:pPr>
              <w:spacing w:after="0"/>
              <w:rPr>
                <w:sz w:val="5"/>
                <w:szCs w:val="5"/>
                <w:color w:val="auto"/>
              </w:rPr>
            </w:pPr>
          </w:p>
        </w:tc>
        <w:tc>
          <w:tcPr>
            <w:tcW w:w="940" w:type="dxa"/>
            <w:vAlign w:val="bottom"/>
          </w:tcPr>
          <w:p>
            <w:pPr>
              <w:ind w:left="20"/>
              <w:spacing w:after="0" w:line="61" w:lineRule="exact"/>
              <w:rPr>
                <w:sz w:val="20"/>
                <w:szCs w:val="20"/>
                <w:color w:val="auto"/>
              </w:rPr>
            </w:pPr>
            <w:r>
              <w:rPr>
                <w:rFonts w:ascii="Arial" w:cs="Arial" w:eastAsia="Arial" w:hAnsi="Arial"/>
                <w:sz w:val="7"/>
                <w:szCs w:val="7"/>
                <w:b w:val="1"/>
                <w:bCs w:val="1"/>
                <w:color w:val="005A64"/>
              </w:rPr>
              <w:t>Wandschneider,</w:t>
            </w:r>
          </w:p>
        </w:tc>
        <w:tc>
          <w:tcPr>
            <w:tcW w:w="20" w:type="dxa"/>
            <w:vAlign w:val="bottom"/>
          </w:tcPr>
          <w:p>
            <w:pPr>
              <w:spacing w:after="0"/>
              <w:rPr>
                <w:sz w:val="5"/>
                <w:szCs w:val="5"/>
                <w:color w:val="auto"/>
              </w:rPr>
            </w:pPr>
          </w:p>
        </w:tc>
        <w:tc>
          <w:tcPr>
            <w:tcW w:w="600" w:type="dxa"/>
            <w:vAlign w:val="bottom"/>
          </w:tcPr>
          <w:p>
            <w:pPr>
              <w:ind w:left="20"/>
              <w:spacing w:after="0" w:line="61" w:lineRule="exact"/>
              <w:rPr>
                <w:sz w:val="20"/>
                <w:szCs w:val="20"/>
                <w:color w:val="auto"/>
              </w:rPr>
            </w:pPr>
            <w:r>
              <w:rPr>
                <w:rFonts w:ascii="Arial" w:cs="Arial" w:eastAsia="Arial" w:hAnsi="Arial"/>
                <w:sz w:val="7"/>
                <w:szCs w:val="7"/>
                <w:b w:val="1"/>
                <w:bCs w:val="1"/>
                <w:color w:val="005A64"/>
              </w:rPr>
              <w:t>Nicola</w:t>
            </w: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line="61" w:lineRule="exact"/>
              <w:rPr>
                <w:sz w:val="20"/>
                <w:szCs w:val="20"/>
                <w:color w:val="auto"/>
              </w:rPr>
            </w:pPr>
            <w:r>
              <w:rPr>
                <w:rFonts w:ascii="Arial" w:cs="Arial" w:eastAsia="Arial" w:hAnsi="Arial"/>
                <w:sz w:val="7"/>
                <w:szCs w:val="7"/>
                <w:b w:val="1"/>
                <w:bCs w:val="1"/>
                <w:color w:val="005A64"/>
              </w:rPr>
              <w:t>Christoph</w:t>
            </w:r>
          </w:p>
        </w:tc>
        <w:tc>
          <w:tcPr>
            <w:tcW w:w="20" w:type="dxa"/>
            <w:vAlign w:val="bottom"/>
          </w:tcPr>
          <w:p>
            <w:pPr>
              <w:spacing w:after="0"/>
              <w:rPr>
                <w:sz w:val="5"/>
                <w:szCs w:val="5"/>
                <w:color w:val="auto"/>
              </w:rPr>
            </w:pPr>
          </w:p>
        </w:tc>
        <w:tc>
          <w:tcPr>
            <w:tcW w:w="780" w:type="dxa"/>
            <w:vAlign w:val="bottom"/>
          </w:tcPr>
          <w:p>
            <w:pPr>
              <w:spacing w:after="0" w:line="61" w:lineRule="exact"/>
              <w:rPr>
                <w:sz w:val="20"/>
                <w:szCs w:val="20"/>
                <w:color w:val="auto"/>
              </w:rPr>
            </w:pPr>
            <w:r>
              <w:rPr>
                <w:rFonts w:ascii="Arial" w:cs="Arial" w:eastAsia="Arial" w:hAnsi="Arial"/>
                <w:sz w:val="7"/>
                <w:szCs w:val="7"/>
                <w:b w:val="1"/>
                <w:bCs w:val="1"/>
                <w:color w:val="005A64"/>
              </w:rPr>
              <w:t>Morawietz,</w:t>
            </w:r>
          </w:p>
        </w:tc>
        <w:tc>
          <w:tcPr>
            <w:tcW w:w="20" w:type="dxa"/>
            <w:vAlign w:val="bottom"/>
          </w:tcPr>
          <w:p>
            <w:pPr>
              <w:spacing w:after="0"/>
              <w:rPr>
                <w:sz w:val="5"/>
                <w:szCs w:val="5"/>
                <w:color w:val="auto"/>
              </w:rPr>
            </w:pPr>
          </w:p>
        </w:tc>
        <w:tc>
          <w:tcPr>
            <w:tcW w:w="800" w:type="dxa"/>
            <w:vAlign w:val="bottom"/>
          </w:tcPr>
          <w:p>
            <w:pPr>
              <w:ind w:left="20"/>
              <w:spacing w:after="0" w:line="61" w:lineRule="exact"/>
              <w:rPr>
                <w:sz w:val="20"/>
                <w:szCs w:val="20"/>
                <w:color w:val="auto"/>
              </w:rPr>
            </w:pPr>
            <w:r>
              <w:rPr>
                <w:rFonts w:ascii="Arial" w:cs="Arial" w:eastAsia="Arial" w:hAnsi="Arial"/>
                <w:sz w:val="7"/>
                <w:szCs w:val="7"/>
                <w:b w:val="1"/>
                <w:bCs w:val="1"/>
                <w:color w:val="005A64"/>
              </w:rPr>
              <w:t>Motschmann</w:t>
            </w:r>
          </w:p>
        </w:tc>
        <w:tc>
          <w:tcPr>
            <w:tcW w:w="20" w:type="dxa"/>
            <w:vAlign w:val="bottom"/>
          </w:tcPr>
          <w:p>
            <w:pPr>
              <w:spacing w:after="0"/>
              <w:rPr>
                <w:sz w:val="5"/>
                <w:szCs w:val="5"/>
                <w:color w:val="auto"/>
              </w:rPr>
            </w:pPr>
          </w:p>
        </w:tc>
        <w:tc>
          <w:tcPr>
            <w:tcW w:w="800" w:type="dxa"/>
            <w:vAlign w:val="bottom"/>
          </w:tcPr>
          <w:p>
            <w:pPr>
              <w:spacing w:after="0" w:line="61" w:lineRule="exact"/>
              <w:rPr>
                <w:sz w:val="20"/>
                <w:szCs w:val="20"/>
                <w:color w:val="auto"/>
              </w:rPr>
            </w:pPr>
            <w:r>
              <w:rPr>
                <w:rFonts w:ascii="Arial" w:cs="Arial" w:eastAsia="Arial" w:hAnsi="Arial"/>
                <w:sz w:val="7"/>
                <w:szCs w:val="7"/>
                <w:b w:val="1"/>
                <w:bCs w:val="1"/>
                <w:color w:val="005A64"/>
              </w:rPr>
              <w:t>Staudigl,</w:t>
            </w:r>
          </w:p>
        </w:tc>
        <w:tc>
          <w:tcPr>
            <w:tcW w:w="0" w:type="dxa"/>
            <w:vAlign w:val="bottom"/>
          </w:tcPr>
          <w:p>
            <w:pPr>
              <w:spacing w:after="0"/>
              <w:rPr>
                <w:sz w:val="1"/>
                <w:szCs w:val="1"/>
                <w:color w:val="auto"/>
              </w:rPr>
            </w:pPr>
          </w:p>
        </w:tc>
      </w:tr>
      <w:tr>
        <w:trPr>
          <w:trHeight w:val="101"/>
        </w:trPr>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ind w:left="20"/>
              <w:spacing w:after="0" w:line="101" w:lineRule="exact"/>
              <w:rPr>
                <w:sz w:val="20"/>
                <w:szCs w:val="20"/>
                <w:color w:val="auto"/>
              </w:rPr>
            </w:pPr>
            <w:r>
              <w:rPr>
                <w:rFonts w:ascii="Arial" w:cs="Arial" w:eastAsia="Arial" w:hAnsi="Arial"/>
                <w:sz w:val="11"/>
                <w:szCs w:val="11"/>
                <w:b w:val="1"/>
                <w:bCs w:val="1"/>
                <w:color w:val="005A64"/>
              </w:rPr>
              <w:t>Ph.D.</w:t>
            </w:r>
          </w:p>
        </w:tc>
        <w:tc>
          <w:tcPr>
            <w:tcW w:w="2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Arial" w:cs="Arial" w:eastAsia="Arial" w:hAnsi="Arial"/>
                <w:sz w:val="11"/>
                <w:szCs w:val="11"/>
                <w:b w:val="1"/>
                <w:bCs w:val="1"/>
                <w:color w:val="005A64"/>
                <w:w w:val="96"/>
              </w:rPr>
              <w:t>Blackwood</w:t>
            </w:r>
          </w:p>
        </w:tc>
        <w:tc>
          <w:tcPr>
            <w:tcW w:w="200" w:type="dxa"/>
            <w:vAlign w:val="bottom"/>
          </w:tcPr>
          <w:p>
            <w:pPr>
              <w:jc w:val="right"/>
              <w:ind w:right="91"/>
              <w:spacing w:after="0"/>
              <w:rPr>
                <w:sz w:val="20"/>
                <w:szCs w:val="20"/>
                <w:color w:val="auto"/>
              </w:rPr>
            </w:pPr>
            <w:r>
              <w:rPr>
                <w:rFonts w:ascii="Arial" w:cs="Arial" w:eastAsia="Arial" w:hAnsi="Arial"/>
                <w:sz w:val="6"/>
                <w:szCs w:val="6"/>
                <w:b w:val="1"/>
                <w:bCs w:val="1"/>
                <w:color w:val="005A64"/>
                <w:w w:val="81"/>
              </w:rPr>
              <w:t>(2)</w:t>
            </w:r>
          </w:p>
        </w:tc>
        <w:tc>
          <w:tcPr>
            <w:tcW w:w="800" w:type="dxa"/>
            <w:vAlign w:val="bottom"/>
            <w:gridSpan w:val="2"/>
          </w:tcPr>
          <w:p>
            <w:pPr>
              <w:jc w:val="right"/>
              <w:ind w:right="28"/>
              <w:spacing w:after="0"/>
              <w:rPr>
                <w:sz w:val="20"/>
                <w:szCs w:val="20"/>
                <w:color w:val="auto"/>
              </w:rPr>
            </w:pPr>
            <w:r>
              <w:rPr>
                <w:rFonts w:ascii="Arial" w:cs="Arial" w:eastAsia="Arial" w:hAnsi="Arial"/>
                <w:sz w:val="7"/>
                <w:szCs w:val="7"/>
                <w:b w:val="1"/>
                <w:bCs w:val="1"/>
                <w:color w:val="005A64"/>
              </w:rPr>
              <w:t>(3)</w:t>
            </w:r>
          </w:p>
        </w:tc>
        <w:tc>
          <w:tcPr>
            <w:tcW w:w="20" w:type="dxa"/>
            <w:vAlign w:val="bottom"/>
          </w:tcPr>
          <w:p>
            <w:pPr>
              <w:spacing w:after="0"/>
              <w:rPr>
                <w:sz w:val="8"/>
                <w:szCs w:val="8"/>
                <w:color w:val="auto"/>
              </w:rPr>
            </w:pPr>
          </w:p>
        </w:tc>
        <w:tc>
          <w:tcPr>
            <w:tcW w:w="780" w:type="dxa"/>
            <w:vAlign w:val="bottom"/>
          </w:tcPr>
          <w:p>
            <w:pPr>
              <w:spacing w:after="0" w:line="101" w:lineRule="exact"/>
              <w:rPr>
                <w:sz w:val="20"/>
                <w:szCs w:val="20"/>
                <w:color w:val="auto"/>
              </w:rPr>
            </w:pPr>
            <w:r>
              <w:rPr>
                <w:rFonts w:ascii="Arial" w:cs="Arial" w:eastAsia="Arial" w:hAnsi="Arial"/>
                <w:sz w:val="11"/>
                <w:szCs w:val="11"/>
                <w:b w:val="1"/>
                <w:bCs w:val="1"/>
                <w:color w:val="005A64"/>
              </w:rPr>
              <w:t>Ph.D.</w:t>
            </w: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line="101" w:lineRule="exact"/>
              <w:rPr>
                <w:sz w:val="20"/>
                <w:szCs w:val="20"/>
                <w:color w:val="auto"/>
              </w:rPr>
            </w:pPr>
            <w:r>
              <w:rPr>
                <w:rFonts w:ascii="Arial" w:cs="Arial" w:eastAsia="Arial" w:hAnsi="Arial"/>
                <w:sz w:val="11"/>
                <w:szCs w:val="11"/>
                <w:b w:val="1"/>
                <w:bCs w:val="1"/>
                <w:color w:val="005A64"/>
              </w:rPr>
              <w:t>Ph.D.</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line="122" w:lineRule="exact"/>
              <w:rPr>
                <w:sz w:val="20"/>
                <w:szCs w:val="20"/>
                <w:color w:val="auto"/>
              </w:rPr>
            </w:pPr>
            <w:r>
              <w:rPr>
                <w:rFonts w:ascii="Arial" w:cs="Arial" w:eastAsia="Arial" w:hAnsi="Arial"/>
                <w:sz w:val="11"/>
                <w:szCs w:val="11"/>
                <w:b w:val="1"/>
                <w:bCs w:val="1"/>
                <w:color w:val="005A64"/>
              </w:rPr>
              <w:t>Huber, M.D.</w:t>
            </w: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20"/>
                <w:szCs w:val="20"/>
                <w:color w:val="auto"/>
              </w:rPr>
            </w:pPr>
            <w:r>
              <w:rPr>
                <w:rFonts w:ascii="Arial" w:cs="Arial" w:eastAsia="Arial" w:hAnsi="Arial"/>
                <w:sz w:val="11"/>
                <w:szCs w:val="11"/>
                <w:i w:val="1"/>
                <w:iCs w:val="1"/>
                <w:color w:val="005A64"/>
              </w:rPr>
              <w:t>Chair</w:t>
            </w:r>
          </w:p>
        </w:tc>
        <w:tc>
          <w:tcPr>
            <w:tcW w:w="20" w:type="dxa"/>
            <w:vAlign w:val="bottom"/>
          </w:tcPr>
          <w:p>
            <w:pPr>
              <w:spacing w:after="0"/>
              <w:rPr>
                <w:sz w:val="12"/>
                <w:szCs w:val="12"/>
                <w:color w:val="auto"/>
              </w:rPr>
            </w:pPr>
          </w:p>
        </w:tc>
        <w:tc>
          <w:tcPr>
            <w:tcW w:w="940" w:type="dxa"/>
            <w:vAlign w:val="bottom"/>
          </w:tcPr>
          <w:p>
            <w:pPr>
              <w:ind w:left="20"/>
              <w:spacing w:after="0"/>
              <w:rPr>
                <w:sz w:val="20"/>
                <w:szCs w:val="20"/>
                <w:color w:val="auto"/>
              </w:rPr>
            </w:pPr>
            <w:r>
              <w:rPr>
                <w:rFonts w:ascii="Arial" w:cs="Arial" w:eastAsia="Arial" w:hAnsi="Arial"/>
                <w:sz w:val="11"/>
                <w:szCs w:val="11"/>
                <w:i w:val="1"/>
                <w:iCs w:val="1"/>
                <w:color w:val="005A64"/>
              </w:rPr>
              <w:t>Vice Chair</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940" w:type="dxa"/>
            <w:vAlign w:val="bottom"/>
            <w:tcBorders>
              <w:bottom w:val="single" w:sz="8" w:color="005A64"/>
            </w:tcBorders>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bottom w:val="single" w:sz="8" w:color="005A64"/>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bottom w:val="single" w:sz="8" w:color="005A64"/>
            </w:tcBorders>
          </w:tcPr>
          <w:p>
            <w:pPr>
              <w:spacing w:after="0"/>
              <w:rPr>
                <w:sz w:val="2"/>
                <w:szCs w:val="2"/>
                <w:color w:val="auto"/>
              </w:rPr>
            </w:pPr>
          </w:p>
        </w:tc>
        <w:tc>
          <w:tcPr>
            <w:tcW w:w="200" w:type="dxa"/>
            <w:vAlign w:val="bottom"/>
            <w:tcBorders>
              <w:bottom w:val="single" w:sz="8" w:color="005A64"/>
            </w:tcBorders>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940" w:type="dxa"/>
            <w:vAlign w:val="bottom"/>
          </w:tcPr>
          <w:p>
            <w:pPr>
              <w:ind w:left="20"/>
              <w:spacing w:after="0" w:line="92" w:lineRule="exact"/>
              <w:rPr>
                <w:sz w:val="20"/>
                <w:szCs w:val="20"/>
                <w:color w:val="auto"/>
              </w:rPr>
            </w:pPr>
            <w:r>
              <w:rPr>
                <w:rFonts w:ascii="Arial" w:cs="Arial" w:eastAsia="Arial" w:hAnsi="Arial"/>
                <w:sz w:val="10"/>
                <w:szCs w:val="10"/>
                <w:b w:val="1"/>
                <w:bCs w:val="1"/>
                <w:color w:val="3C9673"/>
              </w:rPr>
              <w:t>Base</w:t>
            </w: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940" w:type="dxa"/>
            <w:vAlign w:val="bottom"/>
          </w:tcPr>
          <w:p>
            <w:pPr>
              <w:ind w:left="20"/>
              <w:spacing w:after="0"/>
              <w:rPr>
                <w:sz w:val="20"/>
                <w:szCs w:val="20"/>
                <w:color w:val="auto"/>
              </w:rPr>
            </w:pPr>
            <w:r>
              <w:rPr>
                <w:rFonts w:ascii="Arial" w:cs="Arial" w:eastAsia="Arial" w:hAnsi="Arial"/>
                <w:sz w:val="11"/>
                <w:szCs w:val="11"/>
                <w:b w:val="1"/>
                <w:bCs w:val="1"/>
                <w:color w:val="3C9673"/>
              </w:rPr>
              <w:t>Compensation</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940" w:type="dxa"/>
            <w:vAlign w:val="bottom"/>
            <w:tcBorders>
              <w:bottom w:val="single" w:sz="8" w:color="BECE33"/>
            </w:tcBorders>
          </w:tcPr>
          <w:p>
            <w:pPr>
              <w:spacing w:after="0"/>
              <w:rPr>
                <w:sz w:val="6"/>
                <w:szCs w:val="6"/>
                <w:color w:val="auto"/>
              </w:rPr>
            </w:pPr>
          </w:p>
        </w:tc>
        <w:tc>
          <w:tcPr>
            <w:tcW w:w="800" w:type="dxa"/>
            <w:vAlign w:val="bottom"/>
            <w:tcBorders>
              <w:bottom w:val="single" w:sz="8" w:color="BECE33"/>
            </w:tcBorders>
            <w:gridSpan w:val="2"/>
          </w:tcPr>
          <w:p>
            <w:pPr>
              <w:spacing w:after="0"/>
              <w:rPr>
                <w:sz w:val="6"/>
                <w:szCs w:val="6"/>
                <w:color w:val="auto"/>
              </w:rPr>
            </w:pPr>
          </w:p>
        </w:tc>
        <w:tc>
          <w:tcPr>
            <w:tcW w:w="960" w:type="dxa"/>
            <w:vAlign w:val="bottom"/>
            <w:tcBorders>
              <w:bottom w:val="single" w:sz="8" w:color="BECE33"/>
            </w:tcBorders>
            <w:gridSpan w:val="2"/>
          </w:tcPr>
          <w:p>
            <w:pPr>
              <w:spacing w:after="0"/>
              <w:rPr>
                <w:sz w:val="6"/>
                <w:szCs w:val="6"/>
                <w:color w:val="auto"/>
              </w:rPr>
            </w:pPr>
          </w:p>
        </w:tc>
        <w:tc>
          <w:tcPr>
            <w:tcW w:w="620" w:type="dxa"/>
            <w:vAlign w:val="bottom"/>
            <w:tcBorders>
              <w:bottom w:val="single" w:sz="8" w:color="BECE33"/>
            </w:tcBorders>
            <w:gridSpan w:val="2"/>
          </w:tcPr>
          <w:p>
            <w:pPr>
              <w:spacing w:after="0"/>
              <w:rPr>
                <w:sz w:val="6"/>
                <w:szCs w:val="6"/>
                <w:color w:val="auto"/>
              </w:rPr>
            </w:pPr>
          </w:p>
        </w:tc>
        <w:tc>
          <w:tcPr>
            <w:tcW w:w="200" w:type="dxa"/>
            <w:vAlign w:val="bottom"/>
            <w:tcBorders>
              <w:bottom w:val="single" w:sz="8" w:color="BECE33"/>
            </w:tcBorders>
          </w:tcPr>
          <w:p>
            <w:pPr>
              <w:spacing w:after="0"/>
              <w:rPr>
                <w:sz w:val="6"/>
                <w:szCs w:val="6"/>
                <w:color w:val="auto"/>
              </w:rPr>
            </w:pPr>
          </w:p>
        </w:tc>
        <w:tc>
          <w:tcPr>
            <w:tcW w:w="20" w:type="dxa"/>
            <w:vAlign w:val="bottom"/>
            <w:tcBorders>
              <w:bottom w:val="single" w:sz="8" w:color="BECE33"/>
            </w:tcBorders>
          </w:tcPr>
          <w:p>
            <w:pPr>
              <w:spacing w:after="0"/>
              <w:rPr>
                <w:sz w:val="6"/>
                <w:szCs w:val="6"/>
                <w:color w:val="auto"/>
              </w:rPr>
            </w:pPr>
          </w:p>
        </w:tc>
        <w:tc>
          <w:tcPr>
            <w:tcW w:w="780" w:type="dxa"/>
            <w:vAlign w:val="bottom"/>
            <w:tcBorders>
              <w:bottom w:val="single" w:sz="8" w:color="BECE33"/>
            </w:tcBorders>
          </w:tcPr>
          <w:p>
            <w:pPr>
              <w:spacing w:after="0"/>
              <w:rPr>
                <w:sz w:val="6"/>
                <w:szCs w:val="6"/>
                <w:color w:val="auto"/>
              </w:rPr>
            </w:pPr>
          </w:p>
        </w:tc>
        <w:tc>
          <w:tcPr>
            <w:tcW w:w="800" w:type="dxa"/>
            <w:vAlign w:val="bottom"/>
            <w:tcBorders>
              <w:bottom w:val="single" w:sz="8" w:color="BECE33"/>
            </w:tcBorders>
            <w:gridSpan w:val="2"/>
          </w:tcPr>
          <w:p>
            <w:pPr>
              <w:spacing w:after="0"/>
              <w:rPr>
                <w:sz w:val="6"/>
                <w:szCs w:val="6"/>
                <w:color w:val="auto"/>
              </w:rPr>
            </w:pPr>
          </w:p>
        </w:tc>
        <w:tc>
          <w:tcPr>
            <w:tcW w:w="820" w:type="dxa"/>
            <w:vAlign w:val="bottom"/>
            <w:tcBorders>
              <w:bottom w:val="single" w:sz="8" w:color="BECE33"/>
            </w:tcBorders>
            <w:gridSpan w:val="2"/>
          </w:tcPr>
          <w:p>
            <w:pPr>
              <w:spacing w:after="0"/>
              <w:rPr>
                <w:sz w:val="6"/>
                <w:szCs w:val="6"/>
                <w:color w:val="auto"/>
              </w:rPr>
            </w:pPr>
          </w:p>
        </w:tc>
        <w:tc>
          <w:tcPr>
            <w:tcW w:w="820" w:type="dxa"/>
            <w:vAlign w:val="bottom"/>
            <w:tcBorders>
              <w:bottom w:val="single" w:sz="8" w:color="BECE33"/>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940" w:type="dxa"/>
            <w:vAlign w:val="bottom"/>
            <w:tcBorders>
              <w:left w:val="single" w:sz="8" w:color="BECE33"/>
            </w:tcBorders>
          </w:tcPr>
          <w:p>
            <w:pPr>
              <w:ind w:left="20"/>
              <w:spacing w:after="0"/>
              <w:rPr>
                <w:sz w:val="20"/>
                <w:szCs w:val="20"/>
                <w:color w:val="auto"/>
              </w:rPr>
            </w:pPr>
            <w:r>
              <w:rPr>
                <w:rFonts w:ascii="Arial" w:cs="Arial" w:eastAsia="Arial" w:hAnsi="Arial"/>
                <w:sz w:val="11"/>
                <w:szCs w:val="11"/>
                <w:color w:val="005A64"/>
              </w:rPr>
              <w:t>2024</w:t>
            </w:r>
          </w:p>
        </w:tc>
        <w:tc>
          <w:tcPr>
            <w:tcW w:w="800" w:type="dxa"/>
            <w:vAlign w:val="bottom"/>
            <w:gridSpan w:val="2"/>
          </w:tcPr>
          <w:p>
            <w:pPr>
              <w:ind w:left="20"/>
              <w:spacing w:after="0"/>
              <w:rPr>
                <w:sz w:val="20"/>
                <w:szCs w:val="20"/>
                <w:color w:val="auto"/>
              </w:rPr>
            </w:pPr>
            <w:r>
              <w:rPr>
                <w:rFonts w:ascii="Arial" w:cs="Arial" w:eastAsia="Arial" w:hAnsi="Arial"/>
                <w:sz w:val="11"/>
                <w:szCs w:val="11"/>
                <w:color w:val="005A64"/>
              </w:rPr>
              <w:t>261</w:t>
            </w:r>
          </w:p>
        </w:tc>
        <w:tc>
          <w:tcPr>
            <w:tcW w:w="960" w:type="dxa"/>
            <w:vAlign w:val="bottom"/>
            <w:gridSpan w:val="2"/>
          </w:tcPr>
          <w:p>
            <w:pPr>
              <w:ind w:left="40"/>
              <w:spacing w:after="0"/>
              <w:rPr>
                <w:sz w:val="20"/>
                <w:szCs w:val="20"/>
                <w:color w:val="auto"/>
              </w:rPr>
            </w:pPr>
            <w:r>
              <w:rPr>
                <w:rFonts w:ascii="Arial" w:cs="Arial" w:eastAsia="Arial" w:hAnsi="Arial"/>
                <w:sz w:val="11"/>
                <w:szCs w:val="11"/>
                <w:color w:val="005A64"/>
              </w:rPr>
              <w:t>130</w:t>
            </w:r>
          </w:p>
        </w:tc>
        <w:tc>
          <w:tcPr>
            <w:tcW w:w="620" w:type="dxa"/>
            <w:vAlign w:val="bottom"/>
            <w:gridSpan w:val="2"/>
          </w:tcPr>
          <w:p>
            <w:pPr>
              <w:ind w:left="40"/>
              <w:spacing w:after="0"/>
              <w:rPr>
                <w:sz w:val="20"/>
                <w:szCs w:val="20"/>
                <w:color w:val="auto"/>
              </w:rPr>
            </w:pPr>
            <w:r>
              <w:rPr>
                <w:rFonts w:ascii="Arial" w:cs="Arial" w:eastAsia="Arial" w:hAnsi="Arial"/>
                <w:sz w:val="11"/>
                <w:szCs w:val="11"/>
                <w:color w:val="005A64"/>
              </w:rPr>
              <w:t>87</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20"/>
                <w:szCs w:val="20"/>
                <w:color w:val="auto"/>
              </w:rPr>
            </w:pPr>
            <w:r>
              <w:rPr>
                <w:rFonts w:ascii="Arial" w:cs="Arial" w:eastAsia="Arial" w:hAnsi="Arial"/>
                <w:sz w:val="11"/>
                <w:szCs w:val="11"/>
                <w:color w:val="005A64"/>
              </w:rPr>
              <w:t>—</w:t>
            </w:r>
          </w:p>
        </w:tc>
        <w:tc>
          <w:tcPr>
            <w:tcW w:w="800" w:type="dxa"/>
            <w:vAlign w:val="bottom"/>
            <w:gridSpan w:val="2"/>
          </w:tcPr>
          <w:p>
            <w:pPr>
              <w:ind w:left="20"/>
              <w:spacing w:after="0"/>
              <w:rPr>
                <w:sz w:val="20"/>
                <w:szCs w:val="20"/>
                <w:color w:val="auto"/>
              </w:rPr>
            </w:pPr>
            <w:r>
              <w:rPr>
                <w:rFonts w:ascii="Arial" w:cs="Arial" w:eastAsia="Arial" w:hAnsi="Arial"/>
                <w:sz w:val="11"/>
                <w:szCs w:val="11"/>
                <w:color w:val="005A64"/>
              </w:rPr>
              <w:t>87</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87</w:t>
            </w:r>
          </w:p>
        </w:tc>
        <w:tc>
          <w:tcPr>
            <w:tcW w:w="820" w:type="dxa"/>
            <w:vAlign w:val="bottom"/>
            <w:tcBorders>
              <w:right w:val="single" w:sz="8" w:color="BECE33"/>
            </w:tcBorders>
            <w:gridSpan w:val="2"/>
          </w:tcPr>
          <w:p>
            <w:pPr>
              <w:ind w:left="20"/>
              <w:spacing w:after="0"/>
              <w:rPr>
                <w:sz w:val="20"/>
                <w:szCs w:val="20"/>
                <w:color w:val="auto"/>
              </w:rPr>
            </w:pPr>
            <w:r>
              <w:rPr>
                <w:rFonts w:ascii="Arial" w:cs="Arial" w:eastAsia="Arial" w:hAnsi="Arial"/>
                <w:sz w:val="11"/>
                <w:szCs w:val="11"/>
                <w:color w:val="005A64"/>
              </w:rPr>
              <w:t>87</w:t>
            </w:r>
          </w:p>
        </w:tc>
        <w:tc>
          <w:tcPr>
            <w:tcW w:w="0" w:type="dxa"/>
            <w:vAlign w:val="bottom"/>
          </w:tcPr>
          <w:p>
            <w:pPr>
              <w:spacing w:after="0"/>
              <w:rPr>
                <w:sz w:val="1"/>
                <w:szCs w:val="1"/>
                <w:color w:val="auto"/>
              </w:rPr>
            </w:pPr>
          </w:p>
        </w:tc>
      </w:tr>
      <w:tr>
        <w:trPr>
          <w:trHeight w:val="45"/>
        </w:trPr>
        <w:tc>
          <w:tcPr>
            <w:tcW w:w="940" w:type="dxa"/>
            <w:vAlign w:val="bottom"/>
            <w:tcBorders>
              <w:left w:val="single" w:sz="8" w:color="BECE33"/>
              <w:bottom w:val="single" w:sz="8" w:color="BECE33"/>
            </w:tcBorders>
          </w:tcPr>
          <w:p>
            <w:pPr>
              <w:spacing w:after="0"/>
              <w:rPr>
                <w:sz w:val="3"/>
                <w:szCs w:val="3"/>
                <w:color w:val="auto"/>
              </w:rPr>
            </w:pPr>
          </w:p>
        </w:tc>
        <w:tc>
          <w:tcPr>
            <w:tcW w:w="800" w:type="dxa"/>
            <w:vAlign w:val="bottom"/>
            <w:tcBorders>
              <w:bottom w:val="single" w:sz="8" w:color="BECE33"/>
            </w:tcBorders>
            <w:gridSpan w:val="2"/>
          </w:tcPr>
          <w:p>
            <w:pPr>
              <w:spacing w:after="0"/>
              <w:rPr>
                <w:sz w:val="3"/>
                <w:szCs w:val="3"/>
                <w:color w:val="auto"/>
              </w:rPr>
            </w:pPr>
          </w:p>
        </w:tc>
        <w:tc>
          <w:tcPr>
            <w:tcW w:w="960" w:type="dxa"/>
            <w:vAlign w:val="bottom"/>
            <w:tcBorders>
              <w:bottom w:val="single" w:sz="8" w:color="BECE33"/>
            </w:tcBorders>
            <w:gridSpan w:val="2"/>
          </w:tcPr>
          <w:p>
            <w:pPr>
              <w:spacing w:after="0"/>
              <w:rPr>
                <w:sz w:val="3"/>
                <w:szCs w:val="3"/>
                <w:color w:val="auto"/>
              </w:rPr>
            </w:pPr>
          </w:p>
        </w:tc>
        <w:tc>
          <w:tcPr>
            <w:tcW w:w="620" w:type="dxa"/>
            <w:vAlign w:val="bottom"/>
            <w:tcBorders>
              <w:bottom w:val="single" w:sz="8" w:color="BECE33"/>
            </w:tcBorders>
            <w:gridSpan w:val="2"/>
          </w:tcPr>
          <w:p>
            <w:pPr>
              <w:spacing w:after="0"/>
              <w:rPr>
                <w:sz w:val="3"/>
                <w:szCs w:val="3"/>
                <w:color w:val="auto"/>
              </w:rPr>
            </w:pPr>
          </w:p>
        </w:tc>
        <w:tc>
          <w:tcPr>
            <w:tcW w:w="200" w:type="dxa"/>
            <w:vAlign w:val="bottom"/>
            <w:tcBorders>
              <w:bottom w:val="single" w:sz="8" w:color="BECE33"/>
            </w:tcBorders>
          </w:tcPr>
          <w:p>
            <w:pPr>
              <w:spacing w:after="0"/>
              <w:rPr>
                <w:sz w:val="3"/>
                <w:szCs w:val="3"/>
                <w:color w:val="auto"/>
              </w:rPr>
            </w:pPr>
          </w:p>
        </w:tc>
        <w:tc>
          <w:tcPr>
            <w:tcW w:w="800" w:type="dxa"/>
            <w:vAlign w:val="bottom"/>
            <w:tcBorders>
              <w:bottom w:val="single" w:sz="8" w:color="BECE33"/>
            </w:tcBorders>
            <w:gridSpan w:val="2"/>
          </w:tcPr>
          <w:p>
            <w:pPr>
              <w:spacing w:after="0"/>
              <w:rPr>
                <w:sz w:val="3"/>
                <w:szCs w:val="3"/>
                <w:color w:val="auto"/>
              </w:rPr>
            </w:pPr>
          </w:p>
        </w:tc>
        <w:tc>
          <w:tcPr>
            <w:tcW w:w="800" w:type="dxa"/>
            <w:vAlign w:val="bottom"/>
            <w:tcBorders>
              <w:bottom w:val="single" w:sz="8" w:color="BECE33"/>
            </w:tcBorders>
            <w:gridSpan w:val="2"/>
          </w:tcPr>
          <w:p>
            <w:pPr>
              <w:spacing w:after="0"/>
              <w:rPr>
                <w:sz w:val="3"/>
                <w:szCs w:val="3"/>
                <w:color w:val="auto"/>
              </w:rPr>
            </w:pPr>
          </w:p>
        </w:tc>
        <w:tc>
          <w:tcPr>
            <w:tcW w:w="820" w:type="dxa"/>
            <w:vAlign w:val="bottom"/>
            <w:tcBorders>
              <w:bottom w:val="single" w:sz="8" w:color="BECE33"/>
            </w:tcBorders>
            <w:gridSpan w:val="2"/>
          </w:tcPr>
          <w:p>
            <w:pPr>
              <w:spacing w:after="0"/>
              <w:rPr>
                <w:sz w:val="3"/>
                <w:szCs w:val="3"/>
                <w:color w:val="auto"/>
              </w:rPr>
            </w:pPr>
          </w:p>
        </w:tc>
        <w:tc>
          <w:tcPr>
            <w:tcW w:w="820" w:type="dxa"/>
            <w:vAlign w:val="bottom"/>
            <w:tcBorders>
              <w:bottom w:val="single" w:sz="8" w:color="BECE33"/>
              <w:right w:val="single" w:sz="8" w:color="BECE33"/>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940" w:type="dxa"/>
            <w:vAlign w:val="bottom"/>
          </w:tcPr>
          <w:p>
            <w:pPr>
              <w:ind w:left="20"/>
              <w:spacing w:after="0"/>
              <w:rPr>
                <w:sz w:val="20"/>
                <w:szCs w:val="20"/>
                <w:color w:val="auto"/>
              </w:rPr>
            </w:pPr>
            <w:r>
              <w:rPr>
                <w:rFonts w:ascii="Arial" w:cs="Arial" w:eastAsia="Arial" w:hAnsi="Arial"/>
                <w:sz w:val="11"/>
                <w:szCs w:val="11"/>
                <w:color w:val="005A64"/>
              </w:rPr>
              <w:t>2023</w:t>
            </w:r>
          </w:p>
        </w:tc>
        <w:tc>
          <w:tcPr>
            <w:tcW w:w="800" w:type="dxa"/>
            <w:vAlign w:val="bottom"/>
            <w:gridSpan w:val="2"/>
          </w:tcPr>
          <w:p>
            <w:pPr>
              <w:ind w:left="20"/>
              <w:spacing w:after="0"/>
              <w:rPr>
                <w:sz w:val="20"/>
                <w:szCs w:val="20"/>
                <w:color w:val="auto"/>
              </w:rPr>
            </w:pPr>
            <w:r>
              <w:rPr>
                <w:rFonts w:ascii="Arial" w:cs="Arial" w:eastAsia="Arial" w:hAnsi="Arial"/>
                <w:sz w:val="11"/>
                <w:szCs w:val="11"/>
                <w:color w:val="005A64"/>
              </w:rPr>
              <w:t>210</w:t>
            </w:r>
          </w:p>
        </w:tc>
        <w:tc>
          <w:tcPr>
            <w:tcW w:w="960" w:type="dxa"/>
            <w:vAlign w:val="bottom"/>
            <w:gridSpan w:val="2"/>
          </w:tcPr>
          <w:p>
            <w:pPr>
              <w:ind w:left="40"/>
              <w:spacing w:after="0"/>
              <w:rPr>
                <w:sz w:val="20"/>
                <w:szCs w:val="20"/>
                <w:color w:val="auto"/>
              </w:rPr>
            </w:pPr>
            <w:r>
              <w:rPr>
                <w:rFonts w:ascii="Arial" w:cs="Arial" w:eastAsia="Arial" w:hAnsi="Arial"/>
                <w:sz w:val="11"/>
                <w:szCs w:val="11"/>
                <w:color w:val="005A64"/>
              </w:rPr>
              <w:t>105</w:t>
            </w:r>
          </w:p>
        </w:tc>
        <w:tc>
          <w:tcPr>
            <w:tcW w:w="620" w:type="dxa"/>
            <w:vAlign w:val="bottom"/>
            <w:gridSpan w:val="2"/>
          </w:tcPr>
          <w:p>
            <w:pPr>
              <w:ind w:left="40"/>
              <w:spacing w:after="0"/>
              <w:rPr>
                <w:sz w:val="20"/>
                <w:szCs w:val="20"/>
                <w:color w:val="auto"/>
              </w:rPr>
            </w:pPr>
            <w:r>
              <w:rPr>
                <w:rFonts w:ascii="Arial" w:cs="Arial" w:eastAsia="Arial" w:hAnsi="Arial"/>
                <w:sz w:val="11"/>
                <w:szCs w:val="11"/>
                <w:color w:val="005A64"/>
              </w:rPr>
              <w:t>42</w:t>
            </w:r>
          </w:p>
        </w:tc>
        <w:tc>
          <w:tcPr>
            <w:tcW w:w="20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color w:val="005A64"/>
              </w:rPr>
              <w:t>28</w:t>
            </w:r>
          </w:p>
        </w:tc>
        <w:tc>
          <w:tcPr>
            <w:tcW w:w="800" w:type="dxa"/>
            <w:vAlign w:val="bottom"/>
            <w:gridSpan w:val="2"/>
          </w:tcPr>
          <w:p>
            <w:pPr>
              <w:ind w:left="20"/>
              <w:spacing w:after="0"/>
              <w:rPr>
                <w:sz w:val="20"/>
                <w:szCs w:val="20"/>
                <w:color w:val="auto"/>
              </w:rPr>
            </w:pPr>
            <w:r>
              <w:rPr>
                <w:rFonts w:ascii="Arial" w:cs="Arial" w:eastAsia="Arial" w:hAnsi="Arial"/>
                <w:sz w:val="11"/>
                <w:szCs w:val="11"/>
                <w:color w:val="005A64"/>
              </w:rPr>
              <w:t>70</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70</w:t>
            </w:r>
          </w:p>
        </w:tc>
        <w:tc>
          <w:tcPr>
            <w:tcW w:w="820" w:type="dxa"/>
            <w:vAlign w:val="bottom"/>
            <w:gridSpan w:val="2"/>
          </w:tcPr>
          <w:p>
            <w:pPr>
              <w:ind w:left="20"/>
              <w:spacing w:after="0"/>
              <w:rPr>
                <w:sz w:val="20"/>
                <w:szCs w:val="20"/>
                <w:color w:val="auto"/>
              </w:rPr>
            </w:pPr>
            <w:r>
              <w:rPr>
                <w:rFonts w:ascii="Arial" w:cs="Arial" w:eastAsia="Arial" w:hAnsi="Arial"/>
                <w:sz w:val="11"/>
                <w:szCs w:val="11"/>
                <w:color w:val="005A64"/>
              </w:rPr>
              <w:t>70</w:t>
            </w:r>
          </w:p>
        </w:tc>
        <w:tc>
          <w:tcPr>
            <w:tcW w:w="0" w:type="dxa"/>
            <w:vAlign w:val="bottom"/>
          </w:tcPr>
          <w:p>
            <w:pPr>
              <w:spacing w:after="0"/>
              <w:rPr>
                <w:sz w:val="1"/>
                <w:szCs w:val="1"/>
                <w:color w:val="auto"/>
              </w:rPr>
            </w:pPr>
          </w:p>
        </w:tc>
      </w:tr>
      <w:tr>
        <w:trPr>
          <w:trHeight w:val="147"/>
        </w:trPr>
        <w:tc>
          <w:tcPr>
            <w:tcW w:w="940" w:type="dxa"/>
            <w:vAlign w:val="bottom"/>
          </w:tcPr>
          <w:p>
            <w:pPr>
              <w:ind w:left="20"/>
              <w:spacing w:after="0"/>
              <w:rPr>
                <w:sz w:val="20"/>
                <w:szCs w:val="20"/>
                <w:color w:val="auto"/>
              </w:rPr>
            </w:pPr>
            <w:r>
              <w:rPr>
                <w:rFonts w:ascii="Arial" w:cs="Arial" w:eastAsia="Arial" w:hAnsi="Arial"/>
                <w:sz w:val="11"/>
                <w:szCs w:val="11"/>
                <w:b w:val="1"/>
                <w:bCs w:val="1"/>
                <w:color w:val="3C9673"/>
              </w:rPr>
              <w:t>Committee</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940" w:type="dxa"/>
            <w:vAlign w:val="bottom"/>
          </w:tcPr>
          <w:p>
            <w:pPr>
              <w:ind w:left="20"/>
              <w:spacing w:after="0"/>
              <w:rPr>
                <w:sz w:val="20"/>
                <w:szCs w:val="20"/>
                <w:color w:val="auto"/>
              </w:rPr>
            </w:pPr>
            <w:r>
              <w:rPr>
                <w:rFonts w:ascii="Arial" w:cs="Arial" w:eastAsia="Arial" w:hAnsi="Arial"/>
                <w:sz w:val="11"/>
                <w:szCs w:val="11"/>
                <w:b w:val="1"/>
                <w:bCs w:val="1"/>
                <w:color w:val="3C9673"/>
              </w:rPr>
              <w:t>Compensation</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40" w:type="dxa"/>
            <w:vAlign w:val="bottom"/>
            <w:tcBorders>
              <w:bottom w:val="single" w:sz="8" w:color="BECE33"/>
            </w:tcBorders>
          </w:tcPr>
          <w:p>
            <w:pPr>
              <w:spacing w:after="0"/>
              <w:rPr>
                <w:sz w:val="7"/>
                <w:szCs w:val="7"/>
                <w:color w:val="auto"/>
              </w:rPr>
            </w:pPr>
          </w:p>
        </w:tc>
        <w:tc>
          <w:tcPr>
            <w:tcW w:w="800" w:type="dxa"/>
            <w:vAlign w:val="bottom"/>
            <w:tcBorders>
              <w:bottom w:val="single" w:sz="8" w:color="BECE33"/>
            </w:tcBorders>
            <w:gridSpan w:val="2"/>
          </w:tcPr>
          <w:p>
            <w:pPr>
              <w:spacing w:after="0"/>
              <w:rPr>
                <w:sz w:val="7"/>
                <w:szCs w:val="7"/>
                <w:color w:val="auto"/>
              </w:rPr>
            </w:pPr>
          </w:p>
        </w:tc>
        <w:tc>
          <w:tcPr>
            <w:tcW w:w="960" w:type="dxa"/>
            <w:vAlign w:val="bottom"/>
            <w:tcBorders>
              <w:bottom w:val="single" w:sz="8" w:color="BECE33"/>
            </w:tcBorders>
            <w:gridSpan w:val="2"/>
          </w:tcPr>
          <w:p>
            <w:pPr>
              <w:spacing w:after="0"/>
              <w:rPr>
                <w:sz w:val="7"/>
                <w:szCs w:val="7"/>
                <w:color w:val="auto"/>
              </w:rPr>
            </w:pPr>
          </w:p>
        </w:tc>
        <w:tc>
          <w:tcPr>
            <w:tcW w:w="620" w:type="dxa"/>
            <w:vAlign w:val="bottom"/>
            <w:tcBorders>
              <w:bottom w:val="single" w:sz="8" w:color="BECE33"/>
            </w:tcBorders>
            <w:gridSpan w:val="2"/>
          </w:tcPr>
          <w:p>
            <w:pPr>
              <w:spacing w:after="0"/>
              <w:rPr>
                <w:sz w:val="7"/>
                <w:szCs w:val="7"/>
                <w:color w:val="auto"/>
              </w:rPr>
            </w:pPr>
          </w:p>
        </w:tc>
        <w:tc>
          <w:tcPr>
            <w:tcW w:w="200" w:type="dxa"/>
            <w:vAlign w:val="bottom"/>
            <w:tcBorders>
              <w:bottom w:val="single" w:sz="8" w:color="BECE33"/>
            </w:tcBorders>
          </w:tcPr>
          <w:p>
            <w:pPr>
              <w:spacing w:after="0"/>
              <w:rPr>
                <w:sz w:val="7"/>
                <w:szCs w:val="7"/>
                <w:color w:val="auto"/>
              </w:rPr>
            </w:pPr>
          </w:p>
        </w:tc>
        <w:tc>
          <w:tcPr>
            <w:tcW w:w="20" w:type="dxa"/>
            <w:vAlign w:val="bottom"/>
            <w:tcBorders>
              <w:bottom w:val="single" w:sz="8" w:color="BECE33"/>
            </w:tcBorders>
          </w:tcPr>
          <w:p>
            <w:pPr>
              <w:spacing w:after="0"/>
              <w:rPr>
                <w:sz w:val="7"/>
                <w:szCs w:val="7"/>
                <w:color w:val="auto"/>
              </w:rPr>
            </w:pPr>
          </w:p>
        </w:tc>
        <w:tc>
          <w:tcPr>
            <w:tcW w:w="780" w:type="dxa"/>
            <w:vAlign w:val="bottom"/>
            <w:tcBorders>
              <w:bottom w:val="single" w:sz="8" w:color="BECE33"/>
            </w:tcBorders>
          </w:tcPr>
          <w:p>
            <w:pPr>
              <w:spacing w:after="0"/>
              <w:rPr>
                <w:sz w:val="7"/>
                <w:szCs w:val="7"/>
                <w:color w:val="auto"/>
              </w:rPr>
            </w:pPr>
          </w:p>
        </w:tc>
        <w:tc>
          <w:tcPr>
            <w:tcW w:w="800" w:type="dxa"/>
            <w:vAlign w:val="bottom"/>
            <w:tcBorders>
              <w:bottom w:val="single" w:sz="8" w:color="BECE33"/>
            </w:tcBorders>
            <w:gridSpan w:val="2"/>
          </w:tcPr>
          <w:p>
            <w:pPr>
              <w:spacing w:after="0"/>
              <w:rPr>
                <w:sz w:val="7"/>
                <w:szCs w:val="7"/>
                <w:color w:val="auto"/>
              </w:rPr>
            </w:pPr>
          </w:p>
        </w:tc>
        <w:tc>
          <w:tcPr>
            <w:tcW w:w="820" w:type="dxa"/>
            <w:vAlign w:val="bottom"/>
            <w:tcBorders>
              <w:bottom w:val="single" w:sz="8" w:color="BECE33"/>
            </w:tcBorders>
            <w:gridSpan w:val="2"/>
          </w:tcPr>
          <w:p>
            <w:pPr>
              <w:spacing w:after="0"/>
              <w:rPr>
                <w:sz w:val="7"/>
                <w:szCs w:val="7"/>
                <w:color w:val="auto"/>
              </w:rPr>
            </w:pPr>
          </w:p>
        </w:tc>
        <w:tc>
          <w:tcPr>
            <w:tcW w:w="820" w:type="dxa"/>
            <w:vAlign w:val="bottom"/>
            <w:tcBorders>
              <w:bottom w:val="single" w:sz="8" w:color="BECE33"/>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940" w:type="dxa"/>
            <w:vAlign w:val="bottom"/>
            <w:tcBorders>
              <w:left w:val="single" w:sz="8" w:color="BECE33"/>
            </w:tcBorders>
          </w:tcPr>
          <w:p>
            <w:pPr>
              <w:ind w:left="20"/>
              <w:spacing w:after="0"/>
              <w:rPr>
                <w:sz w:val="20"/>
                <w:szCs w:val="20"/>
                <w:color w:val="auto"/>
              </w:rPr>
            </w:pPr>
            <w:r>
              <w:rPr>
                <w:rFonts w:ascii="Arial" w:cs="Arial" w:eastAsia="Arial" w:hAnsi="Arial"/>
                <w:sz w:val="11"/>
                <w:szCs w:val="11"/>
                <w:color w:val="005A64"/>
              </w:rPr>
              <w:t>2024</w:t>
            </w:r>
          </w:p>
        </w:tc>
        <w:tc>
          <w:tcPr>
            <w:tcW w:w="800" w:type="dxa"/>
            <w:vAlign w:val="bottom"/>
            <w:gridSpan w:val="2"/>
          </w:tcPr>
          <w:p>
            <w:pPr>
              <w:ind w:left="20"/>
              <w:spacing w:after="0"/>
              <w:rPr>
                <w:sz w:val="20"/>
                <w:szCs w:val="20"/>
                <w:color w:val="auto"/>
              </w:rPr>
            </w:pPr>
            <w:r>
              <w:rPr>
                <w:rFonts w:ascii="Arial" w:cs="Arial" w:eastAsia="Arial" w:hAnsi="Arial"/>
                <w:sz w:val="11"/>
                <w:szCs w:val="11"/>
                <w:color w:val="005A64"/>
              </w:rPr>
              <w:t>27</w:t>
            </w:r>
          </w:p>
        </w:tc>
        <w:tc>
          <w:tcPr>
            <w:tcW w:w="960" w:type="dxa"/>
            <w:vAlign w:val="bottom"/>
            <w:gridSpan w:val="2"/>
          </w:tcPr>
          <w:p>
            <w:pPr>
              <w:ind w:left="40"/>
              <w:spacing w:after="0"/>
              <w:rPr>
                <w:sz w:val="20"/>
                <w:szCs w:val="20"/>
                <w:color w:val="auto"/>
              </w:rPr>
            </w:pPr>
            <w:r>
              <w:rPr>
                <w:rFonts w:ascii="Arial" w:cs="Arial" w:eastAsia="Arial" w:hAnsi="Arial"/>
                <w:sz w:val="11"/>
                <w:szCs w:val="11"/>
                <w:color w:val="005A64"/>
              </w:rPr>
              <w:t>27</w:t>
            </w:r>
          </w:p>
        </w:tc>
        <w:tc>
          <w:tcPr>
            <w:tcW w:w="620" w:type="dxa"/>
            <w:vAlign w:val="bottom"/>
            <w:gridSpan w:val="2"/>
          </w:tcPr>
          <w:p>
            <w:pPr>
              <w:ind w:left="40"/>
              <w:spacing w:after="0"/>
              <w:rPr>
                <w:sz w:val="20"/>
                <w:szCs w:val="20"/>
                <w:color w:val="auto"/>
              </w:rPr>
            </w:pPr>
            <w:r>
              <w:rPr>
                <w:rFonts w:ascii="Arial" w:cs="Arial" w:eastAsia="Arial" w:hAnsi="Arial"/>
                <w:sz w:val="11"/>
                <w:szCs w:val="11"/>
                <w:color w:val="005A64"/>
              </w:rPr>
              <w:t>13</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20"/>
                <w:szCs w:val="20"/>
                <w:color w:val="auto"/>
              </w:rPr>
            </w:pPr>
            <w:r>
              <w:rPr>
                <w:rFonts w:ascii="Arial" w:cs="Arial" w:eastAsia="Arial" w:hAnsi="Arial"/>
                <w:sz w:val="11"/>
                <w:szCs w:val="11"/>
                <w:color w:val="005A64"/>
              </w:rPr>
              <w:t>—</w:t>
            </w:r>
          </w:p>
        </w:tc>
        <w:tc>
          <w:tcPr>
            <w:tcW w:w="800" w:type="dxa"/>
            <w:vAlign w:val="bottom"/>
            <w:gridSpan w:val="2"/>
          </w:tcPr>
          <w:p>
            <w:pPr>
              <w:ind w:left="20"/>
              <w:spacing w:after="0"/>
              <w:rPr>
                <w:sz w:val="20"/>
                <w:szCs w:val="20"/>
                <w:color w:val="auto"/>
              </w:rPr>
            </w:pPr>
            <w:r>
              <w:rPr>
                <w:rFonts w:ascii="Arial" w:cs="Arial" w:eastAsia="Arial" w:hAnsi="Arial"/>
                <w:sz w:val="11"/>
                <w:szCs w:val="11"/>
                <w:color w:val="005A64"/>
              </w:rPr>
              <w:t>43</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13</w:t>
            </w:r>
          </w:p>
        </w:tc>
        <w:tc>
          <w:tcPr>
            <w:tcW w:w="820" w:type="dxa"/>
            <w:vAlign w:val="bottom"/>
            <w:tcBorders>
              <w:right w:val="single" w:sz="8" w:color="BECE33"/>
            </w:tcBorders>
            <w:gridSpan w:val="2"/>
          </w:tcPr>
          <w:p>
            <w:pPr>
              <w:ind w:left="20"/>
              <w:spacing w:after="0"/>
              <w:rPr>
                <w:sz w:val="20"/>
                <w:szCs w:val="20"/>
                <w:color w:val="auto"/>
              </w:rPr>
            </w:pPr>
            <w:r>
              <w:rPr>
                <w:rFonts w:ascii="Arial" w:cs="Arial" w:eastAsia="Arial" w:hAnsi="Arial"/>
                <w:sz w:val="11"/>
                <w:szCs w:val="11"/>
                <w:color w:val="005A64"/>
              </w:rPr>
              <w:t>27</w:t>
            </w:r>
          </w:p>
        </w:tc>
        <w:tc>
          <w:tcPr>
            <w:tcW w:w="0" w:type="dxa"/>
            <w:vAlign w:val="bottom"/>
          </w:tcPr>
          <w:p>
            <w:pPr>
              <w:spacing w:after="0"/>
              <w:rPr>
                <w:sz w:val="1"/>
                <w:szCs w:val="1"/>
                <w:color w:val="auto"/>
              </w:rPr>
            </w:pPr>
          </w:p>
        </w:tc>
      </w:tr>
      <w:tr>
        <w:trPr>
          <w:trHeight w:val="45"/>
        </w:trPr>
        <w:tc>
          <w:tcPr>
            <w:tcW w:w="940" w:type="dxa"/>
            <w:vAlign w:val="bottom"/>
            <w:tcBorders>
              <w:left w:val="single" w:sz="8" w:color="BECE33"/>
              <w:bottom w:val="single" w:sz="8" w:color="BECE33"/>
            </w:tcBorders>
          </w:tcPr>
          <w:p>
            <w:pPr>
              <w:spacing w:after="0"/>
              <w:rPr>
                <w:sz w:val="3"/>
                <w:szCs w:val="3"/>
                <w:color w:val="auto"/>
              </w:rPr>
            </w:pPr>
          </w:p>
        </w:tc>
        <w:tc>
          <w:tcPr>
            <w:tcW w:w="800" w:type="dxa"/>
            <w:vAlign w:val="bottom"/>
            <w:tcBorders>
              <w:bottom w:val="single" w:sz="8" w:color="BECE33"/>
            </w:tcBorders>
            <w:gridSpan w:val="2"/>
          </w:tcPr>
          <w:p>
            <w:pPr>
              <w:spacing w:after="0"/>
              <w:rPr>
                <w:sz w:val="3"/>
                <w:szCs w:val="3"/>
                <w:color w:val="auto"/>
              </w:rPr>
            </w:pPr>
          </w:p>
        </w:tc>
        <w:tc>
          <w:tcPr>
            <w:tcW w:w="960" w:type="dxa"/>
            <w:vAlign w:val="bottom"/>
            <w:tcBorders>
              <w:bottom w:val="single" w:sz="8" w:color="BECE33"/>
            </w:tcBorders>
            <w:gridSpan w:val="2"/>
          </w:tcPr>
          <w:p>
            <w:pPr>
              <w:spacing w:after="0"/>
              <w:rPr>
                <w:sz w:val="3"/>
                <w:szCs w:val="3"/>
                <w:color w:val="auto"/>
              </w:rPr>
            </w:pPr>
          </w:p>
        </w:tc>
        <w:tc>
          <w:tcPr>
            <w:tcW w:w="620" w:type="dxa"/>
            <w:vAlign w:val="bottom"/>
            <w:tcBorders>
              <w:bottom w:val="single" w:sz="8" w:color="BECE33"/>
            </w:tcBorders>
            <w:gridSpan w:val="2"/>
          </w:tcPr>
          <w:p>
            <w:pPr>
              <w:spacing w:after="0"/>
              <w:rPr>
                <w:sz w:val="3"/>
                <w:szCs w:val="3"/>
                <w:color w:val="auto"/>
              </w:rPr>
            </w:pPr>
          </w:p>
        </w:tc>
        <w:tc>
          <w:tcPr>
            <w:tcW w:w="200" w:type="dxa"/>
            <w:vAlign w:val="bottom"/>
            <w:tcBorders>
              <w:bottom w:val="single" w:sz="8" w:color="BECE33"/>
            </w:tcBorders>
          </w:tcPr>
          <w:p>
            <w:pPr>
              <w:spacing w:after="0"/>
              <w:rPr>
                <w:sz w:val="3"/>
                <w:szCs w:val="3"/>
                <w:color w:val="auto"/>
              </w:rPr>
            </w:pPr>
          </w:p>
        </w:tc>
        <w:tc>
          <w:tcPr>
            <w:tcW w:w="800" w:type="dxa"/>
            <w:vAlign w:val="bottom"/>
            <w:tcBorders>
              <w:bottom w:val="single" w:sz="8" w:color="BECE33"/>
            </w:tcBorders>
            <w:gridSpan w:val="2"/>
          </w:tcPr>
          <w:p>
            <w:pPr>
              <w:spacing w:after="0"/>
              <w:rPr>
                <w:sz w:val="3"/>
                <w:szCs w:val="3"/>
                <w:color w:val="auto"/>
              </w:rPr>
            </w:pPr>
          </w:p>
        </w:tc>
        <w:tc>
          <w:tcPr>
            <w:tcW w:w="800" w:type="dxa"/>
            <w:vAlign w:val="bottom"/>
            <w:tcBorders>
              <w:bottom w:val="single" w:sz="8" w:color="BECE33"/>
            </w:tcBorders>
            <w:gridSpan w:val="2"/>
          </w:tcPr>
          <w:p>
            <w:pPr>
              <w:spacing w:after="0"/>
              <w:rPr>
                <w:sz w:val="3"/>
                <w:szCs w:val="3"/>
                <w:color w:val="auto"/>
              </w:rPr>
            </w:pPr>
          </w:p>
        </w:tc>
        <w:tc>
          <w:tcPr>
            <w:tcW w:w="820" w:type="dxa"/>
            <w:vAlign w:val="bottom"/>
            <w:tcBorders>
              <w:bottom w:val="single" w:sz="8" w:color="BECE33"/>
            </w:tcBorders>
            <w:gridSpan w:val="2"/>
          </w:tcPr>
          <w:p>
            <w:pPr>
              <w:spacing w:after="0"/>
              <w:rPr>
                <w:sz w:val="3"/>
                <w:szCs w:val="3"/>
                <w:color w:val="auto"/>
              </w:rPr>
            </w:pPr>
          </w:p>
        </w:tc>
        <w:tc>
          <w:tcPr>
            <w:tcW w:w="820" w:type="dxa"/>
            <w:vAlign w:val="bottom"/>
            <w:tcBorders>
              <w:bottom w:val="single" w:sz="8" w:color="BECE33"/>
              <w:right w:val="single" w:sz="8" w:color="BECE33"/>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940" w:type="dxa"/>
            <w:vAlign w:val="bottom"/>
          </w:tcPr>
          <w:p>
            <w:pPr>
              <w:ind w:left="20"/>
              <w:spacing w:after="0"/>
              <w:rPr>
                <w:sz w:val="20"/>
                <w:szCs w:val="20"/>
                <w:color w:val="auto"/>
              </w:rPr>
            </w:pPr>
            <w:r>
              <w:rPr>
                <w:rFonts w:ascii="Arial" w:cs="Arial" w:eastAsia="Arial" w:hAnsi="Arial"/>
                <w:sz w:val="11"/>
                <w:szCs w:val="11"/>
                <w:color w:val="005A64"/>
              </w:rPr>
              <w:t>2023</w:t>
            </w:r>
          </w:p>
        </w:tc>
        <w:tc>
          <w:tcPr>
            <w:tcW w:w="800" w:type="dxa"/>
            <w:vAlign w:val="bottom"/>
            <w:gridSpan w:val="2"/>
          </w:tcPr>
          <w:p>
            <w:pPr>
              <w:ind w:left="20"/>
              <w:spacing w:after="0"/>
              <w:rPr>
                <w:sz w:val="20"/>
                <w:szCs w:val="20"/>
                <w:color w:val="auto"/>
              </w:rPr>
            </w:pPr>
            <w:r>
              <w:rPr>
                <w:rFonts w:ascii="Arial" w:cs="Arial" w:eastAsia="Arial" w:hAnsi="Arial"/>
                <w:sz w:val="11"/>
                <w:szCs w:val="11"/>
                <w:color w:val="005A64"/>
              </w:rPr>
              <w:t>16</w:t>
            </w:r>
          </w:p>
        </w:tc>
        <w:tc>
          <w:tcPr>
            <w:tcW w:w="960" w:type="dxa"/>
            <w:vAlign w:val="bottom"/>
            <w:gridSpan w:val="2"/>
          </w:tcPr>
          <w:p>
            <w:pPr>
              <w:ind w:left="40"/>
              <w:spacing w:after="0"/>
              <w:rPr>
                <w:sz w:val="20"/>
                <w:szCs w:val="20"/>
                <w:color w:val="auto"/>
              </w:rPr>
            </w:pPr>
            <w:r>
              <w:rPr>
                <w:rFonts w:ascii="Arial" w:cs="Arial" w:eastAsia="Arial" w:hAnsi="Arial"/>
                <w:sz w:val="11"/>
                <w:szCs w:val="11"/>
                <w:color w:val="005A64"/>
              </w:rPr>
              <w:t>9</w:t>
            </w:r>
          </w:p>
        </w:tc>
        <w:tc>
          <w:tcPr>
            <w:tcW w:w="620" w:type="dxa"/>
            <w:vAlign w:val="bottom"/>
            <w:gridSpan w:val="2"/>
          </w:tcPr>
          <w:p>
            <w:pPr>
              <w:ind w:left="40"/>
              <w:spacing w:after="0"/>
              <w:rPr>
                <w:sz w:val="20"/>
                <w:szCs w:val="20"/>
                <w:color w:val="auto"/>
              </w:rPr>
            </w:pPr>
            <w:r>
              <w:rPr>
                <w:rFonts w:ascii="Arial" w:cs="Arial" w:eastAsia="Arial" w:hAnsi="Arial"/>
                <w:sz w:val="11"/>
                <w:szCs w:val="11"/>
                <w:color w:val="005A64"/>
              </w:rPr>
              <w:t>4</w:t>
            </w:r>
          </w:p>
        </w:tc>
        <w:tc>
          <w:tcPr>
            <w:tcW w:w="20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color w:val="005A64"/>
              </w:rPr>
              <w:t>2</w:t>
            </w:r>
          </w:p>
        </w:tc>
        <w:tc>
          <w:tcPr>
            <w:tcW w:w="800" w:type="dxa"/>
            <w:vAlign w:val="bottom"/>
            <w:gridSpan w:val="2"/>
          </w:tcPr>
          <w:p>
            <w:pPr>
              <w:ind w:left="20"/>
              <w:spacing w:after="0"/>
              <w:rPr>
                <w:sz w:val="20"/>
                <w:szCs w:val="20"/>
                <w:color w:val="auto"/>
              </w:rPr>
            </w:pPr>
            <w:r>
              <w:rPr>
                <w:rFonts w:ascii="Arial" w:cs="Arial" w:eastAsia="Arial" w:hAnsi="Arial"/>
                <w:sz w:val="11"/>
                <w:szCs w:val="11"/>
                <w:color w:val="005A64"/>
              </w:rPr>
              <w:t>35</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10</w:t>
            </w:r>
          </w:p>
        </w:tc>
        <w:tc>
          <w:tcPr>
            <w:tcW w:w="820" w:type="dxa"/>
            <w:vAlign w:val="bottom"/>
            <w:gridSpan w:val="2"/>
          </w:tcPr>
          <w:p>
            <w:pPr>
              <w:ind w:left="20"/>
              <w:spacing w:after="0"/>
              <w:rPr>
                <w:sz w:val="20"/>
                <w:szCs w:val="20"/>
                <w:color w:val="auto"/>
              </w:rPr>
            </w:pPr>
            <w:r>
              <w:rPr>
                <w:rFonts w:ascii="Arial" w:cs="Arial" w:eastAsia="Arial" w:hAnsi="Arial"/>
                <w:sz w:val="11"/>
                <w:szCs w:val="11"/>
                <w:color w:val="005A64"/>
              </w:rPr>
              <w:t>20</w:t>
            </w:r>
          </w:p>
        </w:tc>
        <w:tc>
          <w:tcPr>
            <w:tcW w:w="0" w:type="dxa"/>
            <w:vAlign w:val="bottom"/>
          </w:tcPr>
          <w:p>
            <w:pPr>
              <w:spacing w:after="0"/>
              <w:rPr>
                <w:sz w:val="1"/>
                <w:szCs w:val="1"/>
                <w:color w:val="auto"/>
              </w:rPr>
            </w:pPr>
          </w:p>
        </w:tc>
      </w:tr>
      <w:tr>
        <w:trPr>
          <w:trHeight w:val="187"/>
        </w:trPr>
        <w:tc>
          <w:tcPr>
            <w:tcW w:w="940" w:type="dxa"/>
            <w:vAlign w:val="bottom"/>
          </w:tcPr>
          <w:p>
            <w:pPr>
              <w:ind w:left="20"/>
              <w:spacing w:after="0"/>
              <w:rPr>
                <w:sz w:val="20"/>
                <w:szCs w:val="20"/>
                <w:color w:val="auto"/>
              </w:rPr>
            </w:pPr>
            <w:r>
              <w:rPr>
                <w:rFonts w:ascii="Arial" w:cs="Arial" w:eastAsia="Arial" w:hAnsi="Arial"/>
                <w:sz w:val="11"/>
                <w:szCs w:val="11"/>
                <w:b w:val="1"/>
                <w:bCs w:val="1"/>
                <w:color w:val="005A64"/>
              </w:rPr>
              <w:t>Total</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940" w:type="dxa"/>
            <w:vAlign w:val="bottom"/>
            <w:tcBorders>
              <w:bottom w:val="single" w:sz="8" w:color="BECE33"/>
            </w:tcBorders>
          </w:tcPr>
          <w:p>
            <w:pPr>
              <w:spacing w:after="0"/>
              <w:rPr>
                <w:sz w:val="5"/>
                <w:szCs w:val="5"/>
                <w:color w:val="auto"/>
              </w:rPr>
            </w:pPr>
          </w:p>
        </w:tc>
        <w:tc>
          <w:tcPr>
            <w:tcW w:w="800" w:type="dxa"/>
            <w:vAlign w:val="bottom"/>
            <w:tcBorders>
              <w:bottom w:val="single" w:sz="8" w:color="BECE33"/>
            </w:tcBorders>
            <w:gridSpan w:val="2"/>
          </w:tcPr>
          <w:p>
            <w:pPr>
              <w:spacing w:after="0"/>
              <w:rPr>
                <w:sz w:val="5"/>
                <w:szCs w:val="5"/>
                <w:color w:val="auto"/>
              </w:rPr>
            </w:pPr>
          </w:p>
        </w:tc>
        <w:tc>
          <w:tcPr>
            <w:tcW w:w="960" w:type="dxa"/>
            <w:vAlign w:val="bottom"/>
            <w:tcBorders>
              <w:bottom w:val="single" w:sz="8" w:color="BECE33"/>
            </w:tcBorders>
            <w:gridSpan w:val="2"/>
          </w:tcPr>
          <w:p>
            <w:pPr>
              <w:spacing w:after="0"/>
              <w:rPr>
                <w:sz w:val="5"/>
                <w:szCs w:val="5"/>
                <w:color w:val="auto"/>
              </w:rPr>
            </w:pPr>
          </w:p>
        </w:tc>
        <w:tc>
          <w:tcPr>
            <w:tcW w:w="620" w:type="dxa"/>
            <w:vAlign w:val="bottom"/>
            <w:tcBorders>
              <w:bottom w:val="single" w:sz="8" w:color="BECE33"/>
            </w:tcBorders>
            <w:gridSpan w:val="2"/>
          </w:tcPr>
          <w:p>
            <w:pPr>
              <w:spacing w:after="0"/>
              <w:rPr>
                <w:sz w:val="5"/>
                <w:szCs w:val="5"/>
                <w:color w:val="auto"/>
              </w:rPr>
            </w:pPr>
          </w:p>
        </w:tc>
        <w:tc>
          <w:tcPr>
            <w:tcW w:w="200" w:type="dxa"/>
            <w:vAlign w:val="bottom"/>
            <w:tcBorders>
              <w:bottom w:val="single" w:sz="8" w:color="BECE33"/>
            </w:tcBorders>
          </w:tcPr>
          <w:p>
            <w:pPr>
              <w:spacing w:after="0"/>
              <w:rPr>
                <w:sz w:val="5"/>
                <w:szCs w:val="5"/>
                <w:color w:val="auto"/>
              </w:rPr>
            </w:pPr>
          </w:p>
        </w:tc>
        <w:tc>
          <w:tcPr>
            <w:tcW w:w="20" w:type="dxa"/>
            <w:vAlign w:val="bottom"/>
            <w:tcBorders>
              <w:bottom w:val="single" w:sz="8" w:color="BECE33"/>
            </w:tcBorders>
          </w:tcPr>
          <w:p>
            <w:pPr>
              <w:spacing w:after="0"/>
              <w:rPr>
                <w:sz w:val="5"/>
                <w:szCs w:val="5"/>
                <w:color w:val="auto"/>
              </w:rPr>
            </w:pPr>
          </w:p>
        </w:tc>
        <w:tc>
          <w:tcPr>
            <w:tcW w:w="780" w:type="dxa"/>
            <w:vAlign w:val="bottom"/>
            <w:tcBorders>
              <w:bottom w:val="single" w:sz="8" w:color="BECE33"/>
            </w:tcBorders>
          </w:tcPr>
          <w:p>
            <w:pPr>
              <w:spacing w:after="0"/>
              <w:rPr>
                <w:sz w:val="5"/>
                <w:szCs w:val="5"/>
                <w:color w:val="auto"/>
              </w:rPr>
            </w:pPr>
          </w:p>
        </w:tc>
        <w:tc>
          <w:tcPr>
            <w:tcW w:w="800" w:type="dxa"/>
            <w:vAlign w:val="bottom"/>
            <w:tcBorders>
              <w:bottom w:val="single" w:sz="8" w:color="BECE33"/>
            </w:tcBorders>
            <w:gridSpan w:val="2"/>
          </w:tcPr>
          <w:p>
            <w:pPr>
              <w:spacing w:after="0"/>
              <w:rPr>
                <w:sz w:val="5"/>
                <w:szCs w:val="5"/>
                <w:color w:val="auto"/>
              </w:rPr>
            </w:pPr>
          </w:p>
        </w:tc>
        <w:tc>
          <w:tcPr>
            <w:tcW w:w="820" w:type="dxa"/>
            <w:vAlign w:val="bottom"/>
            <w:tcBorders>
              <w:bottom w:val="single" w:sz="8" w:color="BECE33"/>
            </w:tcBorders>
            <w:gridSpan w:val="2"/>
          </w:tcPr>
          <w:p>
            <w:pPr>
              <w:spacing w:after="0"/>
              <w:rPr>
                <w:sz w:val="5"/>
                <w:szCs w:val="5"/>
                <w:color w:val="auto"/>
              </w:rPr>
            </w:pPr>
          </w:p>
        </w:tc>
        <w:tc>
          <w:tcPr>
            <w:tcW w:w="820" w:type="dxa"/>
            <w:vAlign w:val="bottom"/>
            <w:tcBorders>
              <w:bottom w:val="single" w:sz="8" w:color="BECE33"/>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940" w:type="dxa"/>
            <w:vAlign w:val="bottom"/>
            <w:tcBorders>
              <w:left w:val="single" w:sz="8" w:color="BECE33"/>
            </w:tcBorders>
          </w:tcPr>
          <w:p>
            <w:pPr>
              <w:ind w:left="20"/>
              <w:spacing w:after="0"/>
              <w:rPr>
                <w:sz w:val="20"/>
                <w:szCs w:val="20"/>
                <w:color w:val="auto"/>
              </w:rPr>
            </w:pPr>
            <w:r>
              <w:rPr>
                <w:rFonts w:ascii="Arial" w:cs="Arial" w:eastAsia="Arial" w:hAnsi="Arial"/>
                <w:sz w:val="11"/>
                <w:szCs w:val="11"/>
                <w:b w:val="1"/>
                <w:bCs w:val="1"/>
                <w:color w:val="005A64"/>
              </w:rPr>
              <w:t>2024</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005A64"/>
              </w:rPr>
              <w:t>288</w:t>
            </w: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005A64"/>
              </w:rPr>
              <w:t>157</w:t>
            </w: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005A64"/>
              </w:rPr>
              <w:t>100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005A64"/>
              </w:rPr>
              <w:t>—</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005A64"/>
              </w:rPr>
              <w:t>130</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005A64"/>
              </w:rPr>
              <w:t>100</w:t>
            </w:r>
          </w:p>
        </w:tc>
        <w:tc>
          <w:tcPr>
            <w:tcW w:w="820" w:type="dxa"/>
            <w:vAlign w:val="bottom"/>
            <w:tcBorders>
              <w:right w:val="single" w:sz="8" w:color="BECE33"/>
            </w:tcBorders>
            <w:gridSpan w:val="2"/>
          </w:tcPr>
          <w:p>
            <w:pPr>
              <w:ind w:left="20"/>
              <w:spacing w:after="0"/>
              <w:rPr>
                <w:sz w:val="20"/>
                <w:szCs w:val="20"/>
                <w:color w:val="auto"/>
              </w:rPr>
            </w:pPr>
            <w:r>
              <w:rPr>
                <w:rFonts w:ascii="Arial" w:cs="Arial" w:eastAsia="Arial" w:hAnsi="Arial"/>
                <w:sz w:val="11"/>
                <w:szCs w:val="11"/>
                <w:b w:val="1"/>
                <w:bCs w:val="1"/>
                <w:color w:val="005A64"/>
              </w:rPr>
              <w:t>114</w:t>
            </w:r>
          </w:p>
        </w:tc>
        <w:tc>
          <w:tcPr>
            <w:tcW w:w="0" w:type="dxa"/>
            <w:vAlign w:val="bottom"/>
          </w:tcPr>
          <w:p>
            <w:pPr>
              <w:spacing w:after="0"/>
              <w:rPr>
                <w:sz w:val="1"/>
                <w:szCs w:val="1"/>
                <w:color w:val="auto"/>
              </w:rPr>
            </w:pPr>
          </w:p>
        </w:tc>
      </w:tr>
      <w:tr>
        <w:trPr>
          <w:trHeight w:val="41"/>
        </w:trPr>
        <w:tc>
          <w:tcPr>
            <w:tcW w:w="940" w:type="dxa"/>
            <w:vAlign w:val="bottom"/>
            <w:tcBorders>
              <w:left w:val="single" w:sz="8" w:color="BECE33"/>
              <w:bottom w:val="single" w:sz="8" w:color="BECE33"/>
            </w:tcBorders>
          </w:tcPr>
          <w:p>
            <w:pPr>
              <w:spacing w:after="0"/>
              <w:rPr>
                <w:sz w:val="3"/>
                <w:szCs w:val="3"/>
                <w:color w:val="auto"/>
              </w:rPr>
            </w:pPr>
          </w:p>
        </w:tc>
        <w:tc>
          <w:tcPr>
            <w:tcW w:w="800" w:type="dxa"/>
            <w:vAlign w:val="bottom"/>
            <w:tcBorders>
              <w:bottom w:val="single" w:sz="8" w:color="BECE33"/>
            </w:tcBorders>
            <w:gridSpan w:val="2"/>
          </w:tcPr>
          <w:p>
            <w:pPr>
              <w:spacing w:after="0"/>
              <w:rPr>
                <w:sz w:val="3"/>
                <w:szCs w:val="3"/>
                <w:color w:val="auto"/>
              </w:rPr>
            </w:pPr>
          </w:p>
        </w:tc>
        <w:tc>
          <w:tcPr>
            <w:tcW w:w="960" w:type="dxa"/>
            <w:vAlign w:val="bottom"/>
            <w:tcBorders>
              <w:bottom w:val="single" w:sz="8" w:color="BECE33"/>
            </w:tcBorders>
            <w:gridSpan w:val="2"/>
          </w:tcPr>
          <w:p>
            <w:pPr>
              <w:spacing w:after="0"/>
              <w:rPr>
                <w:sz w:val="3"/>
                <w:szCs w:val="3"/>
                <w:color w:val="auto"/>
              </w:rPr>
            </w:pPr>
          </w:p>
        </w:tc>
        <w:tc>
          <w:tcPr>
            <w:tcW w:w="620" w:type="dxa"/>
            <w:vAlign w:val="bottom"/>
            <w:tcBorders>
              <w:bottom w:val="single" w:sz="8" w:color="BECE33"/>
            </w:tcBorders>
            <w:gridSpan w:val="2"/>
          </w:tcPr>
          <w:p>
            <w:pPr>
              <w:spacing w:after="0"/>
              <w:rPr>
                <w:sz w:val="3"/>
                <w:szCs w:val="3"/>
                <w:color w:val="auto"/>
              </w:rPr>
            </w:pPr>
          </w:p>
        </w:tc>
        <w:tc>
          <w:tcPr>
            <w:tcW w:w="200" w:type="dxa"/>
            <w:vAlign w:val="bottom"/>
            <w:tcBorders>
              <w:bottom w:val="single" w:sz="8" w:color="BECE33"/>
            </w:tcBorders>
          </w:tcPr>
          <w:p>
            <w:pPr>
              <w:spacing w:after="0"/>
              <w:rPr>
                <w:sz w:val="3"/>
                <w:szCs w:val="3"/>
                <w:color w:val="auto"/>
              </w:rPr>
            </w:pPr>
          </w:p>
        </w:tc>
        <w:tc>
          <w:tcPr>
            <w:tcW w:w="800" w:type="dxa"/>
            <w:vAlign w:val="bottom"/>
            <w:tcBorders>
              <w:bottom w:val="single" w:sz="8" w:color="BECE33"/>
            </w:tcBorders>
            <w:gridSpan w:val="2"/>
          </w:tcPr>
          <w:p>
            <w:pPr>
              <w:spacing w:after="0"/>
              <w:rPr>
                <w:sz w:val="3"/>
                <w:szCs w:val="3"/>
                <w:color w:val="auto"/>
              </w:rPr>
            </w:pPr>
          </w:p>
        </w:tc>
        <w:tc>
          <w:tcPr>
            <w:tcW w:w="800" w:type="dxa"/>
            <w:vAlign w:val="bottom"/>
            <w:tcBorders>
              <w:bottom w:val="single" w:sz="8" w:color="BECE33"/>
            </w:tcBorders>
            <w:gridSpan w:val="2"/>
          </w:tcPr>
          <w:p>
            <w:pPr>
              <w:spacing w:after="0"/>
              <w:rPr>
                <w:sz w:val="3"/>
                <w:szCs w:val="3"/>
                <w:color w:val="auto"/>
              </w:rPr>
            </w:pPr>
          </w:p>
        </w:tc>
        <w:tc>
          <w:tcPr>
            <w:tcW w:w="820" w:type="dxa"/>
            <w:vAlign w:val="bottom"/>
            <w:tcBorders>
              <w:bottom w:val="single" w:sz="8" w:color="BECE33"/>
            </w:tcBorders>
            <w:gridSpan w:val="2"/>
          </w:tcPr>
          <w:p>
            <w:pPr>
              <w:spacing w:after="0"/>
              <w:rPr>
                <w:sz w:val="3"/>
                <w:szCs w:val="3"/>
                <w:color w:val="auto"/>
              </w:rPr>
            </w:pPr>
          </w:p>
        </w:tc>
        <w:tc>
          <w:tcPr>
            <w:tcW w:w="820" w:type="dxa"/>
            <w:vAlign w:val="bottom"/>
            <w:tcBorders>
              <w:bottom w:val="single" w:sz="8" w:color="BECE33"/>
              <w:right w:val="single" w:sz="8" w:color="BECE33"/>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940" w:type="dxa"/>
            <w:vAlign w:val="bottom"/>
          </w:tcPr>
          <w:p>
            <w:pPr>
              <w:ind w:left="20"/>
              <w:spacing w:after="0"/>
              <w:rPr>
                <w:sz w:val="20"/>
                <w:szCs w:val="20"/>
                <w:color w:val="auto"/>
              </w:rPr>
            </w:pPr>
            <w:r>
              <w:rPr>
                <w:rFonts w:ascii="Arial" w:cs="Arial" w:eastAsia="Arial" w:hAnsi="Arial"/>
                <w:sz w:val="11"/>
                <w:szCs w:val="11"/>
                <w:b w:val="1"/>
                <w:bCs w:val="1"/>
                <w:color w:val="005A64"/>
              </w:rPr>
              <w:t>2023</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005A64"/>
              </w:rPr>
              <w:t>226</w:t>
            </w: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005A64"/>
              </w:rPr>
              <w:t>114</w:t>
            </w: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005A64"/>
              </w:rPr>
              <w:t>46</w:t>
            </w:r>
          </w:p>
        </w:tc>
        <w:tc>
          <w:tcPr>
            <w:tcW w:w="200" w:type="dxa"/>
            <w:vAlign w:val="bottom"/>
          </w:tcPr>
          <w:p>
            <w:pPr>
              <w:spacing w:after="0"/>
              <w:rPr>
                <w:sz w:val="12"/>
                <w:szCs w:val="12"/>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005A64"/>
              </w:rPr>
              <w:t>30</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005A64"/>
              </w:rPr>
              <w:t>105</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005A64"/>
              </w:rPr>
              <w:t>80</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005A64"/>
              </w:rPr>
              <w:t>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26035</wp:posOffset>
            </wp:positionV>
            <wp:extent cx="428117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281170" cy="635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-1295400</wp:posOffset>
            </wp:positionV>
            <wp:extent cx="1270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-1295400</wp:posOffset>
            </wp:positionV>
            <wp:extent cx="1270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1" w:lineRule="exact"/>
        <w:rPr>
          <w:sz w:val="20"/>
          <w:szCs w:val="20"/>
          <w:color w:val="auto"/>
        </w:rPr>
      </w:pPr>
    </w:p>
    <w:p>
      <w:pPr>
        <w:ind w:left="380" w:right="2000" w:firstLine="3"/>
        <w:spacing w:after="0" w:line="209" w:lineRule="auto"/>
        <w:tabs>
          <w:tab w:leader="none" w:pos="582" w:val="left"/>
        </w:tabs>
        <w:numPr>
          <w:ilvl w:val="0"/>
          <w:numId w:val="26"/>
        </w:numPr>
        <w:rPr>
          <w:rFonts w:ascii="Arial" w:cs="Arial" w:eastAsia="Arial" w:hAnsi="Arial"/>
          <w:sz w:val="16"/>
          <w:szCs w:val="16"/>
          <w:color w:val="005A64"/>
          <w:vertAlign w:val="superscript"/>
        </w:rPr>
      </w:pPr>
      <w:r>
        <w:rPr>
          <w:rFonts w:ascii="Arial" w:cs="Arial" w:eastAsia="Arial" w:hAnsi="Arial"/>
          <w:sz w:val="12"/>
          <w:szCs w:val="12"/>
          <w:color w:val="005A64"/>
        </w:rPr>
        <w:t>The concept of compensation being granted or owed is described in the above section “Amount of Compensation of Our Supervisory Board and Management Board Members”.</w:t>
      </w:r>
    </w:p>
    <w:p>
      <w:pPr>
        <w:ind w:left="580" w:hanging="197"/>
        <w:spacing w:after="0" w:line="224" w:lineRule="auto"/>
        <w:tabs>
          <w:tab w:leader="none" w:pos="580" w:val="left"/>
        </w:tabs>
        <w:numPr>
          <w:ilvl w:val="0"/>
          <w:numId w:val="26"/>
        </w:numPr>
        <w:rPr>
          <w:rFonts w:ascii="Arial" w:cs="Arial" w:eastAsia="Arial" w:hAnsi="Arial"/>
          <w:sz w:val="16"/>
          <w:szCs w:val="16"/>
          <w:color w:val="005A64"/>
          <w:vertAlign w:val="superscript"/>
        </w:rPr>
      </w:pPr>
      <w:r>
        <w:rPr>
          <w:rFonts w:ascii="Arial" w:cs="Arial" w:eastAsia="Arial" w:hAnsi="Arial"/>
          <w:sz w:val="12"/>
          <w:szCs w:val="12"/>
          <w:color w:val="005A64"/>
        </w:rPr>
        <w:t>Nicola Blackwood was appointed to the Supervisory Board by the AGM on May 25, 2023.</w:t>
      </w:r>
    </w:p>
    <w:p>
      <w:pPr>
        <w:spacing w:after="0" w:line="24" w:lineRule="exact"/>
        <w:rPr>
          <w:rFonts w:ascii="Arial" w:cs="Arial" w:eastAsia="Arial" w:hAnsi="Arial"/>
          <w:sz w:val="16"/>
          <w:szCs w:val="16"/>
          <w:color w:val="005A64"/>
          <w:vertAlign w:val="superscript"/>
        </w:rPr>
      </w:pPr>
    </w:p>
    <w:p>
      <w:pPr>
        <w:ind w:left="580" w:hanging="197"/>
        <w:spacing w:after="0" w:line="182" w:lineRule="auto"/>
        <w:tabs>
          <w:tab w:leader="none" w:pos="580" w:val="left"/>
        </w:tabs>
        <w:numPr>
          <w:ilvl w:val="0"/>
          <w:numId w:val="26"/>
        </w:numPr>
        <w:rPr>
          <w:rFonts w:ascii="Arial" w:cs="Arial" w:eastAsia="Arial" w:hAnsi="Arial"/>
          <w:sz w:val="14"/>
          <w:szCs w:val="14"/>
          <w:color w:val="005A64"/>
          <w:vertAlign w:val="superscript"/>
        </w:rPr>
      </w:pPr>
      <w:r>
        <w:rPr>
          <w:rFonts w:ascii="Arial" w:cs="Arial" w:eastAsia="Arial" w:hAnsi="Arial"/>
          <w:sz w:val="11"/>
          <w:szCs w:val="11"/>
          <w:color w:val="005A64"/>
        </w:rPr>
        <w:t>Christoph Huber retired from the Supervisory Board on May 25, 2023.</w:t>
      </w:r>
    </w:p>
    <w:p>
      <w:pPr>
        <w:sectPr>
          <w:pgSz w:w="11900" w:h="16840" w:orient="portrait"/>
          <w:cols w:equalWidth="0" w:num="1">
            <w:col w:w="9020"/>
          </w:cols>
          <w:pgMar w:left="1440" w:top="1048" w:right="1440" w:bottom="48" w:gutter="0" w:footer="0" w:header="0"/>
        </w:sectPr>
      </w:pPr>
    </w:p>
    <w:p>
      <w:pPr>
        <w:ind w:left="380"/>
        <w:spacing w:after="0" w:line="211" w:lineRule="auto"/>
        <w:rPr>
          <w:sz w:val="20"/>
          <w:szCs w:val="20"/>
          <w:color w:val="auto"/>
        </w:rPr>
      </w:pPr>
      <w:r>
        <w:rPr>
          <w:rFonts w:ascii="Arial" w:cs="Arial" w:eastAsia="Arial" w:hAnsi="Arial"/>
          <w:sz w:val="13"/>
          <w:szCs w:val="13"/>
          <w:color w:val="005A64"/>
        </w:rPr>
        <w:t>Compensation of the Members of Our Management Board</w:t>
      </w:r>
    </w:p>
    <w:p>
      <w:pPr>
        <w:ind w:left="380"/>
        <w:spacing w:after="0"/>
        <w:rPr>
          <w:sz w:val="20"/>
          <w:szCs w:val="20"/>
          <w:color w:val="auto"/>
        </w:rPr>
      </w:pPr>
      <w:r>
        <w:rPr>
          <w:rFonts w:ascii="Arial" w:cs="Arial" w:eastAsia="Arial" w:hAnsi="Arial"/>
          <w:sz w:val="13"/>
          <w:szCs w:val="13"/>
          <w:color w:val="auto"/>
        </w:rPr>
        <w:t>We have entered into agreements with all current members of our Management Board. We believe that the</w:t>
      </w:r>
    </w:p>
    <w:p>
      <w:pPr>
        <w:sectPr>
          <w:pgSz w:w="11900" w:h="16840" w:orient="portrait"/>
          <w:cols w:equalWidth="0" w:num="1">
            <w:col w:w="9020"/>
          </w:cols>
          <w:pgMar w:left="1440" w:top="1048" w:right="1440" w:bottom="48" w:gutter="0" w:footer="0" w:header="0"/>
          <w:type w:val="continuous"/>
        </w:sectPr>
      </w:pPr>
    </w:p>
    <w:bookmarkStart w:id="141" w:name="page142"/>
    <w:bookmarkEnd w:id="141"/>
    <w:p>
      <w:pPr>
        <w:ind w:left="380" w:right="2600"/>
        <w:spacing w:after="0" w:line="220" w:lineRule="auto"/>
        <w:rPr>
          <w:sz w:val="20"/>
          <w:szCs w:val="20"/>
          <w:color w:val="auto"/>
        </w:rPr>
      </w:pPr>
      <w:r>
        <w:rPr>
          <w:rFonts w:ascii="Arial" w:cs="Arial" w:eastAsia="Arial" w:hAnsi="Arial"/>
          <w:sz w:val="13"/>
          <w:szCs w:val="13"/>
          <w:color w:val="auto"/>
        </w:rPr>
        <w:t>agreements between us and the members of our Management Board provide for payments and benefits (including upon termination of employment) that are in line with customary market practice.</w:t>
      </w:r>
    </w:p>
    <w:p>
      <w:pPr>
        <w:spacing w:after="0" w:line="1"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Fixed compensation is primarily paid out as a salary in twelve monthly installments within a calendar year. All of the Management Board members’ activities for BioNTech Group companies are compensated by their base compensation of €550,000 (in the case of Ugur Sahin, €700,000), during each of the years ended December 31, 2024 and 2023. Annemarie Hanekamp’s appointment on July 1, 2024, led to an effective annual fixed compensation of €275,000 during the year ended December 31, 2024. Due to Sean Marett’s retirement on June 30, 2024, his effective annual fixed compensation during the year ended December 31, 2024, was € 275,000. James Ryan’s effective annual fixed compensation during the year ended December 31, 2023, was €183,333 due to his appointment to the Management Board as of September 1, 2023. His compensation is partly paid in the U.K. (in GBP) by the Company’s subsidiary, BioNTech UK Limited, and partly in Germany (in Euro).</w:t>
      </w:r>
    </w:p>
    <w:p>
      <w:pPr>
        <w:spacing w:after="0" w:line="5" w:lineRule="exact"/>
        <w:rPr>
          <w:sz w:val="20"/>
          <w:szCs w:val="20"/>
          <w:color w:val="auto"/>
        </w:rPr>
      </w:pPr>
    </w:p>
    <w:p>
      <w:pPr>
        <w:ind w:left="380" w:right="2100"/>
        <w:spacing w:after="0" w:line="214" w:lineRule="auto"/>
        <w:rPr>
          <w:sz w:val="20"/>
          <w:szCs w:val="20"/>
          <w:color w:val="auto"/>
        </w:rPr>
      </w:pPr>
      <w:r>
        <w:rPr>
          <w:rFonts w:ascii="Arial" w:cs="Arial" w:eastAsia="Arial" w:hAnsi="Arial"/>
          <w:sz w:val="13"/>
          <w:szCs w:val="13"/>
          <w:color w:val="auto"/>
        </w:rPr>
        <w:t>The Management Board’s service agreements also include an STI compensation component, which is an annual performance-related bonus for the years of their respective service periods. The payout amount of the short-term incentive compensation depends on the achievement of certain financial and non-financial performance criteria of the Group in a particular financial year, which goals are set uniformly for all members of the Management Board. The Supervisory Board exercises reasonable discretion in determining whether such criteria have been achieved. 50% percent of the compensation is paid following determination of the actual achievement of the performance targets at the end of the calendar month following the date on which the Supervisory Board has approved the consolidated financial statements of the Company for the financial year that is relevant for the determination of the STI (first installment) and is considered granted and owed in accordance with Section 162 AktG in the same financial year in which the activity to which the compensation relates was performed. The remaining amount (second installment) is subject to adjustments in relation to the development of the share price between the determination date, when the STI achievement is determined, and the respective anniversary of that date (i.e., in the event of an increase or decrease in the share price, based on the market price of ADSs representing our ordinary shares, the payment amount is multiplied by the factor of the development of the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204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080"/>
        <w:spacing w:after="0" w:line="211" w:lineRule="auto"/>
        <w:rPr>
          <w:sz w:val="20"/>
          <w:szCs w:val="20"/>
          <w:color w:val="auto"/>
        </w:rPr>
      </w:pPr>
      <w:r>
        <w:rPr>
          <w:rFonts w:ascii="Arial" w:cs="Arial" w:eastAsia="Arial" w:hAnsi="Arial"/>
          <w:sz w:val="13"/>
          <w:szCs w:val="13"/>
          <w:color w:val="auto"/>
        </w:rPr>
        <w:t>price) . The second installment is also considered granted and owed in accordance with Section 162 AktG in the same financial year in which the activity to which the compensation relates was performed, as the Management Board member had already completed the activity to which it relates. During the year ended December 31, 2024, the maximum short- term incentive compensation for Ugur Sahin, Jens Holstein, Sierk Poetting, Ryan Richardson, James Ryan and Özlem Türeci was €350,000 for Ugur Sahin and €300,000 for the other Management Board members. Based on the 2024 target achievement of 74%, the annual bonus amounts for Ugur Sahin, Jens Holstein, Sierk Poetting, Ryan Richardson, James Ryan and Özlem Türeci for the year ended December 31, 2024, amounted to €259,000; €222,000; €222,000; €222,000; €222,000; and €222,000, respectively. Following Sean Marett's retirement from the Management Board with effect as of June 30, 2024, his maximum short-term incentive compensation was defined on a pro -rata basis and thus amounted to €150,000, for the year ended December 31, 2024. Pursuant to his separation agreement (see below in this section), he was granted a guaranteed pro rata bonus in the amount of 100% of the maximum amount, that was paid out in June 2024. Following Annemarie Hanekamp’s appointment to the Management Board with effect as of July 1, 2024, starting for the first time in the 2025 financial year, her maximum short-term compensation amounted to €275,000. For the year ended December 31, 2024, she was granted a pro-rata temporis guaranteed bonus in the amount of 50% of the maximum amount, i.e., €137,500. The first half of the corresponding net amount is to be paid out in April 2024 and the second half in January 2026, irrespective of the share price performance. During the year ended December 31, 2023, the maximum short-term incentive compensation for Ugur Sahin, Jens Holstein, Sean Marett, Sierk Poetting, Ryan Richardson and Özlem Türeci was €350,000 for Ugur Sahin and €300,000 for each other Management Board member. As James Ryan was appointed to the Management Board on September 1, 2023, his maximum short-term compensation was defined on a pro rata basis and amounted to €100,000. Based on the 2023 target achievement of 90%, the annual bonus amounts for Ugur Sahin, Jens Holstein, Sean Marett, Sierk Poetting, Ryan Richardson, James Ryan and Özlem Türeci for the year ended December 31, 2023, amounted to €315,000 for Ugur Sahin, €90,000 for James Ryan and €270,000 for each other Management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-2079625</wp:posOffset>
            </wp:positionV>
            <wp:extent cx="523113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080"/>
        <w:spacing w:after="0" w:line="210" w:lineRule="auto"/>
        <w:rPr>
          <w:sz w:val="20"/>
          <w:szCs w:val="20"/>
          <w:color w:val="auto"/>
        </w:rPr>
      </w:pPr>
      <w:r>
        <w:rPr>
          <w:rFonts w:ascii="Arial" w:cs="Arial" w:eastAsia="Arial" w:hAnsi="Arial"/>
          <w:sz w:val="13"/>
          <w:szCs w:val="13"/>
          <w:color w:val="auto"/>
        </w:rPr>
        <w:t>Our Management Board’s service agreements provide for long-term, four-year incentive compensation (Management Board Grant - LTI) through an annual grant of options to acquire BioNTech shares at the end of the respective waiting periods of such agreements. The options are subject to the terms and conditions of the respective authorizations of the AGM creating our Employee Stock Ownership Plan, or ESOP, and the applicable option agreements. During the year ended December 31, 2024, the number of options granted to Ugur Sahin, Jens Holstein, Sean Marett, Sierk Poetting, Ryan Richardson, James Ryan and Özlem Türeci were calculated based on a target value of €1,050,000 for Ugur Sahin and €550,000 for each other Management Board member. Upon Sean Marett’s resignation from the Management Board with effect as of June 30, 2024, the LTI 2024 grant relating to the first six months of 2024 to which he was contractually entitled was immediately forfeited due to his resignation. Following Annemarie Hanekamp's appointment on July 1, 2024, she received a guaranteed pro rata LTI grant of € 275,000 for the period from July 1, 2024 to December 31, 2024. This amount reflects 50% of the annual target value and will be made available in shares or as a cash payment in 2025. Starting January 1, 2025, Annemarie Hanekamp will participate in the LTI plan in force with a target value of €550,000.</w:t>
      </w:r>
    </w:p>
    <w:p>
      <w:pPr>
        <w:ind w:left="380"/>
        <w:spacing w:after="0" w:line="223" w:lineRule="auto"/>
        <w:rPr>
          <w:sz w:val="20"/>
          <w:szCs w:val="20"/>
          <w:color w:val="auto"/>
        </w:rPr>
      </w:pPr>
      <w:r>
        <w:rPr>
          <w:rFonts w:ascii="Arial" w:cs="Arial" w:eastAsia="Arial" w:hAnsi="Arial"/>
          <w:sz w:val="13"/>
          <w:szCs w:val="13"/>
          <w:color w:val="auto"/>
        </w:rPr>
        <w:t>During the year ended December 31, 2023, the number of options granted to Ugur Sahin, Jens Holstein, Sean</w:t>
      </w:r>
    </w:p>
    <w:p>
      <w:pPr>
        <w:ind w:left="380"/>
        <w:spacing w:after="0" w:line="211" w:lineRule="auto"/>
        <w:rPr>
          <w:sz w:val="20"/>
          <w:szCs w:val="20"/>
          <w:color w:val="auto"/>
        </w:rPr>
      </w:pPr>
      <w:r>
        <w:rPr>
          <w:rFonts w:ascii="Arial" w:cs="Arial" w:eastAsia="Arial" w:hAnsi="Arial"/>
          <w:sz w:val="13"/>
          <w:szCs w:val="13"/>
          <w:color w:val="auto"/>
        </w:rPr>
        <w:t>Marett, Sierk Poetting, Ryan Richardson and Özlem Türeci was calculated based on a target value of</w:t>
      </w:r>
    </w:p>
    <w:p>
      <w:pPr>
        <w:ind w:left="380"/>
        <w:spacing w:after="0" w:line="211" w:lineRule="auto"/>
        <w:rPr>
          <w:sz w:val="20"/>
          <w:szCs w:val="20"/>
          <w:color w:val="auto"/>
        </w:rPr>
      </w:pPr>
      <w:r>
        <w:rPr>
          <w:rFonts w:ascii="Arial" w:cs="Arial" w:eastAsia="Arial" w:hAnsi="Arial"/>
          <w:sz w:val="13"/>
          <w:szCs w:val="13"/>
          <w:color w:val="auto"/>
        </w:rPr>
        <w:t>€1,050,000 for Ugur Sahin and €550,000 for each other Management Board member. As the LTI was allocated</w:t>
      </w:r>
    </w:p>
    <w:p>
      <w:pPr>
        <w:ind w:left="380"/>
        <w:spacing w:after="0" w:line="211" w:lineRule="auto"/>
        <w:rPr>
          <w:sz w:val="20"/>
          <w:szCs w:val="20"/>
          <w:color w:val="auto"/>
        </w:rPr>
      </w:pPr>
      <w:r>
        <w:rPr>
          <w:rFonts w:ascii="Arial" w:cs="Arial" w:eastAsia="Arial" w:hAnsi="Arial"/>
          <w:sz w:val="13"/>
          <w:szCs w:val="13"/>
          <w:color w:val="auto"/>
        </w:rPr>
        <w:t>prior to James Ryan’s appointment to the Management Board, he received a one-time signing cash payment of</w:t>
      </w:r>
    </w:p>
    <w:p>
      <w:pPr>
        <w:ind w:left="380"/>
        <w:spacing w:after="0" w:line="211" w:lineRule="auto"/>
        <w:rPr>
          <w:sz w:val="20"/>
          <w:szCs w:val="20"/>
          <w:color w:val="auto"/>
        </w:rPr>
      </w:pPr>
      <w:r>
        <w:rPr>
          <w:rFonts w:ascii="Arial" w:cs="Arial" w:eastAsia="Arial" w:hAnsi="Arial"/>
          <w:sz w:val="13"/>
          <w:szCs w:val="13"/>
          <w:color w:val="auto"/>
        </w:rPr>
        <w:t>€180,000 instead.</w:t>
      </w:r>
    </w:p>
    <w:p>
      <w:pPr>
        <w:ind w:left="380" w:right="2160"/>
        <w:spacing w:after="0" w:line="216" w:lineRule="auto"/>
        <w:rPr>
          <w:sz w:val="20"/>
          <w:szCs w:val="20"/>
          <w:color w:val="auto"/>
        </w:rPr>
      </w:pPr>
      <w:r>
        <w:rPr>
          <w:rFonts w:ascii="Arial" w:cs="Arial" w:eastAsia="Arial" w:hAnsi="Arial"/>
          <w:sz w:val="13"/>
          <w:szCs w:val="13"/>
          <w:color w:val="auto"/>
        </w:rPr>
        <w:t xml:space="preserve">Taking the requirements of Section 87a Paragraph 1 AktG into account, the Supervisory Board proposed, and a large majority of 97.33% of votes cast at the AGM on May 17, 2024 approved, a new compensation system, which is designed to further develop the previous system while retaining its basic structure, effective as of January 1, 2025. BioNTech has concluded new service agreements with the Management Board (also effective as of January 1, 2025) to reflect the new compensation system. The then-current compensation system, as approved by the AGM on June 22, 2021, is applied whenever agreements are entered into, amended or extended and includes specific provisions with respect to benefits upon termination. Both the then-current and the new compensation systems are available online on our website at </w:t>
      </w:r>
      <w:r>
        <w:rPr>
          <w:rFonts w:ascii="Arial" w:cs="Arial" w:eastAsia="Arial" w:hAnsi="Arial"/>
          <w:sz w:val="13"/>
          <w:szCs w:val="13"/>
          <w:color w:val="26948B"/>
        </w:rPr>
        <w:t>www.biontech.de</w:t>
      </w:r>
      <w:r>
        <w:rPr>
          <w:rFonts w:ascii="Arial" w:cs="Arial" w:eastAsia="Arial" w:hAnsi="Arial"/>
          <w:sz w:val="13"/>
          <w:szCs w:val="13"/>
          <w:color w:val="auto"/>
        </w:rPr>
        <w:t>. The information and</w:t>
      </w:r>
    </w:p>
    <w:p>
      <w:pPr>
        <w:sectPr>
          <w:pgSz w:w="11900" w:h="16840" w:orient="portrait"/>
          <w:cols w:equalWidth="0" w:num="1">
            <w:col w:w="9020"/>
          </w:cols>
          <w:pgMar w:left="1440" w:top="560" w:right="1440" w:bottom="1440" w:gutter="0" w:footer="0" w:header="0"/>
        </w:sectPr>
      </w:pPr>
    </w:p>
    <w:bookmarkStart w:id="142" w:name="page143"/>
    <w:bookmarkEnd w:id="142"/>
    <w:p>
      <w:pPr>
        <w:spacing w:after="0" w:line="200" w:lineRule="exact"/>
        <w:rPr>
          <w:sz w:val="20"/>
          <w:szCs w:val="20"/>
          <w:color w:val="auto"/>
        </w:rPr>
      </w:pPr>
    </w:p>
    <w:p>
      <w:pPr>
        <w:spacing w:after="0" w:line="33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205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540"/>
        <w:spacing w:after="0" w:line="220" w:lineRule="auto"/>
        <w:rPr>
          <w:sz w:val="20"/>
          <w:szCs w:val="20"/>
          <w:color w:val="auto"/>
        </w:rPr>
      </w:pPr>
      <w:r>
        <w:rPr>
          <w:rFonts w:ascii="Arial" w:cs="Arial" w:eastAsia="Arial" w:hAnsi="Arial"/>
          <w:sz w:val="13"/>
          <w:szCs w:val="13"/>
          <w:color w:val="auto"/>
        </w:rPr>
        <w:t>other content appearing on our website are not incorporated by reference into this Annual Report and our website address is included in this report as an inactive textual reference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660"/>
        <w:spacing w:after="0" w:line="234" w:lineRule="auto"/>
        <w:rPr>
          <w:sz w:val="20"/>
          <w:szCs w:val="20"/>
          <w:color w:val="auto"/>
        </w:rPr>
      </w:pPr>
      <w:r>
        <w:rPr>
          <w:rFonts w:ascii="Arial" w:cs="Arial" w:eastAsia="Arial" w:hAnsi="Arial"/>
          <w:sz w:val="13"/>
          <w:szCs w:val="13"/>
          <w:color w:val="auto"/>
        </w:rPr>
        <w:t>The total compensation granted or owed to all members of the Management Board for the years ended December 31, 2024 and 2023, is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-12700</wp:posOffset>
            </wp:positionV>
            <wp:extent cx="4293870" cy="127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293870" cy="12700"/>
                    </a:xfrm>
                    <a:prstGeom prst="rect">
                      <a:avLst/>
                    </a:prstGeom>
                    <a:noFill/>
                  </pic:spPr>
                </pic:pic>
              </a:graphicData>
            </a:graphic>
          </wp:anchor>
        </w:drawing>
      </w:r>
    </w:p>
    <w:p>
      <w:pPr>
        <w:spacing w:after="0" w:line="74" w:lineRule="exact"/>
        <w:rPr>
          <w:sz w:val="20"/>
          <w:szCs w:val="20"/>
          <w:color w:val="auto"/>
        </w:rPr>
      </w:pPr>
    </w:p>
    <w:tbl>
      <w:tblPr>
        <w:tblLayout w:type="fixed"/>
        <w:tblInd w:w="390" w:type="dxa"/>
        <w:tblCellMar>
          <w:top w:w="0" w:type="dxa"/>
          <w:left w:w="0" w:type="dxa"/>
          <w:bottom w:w="0" w:type="dxa"/>
          <w:right w:w="0" w:type="dxa"/>
        </w:tblCellMar>
      </w:tblPr>
      <w:tr>
        <w:trPr>
          <w:trHeight w:val="138"/>
        </w:trPr>
        <w:tc>
          <w:tcPr>
            <w:tcW w:w="1400" w:type="dxa"/>
            <w:vAlign w:val="bottom"/>
          </w:tcPr>
          <w:p>
            <w:pPr>
              <w:ind w:left="20"/>
              <w:spacing w:after="0"/>
              <w:rPr>
                <w:sz w:val="20"/>
                <w:szCs w:val="20"/>
                <w:color w:val="auto"/>
              </w:rPr>
            </w:pPr>
            <w:r>
              <w:rPr>
                <w:rFonts w:ascii="Arial" w:cs="Arial" w:eastAsia="Arial" w:hAnsi="Arial"/>
                <w:sz w:val="12"/>
                <w:szCs w:val="12"/>
                <w:i w:val="1"/>
                <w:iCs w:val="1"/>
                <w:color w:val="005A64"/>
              </w:rPr>
              <w:t>in thousands €</w:t>
            </w:r>
          </w:p>
        </w:tc>
        <w:tc>
          <w:tcPr>
            <w:tcW w:w="20" w:type="dxa"/>
            <w:vAlign w:val="bottom"/>
          </w:tcPr>
          <w:p>
            <w:pPr>
              <w:spacing w:after="0"/>
              <w:rPr>
                <w:sz w:val="12"/>
                <w:szCs w:val="12"/>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005A64"/>
              </w:rPr>
              <w:t>Prof.</w:t>
            </w:r>
          </w:p>
        </w:tc>
        <w:tc>
          <w:tcPr>
            <w:tcW w:w="20" w:type="dxa"/>
            <w:vAlign w:val="bottom"/>
          </w:tcPr>
          <w:p>
            <w:pPr>
              <w:spacing w:after="0"/>
              <w:rPr>
                <w:sz w:val="12"/>
                <w:szCs w:val="12"/>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005A64"/>
              </w:rPr>
              <w:t>Annemarie</w:t>
            </w:r>
          </w:p>
        </w:tc>
        <w:tc>
          <w:tcPr>
            <w:tcW w:w="20" w:type="dxa"/>
            <w:vAlign w:val="bottom"/>
          </w:tcPr>
          <w:p>
            <w:pPr>
              <w:spacing w:after="0"/>
              <w:rPr>
                <w:sz w:val="12"/>
                <w:szCs w:val="12"/>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005A64"/>
              </w:rPr>
              <w:t>Jens</w:t>
            </w:r>
          </w:p>
        </w:tc>
        <w:tc>
          <w:tcPr>
            <w:tcW w:w="40" w:type="dxa"/>
            <w:vAlign w:val="bottom"/>
          </w:tcPr>
          <w:p>
            <w:pPr>
              <w:spacing w:after="0"/>
              <w:rPr>
                <w:sz w:val="12"/>
                <w:szCs w:val="12"/>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005A64"/>
              </w:rPr>
              <w:t>Sean</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005A64"/>
              </w:rPr>
              <w:t>Sierk</w:t>
            </w:r>
          </w:p>
        </w:tc>
        <w:tc>
          <w:tcPr>
            <w:tcW w:w="20" w:type="dxa"/>
            <w:vAlign w:val="bottom"/>
          </w:tcPr>
          <w:p>
            <w:pPr>
              <w:spacing w:after="0"/>
              <w:rPr>
                <w:sz w:val="12"/>
                <w:szCs w:val="12"/>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005A64"/>
              </w:rPr>
              <w:t>Ryan</w:t>
            </w:r>
          </w:p>
        </w:tc>
        <w:tc>
          <w:tcPr>
            <w:tcW w:w="2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005A64"/>
              </w:rPr>
              <w:t>James</w:t>
            </w:r>
          </w:p>
        </w:tc>
        <w:tc>
          <w:tcPr>
            <w:tcW w:w="2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005A64"/>
              </w:rPr>
              <w:t>Prof.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line="121" w:lineRule="exact"/>
              <w:rPr>
                <w:sz w:val="20"/>
                <w:szCs w:val="20"/>
                <w:color w:val="auto"/>
              </w:rPr>
            </w:pPr>
            <w:r>
              <w:rPr>
                <w:rFonts w:ascii="Arial" w:cs="Arial" w:eastAsia="Arial" w:hAnsi="Arial"/>
                <w:sz w:val="12"/>
                <w:szCs w:val="12"/>
                <w:b w:val="1"/>
                <w:bCs w:val="1"/>
                <w:color w:val="005A64"/>
              </w:rPr>
              <w:t>Ugur</w:t>
            </w:r>
          </w:p>
        </w:tc>
        <w:tc>
          <w:tcPr>
            <w:tcW w:w="20" w:type="dxa"/>
            <w:vAlign w:val="bottom"/>
          </w:tcPr>
          <w:p>
            <w:pPr>
              <w:spacing w:after="0"/>
              <w:rPr>
                <w:sz w:val="10"/>
                <w:szCs w:val="10"/>
                <w:color w:val="auto"/>
              </w:rPr>
            </w:pPr>
          </w:p>
        </w:tc>
        <w:tc>
          <w:tcPr>
            <w:tcW w:w="720" w:type="dxa"/>
            <w:vAlign w:val="bottom"/>
            <w:gridSpan w:val="3"/>
          </w:tcPr>
          <w:p>
            <w:pPr>
              <w:spacing w:after="0" w:line="121" w:lineRule="exact"/>
              <w:rPr>
                <w:sz w:val="20"/>
                <w:szCs w:val="20"/>
                <w:color w:val="auto"/>
              </w:rPr>
            </w:pPr>
            <w:r>
              <w:rPr>
                <w:rFonts w:ascii="Arial" w:cs="Arial" w:eastAsia="Arial" w:hAnsi="Arial"/>
                <w:sz w:val="12"/>
                <w:szCs w:val="12"/>
                <w:b w:val="1"/>
                <w:bCs w:val="1"/>
                <w:color w:val="005A64"/>
              </w:rPr>
              <w:t>Hanekamp</w:t>
            </w:r>
          </w:p>
        </w:tc>
        <w:tc>
          <w:tcPr>
            <w:tcW w:w="20" w:type="dxa"/>
            <w:vAlign w:val="bottom"/>
          </w:tcPr>
          <w:p>
            <w:pPr>
              <w:spacing w:after="0"/>
              <w:rPr>
                <w:sz w:val="10"/>
                <w:szCs w:val="10"/>
                <w:color w:val="auto"/>
              </w:rPr>
            </w:pPr>
          </w:p>
        </w:tc>
        <w:tc>
          <w:tcPr>
            <w:tcW w:w="600" w:type="dxa"/>
            <w:vAlign w:val="bottom"/>
            <w:gridSpan w:val="2"/>
          </w:tcPr>
          <w:p>
            <w:pPr>
              <w:spacing w:after="0" w:line="121" w:lineRule="exact"/>
              <w:rPr>
                <w:sz w:val="20"/>
                <w:szCs w:val="20"/>
                <w:color w:val="auto"/>
              </w:rPr>
            </w:pPr>
            <w:r>
              <w:rPr>
                <w:rFonts w:ascii="Arial" w:cs="Arial" w:eastAsia="Arial" w:hAnsi="Arial"/>
                <w:sz w:val="12"/>
                <w:szCs w:val="12"/>
                <w:b w:val="1"/>
                <w:bCs w:val="1"/>
                <w:color w:val="005A64"/>
              </w:rPr>
              <w:t>Holstein</w:t>
            </w:r>
          </w:p>
        </w:tc>
        <w:tc>
          <w:tcPr>
            <w:tcW w:w="40" w:type="dxa"/>
            <w:vAlign w:val="bottom"/>
          </w:tcPr>
          <w:p>
            <w:pPr>
              <w:spacing w:after="0"/>
              <w:rPr>
                <w:sz w:val="10"/>
                <w:szCs w:val="10"/>
                <w:color w:val="auto"/>
              </w:rPr>
            </w:pP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005A64"/>
                <w:w w:val="94"/>
              </w:rPr>
              <w:t>Marett</w:t>
            </w:r>
          </w:p>
        </w:tc>
        <w:tc>
          <w:tcPr>
            <w:tcW w:w="240" w:type="dxa"/>
            <w:vAlign w:val="bottom"/>
          </w:tcPr>
          <w:p>
            <w:pPr>
              <w:jc w:val="right"/>
              <w:ind w:right="60"/>
              <w:spacing w:after="0"/>
              <w:rPr>
                <w:sz w:val="20"/>
                <w:szCs w:val="20"/>
                <w:color w:val="auto"/>
              </w:rPr>
            </w:pPr>
            <w:r>
              <w:rPr>
                <w:rFonts w:ascii="Arial" w:cs="Arial" w:eastAsia="Arial" w:hAnsi="Arial"/>
                <w:sz w:val="8"/>
                <w:szCs w:val="8"/>
                <w:b w:val="1"/>
                <w:bCs w:val="1"/>
                <w:color w:val="005A64"/>
                <w:w w:val="84"/>
              </w:rPr>
              <w:t>(10)</w:t>
            </w:r>
          </w:p>
        </w:tc>
        <w:tc>
          <w:tcPr>
            <w:tcW w:w="20" w:type="dxa"/>
            <w:vAlign w:val="bottom"/>
          </w:tcPr>
          <w:p>
            <w:pPr>
              <w:spacing w:after="0"/>
              <w:rPr>
                <w:sz w:val="10"/>
                <w:szCs w:val="10"/>
                <w:color w:val="auto"/>
              </w:rPr>
            </w:pPr>
          </w:p>
        </w:tc>
        <w:tc>
          <w:tcPr>
            <w:tcW w:w="640" w:type="dxa"/>
            <w:vAlign w:val="bottom"/>
          </w:tcPr>
          <w:p>
            <w:pPr>
              <w:ind w:left="20"/>
              <w:spacing w:after="0" w:line="121" w:lineRule="exact"/>
              <w:rPr>
                <w:sz w:val="20"/>
                <w:szCs w:val="20"/>
                <w:color w:val="auto"/>
              </w:rPr>
            </w:pPr>
            <w:r>
              <w:rPr>
                <w:rFonts w:ascii="Arial" w:cs="Arial" w:eastAsia="Arial" w:hAnsi="Arial"/>
                <w:sz w:val="12"/>
                <w:szCs w:val="12"/>
                <w:b w:val="1"/>
                <w:bCs w:val="1"/>
                <w:color w:val="005A64"/>
              </w:rPr>
              <w:t>Poetting,</w:t>
            </w:r>
          </w:p>
        </w:tc>
        <w:tc>
          <w:tcPr>
            <w:tcW w:w="20" w:type="dxa"/>
            <w:vAlign w:val="bottom"/>
          </w:tcPr>
          <w:p>
            <w:pPr>
              <w:spacing w:after="0"/>
              <w:rPr>
                <w:sz w:val="10"/>
                <w:szCs w:val="10"/>
                <w:color w:val="auto"/>
              </w:rPr>
            </w:pPr>
          </w:p>
        </w:tc>
        <w:tc>
          <w:tcPr>
            <w:tcW w:w="760" w:type="dxa"/>
            <w:vAlign w:val="bottom"/>
          </w:tcPr>
          <w:p>
            <w:pPr>
              <w:spacing w:after="0" w:line="121" w:lineRule="exact"/>
              <w:rPr>
                <w:sz w:val="20"/>
                <w:szCs w:val="20"/>
                <w:color w:val="auto"/>
              </w:rPr>
            </w:pPr>
            <w:r>
              <w:rPr>
                <w:rFonts w:ascii="Arial" w:cs="Arial" w:eastAsia="Arial" w:hAnsi="Arial"/>
                <w:sz w:val="12"/>
                <w:szCs w:val="12"/>
                <w:b w:val="1"/>
                <w:bCs w:val="1"/>
                <w:color w:val="005A64"/>
              </w:rPr>
              <w:t>Richardson</w:t>
            </w:r>
          </w:p>
        </w:tc>
        <w:tc>
          <w:tcPr>
            <w:tcW w:w="20" w:type="dxa"/>
            <w:vAlign w:val="bottom"/>
          </w:tcPr>
          <w:p>
            <w:pPr>
              <w:spacing w:after="0"/>
              <w:rPr>
                <w:sz w:val="10"/>
                <w:szCs w:val="10"/>
                <w:color w:val="auto"/>
              </w:rPr>
            </w:pPr>
          </w:p>
        </w:tc>
        <w:tc>
          <w:tcPr>
            <w:tcW w:w="600" w:type="dxa"/>
            <w:vAlign w:val="bottom"/>
            <w:gridSpan w:val="3"/>
          </w:tcPr>
          <w:p>
            <w:pPr>
              <w:spacing w:after="0" w:line="121" w:lineRule="exact"/>
              <w:rPr>
                <w:sz w:val="20"/>
                <w:szCs w:val="20"/>
                <w:color w:val="auto"/>
              </w:rPr>
            </w:pPr>
            <w:r>
              <w:rPr>
                <w:rFonts w:ascii="Arial" w:cs="Arial" w:eastAsia="Arial" w:hAnsi="Arial"/>
                <w:sz w:val="12"/>
                <w:szCs w:val="12"/>
                <w:b w:val="1"/>
                <w:bCs w:val="1"/>
                <w:color w:val="005A64"/>
              </w:rPr>
              <w:t>Ryan,</w:t>
            </w:r>
          </w:p>
        </w:tc>
        <w:tc>
          <w:tcPr>
            <w:tcW w:w="20" w:type="dxa"/>
            <w:vAlign w:val="bottom"/>
          </w:tcPr>
          <w:p>
            <w:pPr>
              <w:spacing w:after="0"/>
              <w:rPr>
                <w:sz w:val="10"/>
                <w:szCs w:val="10"/>
                <w:color w:val="auto"/>
              </w:rPr>
            </w:pPr>
          </w:p>
        </w:tc>
        <w:tc>
          <w:tcPr>
            <w:tcW w:w="620" w:type="dxa"/>
            <w:vAlign w:val="bottom"/>
          </w:tcPr>
          <w:p>
            <w:pPr>
              <w:ind w:left="20"/>
              <w:spacing w:after="0" w:line="121" w:lineRule="exact"/>
              <w:rPr>
                <w:sz w:val="20"/>
                <w:szCs w:val="20"/>
                <w:color w:val="auto"/>
              </w:rPr>
            </w:pPr>
            <w:r>
              <w:rPr>
                <w:rFonts w:ascii="Arial" w:cs="Arial" w:eastAsia="Arial" w:hAnsi="Arial"/>
                <w:sz w:val="12"/>
                <w:szCs w:val="12"/>
                <w:b w:val="1"/>
                <w:bCs w:val="1"/>
                <w:color w:val="005A64"/>
              </w:rPr>
              <w:t>Özlem</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spacing w:after="0" w:line="121" w:lineRule="exact"/>
              <w:rPr>
                <w:sz w:val="20"/>
                <w:szCs w:val="20"/>
                <w:color w:val="auto"/>
              </w:rPr>
            </w:pPr>
            <w:r>
              <w:rPr>
                <w:rFonts w:ascii="Arial" w:cs="Arial" w:eastAsia="Arial" w:hAnsi="Arial"/>
                <w:sz w:val="12"/>
                <w:szCs w:val="12"/>
                <w:b w:val="1"/>
                <w:bCs w:val="1"/>
                <w:color w:val="005A64"/>
              </w:rPr>
              <w:t>Sahin,</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restart"/>
          </w:tcPr>
          <w:p>
            <w:pPr>
              <w:ind w:left="20"/>
              <w:spacing w:after="0" w:line="121" w:lineRule="exact"/>
              <w:rPr>
                <w:sz w:val="20"/>
                <w:szCs w:val="20"/>
                <w:color w:val="auto"/>
              </w:rPr>
            </w:pPr>
            <w:r>
              <w:rPr>
                <w:rFonts w:ascii="Arial" w:cs="Arial" w:eastAsia="Arial" w:hAnsi="Arial"/>
                <w:sz w:val="12"/>
                <w:szCs w:val="12"/>
                <w:b w:val="1"/>
                <w:bCs w:val="1"/>
                <w:color w:val="005A64"/>
              </w:rPr>
              <w:t>Ph.D.</w:t>
            </w: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gridSpan w:val="2"/>
            <w:vMerge w:val="restart"/>
          </w:tcPr>
          <w:p>
            <w:pPr>
              <w:spacing w:after="0"/>
              <w:rPr>
                <w:sz w:val="20"/>
                <w:szCs w:val="20"/>
                <w:color w:val="auto"/>
              </w:rPr>
            </w:pPr>
            <w:r>
              <w:rPr>
                <w:rFonts w:ascii="Arial" w:cs="Arial" w:eastAsia="Arial" w:hAnsi="Arial"/>
                <w:sz w:val="12"/>
                <w:szCs w:val="12"/>
                <w:b w:val="1"/>
                <w:bCs w:val="1"/>
                <w:color w:val="005A64"/>
                <w:w w:val="97"/>
              </w:rPr>
              <w:t>Ph.D.</w:t>
            </w:r>
          </w:p>
        </w:tc>
        <w:tc>
          <w:tcPr>
            <w:tcW w:w="280" w:type="dxa"/>
            <w:vAlign w:val="bottom"/>
            <w:vMerge w:val="restart"/>
          </w:tcPr>
          <w:p>
            <w:pPr>
              <w:jc w:val="right"/>
              <w:ind w:right="140"/>
              <w:spacing w:after="0"/>
              <w:rPr>
                <w:sz w:val="20"/>
                <w:szCs w:val="20"/>
                <w:color w:val="auto"/>
              </w:rPr>
            </w:pPr>
            <w:r>
              <w:rPr>
                <w:rFonts w:ascii="Arial" w:cs="Arial" w:eastAsia="Arial" w:hAnsi="Arial"/>
                <w:sz w:val="8"/>
                <w:szCs w:val="8"/>
                <w:b w:val="1"/>
                <w:bCs w:val="1"/>
                <w:color w:val="005A64"/>
                <w:w w:val="81"/>
              </w:rPr>
              <w:t>(2)</w:t>
            </w:r>
          </w:p>
        </w:tc>
        <w:tc>
          <w:tcPr>
            <w:tcW w:w="20" w:type="dxa"/>
            <w:vAlign w:val="bottom"/>
          </w:tcPr>
          <w:p>
            <w:pPr>
              <w:spacing w:after="0"/>
              <w:rPr>
                <w:sz w:val="8"/>
                <w:szCs w:val="8"/>
                <w:color w:val="auto"/>
              </w:rPr>
            </w:pPr>
          </w:p>
        </w:tc>
        <w:tc>
          <w:tcPr>
            <w:tcW w:w="620" w:type="dxa"/>
            <w:vAlign w:val="bottom"/>
            <w:vMerge w:val="restart"/>
          </w:tcPr>
          <w:p>
            <w:pPr>
              <w:ind w:left="20"/>
              <w:spacing w:after="0" w:line="121" w:lineRule="exact"/>
              <w:rPr>
                <w:sz w:val="20"/>
                <w:szCs w:val="20"/>
                <w:color w:val="auto"/>
              </w:rPr>
            </w:pPr>
            <w:r>
              <w:rPr>
                <w:rFonts w:ascii="Arial" w:cs="Arial" w:eastAsia="Arial" w:hAnsi="Arial"/>
                <w:sz w:val="12"/>
                <w:szCs w:val="12"/>
                <w:b w:val="1"/>
                <w:bCs w:val="1"/>
                <w:color w:val="005A64"/>
              </w:rPr>
              <w:t>Türeci,</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005A64"/>
              </w:rPr>
              <w:t>M.D.</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005A64"/>
              </w:rPr>
              <w:t>M.D.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1400" w:type="dxa"/>
            <w:vAlign w:val="bottom"/>
            <w:tcBorders>
              <w:bottom w:val="single" w:sz="8" w:color="005A64"/>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Borders>
              <w:bottom w:val="single" w:sz="8" w:color="005A64"/>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005A64"/>
            </w:tcBorders>
          </w:tcPr>
          <w:p>
            <w:pPr>
              <w:spacing w:after="0"/>
              <w:rPr>
                <w:sz w:val="7"/>
                <w:szCs w:val="7"/>
                <w:color w:val="auto"/>
              </w:rPr>
            </w:pPr>
          </w:p>
        </w:tc>
        <w:tc>
          <w:tcPr>
            <w:tcW w:w="100" w:type="dxa"/>
            <w:vAlign w:val="bottom"/>
            <w:tcBorders>
              <w:bottom w:val="single" w:sz="8" w:color="005A64"/>
            </w:tcBorders>
          </w:tcPr>
          <w:p>
            <w:pPr>
              <w:spacing w:after="0"/>
              <w:rPr>
                <w:sz w:val="7"/>
                <w:szCs w:val="7"/>
                <w:color w:val="auto"/>
              </w:rPr>
            </w:pPr>
          </w:p>
        </w:tc>
        <w:tc>
          <w:tcPr>
            <w:tcW w:w="420" w:type="dxa"/>
            <w:vAlign w:val="bottom"/>
            <w:tcBorders>
              <w:bottom w:val="single" w:sz="8" w:color="005A64"/>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005A64"/>
            </w:tcBorders>
          </w:tcPr>
          <w:p>
            <w:pPr>
              <w:spacing w:after="0"/>
              <w:rPr>
                <w:sz w:val="7"/>
                <w:szCs w:val="7"/>
                <w:color w:val="auto"/>
              </w:rPr>
            </w:pPr>
          </w:p>
        </w:tc>
        <w:tc>
          <w:tcPr>
            <w:tcW w:w="400" w:type="dxa"/>
            <w:vAlign w:val="bottom"/>
            <w:tcBorders>
              <w:bottom w:val="single" w:sz="8" w:color="005A64"/>
            </w:tcBorders>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Borders>
              <w:bottom w:val="single" w:sz="8" w:color="005A64"/>
            </w:tcBorders>
          </w:tcPr>
          <w:p>
            <w:pPr>
              <w:spacing w:after="0"/>
              <w:rPr>
                <w:sz w:val="7"/>
                <w:szCs w:val="7"/>
                <w:color w:val="auto"/>
              </w:rPr>
            </w:pPr>
          </w:p>
        </w:tc>
        <w:tc>
          <w:tcPr>
            <w:tcW w:w="80" w:type="dxa"/>
            <w:vAlign w:val="bottom"/>
            <w:tcBorders>
              <w:bottom w:val="single" w:sz="8" w:color="005A64"/>
            </w:tcBorders>
          </w:tcPr>
          <w:p>
            <w:pPr>
              <w:spacing w:after="0"/>
              <w:rPr>
                <w:sz w:val="7"/>
                <w:szCs w:val="7"/>
                <w:color w:val="auto"/>
              </w:rPr>
            </w:pPr>
          </w:p>
        </w:tc>
        <w:tc>
          <w:tcPr>
            <w:tcW w:w="160" w:type="dxa"/>
            <w:vAlign w:val="bottom"/>
            <w:tcBorders>
              <w:bottom w:val="single" w:sz="8" w:color="005A64"/>
            </w:tcBorders>
          </w:tcPr>
          <w:p>
            <w:pPr>
              <w:spacing w:after="0"/>
              <w:rPr>
                <w:sz w:val="7"/>
                <w:szCs w:val="7"/>
                <w:color w:val="auto"/>
              </w:rPr>
            </w:pPr>
          </w:p>
        </w:tc>
        <w:tc>
          <w:tcPr>
            <w:tcW w:w="240" w:type="dxa"/>
            <w:vAlign w:val="bottom"/>
            <w:tcBorders>
              <w:bottom w:val="single" w:sz="8" w:color="005A64"/>
            </w:tcBorders>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Borders>
              <w:bottom w:val="single" w:sz="8" w:color="005A64"/>
            </w:tcBorders>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Borders>
              <w:bottom w:val="single" w:sz="8" w:color="005A64"/>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005A64"/>
            </w:tcBorders>
          </w:tcPr>
          <w:p>
            <w:pPr>
              <w:spacing w:after="0"/>
              <w:rPr>
                <w:sz w:val="7"/>
                <w:szCs w:val="7"/>
                <w:color w:val="auto"/>
              </w:rPr>
            </w:pPr>
          </w:p>
        </w:tc>
        <w:tc>
          <w:tcPr>
            <w:tcW w:w="120" w:type="dxa"/>
            <w:vAlign w:val="bottom"/>
            <w:tcBorders>
              <w:bottom w:val="single" w:sz="8" w:color="005A64"/>
            </w:tcBorders>
          </w:tcPr>
          <w:p>
            <w:pPr>
              <w:spacing w:after="0"/>
              <w:rPr>
                <w:sz w:val="7"/>
                <w:szCs w:val="7"/>
                <w:color w:val="auto"/>
              </w:rPr>
            </w:pPr>
          </w:p>
        </w:tc>
        <w:tc>
          <w:tcPr>
            <w:tcW w:w="280" w:type="dxa"/>
            <w:vAlign w:val="bottom"/>
            <w:tcBorders>
              <w:bottom w:val="single" w:sz="8" w:color="005A64"/>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Borders>
              <w:bottom w:val="single" w:sz="8" w:color="005A64"/>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400" w:type="dxa"/>
            <w:vAlign w:val="bottom"/>
            <w:tcBorders>
              <w:bottom w:val="single" w:sz="8" w:color="BECD32"/>
            </w:tcBorders>
          </w:tcPr>
          <w:p>
            <w:pPr>
              <w:ind w:left="20"/>
              <w:spacing w:after="0" w:line="182" w:lineRule="exact"/>
              <w:rPr>
                <w:sz w:val="20"/>
                <w:szCs w:val="20"/>
                <w:color w:val="auto"/>
              </w:rPr>
            </w:pPr>
            <w:r>
              <w:rPr>
                <w:rFonts w:ascii="Arial" w:cs="Arial" w:eastAsia="Arial" w:hAnsi="Arial"/>
                <w:sz w:val="12"/>
                <w:szCs w:val="12"/>
                <w:b w:val="1"/>
                <w:bCs w:val="1"/>
                <w:color w:val="3C9673"/>
              </w:rPr>
              <w:t>Fixed compensation</w:t>
            </w:r>
            <w:r>
              <w:rPr>
                <w:rFonts w:ascii="Arial" w:cs="Arial" w:eastAsia="Arial" w:hAnsi="Arial"/>
                <w:sz w:val="16"/>
                <w:szCs w:val="16"/>
                <w:b w:val="1"/>
                <w:bCs w:val="1"/>
                <w:color w:val="3C9673"/>
                <w:vertAlign w:val="superscript"/>
              </w:rPr>
              <w:t>(1)</w:t>
            </w:r>
          </w:p>
        </w:tc>
        <w:tc>
          <w:tcPr>
            <w:tcW w:w="20" w:type="dxa"/>
            <w:vAlign w:val="bottom"/>
            <w:tcBorders>
              <w:bottom w:val="single" w:sz="8" w:color="BECD32"/>
            </w:tcBorders>
          </w:tcPr>
          <w:p>
            <w:pPr>
              <w:spacing w:after="0"/>
              <w:rPr>
                <w:sz w:val="15"/>
                <w:szCs w:val="15"/>
                <w:color w:val="auto"/>
              </w:rPr>
            </w:pPr>
          </w:p>
        </w:tc>
        <w:tc>
          <w:tcPr>
            <w:tcW w:w="620" w:type="dxa"/>
            <w:vAlign w:val="bottom"/>
            <w:tcBorders>
              <w:bottom w:val="single" w:sz="8" w:color="BECD32"/>
            </w:tcBorders>
          </w:tcPr>
          <w:p>
            <w:pPr>
              <w:spacing w:after="0"/>
              <w:rPr>
                <w:sz w:val="15"/>
                <w:szCs w:val="15"/>
                <w:color w:val="auto"/>
              </w:rPr>
            </w:pPr>
          </w:p>
        </w:tc>
        <w:tc>
          <w:tcPr>
            <w:tcW w:w="20" w:type="dxa"/>
            <w:vAlign w:val="bottom"/>
            <w:tcBorders>
              <w:bottom w:val="single" w:sz="8" w:color="BECD32"/>
            </w:tcBorders>
          </w:tcPr>
          <w:p>
            <w:pPr>
              <w:spacing w:after="0"/>
              <w:rPr>
                <w:sz w:val="15"/>
                <w:szCs w:val="15"/>
                <w:color w:val="auto"/>
              </w:rPr>
            </w:pPr>
          </w:p>
        </w:tc>
        <w:tc>
          <w:tcPr>
            <w:tcW w:w="200" w:type="dxa"/>
            <w:vAlign w:val="bottom"/>
            <w:tcBorders>
              <w:bottom w:val="single" w:sz="8" w:color="BECD32"/>
            </w:tcBorders>
          </w:tcPr>
          <w:p>
            <w:pPr>
              <w:spacing w:after="0"/>
              <w:rPr>
                <w:sz w:val="15"/>
                <w:szCs w:val="15"/>
                <w:color w:val="auto"/>
              </w:rPr>
            </w:pPr>
          </w:p>
        </w:tc>
        <w:tc>
          <w:tcPr>
            <w:tcW w:w="100" w:type="dxa"/>
            <w:vAlign w:val="bottom"/>
            <w:tcBorders>
              <w:bottom w:val="single" w:sz="8" w:color="BECD32"/>
            </w:tcBorders>
          </w:tcPr>
          <w:p>
            <w:pPr>
              <w:spacing w:after="0"/>
              <w:rPr>
                <w:sz w:val="15"/>
                <w:szCs w:val="15"/>
                <w:color w:val="auto"/>
              </w:rPr>
            </w:pPr>
          </w:p>
        </w:tc>
        <w:tc>
          <w:tcPr>
            <w:tcW w:w="420" w:type="dxa"/>
            <w:vAlign w:val="bottom"/>
            <w:tcBorders>
              <w:bottom w:val="single" w:sz="8" w:color="BECD32"/>
            </w:tcBorders>
          </w:tcPr>
          <w:p>
            <w:pPr>
              <w:spacing w:after="0"/>
              <w:rPr>
                <w:sz w:val="15"/>
                <w:szCs w:val="15"/>
                <w:color w:val="auto"/>
              </w:rPr>
            </w:pPr>
          </w:p>
        </w:tc>
        <w:tc>
          <w:tcPr>
            <w:tcW w:w="20" w:type="dxa"/>
            <w:vAlign w:val="bottom"/>
            <w:tcBorders>
              <w:bottom w:val="single" w:sz="8" w:color="BECD32"/>
            </w:tcBorders>
          </w:tcPr>
          <w:p>
            <w:pPr>
              <w:spacing w:after="0"/>
              <w:rPr>
                <w:sz w:val="15"/>
                <w:szCs w:val="15"/>
                <w:color w:val="auto"/>
              </w:rPr>
            </w:pPr>
          </w:p>
        </w:tc>
        <w:tc>
          <w:tcPr>
            <w:tcW w:w="200" w:type="dxa"/>
            <w:vAlign w:val="bottom"/>
            <w:tcBorders>
              <w:bottom w:val="single" w:sz="8" w:color="BECD32"/>
            </w:tcBorders>
          </w:tcPr>
          <w:p>
            <w:pPr>
              <w:spacing w:after="0"/>
              <w:rPr>
                <w:sz w:val="15"/>
                <w:szCs w:val="15"/>
                <w:color w:val="auto"/>
              </w:rPr>
            </w:pPr>
          </w:p>
        </w:tc>
        <w:tc>
          <w:tcPr>
            <w:tcW w:w="400" w:type="dxa"/>
            <w:vAlign w:val="bottom"/>
            <w:tcBorders>
              <w:bottom w:val="single" w:sz="8" w:color="BECD32"/>
            </w:tcBorders>
          </w:tcPr>
          <w:p>
            <w:pPr>
              <w:spacing w:after="0"/>
              <w:rPr>
                <w:sz w:val="15"/>
                <w:szCs w:val="15"/>
                <w:color w:val="auto"/>
              </w:rPr>
            </w:pPr>
          </w:p>
        </w:tc>
        <w:tc>
          <w:tcPr>
            <w:tcW w:w="40" w:type="dxa"/>
            <w:vAlign w:val="bottom"/>
            <w:tcBorders>
              <w:bottom w:val="single" w:sz="8" w:color="BECD32"/>
            </w:tcBorders>
          </w:tcPr>
          <w:p>
            <w:pPr>
              <w:spacing w:after="0"/>
              <w:rPr>
                <w:sz w:val="15"/>
                <w:szCs w:val="15"/>
                <w:color w:val="auto"/>
              </w:rPr>
            </w:pPr>
          </w:p>
        </w:tc>
        <w:tc>
          <w:tcPr>
            <w:tcW w:w="120" w:type="dxa"/>
            <w:vAlign w:val="bottom"/>
            <w:tcBorders>
              <w:bottom w:val="single" w:sz="8" w:color="BECD32"/>
            </w:tcBorders>
          </w:tcPr>
          <w:p>
            <w:pPr>
              <w:spacing w:after="0"/>
              <w:rPr>
                <w:sz w:val="15"/>
                <w:szCs w:val="15"/>
                <w:color w:val="auto"/>
              </w:rPr>
            </w:pPr>
          </w:p>
        </w:tc>
        <w:tc>
          <w:tcPr>
            <w:tcW w:w="80" w:type="dxa"/>
            <w:vAlign w:val="bottom"/>
            <w:tcBorders>
              <w:bottom w:val="single" w:sz="8" w:color="BECD32"/>
            </w:tcBorders>
          </w:tcPr>
          <w:p>
            <w:pPr>
              <w:spacing w:after="0"/>
              <w:rPr>
                <w:sz w:val="15"/>
                <w:szCs w:val="15"/>
                <w:color w:val="auto"/>
              </w:rPr>
            </w:pPr>
          </w:p>
        </w:tc>
        <w:tc>
          <w:tcPr>
            <w:tcW w:w="160" w:type="dxa"/>
            <w:vAlign w:val="bottom"/>
            <w:tcBorders>
              <w:bottom w:val="single" w:sz="8" w:color="BECD32"/>
            </w:tcBorders>
          </w:tcPr>
          <w:p>
            <w:pPr>
              <w:spacing w:after="0"/>
              <w:rPr>
                <w:sz w:val="15"/>
                <w:szCs w:val="15"/>
                <w:color w:val="auto"/>
              </w:rPr>
            </w:pPr>
          </w:p>
        </w:tc>
        <w:tc>
          <w:tcPr>
            <w:tcW w:w="240" w:type="dxa"/>
            <w:vAlign w:val="bottom"/>
            <w:tcBorders>
              <w:bottom w:val="single" w:sz="8" w:color="BECD32"/>
            </w:tcBorders>
          </w:tcPr>
          <w:p>
            <w:pPr>
              <w:spacing w:after="0"/>
              <w:rPr>
                <w:sz w:val="15"/>
                <w:szCs w:val="15"/>
                <w:color w:val="auto"/>
              </w:rPr>
            </w:pPr>
          </w:p>
        </w:tc>
        <w:tc>
          <w:tcPr>
            <w:tcW w:w="20" w:type="dxa"/>
            <w:vAlign w:val="bottom"/>
            <w:tcBorders>
              <w:bottom w:val="single" w:sz="8" w:color="BECD32"/>
            </w:tcBorders>
          </w:tcPr>
          <w:p>
            <w:pPr>
              <w:spacing w:after="0"/>
              <w:rPr>
                <w:sz w:val="15"/>
                <w:szCs w:val="15"/>
                <w:color w:val="auto"/>
              </w:rPr>
            </w:pPr>
          </w:p>
        </w:tc>
        <w:tc>
          <w:tcPr>
            <w:tcW w:w="640" w:type="dxa"/>
            <w:vAlign w:val="bottom"/>
            <w:tcBorders>
              <w:bottom w:val="single" w:sz="8" w:color="BECD32"/>
            </w:tcBorders>
          </w:tcPr>
          <w:p>
            <w:pPr>
              <w:spacing w:after="0"/>
              <w:rPr>
                <w:sz w:val="15"/>
                <w:szCs w:val="15"/>
                <w:color w:val="auto"/>
              </w:rPr>
            </w:pPr>
          </w:p>
        </w:tc>
        <w:tc>
          <w:tcPr>
            <w:tcW w:w="20" w:type="dxa"/>
            <w:vAlign w:val="bottom"/>
            <w:tcBorders>
              <w:bottom w:val="single" w:sz="8" w:color="BECD32"/>
            </w:tcBorders>
          </w:tcPr>
          <w:p>
            <w:pPr>
              <w:spacing w:after="0"/>
              <w:rPr>
                <w:sz w:val="15"/>
                <w:szCs w:val="15"/>
                <w:color w:val="auto"/>
              </w:rPr>
            </w:pPr>
          </w:p>
        </w:tc>
        <w:tc>
          <w:tcPr>
            <w:tcW w:w="760" w:type="dxa"/>
            <w:vAlign w:val="bottom"/>
            <w:tcBorders>
              <w:bottom w:val="single" w:sz="8" w:color="BECD32"/>
            </w:tcBorders>
          </w:tcPr>
          <w:p>
            <w:pPr>
              <w:spacing w:after="0"/>
              <w:rPr>
                <w:sz w:val="15"/>
                <w:szCs w:val="15"/>
                <w:color w:val="auto"/>
              </w:rPr>
            </w:pPr>
          </w:p>
        </w:tc>
        <w:tc>
          <w:tcPr>
            <w:tcW w:w="20" w:type="dxa"/>
            <w:vAlign w:val="bottom"/>
            <w:tcBorders>
              <w:bottom w:val="single" w:sz="8" w:color="BECD32"/>
            </w:tcBorders>
          </w:tcPr>
          <w:p>
            <w:pPr>
              <w:spacing w:after="0"/>
              <w:rPr>
                <w:sz w:val="15"/>
                <w:szCs w:val="15"/>
                <w:color w:val="auto"/>
              </w:rPr>
            </w:pPr>
          </w:p>
        </w:tc>
        <w:tc>
          <w:tcPr>
            <w:tcW w:w="200" w:type="dxa"/>
            <w:vAlign w:val="bottom"/>
            <w:tcBorders>
              <w:bottom w:val="single" w:sz="8" w:color="BECD32"/>
            </w:tcBorders>
          </w:tcPr>
          <w:p>
            <w:pPr>
              <w:spacing w:after="0"/>
              <w:rPr>
                <w:sz w:val="15"/>
                <w:szCs w:val="15"/>
                <w:color w:val="auto"/>
              </w:rPr>
            </w:pPr>
          </w:p>
        </w:tc>
        <w:tc>
          <w:tcPr>
            <w:tcW w:w="120" w:type="dxa"/>
            <w:vAlign w:val="bottom"/>
            <w:tcBorders>
              <w:bottom w:val="single" w:sz="8" w:color="BECD32"/>
            </w:tcBorders>
          </w:tcPr>
          <w:p>
            <w:pPr>
              <w:spacing w:after="0"/>
              <w:rPr>
                <w:sz w:val="15"/>
                <w:szCs w:val="15"/>
                <w:color w:val="auto"/>
              </w:rPr>
            </w:pPr>
          </w:p>
        </w:tc>
        <w:tc>
          <w:tcPr>
            <w:tcW w:w="280" w:type="dxa"/>
            <w:vAlign w:val="bottom"/>
            <w:tcBorders>
              <w:bottom w:val="single" w:sz="8" w:color="BECD32"/>
            </w:tcBorders>
          </w:tcPr>
          <w:p>
            <w:pPr>
              <w:spacing w:after="0"/>
              <w:rPr>
                <w:sz w:val="15"/>
                <w:szCs w:val="15"/>
                <w:color w:val="auto"/>
              </w:rPr>
            </w:pPr>
          </w:p>
        </w:tc>
        <w:tc>
          <w:tcPr>
            <w:tcW w:w="20" w:type="dxa"/>
            <w:vAlign w:val="bottom"/>
            <w:tcBorders>
              <w:bottom w:val="single" w:sz="8" w:color="BECD32"/>
            </w:tcBorders>
          </w:tcPr>
          <w:p>
            <w:pPr>
              <w:spacing w:after="0"/>
              <w:rPr>
                <w:sz w:val="15"/>
                <w:szCs w:val="15"/>
                <w:color w:val="auto"/>
              </w:rPr>
            </w:pPr>
          </w:p>
        </w:tc>
        <w:tc>
          <w:tcPr>
            <w:tcW w:w="620" w:type="dxa"/>
            <w:vAlign w:val="bottom"/>
            <w:tcBorders>
              <w:bottom w:val="single" w:sz="8" w:color="BECD32"/>
            </w:tcBorders>
          </w:tcPr>
          <w:p>
            <w:pPr>
              <w:spacing w:after="0"/>
              <w:rPr>
                <w:sz w:val="15"/>
                <w:szCs w:val="15"/>
                <w:color w:val="auto"/>
              </w:rPr>
            </w:pPr>
          </w:p>
        </w:tc>
        <w:tc>
          <w:tcPr>
            <w:tcW w:w="40" w:type="dxa"/>
            <w:vAlign w:val="bottom"/>
            <w:tcBorders>
              <w:bottom w:val="single" w:sz="8" w:color="BECD32"/>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400" w:type="dxa"/>
            <w:vAlign w:val="bottom"/>
            <w:tcBorders>
              <w:left w:val="single" w:sz="8" w:color="BECD32"/>
            </w:tcBorders>
          </w:tcPr>
          <w:p>
            <w:pPr>
              <w:ind w:left="20"/>
              <w:spacing w:after="0"/>
              <w:rPr>
                <w:sz w:val="20"/>
                <w:szCs w:val="20"/>
                <w:color w:val="auto"/>
              </w:rPr>
            </w:pPr>
            <w:r>
              <w:rPr>
                <w:rFonts w:ascii="Arial" w:cs="Arial" w:eastAsia="Arial" w:hAnsi="Arial"/>
                <w:sz w:val="12"/>
                <w:szCs w:val="12"/>
                <w:color w:val="005A64"/>
              </w:rPr>
              <w:t>2024</w:t>
            </w:r>
          </w:p>
        </w:tc>
        <w:tc>
          <w:tcPr>
            <w:tcW w:w="640" w:type="dxa"/>
            <w:vAlign w:val="bottom"/>
            <w:gridSpan w:val="2"/>
          </w:tcPr>
          <w:p>
            <w:pPr>
              <w:ind w:left="20"/>
              <w:spacing w:after="0"/>
              <w:rPr>
                <w:sz w:val="20"/>
                <w:szCs w:val="20"/>
                <w:color w:val="auto"/>
              </w:rPr>
            </w:pPr>
            <w:r>
              <w:rPr>
                <w:rFonts w:ascii="Arial" w:cs="Arial" w:eastAsia="Arial" w:hAnsi="Arial"/>
                <w:sz w:val="12"/>
                <w:szCs w:val="12"/>
                <w:color w:val="005A64"/>
              </w:rPr>
              <w:t>700</w:t>
            </w:r>
          </w:p>
        </w:tc>
        <w:tc>
          <w:tcPr>
            <w:tcW w:w="220" w:type="dxa"/>
            <w:vAlign w:val="bottom"/>
            <w:gridSpan w:val="2"/>
            <w:vMerge w:val="restart"/>
          </w:tcPr>
          <w:p>
            <w:pPr>
              <w:ind w:left="20"/>
              <w:spacing w:after="0"/>
              <w:rPr>
                <w:sz w:val="20"/>
                <w:szCs w:val="20"/>
                <w:color w:val="auto"/>
              </w:rPr>
            </w:pPr>
            <w:r>
              <w:rPr>
                <w:rFonts w:ascii="Arial" w:cs="Arial" w:eastAsia="Arial" w:hAnsi="Arial"/>
                <w:sz w:val="12"/>
                <w:szCs w:val="12"/>
                <w:color w:val="005A64"/>
                <w:w w:val="89"/>
              </w:rPr>
              <w:t>275</w:t>
            </w:r>
          </w:p>
        </w:tc>
        <w:tc>
          <w:tcPr>
            <w:tcW w:w="520" w:type="dxa"/>
            <w:vAlign w:val="bottom"/>
            <w:gridSpan w:val="2"/>
          </w:tcPr>
          <w:p>
            <w:pPr>
              <w:jc w:val="right"/>
              <w:ind w:right="320"/>
              <w:spacing w:after="0"/>
              <w:rPr>
                <w:sz w:val="20"/>
                <w:szCs w:val="20"/>
                <w:color w:val="auto"/>
              </w:rPr>
            </w:pPr>
            <w:r>
              <w:rPr>
                <w:rFonts w:ascii="Arial" w:cs="Arial" w:eastAsia="Arial" w:hAnsi="Arial"/>
                <w:sz w:val="8"/>
                <w:szCs w:val="8"/>
                <w:color w:val="005A64"/>
                <w:w w:val="98"/>
              </w:rPr>
              <w:t>(11)</w:t>
            </w:r>
          </w:p>
        </w:tc>
        <w:tc>
          <w:tcPr>
            <w:tcW w:w="220" w:type="dxa"/>
            <w:vAlign w:val="bottom"/>
            <w:gridSpan w:val="2"/>
          </w:tcPr>
          <w:p>
            <w:pPr>
              <w:ind w:left="20"/>
              <w:spacing w:after="0"/>
              <w:rPr>
                <w:sz w:val="20"/>
                <w:szCs w:val="20"/>
                <w:color w:val="auto"/>
              </w:rPr>
            </w:pPr>
            <w:r>
              <w:rPr>
                <w:rFonts w:ascii="Arial" w:cs="Arial" w:eastAsia="Arial" w:hAnsi="Arial"/>
                <w:sz w:val="12"/>
                <w:szCs w:val="12"/>
                <w:color w:val="005A64"/>
                <w:w w:val="89"/>
              </w:rPr>
              <w:t>550</w:t>
            </w:r>
          </w:p>
        </w:tc>
        <w:tc>
          <w:tcPr>
            <w:tcW w:w="400" w:type="dxa"/>
            <w:vAlign w:val="bottom"/>
          </w:tcPr>
          <w:p>
            <w:pPr>
              <w:spacing w:after="0"/>
              <w:rPr>
                <w:sz w:val="13"/>
                <w:szCs w:val="13"/>
                <w:color w:val="auto"/>
              </w:rPr>
            </w:pPr>
          </w:p>
        </w:tc>
        <w:tc>
          <w:tcPr>
            <w:tcW w:w="240" w:type="dxa"/>
            <w:vAlign w:val="bottom"/>
            <w:gridSpan w:val="3"/>
          </w:tcPr>
          <w:p>
            <w:pPr>
              <w:ind w:left="40"/>
              <w:spacing w:after="0"/>
              <w:rPr>
                <w:sz w:val="20"/>
                <w:szCs w:val="20"/>
                <w:color w:val="auto"/>
              </w:rPr>
            </w:pPr>
            <w:r>
              <w:rPr>
                <w:rFonts w:ascii="Arial" w:cs="Arial" w:eastAsia="Arial" w:hAnsi="Arial"/>
                <w:sz w:val="12"/>
                <w:szCs w:val="12"/>
                <w:color w:val="005A64"/>
                <w:w w:val="89"/>
              </w:rPr>
              <w:t>275</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color w:val="005A64"/>
              </w:rPr>
              <w:t>550</w:t>
            </w:r>
          </w:p>
        </w:tc>
        <w:tc>
          <w:tcPr>
            <w:tcW w:w="780" w:type="dxa"/>
            <w:vAlign w:val="bottom"/>
            <w:gridSpan w:val="2"/>
          </w:tcPr>
          <w:p>
            <w:pPr>
              <w:ind w:left="20"/>
              <w:spacing w:after="0"/>
              <w:rPr>
                <w:sz w:val="20"/>
                <w:szCs w:val="20"/>
                <w:color w:val="auto"/>
              </w:rPr>
            </w:pPr>
            <w:r>
              <w:rPr>
                <w:rFonts w:ascii="Arial" w:cs="Arial" w:eastAsia="Arial" w:hAnsi="Arial"/>
                <w:sz w:val="12"/>
                <w:szCs w:val="12"/>
                <w:color w:val="005A64"/>
              </w:rPr>
              <w:t>550</w:t>
            </w:r>
          </w:p>
        </w:tc>
        <w:tc>
          <w:tcPr>
            <w:tcW w:w="220" w:type="dxa"/>
            <w:vAlign w:val="bottom"/>
            <w:gridSpan w:val="2"/>
          </w:tcPr>
          <w:p>
            <w:pPr>
              <w:ind w:left="20"/>
              <w:spacing w:after="0"/>
              <w:rPr>
                <w:sz w:val="20"/>
                <w:szCs w:val="20"/>
                <w:color w:val="auto"/>
              </w:rPr>
            </w:pPr>
            <w:r>
              <w:rPr>
                <w:rFonts w:ascii="Arial" w:cs="Arial" w:eastAsia="Arial" w:hAnsi="Arial"/>
                <w:sz w:val="12"/>
                <w:szCs w:val="12"/>
                <w:color w:val="005A64"/>
                <w:w w:val="89"/>
              </w:rPr>
              <w:t>550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color w:val="005A64"/>
              </w:rPr>
              <w:t>550</w:t>
            </w:r>
          </w:p>
        </w:tc>
        <w:tc>
          <w:tcPr>
            <w:tcW w:w="40" w:type="dxa"/>
            <w:vAlign w:val="bottom"/>
            <w:tcBorders>
              <w:right w:val="single" w:sz="8" w:color="BECD32"/>
            </w:tcBorders>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400" w:type="dxa"/>
            <w:vAlign w:val="bottom"/>
            <w:tcBorders>
              <w:left w:val="single" w:sz="8" w:color="BECD32"/>
              <w:bottom w:val="single" w:sz="8" w:color="BECD32"/>
            </w:tcBorders>
          </w:tcPr>
          <w:p>
            <w:pPr>
              <w:spacing w:after="0"/>
              <w:rPr>
                <w:sz w:val="2"/>
                <w:szCs w:val="2"/>
                <w:color w:val="auto"/>
              </w:rPr>
            </w:pPr>
          </w:p>
        </w:tc>
        <w:tc>
          <w:tcPr>
            <w:tcW w:w="20" w:type="dxa"/>
            <w:vAlign w:val="bottom"/>
            <w:tcBorders>
              <w:bottom w:val="single" w:sz="8" w:color="BECD32"/>
            </w:tcBorders>
          </w:tcPr>
          <w:p>
            <w:pPr>
              <w:spacing w:after="0"/>
              <w:rPr>
                <w:sz w:val="2"/>
                <w:szCs w:val="2"/>
                <w:color w:val="auto"/>
              </w:rPr>
            </w:pPr>
          </w:p>
        </w:tc>
        <w:tc>
          <w:tcPr>
            <w:tcW w:w="620" w:type="dxa"/>
            <w:vAlign w:val="bottom"/>
            <w:tcBorders>
              <w:bottom w:val="single" w:sz="8" w:color="BECD32"/>
            </w:tcBorders>
          </w:tcPr>
          <w:p>
            <w:pPr>
              <w:spacing w:after="0"/>
              <w:rPr>
                <w:sz w:val="2"/>
                <w:szCs w:val="2"/>
                <w:color w:val="auto"/>
              </w:rPr>
            </w:pPr>
          </w:p>
        </w:tc>
        <w:tc>
          <w:tcPr>
            <w:tcW w:w="220" w:type="dxa"/>
            <w:vAlign w:val="bottom"/>
            <w:tcBorders>
              <w:bottom w:val="single" w:sz="8" w:color="BECD32"/>
            </w:tcBorders>
            <w:gridSpan w:val="2"/>
            <w:vMerge w:val="continue"/>
          </w:tcPr>
          <w:p>
            <w:pPr>
              <w:spacing w:after="0"/>
              <w:rPr>
                <w:sz w:val="2"/>
                <w:szCs w:val="2"/>
                <w:color w:val="auto"/>
              </w:rPr>
            </w:pPr>
          </w:p>
        </w:tc>
        <w:tc>
          <w:tcPr>
            <w:tcW w:w="100" w:type="dxa"/>
            <w:vAlign w:val="bottom"/>
            <w:tcBorders>
              <w:bottom w:val="single" w:sz="8" w:color="BECD32"/>
            </w:tcBorders>
          </w:tcPr>
          <w:p>
            <w:pPr>
              <w:spacing w:after="0"/>
              <w:rPr>
                <w:sz w:val="2"/>
                <w:szCs w:val="2"/>
                <w:color w:val="auto"/>
              </w:rPr>
            </w:pPr>
          </w:p>
        </w:tc>
        <w:tc>
          <w:tcPr>
            <w:tcW w:w="420" w:type="dxa"/>
            <w:vAlign w:val="bottom"/>
            <w:tcBorders>
              <w:bottom w:val="single" w:sz="8" w:color="BECD32"/>
            </w:tcBorders>
          </w:tcPr>
          <w:p>
            <w:pPr>
              <w:spacing w:after="0"/>
              <w:rPr>
                <w:sz w:val="2"/>
                <w:szCs w:val="2"/>
                <w:color w:val="auto"/>
              </w:rPr>
            </w:pPr>
          </w:p>
        </w:tc>
        <w:tc>
          <w:tcPr>
            <w:tcW w:w="20" w:type="dxa"/>
            <w:vAlign w:val="bottom"/>
            <w:tcBorders>
              <w:bottom w:val="single" w:sz="8" w:color="BECD32"/>
            </w:tcBorders>
          </w:tcPr>
          <w:p>
            <w:pPr>
              <w:spacing w:after="0"/>
              <w:rPr>
                <w:sz w:val="2"/>
                <w:szCs w:val="2"/>
                <w:color w:val="auto"/>
              </w:rPr>
            </w:pPr>
          </w:p>
        </w:tc>
        <w:tc>
          <w:tcPr>
            <w:tcW w:w="200" w:type="dxa"/>
            <w:vAlign w:val="bottom"/>
            <w:tcBorders>
              <w:bottom w:val="single" w:sz="8" w:color="BECD32"/>
            </w:tcBorders>
          </w:tcPr>
          <w:p>
            <w:pPr>
              <w:spacing w:after="0"/>
              <w:rPr>
                <w:sz w:val="2"/>
                <w:szCs w:val="2"/>
                <w:color w:val="auto"/>
              </w:rPr>
            </w:pPr>
          </w:p>
        </w:tc>
        <w:tc>
          <w:tcPr>
            <w:tcW w:w="400" w:type="dxa"/>
            <w:vAlign w:val="bottom"/>
            <w:tcBorders>
              <w:bottom w:val="single" w:sz="8" w:color="BECD32"/>
            </w:tcBorders>
          </w:tcPr>
          <w:p>
            <w:pPr>
              <w:spacing w:after="0"/>
              <w:rPr>
                <w:sz w:val="2"/>
                <w:szCs w:val="2"/>
                <w:color w:val="auto"/>
              </w:rPr>
            </w:pPr>
          </w:p>
        </w:tc>
        <w:tc>
          <w:tcPr>
            <w:tcW w:w="40" w:type="dxa"/>
            <w:vAlign w:val="bottom"/>
            <w:tcBorders>
              <w:bottom w:val="single" w:sz="8" w:color="BECD32"/>
            </w:tcBorders>
          </w:tcPr>
          <w:p>
            <w:pPr>
              <w:spacing w:after="0"/>
              <w:rPr>
                <w:sz w:val="2"/>
                <w:szCs w:val="2"/>
                <w:color w:val="auto"/>
              </w:rPr>
            </w:pPr>
          </w:p>
        </w:tc>
        <w:tc>
          <w:tcPr>
            <w:tcW w:w="120" w:type="dxa"/>
            <w:vAlign w:val="bottom"/>
            <w:tcBorders>
              <w:bottom w:val="single" w:sz="8" w:color="BECD32"/>
            </w:tcBorders>
          </w:tcPr>
          <w:p>
            <w:pPr>
              <w:spacing w:after="0"/>
              <w:rPr>
                <w:sz w:val="2"/>
                <w:szCs w:val="2"/>
                <w:color w:val="auto"/>
              </w:rPr>
            </w:pPr>
          </w:p>
        </w:tc>
        <w:tc>
          <w:tcPr>
            <w:tcW w:w="80" w:type="dxa"/>
            <w:vAlign w:val="bottom"/>
            <w:tcBorders>
              <w:bottom w:val="single" w:sz="8" w:color="BECD32"/>
            </w:tcBorders>
          </w:tcPr>
          <w:p>
            <w:pPr>
              <w:spacing w:after="0"/>
              <w:rPr>
                <w:sz w:val="2"/>
                <w:szCs w:val="2"/>
                <w:color w:val="auto"/>
              </w:rPr>
            </w:pPr>
          </w:p>
        </w:tc>
        <w:tc>
          <w:tcPr>
            <w:tcW w:w="160" w:type="dxa"/>
            <w:vAlign w:val="bottom"/>
            <w:tcBorders>
              <w:bottom w:val="single" w:sz="8" w:color="BECD32"/>
            </w:tcBorders>
          </w:tcPr>
          <w:p>
            <w:pPr>
              <w:spacing w:after="0"/>
              <w:rPr>
                <w:sz w:val="2"/>
                <w:szCs w:val="2"/>
                <w:color w:val="auto"/>
              </w:rPr>
            </w:pPr>
          </w:p>
        </w:tc>
        <w:tc>
          <w:tcPr>
            <w:tcW w:w="240" w:type="dxa"/>
            <w:vAlign w:val="bottom"/>
            <w:tcBorders>
              <w:bottom w:val="single" w:sz="8" w:color="BECD32"/>
            </w:tcBorders>
          </w:tcPr>
          <w:p>
            <w:pPr>
              <w:spacing w:after="0"/>
              <w:rPr>
                <w:sz w:val="2"/>
                <w:szCs w:val="2"/>
                <w:color w:val="auto"/>
              </w:rPr>
            </w:pPr>
          </w:p>
        </w:tc>
        <w:tc>
          <w:tcPr>
            <w:tcW w:w="20" w:type="dxa"/>
            <w:vAlign w:val="bottom"/>
            <w:tcBorders>
              <w:bottom w:val="single" w:sz="8" w:color="BECD32"/>
            </w:tcBorders>
          </w:tcPr>
          <w:p>
            <w:pPr>
              <w:spacing w:after="0"/>
              <w:rPr>
                <w:sz w:val="2"/>
                <w:szCs w:val="2"/>
                <w:color w:val="auto"/>
              </w:rPr>
            </w:pPr>
          </w:p>
        </w:tc>
        <w:tc>
          <w:tcPr>
            <w:tcW w:w="640" w:type="dxa"/>
            <w:vAlign w:val="bottom"/>
            <w:tcBorders>
              <w:bottom w:val="single" w:sz="8" w:color="BECD32"/>
            </w:tcBorders>
          </w:tcPr>
          <w:p>
            <w:pPr>
              <w:spacing w:after="0"/>
              <w:rPr>
                <w:sz w:val="2"/>
                <w:szCs w:val="2"/>
                <w:color w:val="auto"/>
              </w:rPr>
            </w:pPr>
          </w:p>
        </w:tc>
        <w:tc>
          <w:tcPr>
            <w:tcW w:w="20" w:type="dxa"/>
            <w:vAlign w:val="bottom"/>
            <w:tcBorders>
              <w:bottom w:val="single" w:sz="8" w:color="BECD32"/>
            </w:tcBorders>
          </w:tcPr>
          <w:p>
            <w:pPr>
              <w:spacing w:after="0"/>
              <w:rPr>
                <w:sz w:val="2"/>
                <w:szCs w:val="2"/>
                <w:color w:val="auto"/>
              </w:rPr>
            </w:pPr>
          </w:p>
        </w:tc>
        <w:tc>
          <w:tcPr>
            <w:tcW w:w="760" w:type="dxa"/>
            <w:vAlign w:val="bottom"/>
            <w:tcBorders>
              <w:bottom w:val="single" w:sz="8" w:color="BECD32"/>
            </w:tcBorders>
          </w:tcPr>
          <w:p>
            <w:pPr>
              <w:spacing w:after="0"/>
              <w:rPr>
                <w:sz w:val="2"/>
                <w:szCs w:val="2"/>
                <w:color w:val="auto"/>
              </w:rPr>
            </w:pPr>
          </w:p>
        </w:tc>
        <w:tc>
          <w:tcPr>
            <w:tcW w:w="20" w:type="dxa"/>
            <w:vAlign w:val="bottom"/>
            <w:tcBorders>
              <w:bottom w:val="single" w:sz="8" w:color="BECD32"/>
            </w:tcBorders>
          </w:tcPr>
          <w:p>
            <w:pPr>
              <w:spacing w:after="0"/>
              <w:rPr>
                <w:sz w:val="2"/>
                <w:szCs w:val="2"/>
                <w:color w:val="auto"/>
              </w:rPr>
            </w:pPr>
          </w:p>
        </w:tc>
        <w:tc>
          <w:tcPr>
            <w:tcW w:w="200" w:type="dxa"/>
            <w:vAlign w:val="bottom"/>
            <w:tcBorders>
              <w:bottom w:val="single" w:sz="8" w:color="BECD32"/>
            </w:tcBorders>
          </w:tcPr>
          <w:p>
            <w:pPr>
              <w:spacing w:after="0"/>
              <w:rPr>
                <w:sz w:val="2"/>
                <w:szCs w:val="2"/>
                <w:color w:val="auto"/>
              </w:rPr>
            </w:pPr>
          </w:p>
        </w:tc>
        <w:tc>
          <w:tcPr>
            <w:tcW w:w="120" w:type="dxa"/>
            <w:vAlign w:val="bottom"/>
            <w:tcBorders>
              <w:bottom w:val="single" w:sz="8" w:color="BECD32"/>
            </w:tcBorders>
          </w:tcPr>
          <w:p>
            <w:pPr>
              <w:spacing w:after="0"/>
              <w:rPr>
                <w:sz w:val="2"/>
                <w:szCs w:val="2"/>
                <w:color w:val="auto"/>
              </w:rPr>
            </w:pPr>
          </w:p>
        </w:tc>
        <w:tc>
          <w:tcPr>
            <w:tcW w:w="280" w:type="dxa"/>
            <w:vAlign w:val="bottom"/>
            <w:tcBorders>
              <w:bottom w:val="single" w:sz="8" w:color="BECD32"/>
            </w:tcBorders>
          </w:tcPr>
          <w:p>
            <w:pPr>
              <w:spacing w:after="0"/>
              <w:rPr>
                <w:sz w:val="2"/>
                <w:szCs w:val="2"/>
                <w:color w:val="auto"/>
              </w:rPr>
            </w:pPr>
          </w:p>
        </w:tc>
        <w:tc>
          <w:tcPr>
            <w:tcW w:w="20" w:type="dxa"/>
            <w:vAlign w:val="bottom"/>
            <w:tcBorders>
              <w:bottom w:val="single" w:sz="8" w:color="BECD32"/>
            </w:tcBorders>
          </w:tcPr>
          <w:p>
            <w:pPr>
              <w:spacing w:after="0"/>
              <w:rPr>
                <w:sz w:val="2"/>
                <w:szCs w:val="2"/>
                <w:color w:val="auto"/>
              </w:rPr>
            </w:pPr>
          </w:p>
        </w:tc>
        <w:tc>
          <w:tcPr>
            <w:tcW w:w="620" w:type="dxa"/>
            <w:vAlign w:val="bottom"/>
            <w:tcBorders>
              <w:bottom w:val="single" w:sz="8" w:color="BECD32"/>
            </w:tcBorders>
          </w:tcPr>
          <w:p>
            <w:pPr>
              <w:spacing w:after="0"/>
              <w:rPr>
                <w:sz w:val="2"/>
                <w:szCs w:val="2"/>
                <w:color w:val="auto"/>
              </w:rPr>
            </w:pPr>
          </w:p>
        </w:tc>
        <w:tc>
          <w:tcPr>
            <w:tcW w:w="40" w:type="dxa"/>
            <w:vAlign w:val="bottom"/>
            <w:tcBorders>
              <w:bottom w:val="single" w:sz="8" w:color="BECD32"/>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400" w:type="dxa"/>
            <w:vAlign w:val="bottom"/>
          </w:tcPr>
          <w:p>
            <w:pPr>
              <w:ind w:left="20"/>
              <w:spacing w:after="0"/>
              <w:rPr>
                <w:sz w:val="20"/>
                <w:szCs w:val="20"/>
                <w:color w:val="auto"/>
              </w:rPr>
            </w:pPr>
            <w:r>
              <w:rPr>
                <w:rFonts w:ascii="Arial" w:cs="Arial" w:eastAsia="Arial" w:hAnsi="Arial"/>
                <w:sz w:val="12"/>
                <w:szCs w:val="12"/>
                <w:color w:val="005A64"/>
              </w:rPr>
              <w:t>2023</w:t>
            </w:r>
          </w:p>
        </w:tc>
        <w:tc>
          <w:tcPr>
            <w:tcW w:w="640" w:type="dxa"/>
            <w:vAlign w:val="bottom"/>
            <w:gridSpan w:val="2"/>
          </w:tcPr>
          <w:p>
            <w:pPr>
              <w:ind w:left="20"/>
              <w:spacing w:after="0"/>
              <w:rPr>
                <w:sz w:val="20"/>
                <w:szCs w:val="20"/>
                <w:color w:val="auto"/>
              </w:rPr>
            </w:pPr>
            <w:r>
              <w:rPr>
                <w:rFonts w:ascii="Arial" w:cs="Arial" w:eastAsia="Arial" w:hAnsi="Arial"/>
                <w:sz w:val="12"/>
                <w:szCs w:val="12"/>
                <w:color w:val="005A64"/>
              </w:rPr>
              <w:t>700</w:t>
            </w:r>
          </w:p>
        </w:tc>
        <w:tc>
          <w:tcPr>
            <w:tcW w:w="2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gridSpan w:val="2"/>
          </w:tcPr>
          <w:p>
            <w:pPr>
              <w:ind w:left="20"/>
              <w:spacing w:after="0"/>
              <w:rPr>
                <w:sz w:val="20"/>
                <w:szCs w:val="20"/>
                <w:color w:val="auto"/>
              </w:rPr>
            </w:pPr>
            <w:r>
              <w:rPr>
                <w:rFonts w:ascii="Arial" w:cs="Arial" w:eastAsia="Arial" w:hAnsi="Arial"/>
                <w:sz w:val="12"/>
                <w:szCs w:val="12"/>
                <w:color w:val="005A64"/>
                <w:w w:val="89"/>
              </w:rPr>
              <w:t>550</w:t>
            </w:r>
          </w:p>
        </w:tc>
        <w:tc>
          <w:tcPr>
            <w:tcW w:w="400" w:type="dxa"/>
            <w:vAlign w:val="bottom"/>
          </w:tcPr>
          <w:p>
            <w:pPr>
              <w:spacing w:after="0"/>
              <w:rPr>
                <w:sz w:val="13"/>
                <w:szCs w:val="13"/>
                <w:color w:val="auto"/>
              </w:rPr>
            </w:pPr>
          </w:p>
        </w:tc>
        <w:tc>
          <w:tcPr>
            <w:tcW w:w="240" w:type="dxa"/>
            <w:vAlign w:val="bottom"/>
            <w:gridSpan w:val="3"/>
          </w:tcPr>
          <w:p>
            <w:pPr>
              <w:ind w:left="40"/>
              <w:spacing w:after="0"/>
              <w:rPr>
                <w:sz w:val="20"/>
                <w:szCs w:val="20"/>
                <w:color w:val="auto"/>
              </w:rPr>
            </w:pPr>
            <w:r>
              <w:rPr>
                <w:rFonts w:ascii="Arial" w:cs="Arial" w:eastAsia="Arial" w:hAnsi="Arial"/>
                <w:sz w:val="12"/>
                <w:szCs w:val="12"/>
                <w:color w:val="005A64"/>
                <w:w w:val="89"/>
              </w:rPr>
              <w:t>550</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color w:val="005A64"/>
              </w:rPr>
              <w:t>550</w:t>
            </w:r>
          </w:p>
        </w:tc>
        <w:tc>
          <w:tcPr>
            <w:tcW w:w="780" w:type="dxa"/>
            <w:vAlign w:val="bottom"/>
            <w:gridSpan w:val="2"/>
          </w:tcPr>
          <w:p>
            <w:pPr>
              <w:ind w:left="20"/>
              <w:spacing w:after="0"/>
              <w:rPr>
                <w:sz w:val="20"/>
                <w:szCs w:val="20"/>
                <w:color w:val="auto"/>
              </w:rPr>
            </w:pPr>
            <w:r>
              <w:rPr>
                <w:rFonts w:ascii="Arial" w:cs="Arial" w:eastAsia="Arial" w:hAnsi="Arial"/>
                <w:sz w:val="12"/>
                <w:szCs w:val="12"/>
                <w:color w:val="005A64"/>
              </w:rPr>
              <w:t>550</w:t>
            </w:r>
          </w:p>
        </w:tc>
        <w:tc>
          <w:tcPr>
            <w:tcW w:w="220" w:type="dxa"/>
            <w:vAlign w:val="bottom"/>
            <w:gridSpan w:val="2"/>
          </w:tcPr>
          <w:p>
            <w:pPr>
              <w:ind w:left="20"/>
              <w:spacing w:after="0"/>
              <w:rPr>
                <w:sz w:val="20"/>
                <w:szCs w:val="20"/>
                <w:color w:val="auto"/>
              </w:rPr>
            </w:pPr>
            <w:r>
              <w:rPr>
                <w:rFonts w:ascii="Arial" w:cs="Arial" w:eastAsia="Arial" w:hAnsi="Arial"/>
                <w:sz w:val="12"/>
                <w:szCs w:val="12"/>
                <w:color w:val="005A64"/>
                <w:w w:val="89"/>
              </w:rPr>
              <w:t>183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color w:val="005A64"/>
              </w:rPr>
              <w:t>550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400" w:type="dxa"/>
            <w:vAlign w:val="bottom"/>
            <w:tcBorders>
              <w:bottom w:val="single" w:sz="8" w:color="BECD32"/>
            </w:tcBorders>
          </w:tcPr>
          <w:p>
            <w:pPr>
              <w:ind w:left="20"/>
              <w:spacing w:after="0"/>
              <w:rPr>
                <w:sz w:val="20"/>
                <w:szCs w:val="20"/>
                <w:color w:val="auto"/>
              </w:rPr>
            </w:pPr>
            <w:r>
              <w:rPr>
                <w:rFonts w:ascii="Arial" w:cs="Arial" w:eastAsia="Arial" w:hAnsi="Arial"/>
                <w:sz w:val="12"/>
                <w:szCs w:val="12"/>
                <w:b w:val="1"/>
                <w:bCs w:val="1"/>
                <w:color w:val="3C9673"/>
              </w:rPr>
              <w:t>Fringe benefits</w:t>
            </w:r>
            <w:r>
              <w:rPr>
                <w:rFonts w:ascii="Arial" w:cs="Arial" w:eastAsia="Arial" w:hAnsi="Arial"/>
                <w:sz w:val="16"/>
                <w:szCs w:val="16"/>
                <w:b w:val="1"/>
                <w:bCs w:val="1"/>
                <w:color w:val="3C9673"/>
                <w:vertAlign w:val="superscript"/>
              </w:rPr>
              <w:t>(3)</w:t>
            </w:r>
          </w:p>
        </w:tc>
        <w:tc>
          <w:tcPr>
            <w:tcW w:w="20" w:type="dxa"/>
            <w:vAlign w:val="bottom"/>
            <w:tcBorders>
              <w:bottom w:val="single" w:sz="8" w:color="BECD32"/>
            </w:tcBorders>
          </w:tcPr>
          <w:p>
            <w:pPr>
              <w:spacing w:after="0"/>
              <w:rPr>
                <w:sz w:val="20"/>
                <w:szCs w:val="20"/>
                <w:color w:val="auto"/>
              </w:rPr>
            </w:pPr>
          </w:p>
        </w:tc>
        <w:tc>
          <w:tcPr>
            <w:tcW w:w="620" w:type="dxa"/>
            <w:vAlign w:val="bottom"/>
            <w:tcBorders>
              <w:bottom w:val="single" w:sz="8" w:color="BECD32"/>
            </w:tcBorders>
          </w:tcPr>
          <w:p>
            <w:pPr>
              <w:spacing w:after="0"/>
              <w:rPr>
                <w:sz w:val="20"/>
                <w:szCs w:val="20"/>
                <w:color w:val="auto"/>
              </w:rPr>
            </w:pPr>
          </w:p>
        </w:tc>
        <w:tc>
          <w:tcPr>
            <w:tcW w:w="20" w:type="dxa"/>
            <w:vAlign w:val="bottom"/>
            <w:tcBorders>
              <w:bottom w:val="single" w:sz="8" w:color="BECD32"/>
            </w:tcBorders>
          </w:tcPr>
          <w:p>
            <w:pPr>
              <w:spacing w:after="0"/>
              <w:rPr>
                <w:sz w:val="20"/>
                <w:szCs w:val="20"/>
                <w:color w:val="auto"/>
              </w:rPr>
            </w:pPr>
          </w:p>
        </w:tc>
        <w:tc>
          <w:tcPr>
            <w:tcW w:w="200" w:type="dxa"/>
            <w:vAlign w:val="bottom"/>
            <w:tcBorders>
              <w:bottom w:val="single" w:sz="8" w:color="BECD32"/>
            </w:tcBorders>
          </w:tcPr>
          <w:p>
            <w:pPr>
              <w:spacing w:after="0"/>
              <w:rPr>
                <w:sz w:val="20"/>
                <w:szCs w:val="20"/>
                <w:color w:val="auto"/>
              </w:rPr>
            </w:pPr>
          </w:p>
        </w:tc>
        <w:tc>
          <w:tcPr>
            <w:tcW w:w="100" w:type="dxa"/>
            <w:vAlign w:val="bottom"/>
            <w:tcBorders>
              <w:bottom w:val="single" w:sz="8" w:color="BECD32"/>
            </w:tcBorders>
          </w:tcPr>
          <w:p>
            <w:pPr>
              <w:spacing w:after="0"/>
              <w:rPr>
                <w:sz w:val="20"/>
                <w:szCs w:val="20"/>
                <w:color w:val="auto"/>
              </w:rPr>
            </w:pPr>
          </w:p>
        </w:tc>
        <w:tc>
          <w:tcPr>
            <w:tcW w:w="420" w:type="dxa"/>
            <w:vAlign w:val="bottom"/>
            <w:tcBorders>
              <w:bottom w:val="single" w:sz="8" w:color="BECD32"/>
            </w:tcBorders>
          </w:tcPr>
          <w:p>
            <w:pPr>
              <w:spacing w:after="0"/>
              <w:rPr>
                <w:sz w:val="20"/>
                <w:szCs w:val="20"/>
                <w:color w:val="auto"/>
              </w:rPr>
            </w:pPr>
          </w:p>
        </w:tc>
        <w:tc>
          <w:tcPr>
            <w:tcW w:w="20" w:type="dxa"/>
            <w:vAlign w:val="bottom"/>
            <w:tcBorders>
              <w:bottom w:val="single" w:sz="8" w:color="BECD32"/>
            </w:tcBorders>
          </w:tcPr>
          <w:p>
            <w:pPr>
              <w:spacing w:after="0"/>
              <w:rPr>
                <w:sz w:val="20"/>
                <w:szCs w:val="20"/>
                <w:color w:val="auto"/>
              </w:rPr>
            </w:pPr>
          </w:p>
        </w:tc>
        <w:tc>
          <w:tcPr>
            <w:tcW w:w="200" w:type="dxa"/>
            <w:vAlign w:val="bottom"/>
            <w:tcBorders>
              <w:bottom w:val="single" w:sz="8" w:color="BECD32"/>
            </w:tcBorders>
          </w:tcPr>
          <w:p>
            <w:pPr>
              <w:spacing w:after="0"/>
              <w:rPr>
                <w:sz w:val="20"/>
                <w:szCs w:val="20"/>
                <w:color w:val="auto"/>
              </w:rPr>
            </w:pPr>
          </w:p>
        </w:tc>
        <w:tc>
          <w:tcPr>
            <w:tcW w:w="400" w:type="dxa"/>
            <w:vAlign w:val="bottom"/>
            <w:tcBorders>
              <w:bottom w:val="single" w:sz="8" w:color="BECD32"/>
            </w:tcBorders>
          </w:tcPr>
          <w:p>
            <w:pPr>
              <w:spacing w:after="0"/>
              <w:rPr>
                <w:sz w:val="20"/>
                <w:szCs w:val="20"/>
                <w:color w:val="auto"/>
              </w:rPr>
            </w:pPr>
          </w:p>
        </w:tc>
        <w:tc>
          <w:tcPr>
            <w:tcW w:w="40" w:type="dxa"/>
            <w:vAlign w:val="bottom"/>
            <w:tcBorders>
              <w:bottom w:val="single" w:sz="8" w:color="BECD32"/>
            </w:tcBorders>
          </w:tcPr>
          <w:p>
            <w:pPr>
              <w:spacing w:after="0"/>
              <w:rPr>
                <w:sz w:val="20"/>
                <w:szCs w:val="20"/>
                <w:color w:val="auto"/>
              </w:rPr>
            </w:pPr>
          </w:p>
        </w:tc>
        <w:tc>
          <w:tcPr>
            <w:tcW w:w="120" w:type="dxa"/>
            <w:vAlign w:val="bottom"/>
            <w:tcBorders>
              <w:bottom w:val="single" w:sz="8" w:color="BECD32"/>
            </w:tcBorders>
          </w:tcPr>
          <w:p>
            <w:pPr>
              <w:spacing w:after="0"/>
              <w:rPr>
                <w:sz w:val="20"/>
                <w:szCs w:val="20"/>
                <w:color w:val="auto"/>
              </w:rPr>
            </w:pPr>
          </w:p>
        </w:tc>
        <w:tc>
          <w:tcPr>
            <w:tcW w:w="80" w:type="dxa"/>
            <w:vAlign w:val="bottom"/>
            <w:tcBorders>
              <w:bottom w:val="single" w:sz="8" w:color="BECD32"/>
            </w:tcBorders>
          </w:tcPr>
          <w:p>
            <w:pPr>
              <w:spacing w:after="0"/>
              <w:rPr>
                <w:sz w:val="20"/>
                <w:szCs w:val="20"/>
                <w:color w:val="auto"/>
              </w:rPr>
            </w:pPr>
          </w:p>
        </w:tc>
        <w:tc>
          <w:tcPr>
            <w:tcW w:w="160" w:type="dxa"/>
            <w:vAlign w:val="bottom"/>
            <w:tcBorders>
              <w:bottom w:val="single" w:sz="8" w:color="BECD32"/>
            </w:tcBorders>
          </w:tcPr>
          <w:p>
            <w:pPr>
              <w:spacing w:after="0"/>
              <w:rPr>
                <w:sz w:val="20"/>
                <w:szCs w:val="20"/>
                <w:color w:val="auto"/>
              </w:rPr>
            </w:pPr>
          </w:p>
        </w:tc>
        <w:tc>
          <w:tcPr>
            <w:tcW w:w="240" w:type="dxa"/>
            <w:vAlign w:val="bottom"/>
            <w:tcBorders>
              <w:bottom w:val="single" w:sz="8" w:color="BECD32"/>
            </w:tcBorders>
          </w:tcPr>
          <w:p>
            <w:pPr>
              <w:spacing w:after="0"/>
              <w:rPr>
                <w:sz w:val="20"/>
                <w:szCs w:val="20"/>
                <w:color w:val="auto"/>
              </w:rPr>
            </w:pPr>
          </w:p>
        </w:tc>
        <w:tc>
          <w:tcPr>
            <w:tcW w:w="20" w:type="dxa"/>
            <w:vAlign w:val="bottom"/>
            <w:tcBorders>
              <w:bottom w:val="single" w:sz="8" w:color="BECD32"/>
            </w:tcBorders>
          </w:tcPr>
          <w:p>
            <w:pPr>
              <w:spacing w:after="0"/>
              <w:rPr>
                <w:sz w:val="20"/>
                <w:szCs w:val="20"/>
                <w:color w:val="auto"/>
              </w:rPr>
            </w:pPr>
          </w:p>
        </w:tc>
        <w:tc>
          <w:tcPr>
            <w:tcW w:w="640" w:type="dxa"/>
            <w:vAlign w:val="bottom"/>
            <w:tcBorders>
              <w:bottom w:val="single" w:sz="8" w:color="BECD32"/>
            </w:tcBorders>
          </w:tcPr>
          <w:p>
            <w:pPr>
              <w:spacing w:after="0"/>
              <w:rPr>
                <w:sz w:val="20"/>
                <w:szCs w:val="20"/>
                <w:color w:val="auto"/>
              </w:rPr>
            </w:pPr>
          </w:p>
        </w:tc>
        <w:tc>
          <w:tcPr>
            <w:tcW w:w="20" w:type="dxa"/>
            <w:vAlign w:val="bottom"/>
            <w:tcBorders>
              <w:bottom w:val="single" w:sz="8" w:color="BECD32"/>
            </w:tcBorders>
          </w:tcPr>
          <w:p>
            <w:pPr>
              <w:spacing w:after="0"/>
              <w:rPr>
                <w:sz w:val="20"/>
                <w:szCs w:val="20"/>
                <w:color w:val="auto"/>
              </w:rPr>
            </w:pPr>
          </w:p>
        </w:tc>
        <w:tc>
          <w:tcPr>
            <w:tcW w:w="760" w:type="dxa"/>
            <w:vAlign w:val="bottom"/>
            <w:tcBorders>
              <w:bottom w:val="single" w:sz="8" w:color="BECD32"/>
            </w:tcBorders>
          </w:tcPr>
          <w:p>
            <w:pPr>
              <w:spacing w:after="0"/>
              <w:rPr>
                <w:sz w:val="20"/>
                <w:szCs w:val="20"/>
                <w:color w:val="auto"/>
              </w:rPr>
            </w:pPr>
          </w:p>
        </w:tc>
        <w:tc>
          <w:tcPr>
            <w:tcW w:w="20" w:type="dxa"/>
            <w:vAlign w:val="bottom"/>
            <w:tcBorders>
              <w:bottom w:val="single" w:sz="8" w:color="BECD32"/>
            </w:tcBorders>
          </w:tcPr>
          <w:p>
            <w:pPr>
              <w:spacing w:after="0"/>
              <w:rPr>
                <w:sz w:val="20"/>
                <w:szCs w:val="20"/>
                <w:color w:val="auto"/>
              </w:rPr>
            </w:pPr>
          </w:p>
        </w:tc>
        <w:tc>
          <w:tcPr>
            <w:tcW w:w="200" w:type="dxa"/>
            <w:vAlign w:val="bottom"/>
            <w:tcBorders>
              <w:bottom w:val="single" w:sz="8" w:color="BECD32"/>
            </w:tcBorders>
          </w:tcPr>
          <w:p>
            <w:pPr>
              <w:spacing w:after="0"/>
              <w:rPr>
                <w:sz w:val="20"/>
                <w:szCs w:val="20"/>
                <w:color w:val="auto"/>
              </w:rPr>
            </w:pPr>
          </w:p>
        </w:tc>
        <w:tc>
          <w:tcPr>
            <w:tcW w:w="120" w:type="dxa"/>
            <w:vAlign w:val="bottom"/>
            <w:tcBorders>
              <w:bottom w:val="single" w:sz="8" w:color="BECD32"/>
            </w:tcBorders>
          </w:tcPr>
          <w:p>
            <w:pPr>
              <w:spacing w:after="0"/>
              <w:rPr>
                <w:sz w:val="20"/>
                <w:szCs w:val="20"/>
                <w:color w:val="auto"/>
              </w:rPr>
            </w:pPr>
          </w:p>
        </w:tc>
        <w:tc>
          <w:tcPr>
            <w:tcW w:w="280" w:type="dxa"/>
            <w:vAlign w:val="bottom"/>
            <w:tcBorders>
              <w:bottom w:val="single" w:sz="8" w:color="BECD32"/>
            </w:tcBorders>
          </w:tcPr>
          <w:p>
            <w:pPr>
              <w:spacing w:after="0"/>
              <w:rPr>
                <w:sz w:val="20"/>
                <w:szCs w:val="20"/>
                <w:color w:val="auto"/>
              </w:rPr>
            </w:pPr>
          </w:p>
        </w:tc>
        <w:tc>
          <w:tcPr>
            <w:tcW w:w="20" w:type="dxa"/>
            <w:vAlign w:val="bottom"/>
            <w:tcBorders>
              <w:bottom w:val="single" w:sz="8" w:color="BECD32"/>
            </w:tcBorders>
          </w:tcPr>
          <w:p>
            <w:pPr>
              <w:spacing w:after="0"/>
              <w:rPr>
                <w:sz w:val="20"/>
                <w:szCs w:val="20"/>
                <w:color w:val="auto"/>
              </w:rPr>
            </w:pPr>
          </w:p>
        </w:tc>
        <w:tc>
          <w:tcPr>
            <w:tcW w:w="620" w:type="dxa"/>
            <w:vAlign w:val="bottom"/>
            <w:tcBorders>
              <w:bottom w:val="single" w:sz="8" w:color="BECD32"/>
            </w:tcBorders>
          </w:tcPr>
          <w:p>
            <w:pPr>
              <w:spacing w:after="0"/>
              <w:rPr>
                <w:sz w:val="20"/>
                <w:szCs w:val="20"/>
                <w:color w:val="auto"/>
              </w:rPr>
            </w:pPr>
          </w:p>
        </w:tc>
        <w:tc>
          <w:tcPr>
            <w:tcW w:w="40" w:type="dxa"/>
            <w:vAlign w:val="bottom"/>
            <w:tcBorders>
              <w:bottom w:val="single" w:sz="8" w:color="BECD32"/>
            </w:tcBorders>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1400" w:type="dxa"/>
            <w:vAlign w:val="bottom"/>
            <w:tcBorders>
              <w:left w:val="single" w:sz="8" w:color="BECD32"/>
            </w:tcBorders>
          </w:tcPr>
          <w:p>
            <w:pPr>
              <w:ind w:left="20"/>
              <w:spacing w:after="0"/>
              <w:rPr>
                <w:sz w:val="20"/>
                <w:szCs w:val="20"/>
                <w:color w:val="auto"/>
              </w:rPr>
            </w:pPr>
            <w:r>
              <w:rPr>
                <w:rFonts w:ascii="Arial" w:cs="Arial" w:eastAsia="Arial" w:hAnsi="Arial"/>
                <w:sz w:val="12"/>
                <w:szCs w:val="12"/>
                <w:color w:val="005A64"/>
              </w:rPr>
              <w:t>2024</w:t>
            </w:r>
          </w:p>
        </w:tc>
        <w:tc>
          <w:tcPr>
            <w:tcW w:w="640" w:type="dxa"/>
            <w:vAlign w:val="bottom"/>
            <w:gridSpan w:val="2"/>
          </w:tcPr>
          <w:p>
            <w:pPr>
              <w:ind w:left="20"/>
              <w:spacing w:after="0"/>
              <w:rPr>
                <w:sz w:val="20"/>
                <w:szCs w:val="20"/>
                <w:color w:val="auto"/>
              </w:rPr>
            </w:pPr>
            <w:r>
              <w:rPr>
                <w:rFonts w:ascii="Arial" w:cs="Arial" w:eastAsia="Arial" w:hAnsi="Arial"/>
                <w:sz w:val="12"/>
                <w:szCs w:val="12"/>
                <w:color w:val="005A64"/>
              </w:rPr>
              <w:t>5</w:t>
            </w:r>
          </w:p>
        </w:tc>
        <w:tc>
          <w:tcPr>
            <w:tcW w:w="220" w:type="dxa"/>
            <w:vAlign w:val="bottom"/>
            <w:gridSpan w:val="2"/>
          </w:tcPr>
          <w:p>
            <w:pPr>
              <w:ind w:left="20"/>
              <w:spacing w:after="0"/>
              <w:rPr>
                <w:sz w:val="20"/>
                <w:szCs w:val="20"/>
                <w:color w:val="auto"/>
              </w:rPr>
            </w:pPr>
            <w:r>
              <w:rPr>
                <w:rFonts w:ascii="Arial" w:cs="Arial" w:eastAsia="Arial" w:hAnsi="Arial"/>
                <w:sz w:val="12"/>
                <w:szCs w:val="12"/>
                <w:color w:val="005A64"/>
              </w:rPr>
              <w:t>64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gridSpan w:val="2"/>
          </w:tcPr>
          <w:p>
            <w:pPr>
              <w:ind w:left="20"/>
              <w:spacing w:after="0"/>
              <w:rPr>
                <w:sz w:val="20"/>
                <w:szCs w:val="20"/>
                <w:color w:val="auto"/>
              </w:rPr>
            </w:pPr>
            <w:r>
              <w:rPr>
                <w:rFonts w:ascii="Arial" w:cs="Arial" w:eastAsia="Arial" w:hAnsi="Arial"/>
                <w:sz w:val="12"/>
                <w:szCs w:val="12"/>
                <w:color w:val="005A64"/>
              </w:rPr>
              <w:t>5</w:t>
            </w:r>
          </w:p>
        </w:tc>
        <w:tc>
          <w:tcPr>
            <w:tcW w:w="400" w:type="dxa"/>
            <w:vAlign w:val="bottom"/>
          </w:tcPr>
          <w:p>
            <w:pPr>
              <w:spacing w:after="0"/>
              <w:rPr>
                <w:sz w:val="13"/>
                <w:szCs w:val="13"/>
                <w:color w:val="auto"/>
              </w:rPr>
            </w:pPr>
          </w:p>
        </w:tc>
        <w:tc>
          <w:tcPr>
            <w:tcW w:w="240" w:type="dxa"/>
            <w:vAlign w:val="bottom"/>
            <w:gridSpan w:val="3"/>
          </w:tcPr>
          <w:p>
            <w:pPr>
              <w:ind w:left="40"/>
              <w:spacing w:after="0"/>
              <w:rPr>
                <w:sz w:val="20"/>
                <w:szCs w:val="20"/>
                <w:color w:val="auto"/>
              </w:rPr>
            </w:pPr>
            <w:r>
              <w:rPr>
                <w:rFonts w:ascii="Arial" w:cs="Arial" w:eastAsia="Arial" w:hAnsi="Arial"/>
                <w:sz w:val="12"/>
                <w:szCs w:val="12"/>
                <w:color w:val="005A64"/>
              </w:rPr>
              <w:t>15</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color w:val="005A64"/>
              </w:rPr>
              <w:t>19</w:t>
            </w:r>
          </w:p>
        </w:tc>
        <w:tc>
          <w:tcPr>
            <w:tcW w:w="780" w:type="dxa"/>
            <w:vAlign w:val="bottom"/>
            <w:gridSpan w:val="2"/>
          </w:tcPr>
          <w:p>
            <w:pPr>
              <w:ind w:left="20"/>
              <w:spacing w:after="0"/>
              <w:rPr>
                <w:sz w:val="20"/>
                <w:szCs w:val="20"/>
                <w:color w:val="auto"/>
              </w:rPr>
            </w:pPr>
            <w:r>
              <w:rPr>
                <w:rFonts w:ascii="Arial" w:cs="Arial" w:eastAsia="Arial" w:hAnsi="Arial"/>
                <w:sz w:val="12"/>
                <w:szCs w:val="12"/>
                <w:color w:val="005A64"/>
              </w:rPr>
              <w:t>27</w:t>
            </w:r>
          </w:p>
        </w:tc>
        <w:tc>
          <w:tcPr>
            <w:tcW w:w="220" w:type="dxa"/>
            <w:vAlign w:val="bottom"/>
            <w:gridSpan w:val="2"/>
          </w:tcPr>
          <w:p>
            <w:pPr>
              <w:ind w:left="20"/>
              <w:spacing w:after="0"/>
              <w:rPr>
                <w:sz w:val="20"/>
                <w:szCs w:val="20"/>
                <w:color w:val="auto"/>
              </w:rPr>
            </w:pPr>
            <w:r>
              <w:rPr>
                <w:rFonts w:ascii="Arial" w:cs="Arial" w:eastAsia="Arial" w:hAnsi="Arial"/>
                <w:sz w:val="12"/>
                <w:szCs w:val="12"/>
                <w:color w:val="005A64"/>
                <w:w w:val="89"/>
              </w:rPr>
              <w:t>109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005A64"/>
              </w:rPr>
              <w:t>—</w:t>
            </w:r>
          </w:p>
        </w:tc>
        <w:tc>
          <w:tcPr>
            <w:tcW w:w="40" w:type="dxa"/>
            <w:vAlign w:val="bottom"/>
            <w:tcBorders>
              <w:right w:val="single" w:sz="8" w:color="BECD32"/>
            </w:tcBorders>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400" w:type="dxa"/>
            <w:vAlign w:val="bottom"/>
            <w:tcBorders>
              <w:left w:val="single" w:sz="8" w:color="BECD32"/>
              <w:bottom w:val="single" w:sz="8" w:color="BECD32"/>
            </w:tcBorders>
          </w:tcPr>
          <w:p>
            <w:pPr>
              <w:spacing w:after="0"/>
              <w:rPr>
                <w:sz w:val="2"/>
                <w:szCs w:val="2"/>
                <w:color w:val="auto"/>
              </w:rPr>
            </w:pPr>
          </w:p>
        </w:tc>
        <w:tc>
          <w:tcPr>
            <w:tcW w:w="640" w:type="dxa"/>
            <w:vAlign w:val="bottom"/>
            <w:tcBorders>
              <w:bottom w:val="single" w:sz="8" w:color="BECD32"/>
            </w:tcBorders>
            <w:gridSpan w:val="2"/>
          </w:tcPr>
          <w:p>
            <w:pPr>
              <w:spacing w:after="0"/>
              <w:rPr>
                <w:sz w:val="2"/>
                <w:szCs w:val="2"/>
                <w:color w:val="auto"/>
              </w:rPr>
            </w:pPr>
          </w:p>
        </w:tc>
        <w:tc>
          <w:tcPr>
            <w:tcW w:w="20" w:type="dxa"/>
            <w:vAlign w:val="bottom"/>
            <w:tcBorders>
              <w:bottom w:val="single" w:sz="8" w:color="BECD32"/>
            </w:tcBorders>
          </w:tcPr>
          <w:p>
            <w:pPr>
              <w:spacing w:after="0"/>
              <w:rPr>
                <w:sz w:val="2"/>
                <w:szCs w:val="2"/>
                <w:color w:val="auto"/>
              </w:rPr>
            </w:pPr>
          </w:p>
        </w:tc>
        <w:tc>
          <w:tcPr>
            <w:tcW w:w="200" w:type="dxa"/>
            <w:vAlign w:val="bottom"/>
            <w:tcBorders>
              <w:bottom w:val="single" w:sz="8" w:color="BECD32"/>
            </w:tcBorders>
          </w:tcPr>
          <w:p>
            <w:pPr>
              <w:spacing w:after="0"/>
              <w:rPr>
                <w:sz w:val="2"/>
                <w:szCs w:val="2"/>
                <w:color w:val="auto"/>
              </w:rPr>
            </w:pPr>
          </w:p>
        </w:tc>
        <w:tc>
          <w:tcPr>
            <w:tcW w:w="100" w:type="dxa"/>
            <w:vAlign w:val="bottom"/>
            <w:tcBorders>
              <w:bottom w:val="single" w:sz="8" w:color="BECD32"/>
            </w:tcBorders>
          </w:tcPr>
          <w:p>
            <w:pPr>
              <w:spacing w:after="0"/>
              <w:rPr>
                <w:sz w:val="2"/>
                <w:szCs w:val="2"/>
                <w:color w:val="auto"/>
              </w:rPr>
            </w:pPr>
          </w:p>
        </w:tc>
        <w:tc>
          <w:tcPr>
            <w:tcW w:w="420" w:type="dxa"/>
            <w:vAlign w:val="bottom"/>
            <w:tcBorders>
              <w:bottom w:val="single" w:sz="8" w:color="BECD32"/>
            </w:tcBorders>
          </w:tcPr>
          <w:p>
            <w:pPr>
              <w:spacing w:after="0"/>
              <w:rPr>
                <w:sz w:val="2"/>
                <w:szCs w:val="2"/>
                <w:color w:val="auto"/>
              </w:rPr>
            </w:pPr>
          </w:p>
        </w:tc>
        <w:tc>
          <w:tcPr>
            <w:tcW w:w="220" w:type="dxa"/>
            <w:vAlign w:val="bottom"/>
            <w:tcBorders>
              <w:bottom w:val="single" w:sz="8" w:color="BECD32"/>
            </w:tcBorders>
            <w:gridSpan w:val="2"/>
          </w:tcPr>
          <w:p>
            <w:pPr>
              <w:spacing w:after="0"/>
              <w:rPr>
                <w:sz w:val="2"/>
                <w:szCs w:val="2"/>
                <w:color w:val="auto"/>
              </w:rPr>
            </w:pPr>
          </w:p>
        </w:tc>
        <w:tc>
          <w:tcPr>
            <w:tcW w:w="400" w:type="dxa"/>
            <w:vAlign w:val="bottom"/>
            <w:tcBorders>
              <w:bottom w:val="single" w:sz="8" w:color="BECD32"/>
            </w:tcBorders>
          </w:tcPr>
          <w:p>
            <w:pPr>
              <w:spacing w:after="0"/>
              <w:rPr>
                <w:sz w:val="2"/>
                <w:szCs w:val="2"/>
                <w:color w:val="auto"/>
              </w:rPr>
            </w:pPr>
          </w:p>
        </w:tc>
        <w:tc>
          <w:tcPr>
            <w:tcW w:w="240" w:type="dxa"/>
            <w:vAlign w:val="bottom"/>
            <w:tcBorders>
              <w:bottom w:val="single" w:sz="8" w:color="BECD32"/>
            </w:tcBorders>
            <w:gridSpan w:val="3"/>
          </w:tcPr>
          <w:p>
            <w:pPr>
              <w:spacing w:after="0"/>
              <w:rPr>
                <w:sz w:val="2"/>
                <w:szCs w:val="2"/>
                <w:color w:val="auto"/>
              </w:rPr>
            </w:pPr>
          </w:p>
        </w:tc>
        <w:tc>
          <w:tcPr>
            <w:tcW w:w="160" w:type="dxa"/>
            <w:vAlign w:val="bottom"/>
            <w:tcBorders>
              <w:bottom w:val="single" w:sz="8" w:color="BECD32"/>
            </w:tcBorders>
          </w:tcPr>
          <w:p>
            <w:pPr>
              <w:spacing w:after="0"/>
              <w:rPr>
                <w:sz w:val="2"/>
                <w:szCs w:val="2"/>
                <w:color w:val="auto"/>
              </w:rPr>
            </w:pPr>
          </w:p>
        </w:tc>
        <w:tc>
          <w:tcPr>
            <w:tcW w:w="240" w:type="dxa"/>
            <w:vAlign w:val="bottom"/>
            <w:tcBorders>
              <w:bottom w:val="single" w:sz="8" w:color="BECD32"/>
            </w:tcBorders>
          </w:tcPr>
          <w:p>
            <w:pPr>
              <w:spacing w:after="0"/>
              <w:rPr>
                <w:sz w:val="2"/>
                <w:szCs w:val="2"/>
                <w:color w:val="auto"/>
              </w:rPr>
            </w:pPr>
          </w:p>
        </w:tc>
        <w:tc>
          <w:tcPr>
            <w:tcW w:w="660" w:type="dxa"/>
            <w:vAlign w:val="bottom"/>
            <w:tcBorders>
              <w:bottom w:val="single" w:sz="8" w:color="BECD32"/>
            </w:tcBorders>
            <w:gridSpan w:val="2"/>
          </w:tcPr>
          <w:p>
            <w:pPr>
              <w:spacing w:after="0"/>
              <w:rPr>
                <w:sz w:val="2"/>
                <w:szCs w:val="2"/>
                <w:color w:val="auto"/>
              </w:rPr>
            </w:pPr>
          </w:p>
        </w:tc>
        <w:tc>
          <w:tcPr>
            <w:tcW w:w="780" w:type="dxa"/>
            <w:vAlign w:val="bottom"/>
            <w:tcBorders>
              <w:bottom w:val="single" w:sz="8" w:color="BECD32"/>
            </w:tcBorders>
            <w:gridSpan w:val="2"/>
          </w:tcPr>
          <w:p>
            <w:pPr>
              <w:spacing w:after="0"/>
              <w:rPr>
                <w:sz w:val="2"/>
                <w:szCs w:val="2"/>
                <w:color w:val="auto"/>
              </w:rPr>
            </w:pPr>
          </w:p>
        </w:tc>
        <w:tc>
          <w:tcPr>
            <w:tcW w:w="20" w:type="dxa"/>
            <w:vAlign w:val="bottom"/>
            <w:tcBorders>
              <w:bottom w:val="single" w:sz="8" w:color="BECD32"/>
            </w:tcBorders>
          </w:tcPr>
          <w:p>
            <w:pPr>
              <w:spacing w:after="0"/>
              <w:rPr>
                <w:sz w:val="2"/>
                <w:szCs w:val="2"/>
                <w:color w:val="auto"/>
              </w:rPr>
            </w:pPr>
          </w:p>
        </w:tc>
        <w:tc>
          <w:tcPr>
            <w:tcW w:w="200" w:type="dxa"/>
            <w:vAlign w:val="bottom"/>
            <w:tcBorders>
              <w:bottom w:val="single" w:sz="8" w:color="BECD32"/>
            </w:tcBorders>
          </w:tcPr>
          <w:p>
            <w:pPr>
              <w:spacing w:after="0"/>
              <w:rPr>
                <w:sz w:val="2"/>
                <w:szCs w:val="2"/>
                <w:color w:val="auto"/>
              </w:rPr>
            </w:pPr>
          </w:p>
        </w:tc>
        <w:tc>
          <w:tcPr>
            <w:tcW w:w="120" w:type="dxa"/>
            <w:vAlign w:val="bottom"/>
            <w:tcBorders>
              <w:bottom w:val="single" w:sz="8" w:color="BECD32"/>
            </w:tcBorders>
          </w:tcPr>
          <w:p>
            <w:pPr>
              <w:spacing w:after="0"/>
              <w:rPr>
                <w:sz w:val="2"/>
                <w:szCs w:val="2"/>
                <w:color w:val="auto"/>
              </w:rPr>
            </w:pPr>
          </w:p>
        </w:tc>
        <w:tc>
          <w:tcPr>
            <w:tcW w:w="280" w:type="dxa"/>
            <w:vAlign w:val="bottom"/>
            <w:tcBorders>
              <w:bottom w:val="single" w:sz="8" w:color="BECD32"/>
            </w:tcBorders>
          </w:tcPr>
          <w:p>
            <w:pPr>
              <w:spacing w:after="0"/>
              <w:rPr>
                <w:sz w:val="2"/>
                <w:szCs w:val="2"/>
                <w:color w:val="auto"/>
              </w:rPr>
            </w:pPr>
          </w:p>
        </w:tc>
        <w:tc>
          <w:tcPr>
            <w:tcW w:w="20" w:type="dxa"/>
            <w:vAlign w:val="bottom"/>
            <w:tcBorders>
              <w:bottom w:val="single" w:sz="8" w:color="BECD32"/>
            </w:tcBorders>
          </w:tcPr>
          <w:p>
            <w:pPr>
              <w:spacing w:after="0"/>
              <w:rPr>
                <w:sz w:val="2"/>
                <w:szCs w:val="2"/>
                <w:color w:val="auto"/>
              </w:rPr>
            </w:pPr>
          </w:p>
        </w:tc>
        <w:tc>
          <w:tcPr>
            <w:tcW w:w="620" w:type="dxa"/>
            <w:vAlign w:val="bottom"/>
            <w:tcBorders>
              <w:bottom w:val="single" w:sz="8" w:color="BECD32"/>
            </w:tcBorders>
          </w:tcPr>
          <w:p>
            <w:pPr>
              <w:spacing w:after="0"/>
              <w:rPr>
                <w:sz w:val="2"/>
                <w:szCs w:val="2"/>
                <w:color w:val="auto"/>
              </w:rPr>
            </w:pPr>
          </w:p>
        </w:tc>
        <w:tc>
          <w:tcPr>
            <w:tcW w:w="40" w:type="dxa"/>
            <w:vAlign w:val="bottom"/>
            <w:tcBorders>
              <w:bottom w:val="single" w:sz="8" w:color="BECD32"/>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400" w:type="dxa"/>
            <w:vAlign w:val="bottom"/>
          </w:tcPr>
          <w:p>
            <w:pPr>
              <w:ind w:left="20"/>
              <w:spacing w:after="0"/>
              <w:rPr>
                <w:sz w:val="20"/>
                <w:szCs w:val="20"/>
                <w:color w:val="auto"/>
              </w:rPr>
            </w:pPr>
            <w:r>
              <w:rPr>
                <w:rFonts w:ascii="Arial" w:cs="Arial" w:eastAsia="Arial" w:hAnsi="Arial"/>
                <w:sz w:val="12"/>
                <w:szCs w:val="12"/>
                <w:color w:val="005A64"/>
              </w:rPr>
              <w:t>2023</w:t>
            </w:r>
          </w:p>
        </w:tc>
        <w:tc>
          <w:tcPr>
            <w:tcW w:w="640" w:type="dxa"/>
            <w:vAlign w:val="bottom"/>
            <w:gridSpan w:val="2"/>
          </w:tcPr>
          <w:p>
            <w:pPr>
              <w:ind w:left="20"/>
              <w:spacing w:after="0"/>
              <w:rPr>
                <w:sz w:val="20"/>
                <w:szCs w:val="20"/>
                <w:color w:val="auto"/>
              </w:rPr>
            </w:pPr>
            <w:r>
              <w:rPr>
                <w:rFonts w:ascii="Arial" w:cs="Arial" w:eastAsia="Arial" w:hAnsi="Arial"/>
                <w:sz w:val="12"/>
                <w:szCs w:val="12"/>
                <w:color w:val="005A64"/>
              </w:rPr>
              <w:t>6</w:t>
            </w:r>
          </w:p>
        </w:tc>
        <w:tc>
          <w:tcPr>
            <w:tcW w:w="2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gridSpan w:val="2"/>
          </w:tcPr>
          <w:p>
            <w:pPr>
              <w:ind w:left="20"/>
              <w:spacing w:after="0"/>
              <w:rPr>
                <w:sz w:val="20"/>
                <w:szCs w:val="20"/>
                <w:color w:val="auto"/>
              </w:rPr>
            </w:pPr>
            <w:r>
              <w:rPr>
                <w:rFonts w:ascii="Arial" w:cs="Arial" w:eastAsia="Arial" w:hAnsi="Arial"/>
                <w:sz w:val="12"/>
                <w:szCs w:val="12"/>
                <w:color w:val="005A64"/>
              </w:rPr>
              <w:t>5</w:t>
            </w:r>
          </w:p>
        </w:tc>
        <w:tc>
          <w:tcPr>
            <w:tcW w:w="400" w:type="dxa"/>
            <w:vAlign w:val="bottom"/>
          </w:tcPr>
          <w:p>
            <w:pPr>
              <w:spacing w:after="0"/>
              <w:rPr>
                <w:sz w:val="13"/>
                <w:szCs w:val="13"/>
                <w:color w:val="auto"/>
              </w:rPr>
            </w:pPr>
          </w:p>
        </w:tc>
        <w:tc>
          <w:tcPr>
            <w:tcW w:w="240" w:type="dxa"/>
            <w:vAlign w:val="bottom"/>
            <w:gridSpan w:val="3"/>
          </w:tcPr>
          <w:p>
            <w:pPr>
              <w:ind w:left="40"/>
              <w:spacing w:after="0"/>
              <w:rPr>
                <w:sz w:val="20"/>
                <w:szCs w:val="20"/>
                <w:color w:val="auto"/>
              </w:rPr>
            </w:pPr>
            <w:r>
              <w:rPr>
                <w:rFonts w:ascii="Arial" w:cs="Arial" w:eastAsia="Arial" w:hAnsi="Arial"/>
                <w:sz w:val="12"/>
                <w:szCs w:val="12"/>
                <w:color w:val="005A64"/>
              </w:rPr>
              <w:t>12</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color w:val="005A64"/>
              </w:rPr>
              <w:t>5</w:t>
            </w:r>
          </w:p>
        </w:tc>
        <w:tc>
          <w:tcPr>
            <w:tcW w:w="780" w:type="dxa"/>
            <w:vAlign w:val="bottom"/>
            <w:gridSpan w:val="2"/>
          </w:tcPr>
          <w:p>
            <w:pPr>
              <w:ind w:left="20"/>
              <w:spacing w:after="0"/>
              <w:rPr>
                <w:sz w:val="20"/>
                <w:szCs w:val="20"/>
                <w:color w:val="auto"/>
              </w:rPr>
            </w:pPr>
            <w:r>
              <w:rPr>
                <w:rFonts w:ascii="Arial" w:cs="Arial" w:eastAsia="Arial" w:hAnsi="Arial"/>
                <w:sz w:val="12"/>
                <w:szCs w:val="12"/>
                <w:color w:val="005A64"/>
              </w:rPr>
              <w:t>26</w:t>
            </w:r>
          </w:p>
        </w:tc>
        <w:tc>
          <w:tcPr>
            <w:tcW w:w="2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2"/>
                <w:szCs w:val="12"/>
                <w:color w:val="005A64"/>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005A64"/>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400" w:type="dxa"/>
            <w:vAlign w:val="bottom"/>
          </w:tcPr>
          <w:p>
            <w:pPr>
              <w:ind w:left="20"/>
              <w:spacing w:after="0"/>
              <w:rPr>
                <w:sz w:val="20"/>
                <w:szCs w:val="20"/>
                <w:color w:val="auto"/>
              </w:rPr>
            </w:pPr>
            <w:r>
              <w:rPr>
                <w:rFonts w:ascii="Arial" w:cs="Arial" w:eastAsia="Arial" w:hAnsi="Arial"/>
                <w:sz w:val="12"/>
                <w:szCs w:val="12"/>
                <w:b w:val="1"/>
                <w:bCs w:val="1"/>
                <w:color w:val="3C9673"/>
              </w:rPr>
              <w:t>Short-term incentive –</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400" w:type="dxa"/>
            <w:vAlign w:val="bottom"/>
            <w:tcBorders>
              <w:bottom w:val="single" w:sz="8" w:color="BECD32"/>
            </w:tcBorders>
          </w:tcPr>
          <w:p>
            <w:pPr>
              <w:ind w:left="20"/>
              <w:spacing w:after="0"/>
              <w:rPr>
                <w:sz w:val="20"/>
                <w:szCs w:val="20"/>
                <w:color w:val="auto"/>
              </w:rPr>
            </w:pPr>
            <w:r>
              <w:rPr>
                <w:rFonts w:ascii="Arial" w:cs="Arial" w:eastAsia="Arial" w:hAnsi="Arial"/>
                <w:sz w:val="12"/>
                <w:szCs w:val="12"/>
                <w:b w:val="1"/>
                <w:bCs w:val="1"/>
                <w:color w:val="3C9673"/>
              </w:rPr>
              <w:t>first installment</w:t>
            </w:r>
            <w:r>
              <w:rPr>
                <w:rFonts w:ascii="Arial" w:cs="Arial" w:eastAsia="Arial" w:hAnsi="Arial"/>
                <w:sz w:val="16"/>
                <w:szCs w:val="16"/>
                <w:b w:val="1"/>
                <w:bCs w:val="1"/>
                <w:color w:val="3C9673"/>
                <w:vertAlign w:val="superscript"/>
              </w:rPr>
              <w:t>(4)</w:t>
            </w:r>
          </w:p>
        </w:tc>
        <w:tc>
          <w:tcPr>
            <w:tcW w:w="20" w:type="dxa"/>
            <w:vAlign w:val="bottom"/>
            <w:tcBorders>
              <w:bottom w:val="single" w:sz="8" w:color="BECD32"/>
            </w:tcBorders>
          </w:tcPr>
          <w:p>
            <w:pPr>
              <w:spacing w:after="0"/>
              <w:rPr>
                <w:sz w:val="16"/>
                <w:szCs w:val="16"/>
                <w:color w:val="auto"/>
              </w:rPr>
            </w:pPr>
          </w:p>
        </w:tc>
        <w:tc>
          <w:tcPr>
            <w:tcW w:w="620" w:type="dxa"/>
            <w:vAlign w:val="bottom"/>
            <w:tcBorders>
              <w:bottom w:val="single" w:sz="8" w:color="BECD32"/>
            </w:tcBorders>
          </w:tcPr>
          <w:p>
            <w:pPr>
              <w:spacing w:after="0"/>
              <w:rPr>
                <w:sz w:val="16"/>
                <w:szCs w:val="16"/>
                <w:color w:val="auto"/>
              </w:rPr>
            </w:pPr>
          </w:p>
        </w:tc>
        <w:tc>
          <w:tcPr>
            <w:tcW w:w="20" w:type="dxa"/>
            <w:vAlign w:val="bottom"/>
            <w:tcBorders>
              <w:bottom w:val="single" w:sz="8" w:color="BECD32"/>
            </w:tcBorders>
          </w:tcPr>
          <w:p>
            <w:pPr>
              <w:spacing w:after="0"/>
              <w:rPr>
                <w:sz w:val="16"/>
                <w:szCs w:val="16"/>
                <w:color w:val="auto"/>
              </w:rPr>
            </w:pPr>
          </w:p>
        </w:tc>
        <w:tc>
          <w:tcPr>
            <w:tcW w:w="200" w:type="dxa"/>
            <w:vAlign w:val="bottom"/>
            <w:tcBorders>
              <w:bottom w:val="single" w:sz="8" w:color="BECD32"/>
            </w:tcBorders>
          </w:tcPr>
          <w:p>
            <w:pPr>
              <w:spacing w:after="0"/>
              <w:rPr>
                <w:sz w:val="16"/>
                <w:szCs w:val="16"/>
                <w:color w:val="auto"/>
              </w:rPr>
            </w:pPr>
          </w:p>
        </w:tc>
        <w:tc>
          <w:tcPr>
            <w:tcW w:w="100" w:type="dxa"/>
            <w:vAlign w:val="bottom"/>
            <w:tcBorders>
              <w:bottom w:val="single" w:sz="8" w:color="BECD32"/>
            </w:tcBorders>
          </w:tcPr>
          <w:p>
            <w:pPr>
              <w:spacing w:after="0"/>
              <w:rPr>
                <w:sz w:val="16"/>
                <w:szCs w:val="16"/>
                <w:color w:val="auto"/>
              </w:rPr>
            </w:pPr>
          </w:p>
        </w:tc>
        <w:tc>
          <w:tcPr>
            <w:tcW w:w="420" w:type="dxa"/>
            <w:vAlign w:val="bottom"/>
            <w:tcBorders>
              <w:bottom w:val="single" w:sz="8" w:color="BECD32"/>
            </w:tcBorders>
          </w:tcPr>
          <w:p>
            <w:pPr>
              <w:spacing w:after="0"/>
              <w:rPr>
                <w:sz w:val="16"/>
                <w:szCs w:val="16"/>
                <w:color w:val="auto"/>
              </w:rPr>
            </w:pPr>
          </w:p>
        </w:tc>
        <w:tc>
          <w:tcPr>
            <w:tcW w:w="20" w:type="dxa"/>
            <w:vAlign w:val="bottom"/>
            <w:tcBorders>
              <w:bottom w:val="single" w:sz="8" w:color="BECD32"/>
            </w:tcBorders>
          </w:tcPr>
          <w:p>
            <w:pPr>
              <w:spacing w:after="0"/>
              <w:rPr>
                <w:sz w:val="16"/>
                <w:szCs w:val="16"/>
                <w:color w:val="auto"/>
              </w:rPr>
            </w:pPr>
          </w:p>
        </w:tc>
        <w:tc>
          <w:tcPr>
            <w:tcW w:w="200" w:type="dxa"/>
            <w:vAlign w:val="bottom"/>
            <w:tcBorders>
              <w:bottom w:val="single" w:sz="8" w:color="BECD32"/>
            </w:tcBorders>
          </w:tcPr>
          <w:p>
            <w:pPr>
              <w:spacing w:after="0"/>
              <w:rPr>
                <w:sz w:val="16"/>
                <w:szCs w:val="16"/>
                <w:color w:val="auto"/>
              </w:rPr>
            </w:pPr>
          </w:p>
        </w:tc>
        <w:tc>
          <w:tcPr>
            <w:tcW w:w="400" w:type="dxa"/>
            <w:vAlign w:val="bottom"/>
            <w:tcBorders>
              <w:bottom w:val="single" w:sz="8" w:color="BECD32"/>
            </w:tcBorders>
          </w:tcPr>
          <w:p>
            <w:pPr>
              <w:spacing w:after="0"/>
              <w:rPr>
                <w:sz w:val="16"/>
                <w:szCs w:val="16"/>
                <w:color w:val="auto"/>
              </w:rPr>
            </w:pPr>
          </w:p>
        </w:tc>
        <w:tc>
          <w:tcPr>
            <w:tcW w:w="40" w:type="dxa"/>
            <w:vAlign w:val="bottom"/>
            <w:tcBorders>
              <w:bottom w:val="single" w:sz="8" w:color="BECD32"/>
            </w:tcBorders>
          </w:tcPr>
          <w:p>
            <w:pPr>
              <w:spacing w:after="0"/>
              <w:rPr>
                <w:sz w:val="16"/>
                <w:szCs w:val="16"/>
                <w:color w:val="auto"/>
              </w:rPr>
            </w:pPr>
          </w:p>
        </w:tc>
        <w:tc>
          <w:tcPr>
            <w:tcW w:w="120" w:type="dxa"/>
            <w:vAlign w:val="bottom"/>
            <w:tcBorders>
              <w:bottom w:val="single" w:sz="8" w:color="BECD32"/>
            </w:tcBorders>
          </w:tcPr>
          <w:p>
            <w:pPr>
              <w:spacing w:after="0"/>
              <w:rPr>
                <w:sz w:val="16"/>
                <w:szCs w:val="16"/>
                <w:color w:val="auto"/>
              </w:rPr>
            </w:pPr>
          </w:p>
        </w:tc>
        <w:tc>
          <w:tcPr>
            <w:tcW w:w="80" w:type="dxa"/>
            <w:vAlign w:val="bottom"/>
            <w:tcBorders>
              <w:bottom w:val="single" w:sz="8" w:color="BECD32"/>
            </w:tcBorders>
          </w:tcPr>
          <w:p>
            <w:pPr>
              <w:spacing w:after="0"/>
              <w:rPr>
                <w:sz w:val="16"/>
                <w:szCs w:val="16"/>
                <w:color w:val="auto"/>
              </w:rPr>
            </w:pPr>
          </w:p>
        </w:tc>
        <w:tc>
          <w:tcPr>
            <w:tcW w:w="160" w:type="dxa"/>
            <w:vAlign w:val="bottom"/>
            <w:tcBorders>
              <w:bottom w:val="single" w:sz="8" w:color="BECD32"/>
            </w:tcBorders>
          </w:tcPr>
          <w:p>
            <w:pPr>
              <w:spacing w:after="0"/>
              <w:rPr>
                <w:sz w:val="16"/>
                <w:szCs w:val="16"/>
                <w:color w:val="auto"/>
              </w:rPr>
            </w:pPr>
          </w:p>
        </w:tc>
        <w:tc>
          <w:tcPr>
            <w:tcW w:w="240" w:type="dxa"/>
            <w:vAlign w:val="bottom"/>
            <w:tcBorders>
              <w:bottom w:val="single" w:sz="8" w:color="BECD32"/>
            </w:tcBorders>
          </w:tcPr>
          <w:p>
            <w:pPr>
              <w:spacing w:after="0"/>
              <w:rPr>
                <w:sz w:val="16"/>
                <w:szCs w:val="16"/>
                <w:color w:val="auto"/>
              </w:rPr>
            </w:pPr>
          </w:p>
        </w:tc>
        <w:tc>
          <w:tcPr>
            <w:tcW w:w="20" w:type="dxa"/>
            <w:vAlign w:val="bottom"/>
            <w:tcBorders>
              <w:bottom w:val="single" w:sz="8" w:color="BECD32"/>
            </w:tcBorders>
          </w:tcPr>
          <w:p>
            <w:pPr>
              <w:spacing w:after="0"/>
              <w:rPr>
                <w:sz w:val="16"/>
                <w:szCs w:val="16"/>
                <w:color w:val="auto"/>
              </w:rPr>
            </w:pPr>
          </w:p>
        </w:tc>
        <w:tc>
          <w:tcPr>
            <w:tcW w:w="640" w:type="dxa"/>
            <w:vAlign w:val="bottom"/>
            <w:tcBorders>
              <w:bottom w:val="single" w:sz="8" w:color="BECD32"/>
            </w:tcBorders>
          </w:tcPr>
          <w:p>
            <w:pPr>
              <w:spacing w:after="0"/>
              <w:rPr>
                <w:sz w:val="16"/>
                <w:szCs w:val="16"/>
                <w:color w:val="auto"/>
              </w:rPr>
            </w:pPr>
          </w:p>
        </w:tc>
        <w:tc>
          <w:tcPr>
            <w:tcW w:w="20" w:type="dxa"/>
            <w:vAlign w:val="bottom"/>
            <w:tcBorders>
              <w:bottom w:val="single" w:sz="8" w:color="BECD32"/>
            </w:tcBorders>
          </w:tcPr>
          <w:p>
            <w:pPr>
              <w:spacing w:after="0"/>
              <w:rPr>
                <w:sz w:val="16"/>
                <w:szCs w:val="16"/>
                <w:color w:val="auto"/>
              </w:rPr>
            </w:pPr>
          </w:p>
        </w:tc>
        <w:tc>
          <w:tcPr>
            <w:tcW w:w="760" w:type="dxa"/>
            <w:vAlign w:val="bottom"/>
            <w:tcBorders>
              <w:bottom w:val="single" w:sz="8" w:color="BECD32"/>
            </w:tcBorders>
          </w:tcPr>
          <w:p>
            <w:pPr>
              <w:spacing w:after="0"/>
              <w:rPr>
                <w:sz w:val="16"/>
                <w:szCs w:val="16"/>
                <w:color w:val="auto"/>
              </w:rPr>
            </w:pPr>
          </w:p>
        </w:tc>
        <w:tc>
          <w:tcPr>
            <w:tcW w:w="20" w:type="dxa"/>
            <w:vAlign w:val="bottom"/>
            <w:tcBorders>
              <w:bottom w:val="single" w:sz="8" w:color="BECD32"/>
            </w:tcBorders>
          </w:tcPr>
          <w:p>
            <w:pPr>
              <w:spacing w:after="0"/>
              <w:rPr>
                <w:sz w:val="16"/>
                <w:szCs w:val="16"/>
                <w:color w:val="auto"/>
              </w:rPr>
            </w:pPr>
          </w:p>
        </w:tc>
        <w:tc>
          <w:tcPr>
            <w:tcW w:w="200" w:type="dxa"/>
            <w:vAlign w:val="bottom"/>
            <w:tcBorders>
              <w:bottom w:val="single" w:sz="8" w:color="BECD32"/>
            </w:tcBorders>
          </w:tcPr>
          <w:p>
            <w:pPr>
              <w:spacing w:after="0"/>
              <w:rPr>
                <w:sz w:val="16"/>
                <w:szCs w:val="16"/>
                <w:color w:val="auto"/>
              </w:rPr>
            </w:pPr>
          </w:p>
        </w:tc>
        <w:tc>
          <w:tcPr>
            <w:tcW w:w="120" w:type="dxa"/>
            <w:vAlign w:val="bottom"/>
            <w:tcBorders>
              <w:bottom w:val="single" w:sz="8" w:color="BECD32"/>
            </w:tcBorders>
          </w:tcPr>
          <w:p>
            <w:pPr>
              <w:spacing w:after="0"/>
              <w:rPr>
                <w:sz w:val="16"/>
                <w:szCs w:val="16"/>
                <w:color w:val="auto"/>
              </w:rPr>
            </w:pPr>
          </w:p>
        </w:tc>
        <w:tc>
          <w:tcPr>
            <w:tcW w:w="280" w:type="dxa"/>
            <w:vAlign w:val="bottom"/>
            <w:tcBorders>
              <w:bottom w:val="single" w:sz="8" w:color="BECD32"/>
            </w:tcBorders>
          </w:tcPr>
          <w:p>
            <w:pPr>
              <w:spacing w:after="0"/>
              <w:rPr>
                <w:sz w:val="16"/>
                <w:szCs w:val="16"/>
                <w:color w:val="auto"/>
              </w:rPr>
            </w:pPr>
          </w:p>
        </w:tc>
        <w:tc>
          <w:tcPr>
            <w:tcW w:w="20" w:type="dxa"/>
            <w:vAlign w:val="bottom"/>
            <w:tcBorders>
              <w:bottom w:val="single" w:sz="8" w:color="BECD32"/>
            </w:tcBorders>
          </w:tcPr>
          <w:p>
            <w:pPr>
              <w:spacing w:after="0"/>
              <w:rPr>
                <w:sz w:val="16"/>
                <w:szCs w:val="16"/>
                <w:color w:val="auto"/>
              </w:rPr>
            </w:pPr>
          </w:p>
        </w:tc>
        <w:tc>
          <w:tcPr>
            <w:tcW w:w="620" w:type="dxa"/>
            <w:vAlign w:val="bottom"/>
            <w:tcBorders>
              <w:bottom w:val="single" w:sz="8" w:color="BECD32"/>
            </w:tcBorders>
          </w:tcPr>
          <w:p>
            <w:pPr>
              <w:spacing w:after="0"/>
              <w:rPr>
                <w:sz w:val="16"/>
                <w:szCs w:val="16"/>
                <w:color w:val="auto"/>
              </w:rPr>
            </w:pPr>
          </w:p>
        </w:tc>
        <w:tc>
          <w:tcPr>
            <w:tcW w:w="40" w:type="dxa"/>
            <w:vAlign w:val="bottom"/>
            <w:tcBorders>
              <w:bottom w:val="single" w:sz="8" w:color="BECD32"/>
            </w:tcBorders>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1400" w:type="dxa"/>
            <w:vAlign w:val="bottom"/>
            <w:tcBorders>
              <w:left w:val="single" w:sz="8" w:color="BECD32"/>
            </w:tcBorders>
          </w:tcPr>
          <w:p>
            <w:pPr>
              <w:ind w:left="20"/>
              <w:spacing w:after="0" w:line="102" w:lineRule="exact"/>
              <w:rPr>
                <w:sz w:val="20"/>
                <w:szCs w:val="20"/>
                <w:color w:val="auto"/>
              </w:rPr>
            </w:pPr>
            <w:r>
              <w:rPr>
                <w:rFonts w:ascii="Arial" w:cs="Arial" w:eastAsia="Arial" w:hAnsi="Arial"/>
                <w:sz w:val="11"/>
                <w:szCs w:val="11"/>
                <w:color w:val="005A64"/>
              </w:rPr>
              <w:t>2024</w:t>
            </w:r>
          </w:p>
        </w:tc>
        <w:tc>
          <w:tcPr>
            <w:tcW w:w="640" w:type="dxa"/>
            <w:vAlign w:val="bottom"/>
            <w:gridSpan w:val="2"/>
          </w:tcPr>
          <w:p>
            <w:pPr>
              <w:ind w:left="20"/>
              <w:spacing w:after="0" w:line="102" w:lineRule="exact"/>
              <w:rPr>
                <w:sz w:val="20"/>
                <w:szCs w:val="20"/>
                <w:color w:val="auto"/>
              </w:rPr>
            </w:pPr>
            <w:r>
              <w:rPr>
                <w:rFonts w:ascii="Arial" w:cs="Arial" w:eastAsia="Arial" w:hAnsi="Arial"/>
                <w:sz w:val="11"/>
                <w:szCs w:val="11"/>
                <w:color w:val="005A64"/>
              </w:rPr>
              <w:t>130</w:t>
            </w:r>
          </w:p>
        </w:tc>
        <w:tc>
          <w:tcPr>
            <w:tcW w:w="320" w:type="dxa"/>
            <w:vAlign w:val="bottom"/>
            <w:gridSpan w:val="3"/>
          </w:tcPr>
          <w:p>
            <w:pPr>
              <w:jc w:val="right"/>
              <w:spacing w:after="0"/>
              <w:rPr>
                <w:sz w:val="20"/>
                <w:szCs w:val="20"/>
                <w:color w:val="auto"/>
              </w:rPr>
            </w:pPr>
            <w:r>
              <w:rPr>
                <w:rFonts w:ascii="Arial" w:cs="Arial" w:eastAsia="Arial" w:hAnsi="Arial"/>
                <w:sz w:val="8"/>
                <w:szCs w:val="8"/>
                <w:color w:val="005A64"/>
              </w:rPr>
              <w:t>(12)</w:t>
            </w:r>
          </w:p>
        </w:tc>
        <w:tc>
          <w:tcPr>
            <w:tcW w:w="420" w:type="dxa"/>
            <w:vAlign w:val="bottom"/>
          </w:tcPr>
          <w:p>
            <w:pPr>
              <w:spacing w:after="0"/>
              <w:rPr>
                <w:sz w:val="8"/>
                <w:szCs w:val="8"/>
                <w:color w:val="auto"/>
              </w:rPr>
            </w:pPr>
          </w:p>
        </w:tc>
        <w:tc>
          <w:tcPr>
            <w:tcW w:w="220" w:type="dxa"/>
            <w:vAlign w:val="bottom"/>
            <w:gridSpan w:val="2"/>
          </w:tcPr>
          <w:p>
            <w:pPr>
              <w:ind w:left="20"/>
              <w:spacing w:after="0" w:line="102" w:lineRule="exact"/>
              <w:rPr>
                <w:sz w:val="20"/>
                <w:szCs w:val="20"/>
                <w:color w:val="auto"/>
              </w:rPr>
            </w:pPr>
            <w:r>
              <w:rPr>
                <w:rFonts w:ascii="Arial" w:cs="Arial" w:eastAsia="Arial" w:hAnsi="Arial"/>
                <w:sz w:val="11"/>
                <w:szCs w:val="11"/>
                <w:color w:val="005A64"/>
                <w:w w:val="97"/>
              </w:rPr>
              <w:t>111</w:t>
            </w:r>
          </w:p>
        </w:tc>
        <w:tc>
          <w:tcPr>
            <w:tcW w:w="400" w:type="dxa"/>
            <w:vAlign w:val="bottom"/>
          </w:tcPr>
          <w:p>
            <w:pPr>
              <w:spacing w:after="0"/>
              <w:rPr>
                <w:sz w:val="8"/>
                <w:szCs w:val="8"/>
                <w:color w:val="auto"/>
              </w:rPr>
            </w:pPr>
          </w:p>
        </w:tc>
        <w:tc>
          <w:tcPr>
            <w:tcW w:w="240" w:type="dxa"/>
            <w:vAlign w:val="bottom"/>
            <w:gridSpan w:val="3"/>
            <w:vMerge w:val="restart"/>
          </w:tcPr>
          <w:p>
            <w:pPr>
              <w:ind w:left="40"/>
              <w:spacing w:after="0"/>
              <w:rPr>
                <w:sz w:val="20"/>
                <w:szCs w:val="20"/>
                <w:color w:val="auto"/>
              </w:rPr>
            </w:pPr>
            <w:r>
              <w:rPr>
                <w:rFonts w:ascii="Arial" w:cs="Arial" w:eastAsia="Arial" w:hAnsi="Arial"/>
                <w:sz w:val="12"/>
                <w:szCs w:val="12"/>
                <w:color w:val="005A64"/>
                <w:w w:val="89"/>
              </w:rPr>
              <w:t>150</w:t>
            </w:r>
          </w:p>
        </w:tc>
        <w:tc>
          <w:tcPr>
            <w:tcW w:w="160" w:type="dxa"/>
            <w:vAlign w:val="bottom"/>
          </w:tcPr>
          <w:p>
            <w:pPr>
              <w:jc w:val="right"/>
              <w:spacing w:after="0"/>
              <w:rPr>
                <w:sz w:val="20"/>
                <w:szCs w:val="20"/>
                <w:color w:val="auto"/>
              </w:rPr>
            </w:pPr>
            <w:r>
              <w:rPr>
                <w:rFonts w:ascii="Arial" w:cs="Arial" w:eastAsia="Arial" w:hAnsi="Arial"/>
                <w:sz w:val="8"/>
                <w:szCs w:val="8"/>
                <w:color w:val="005A64"/>
                <w:w w:val="84"/>
              </w:rPr>
              <w:t>(14)</w:t>
            </w:r>
          </w:p>
        </w:tc>
        <w:tc>
          <w:tcPr>
            <w:tcW w:w="240" w:type="dxa"/>
            <w:vAlign w:val="bottom"/>
          </w:tcPr>
          <w:p>
            <w:pPr>
              <w:spacing w:after="0"/>
              <w:rPr>
                <w:sz w:val="8"/>
                <w:szCs w:val="8"/>
                <w:color w:val="auto"/>
              </w:rPr>
            </w:pPr>
          </w:p>
        </w:tc>
        <w:tc>
          <w:tcPr>
            <w:tcW w:w="660" w:type="dxa"/>
            <w:vAlign w:val="bottom"/>
            <w:gridSpan w:val="2"/>
          </w:tcPr>
          <w:p>
            <w:pPr>
              <w:ind w:left="40"/>
              <w:spacing w:after="0" w:line="102" w:lineRule="exact"/>
              <w:rPr>
                <w:sz w:val="20"/>
                <w:szCs w:val="20"/>
                <w:color w:val="auto"/>
              </w:rPr>
            </w:pPr>
            <w:r>
              <w:rPr>
                <w:rFonts w:ascii="Arial" w:cs="Arial" w:eastAsia="Arial" w:hAnsi="Arial"/>
                <w:sz w:val="11"/>
                <w:szCs w:val="11"/>
                <w:color w:val="005A64"/>
              </w:rPr>
              <w:t>111</w:t>
            </w:r>
          </w:p>
        </w:tc>
        <w:tc>
          <w:tcPr>
            <w:tcW w:w="780" w:type="dxa"/>
            <w:vAlign w:val="bottom"/>
            <w:gridSpan w:val="2"/>
          </w:tcPr>
          <w:p>
            <w:pPr>
              <w:ind w:left="20"/>
              <w:spacing w:after="0" w:line="102" w:lineRule="exact"/>
              <w:rPr>
                <w:sz w:val="20"/>
                <w:szCs w:val="20"/>
                <w:color w:val="auto"/>
              </w:rPr>
            </w:pPr>
            <w:r>
              <w:rPr>
                <w:rFonts w:ascii="Arial" w:cs="Arial" w:eastAsia="Arial" w:hAnsi="Arial"/>
                <w:sz w:val="11"/>
                <w:szCs w:val="11"/>
                <w:color w:val="005A64"/>
              </w:rPr>
              <w:t>111</w:t>
            </w:r>
          </w:p>
        </w:tc>
        <w:tc>
          <w:tcPr>
            <w:tcW w:w="220" w:type="dxa"/>
            <w:vAlign w:val="bottom"/>
            <w:gridSpan w:val="2"/>
          </w:tcPr>
          <w:p>
            <w:pPr>
              <w:ind w:left="20"/>
              <w:spacing w:after="0" w:line="102" w:lineRule="exact"/>
              <w:rPr>
                <w:sz w:val="20"/>
                <w:szCs w:val="20"/>
                <w:color w:val="auto"/>
              </w:rPr>
            </w:pPr>
            <w:r>
              <w:rPr>
                <w:rFonts w:ascii="Arial" w:cs="Arial" w:eastAsia="Arial" w:hAnsi="Arial"/>
                <w:sz w:val="11"/>
                <w:szCs w:val="11"/>
                <w:color w:val="005A64"/>
                <w:w w:val="97"/>
              </w:rPr>
              <w:t>111</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gridSpan w:val="2"/>
          </w:tcPr>
          <w:p>
            <w:pPr>
              <w:ind w:left="40"/>
              <w:spacing w:after="0" w:line="102" w:lineRule="exact"/>
              <w:rPr>
                <w:sz w:val="20"/>
                <w:szCs w:val="20"/>
                <w:color w:val="auto"/>
              </w:rPr>
            </w:pPr>
            <w:r>
              <w:rPr>
                <w:rFonts w:ascii="Arial" w:cs="Arial" w:eastAsia="Arial" w:hAnsi="Arial"/>
                <w:sz w:val="11"/>
                <w:szCs w:val="11"/>
                <w:color w:val="005A64"/>
              </w:rPr>
              <w:t>111</w:t>
            </w:r>
          </w:p>
        </w:tc>
        <w:tc>
          <w:tcPr>
            <w:tcW w:w="40" w:type="dxa"/>
            <w:vAlign w:val="bottom"/>
            <w:tcBorders>
              <w:right w:val="single" w:sz="8" w:color="BECD32"/>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400" w:type="dxa"/>
            <w:vAlign w:val="bottom"/>
            <w:tcBorders>
              <w:left w:val="single" w:sz="8" w:color="BECD32"/>
              <w:bottom w:val="single" w:sz="8" w:color="BECD32"/>
            </w:tcBorders>
          </w:tcPr>
          <w:p>
            <w:pPr>
              <w:spacing w:after="0"/>
              <w:rPr>
                <w:sz w:val="7"/>
                <w:szCs w:val="7"/>
                <w:color w:val="auto"/>
              </w:rPr>
            </w:pPr>
          </w:p>
        </w:tc>
        <w:tc>
          <w:tcPr>
            <w:tcW w:w="20" w:type="dxa"/>
            <w:vAlign w:val="bottom"/>
            <w:tcBorders>
              <w:bottom w:val="single" w:sz="8" w:color="BECD32"/>
            </w:tcBorders>
          </w:tcPr>
          <w:p>
            <w:pPr>
              <w:spacing w:after="0"/>
              <w:rPr>
                <w:sz w:val="7"/>
                <w:szCs w:val="7"/>
                <w:color w:val="auto"/>
              </w:rPr>
            </w:pPr>
          </w:p>
        </w:tc>
        <w:tc>
          <w:tcPr>
            <w:tcW w:w="620" w:type="dxa"/>
            <w:vAlign w:val="bottom"/>
            <w:tcBorders>
              <w:bottom w:val="single" w:sz="8" w:color="BECD32"/>
            </w:tcBorders>
          </w:tcPr>
          <w:p>
            <w:pPr>
              <w:spacing w:after="0"/>
              <w:rPr>
                <w:sz w:val="7"/>
                <w:szCs w:val="7"/>
                <w:color w:val="auto"/>
              </w:rPr>
            </w:pPr>
          </w:p>
        </w:tc>
        <w:tc>
          <w:tcPr>
            <w:tcW w:w="220" w:type="dxa"/>
            <w:vAlign w:val="bottom"/>
            <w:tcBorders>
              <w:bottom w:val="single" w:sz="8" w:color="BECD32"/>
            </w:tcBorders>
            <w:gridSpan w:val="2"/>
          </w:tcPr>
          <w:p>
            <w:pPr>
              <w:ind w:left="20"/>
              <w:spacing w:after="0" w:line="81" w:lineRule="exact"/>
              <w:rPr>
                <w:sz w:val="20"/>
                <w:szCs w:val="20"/>
                <w:color w:val="auto"/>
              </w:rPr>
            </w:pPr>
            <w:r>
              <w:rPr>
                <w:rFonts w:ascii="Arial" w:cs="Arial" w:eastAsia="Arial" w:hAnsi="Arial"/>
                <w:sz w:val="9"/>
                <w:szCs w:val="9"/>
                <w:color w:val="005A64"/>
              </w:rPr>
              <w:t>69</w:t>
            </w:r>
          </w:p>
        </w:tc>
        <w:tc>
          <w:tcPr>
            <w:tcW w:w="100" w:type="dxa"/>
            <w:vAlign w:val="bottom"/>
            <w:tcBorders>
              <w:bottom w:val="single" w:sz="8" w:color="BECD32"/>
            </w:tcBorders>
          </w:tcPr>
          <w:p>
            <w:pPr>
              <w:spacing w:after="0"/>
              <w:rPr>
                <w:sz w:val="7"/>
                <w:szCs w:val="7"/>
                <w:color w:val="auto"/>
              </w:rPr>
            </w:pPr>
          </w:p>
        </w:tc>
        <w:tc>
          <w:tcPr>
            <w:tcW w:w="420" w:type="dxa"/>
            <w:vAlign w:val="bottom"/>
            <w:tcBorders>
              <w:bottom w:val="single" w:sz="8" w:color="BECD32"/>
            </w:tcBorders>
          </w:tcPr>
          <w:p>
            <w:pPr>
              <w:spacing w:after="0"/>
              <w:rPr>
                <w:sz w:val="7"/>
                <w:szCs w:val="7"/>
                <w:color w:val="auto"/>
              </w:rPr>
            </w:pPr>
          </w:p>
        </w:tc>
        <w:tc>
          <w:tcPr>
            <w:tcW w:w="20" w:type="dxa"/>
            <w:vAlign w:val="bottom"/>
            <w:tcBorders>
              <w:bottom w:val="single" w:sz="8" w:color="BECD32"/>
            </w:tcBorders>
          </w:tcPr>
          <w:p>
            <w:pPr>
              <w:spacing w:after="0"/>
              <w:rPr>
                <w:sz w:val="7"/>
                <w:szCs w:val="7"/>
                <w:color w:val="auto"/>
              </w:rPr>
            </w:pPr>
          </w:p>
        </w:tc>
        <w:tc>
          <w:tcPr>
            <w:tcW w:w="200" w:type="dxa"/>
            <w:vAlign w:val="bottom"/>
            <w:tcBorders>
              <w:bottom w:val="single" w:sz="8" w:color="BECD32"/>
            </w:tcBorders>
          </w:tcPr>
          <w:p>
            <w:pPr>
              <w:spacing w:after="0"/>
              <w:rPr>
                <w:sz w:val="7"/>
                <w:szCs w:val="7"/>
                <w:color w:val="auto"/>
              </w:rPr>
            </w:pPr>
          </w:p>
        </w:tc>
        <w:tc>
          <w:tcPr>
            <w:tcW w:w="400" w:type="dxa"/>
            <w:vAlign w:val="bottom"/>
            <w:tcBorders>
              <w:bottom w:val="single" w:sz="8" w:color="BECD32"/>
            </w:tcBorders>
          </w:tcPr>
          <w:p>
            <w:pPr>
              <w:spacing w:after="0"/>
              <w:rPr>
                <w:sz w:val="7"/>
                <w:szCs w:val="7"/>
                <w:color w:val="auto"/>
              </w:rPr>
            </w:pPr>
          </w:p>
        </w:tc>
        <w:tc>
          <w:tcPr>
            <w:tcW w:w="240" w:type="dxa"/>
            <w:vAlign w:val="bottom"/>
            <w:tcBorders>
              <w:bottom w:val="single" w:sz="8" w:color="BECD32"/>
            </w:tcBorders>
            <w:gridSpan w:val="3"/>
            <w:vMerge w:val="continue"/>
          </w:tcPr>
          <w:p>
            <w:pPr>
              <w:spacing w:after="0"/>
              <w:rPr>
                <w:sz w:val="7"/>
                <w:szCs w:val="7"/>
                <w:color w:val="auto"/>
              </w:rPr>
            </w:pPr>
          </w:p>
        </w:tc>
        <w:tc>
          <w:tcPr>
            <w:tcW w:w="160" w:type="dxa"/>
            <w:vAlign w:val="bottom"/>
            <w:tcBorders>
              <w:bottom w:val="single" w:sz="8" w:color="BECD32"/>
            </w:tcBorders>
          </w:tcPr>
          <w:p>
            <w:pPr>
              <w:spacing w:after="0"/>
              <w:rPr>
                <w:sz w:val="7"/>
                <w:szCs w:val="7"/>
                <w:color w:val="auto"/>
              </w:rPr>
            </w:pPr>
          </w:p>
        </w:tc>
        <w:tc>
          <w:tcPr>
            <w:tcW w:w="240" w:type="dxa"/>
            <w:vAlign w:val="bottom"/>
            <w:tcBorders>
              <w:bottom w:val="single" w:sz="8" w:color="BECD32"/>
            </w:tcBorders>
          </w:tcPr>
          <w:p>
            <w:pPr>
              <w:spacing w:after="0"/>
              <w:rPr>
                <w:sz w:val="7"/>
                <w:szCs w:val="7"/>
                <w:color w:val="auto"/>
              </w:rPr>
            </w:pPr>
          </w:p>
        </w:tc>
        <w:tc>
          <w:tcPr>
            <w:tcW w:w="20" w:type="dxa"/>
            <w:vAlign w:val="bottom"/>
            <w:tcBorders>
              <w:bottom w:val="single" w:sz="8" w:color="BECD32"/>
            </w:tcBorders>
          </w:tcPr>
          <w:p>
            <w:pPr>
              <w:spacing w:after="0"/>
              <w:rPr>
                <w:sz w:val="7"/>
                <w:szCs w:val="7"/>
                <w:color w:val="auto"/>
              </w:rPr>
            </w:pPr>
          </w:p>
        </w:tc>
        <w:tc>
          <w:tcPr>
            <w:tcW w:w="640" w:type="dxa"/>
            <w:vAlign w:val="bottom"/>
            <w:tcBorders>
              <w:bottom w:val="single" w:sz="8" w:color="BECD32"/>
            </w:tcBorders>
          </w:tcPr>
          <w:p>
            <w:pPr>
              <w:spacing w:after="0"/>
              <w:rPr>
                <w:sz w:val="7"/>
                <w:szCs w:val="7"/>
                <w:color w:val="auto"/>
              </w:rPr>
            </w:pPr>
          </w:p>
        </w:tc>
        <w:tc>
          <w:tcPr>
            <w:tcW w:w="20" w:type="dxa"/>
            <w:vAlign w:val="bottom"/>
            <w:tcBorders>
              <w:bottom w:val="single" w:sz="8" w:color="BECD32"/>
            </w:tcBorders>
          </w:tcPr>
          <w:p>
            <w:pPr>
              <w:spacing w:after="0"/>
              <w:rPr>
                <w:sz w:val="7"/>
                <w:szCs w:val="7"/>
                <w:color w:val="auto"/>
              </w:rPr>
            </w:pPr>
          </w:p>
        </w:tc>
        <w:tc>
          <w:tcPr>
            <w:tcW w:w="760" w:type="dxa"/>
            <w:vAlign w:val="bottom"/>
            <w:tcBorders>
              <w:bottom w:val="single" w:sz="8" w:color="BECD32"/>
            </w:tcBorders>
          </w:tcPr>
          <w:p>
            <w:pPr>
              <w:spacing w:after="0"/>
              <w:rPr>
                <w:sz w:val="7"/>
                <w:szCs w:val="7"/>
                <w:color w:val="auto"/>
              </w:rPr>
            </w:pPr>
          </w:p>
        </w:tc>
        <w:tc>
          <w:tcPr>
            <w:tcW w:w="20" w:type="dxa"/>
            <w:vAlign w:val="bottom"/>
            <w:tcBorders>
              <w:bottom w:val="single" w:sz="8" w:color="BECD32"/>
            </w:tcBorders>
          </w:tcPr>
          <w:p>
            <w:pPr>
              <w:spacing w:after="0"/>
              <w:rPr>
                <w:sz w:val="7"/>
                <w:szCs w:val="7"/>
                <w:color w:val="auto"/>
              </w:rPr>
            </w:pPr>
          </w:p>
        </w:tc>
        <w:tc>
          <w:tcPr>
            <w:tcW w:w="200" w:type="dxa"/>
            <w:vAlign w:val="bottom"/>
            <w:tcBorders>
              <w:bottom w:val="single" w:sz="8" w:color="BECD32"/>
            </w:tcBorders>
          </w:tcPr>
          <w:p>
            <w:pPr>
              <w:spacing w:after="0"/>
              <w:rPr>
                <w:sz w:val="7"/>
                <w:szCs w:val="7"/>
                <w:color w:val="auto"/>
              </w:rPr>
            </w:pPr>
          </w:p>
        </w:tc>
        <w:tc>
          <w:tcPr>
            <w:tcW w:w="120" w:type="dxa"/>
            <w:vAlign w:val="bottom"/>
            <w:tcBorders>
              <w:bottom w:val="single" w:sz="8" w:color="BECD32"/>
            </w:tcBorders>
          </w:tcPr>
          <w:p>
            <w:pPr>
              <w:spacing w:after="0"/>
              <w:rPr>
                <w:sz w:val="7"/>
                <w:szCs w:val="7"/>
                <w:color w:val="auto"/>
              </w:rPr>
            </w:pPr>
          </w:p>
        </w:tc>
        <w:tc>
          <w:tcPr>
            <w:tcW w:w="280" w:type="dxa"/>
            <w:vAlign w:val="bottom"/>
            <w:tcBorders>
              <w:bottom w:val="single" w:sz="8" w:color="BECD32"/>
            </w:tcBorders>
          </w:tcPr>
          <w:p>
            <w:pPr>
              <w:spacing w:after="0"/>
              <w:rPr>
                <w:sz w:val="7"/>
                <w:szCs w:val="7"/>
                <w:color w:val="auto"/>
              </w:rPr>
            </w:pPr>
          </w:p>
        </w:tc>
        <w:tc>
          <w:tcPr>
            <w:tcW w:w="20" w:type="dxa"/>
            <w:vAlign w:val="bottom"/>
            <w:tcBorders>
              <w:bottom w:val="single" w:sz="8" w:color="BECD32"/>
            </w:tcBorders>
          </w:tcPr>
          <w:p>
            <w:pPr>
              <w:spacing w:after="0"/>
              <w:rPr>
                <w:sz w:val="7"/>
                <w:szCs w:val="7"/>
                <w:color w:val="auto"/>
              </w:rPr>
            </w:pPr>
          </w:p>
        </w:tc>
        <w:tc>
          <w:tcPr>
            <w:tcW w:w="620" w:type="dxa"/>
            <w:vAlign w:val="bottom"/>
            <w:tcBorders>
              <w:bottom w:val="single" w:sz="8" w:color="BECD32"/>
            </w:tcBorders>
          </w:tcPr>
          <w:p>
            <w:pPr>
              <w:spacing w:after="0"/>
              <w:rPr>
                <w:sz w:val="7"/>
                <w:szCs w:val="7"/>
                <w:color w:val="auto"/>
              </w:rPr>
            </w:pPr>
          </w:p>
        </w:tc>
        <w:tc>
          <w:tcPr>
            <w:tcW w:w="40" w:type="dxa"/>
            <w:vAlign w:val="bottom"/>
            <w:tcBorders>
              <w:bottom w:val="single" w:sz="8" w:color="BECD32"/>
              <w:right w:val="single" w:sz="8" w:color="BECD32"/>
            </w:tcBorders>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1400" w:type="dxa"/>
            <w:vAlign w:val="bottom"/>
          </w:tcPr>
          <w:p>
            <w:pPr>
              <w:ind w:left="20"/>
              <w:spacing w:after="0"/>
              <w:rPr>
                <w:sz w:val="20"/>
                <w:szCs w:val="20"/>
                <w:color w:val="auto"/>
              </w:rPr>
            </w:pPr>
            <w:r>
              <w:rPr>
                <w:rFonts w:ascii="Arial" w:cs="Arial" w:eastAsia="Arial" w:hAnsi="Arial"/>
                <w:sz w:val="12"/>
                <w:szCs w:val="12"/>
                <w:color w:val="005A64"/>
              </w:rPr>
              <w:t>2023</w:t>
            </w:r>
          </w:p>
        </w:tc>
        <w:tc>
          <w:tcPr>
            <w:tcW w:w="640" w:type="dxa"/>
            <w:vAlign w:val="bottom"/>
            <w:gridSpan w:val="2"/>
          </w:tcPr>
          <w:p>
            <w:pPr>
              <w:ind w:left="20"/>
              <w:spacing w:after="0"/>
              <w:rPr>
                <w:sz w:val="20"/>
                <w:szCs w:val="20"/>
                <w:color w:val="auto"/>
              </w:rPr>
            </w:pPr>
            <w:r>
              <w:rPr>
                <w:rFonts w:ascii="Arial" w:cs="Arial" w:eastAsia="Arial" w:hAnsi="Arial"/>
                <w:sz w:val="12"/>
                <w:szCs w:val="12"/>
                <w:color w:val="005A64"/>
              </w:rPr>
              <w:t>158</w:t>
            </w:r>
          </w:p>
        </w:tc>
        <w:tc>
          <w:tcPr>
            <w:tcW w:w="2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gridSpan w:val="2"/>
          </w:tcPr>
          <w:p>
            <w:pPr>
              <w:ind w:left="20"/>
              <w:spacing w:after="0"/>
              <w:rPr>
                <w:sz w:val="20"/>
                <w:szCs w:val="20"/>
                <w:color w:val="auto"/>
              </w:rPr>
            </w:pPr>
            <w:r>
              <w:rPr>
                <w:rFonts w:ascii="Arial" w:cs="Arial" w:eastAsia="Arial" w:hAnsi="Arial"/>
                <w:sz w:val="12"/>
                <w:szCs w:val="12"/>
                <w:color w:val="005A64"/>
                <w:w w:val="89"/>
              </w:rPr>
              <w:t>135</w:t>
            </w:r>
          </w:p>
        </w:tc>
        <w:tc>
          <w:tcPr>
            <w:tcW w:w="400" w:type="dxa"/>
            <w:vAlign w:val="bottom"/>
          </w:tcPr>
          <w:p>
            <w:pPr>
              <w:spacing w:after="0"/>
              <w:rPr>
                <w:sz w:val="13"/>
                <w:szCs w:val="13"/>
                <w:color w:val="auto"/>
              </w:rPr>
            </w:pPr>
          </w:p>
        </w:tc>
        <w:tc>
          <w:tcPr>
            <w:tcW w:w="240" w:type="dxa"/>
            <w:vAlign w:val="bottom"/>
            <w:gridSpan w:val="3"/>
          </w:tcPr>
          <w:p>
            <w:pPr>
              <w:ind w:left="40"/>
              <w:spacing w:after="0"/>
              <w:rPr>
                <w:sz w:val="20"/>
                <w:szCs w:val="20"/>
                <w:color w:val="auto"/>
              </w:rPr>
            </w:pPr>
            <w:r>
              <w:rPr>
                <w:rFonts w:ascii="Arial" w:cs="Arial" w:eastAsia="Arial" w:hAnsi="Arial"/>
                <w:sz w:val="12"/>
                <w:szCs w:val="12"/>
                <w:color w:val="005A64"/>
                <w:w w:val="89"/>
              </w:rPr>
              <w:t>135</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color w:val="005A64"/>
              </w:rPr>
              <w:t>135</w:t>
            </w:r>
          </w:p>
        </w:tc>
        <w:tc>
          <w:tcPr>
            <w:tcW w:w="780" w:type="dxa"/>
            <w:vAlign w:val="bottom"/>
            <w:gridSpan w:val="2"/>
          </w:tcPr>
          <w:p>
            <w:pPr>
              <w:ind w:left="20"/>
              <w:spacing w:after="0"/>
              <w:rPr>
                <w:sz w:val="20"/>
                <w:szCs w:val="20"/>
                <w:color w:val="auto"/>
              </w:rPr>
            </w:pPr>
            <w:r>
              <w:rPr>
                <w:rFonts w:ascii="Arial" w:cs="Arial" w:eastAsia="Arial" w:hAnsi="Arial"/>
                <w:sz w:val="12"/>
                <w:szCs w:val="12"/>
                <w:color w:val="005A64"/>
              </w:rPr>
              <w:t>135</w:t>
            </w:r>
          </w:p>
        </w:tc>
        <w:tc>
          <w:tcPr>
            <w:tcW w:w="220" w:type="dxa"/>
            <w:vAlign w:val="bottom"/>
            <w:gridSpan w:val="2"/>
          </w:tcPr>
          <w:p>
            <w:pPr>
              <w:ind w:left="20"/>
              <w:spacing w:after="0"/>
              <w:rPr>
                <w:sz w:val="20"/>
                <w:szCs w:val="20"/>
                <w:color w:val="auto"/>
              </w:rPr>
            </w:pPr>
            <w:r>
              <w:rPr>
                <w:rFonts w:ascii="Arial" w:cs="Arial" w:eastAsia="Arial" w:hAnsi="Arial"/>
                <w:sz w:val="12"/>
                <w:szCs w:val="12"/>
                <w:color w:val="005A64"/>
              </w:rPr>
              <w:t>45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color w:val="005A64"/>
              </w:rPr>
              <w:t>135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400" w:type="dxa"/>
            <w:vAlign w:val="bottom"/>
          </w:tcPr>
          <w:p>
            <w:pPr>
              <w:ind w:left="20"/>
              <w:spacing w:after="0"/>
              <w:rPr>
                <w:sz w:val="20"/>
                <w:szCs w:val="20"/>
                <w:color w:val="auto"/>
              </w:rPr>
            </w:pPr>
            <w:r>
              <w:rPr>
                <w:rFonts w:ascii="Arial" w:cs="Arial" w:eastAsia="Arial" w:hAnsi="Arial"/>
                <w:sz w:val="12"/>
                <w:szCs w:val="12"/>
                <w:b w:val="1"/>
                <w:bCs w:val="1"/>
                <w:color w:val="3C9673"/>
              </w:rPr>
              <w:t>Short-term incentive –</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400" w:type="dxa"/>
            <w:vAlign w:val="bottom"/>
            <w:tcBorders>
              <w:bottom w:val="single" w:sz="8" w:color="BECD32"/>
            </w:tcBorders>
          </w:tcPr>
          <w:p>
            <w:pPr>
              <w:ind w:left="20"/>
              <w:spacing w:after="0"/>
              <w:rPr>
                <w:sz w:val="20"/>
                <w:szCs w:val="20"/>
                <w:color w:val="auto"/>
              </w:rPr>
            </w:pPr>
            <w:r>
              <w:rPr>
                <w:rFonts w:ascii="Arial" w:cs="Arial" w:eastAsia="Arial" w:hAnsi="Arial"/>
                <w:sz w:val="12"/>
                <w:szCs w:val="12"/>
                <w:b w:val="1"/>
                <w:bCs w:val="1"/>
                <w:color w:val="3C9673"/>
              </w:rPr>
              <w:t>second installment</w:t>
            </w:r>
            <w:r>
              <w:rPr>
                <w:rFonts w:ascii="Arial" w:cs="Arial" w:eastAsia="Arial" w:hAnsi="Arial"/>
                <w:sz w:val="16"/>
                <w:szCs w:val="16"/>
                <w:b w:val="1"/>
                <w:bCs w:val="1"/>
                <w:color w:val="3C9673"/>
                <w:vertAlign w:val="superscript"/>
              </w:rPr>
              <w:t>(5)</w:t>
            </w:r>
          </w:p>
        </w:tc>
        <w:tc>
          <w:tcPr>
            <w:tcW w:w="20" w:type="dxa"/>
            <w:vAlign w:val="bottom"/>
            <w:tcBorders>
              <w:bottom w:val="single" w:sz="8" w:color="BECD32"/>
            </w:tcBorders>
          </w:tcPr>
          <w:p>
            <w:pPr>
              <w:spacing w:after="0"/>
              <w:rPr>
                <w:sz w:val="16"/>
                <w:szCs w:val="16"/>
                <w:color w:val="auto"/>
              </w:rPr>
            </w:pPr>
          </w:p>
        </w:tc>
        <w:tc>
          <w:tcPr>
            <w:tcW w:w="620" w:type="dxa"/>
            <w:vAlign w:val="bottom"/>
            <w:tcBorders>
              <w:bottom w:val="single" w:sz="8" w:color="BECD32"/>
            </w:tcBorders>
          </w:tcPr>
          <w:p>
            <w:pPr>
              <w:spacing w:after="0"/>
              <w:rPr>
                <w:sz w:val="16"/>
                <w:szCs w:val="16"/>
                <w:color w:val="auto"/>
              </w:rPr>
            </w:pPr>
          </w:p>
        </w:tc>
        <w:tc>
          <w:tcPr>
            <w:tcW w:w="20" w:type="dxa"/>
            <w:vAlign w:val="bottom"/>
            <w:tcBorders>
              <w:bottom w:val="single" w:sz="8" w:color="BECD32"/>
            </w:tcBorders>
          </w:tcPr>
          <w:p>
            <w:pPr>
              <w:spacing w:after="0"/>
              <w:rPr>
                <w:sz w:val="16"/>
                <w:szCs w:val="16"/>
                <w:color w:val="auto"/>
              </w:rPr>
            </w:pPr>
          </w:p>
        </w:tc>
        <w:tc>
          <w:tcPr>
            <w:tcW w:w="200" w:type="dxa"/>
            <w:vAlign w:val="bottom"/>
            <w:tcBorders>
              <w:bottom w:val="single" w:sz="8" w:color="BECD32"/>
            </w:tcBorders>
          </w:tcPr>
          <w:p>
            <w:pPr>
              <w:spacing w:after="0"/>
              <w:rPr>
                <w:sz w:val="16"/>
                <w:szCs w:val="16"/>
                <w:color w:val="auto"/>
              </w:rPr>
            </w:pPr>
          </w:p>
        </w:tc>
        <w:tc>
          <w:tcPr>
            <w:tcW w:w="100" w:type="dxa"/>
            <w:vAlign w:val="bottom"/>
            <w:tcBorders>
              <w:bottom w:val="single" w:sz="8" w:color="BECD32"/>
            </w:tcBorders>
          </w:tcPr>
          <w:p>
            <w:pPr>
              <w:spacing w:after="0"/>
              <w:rPr>
                <w:sz w:val="16"/>
                <w:szCs w:val="16"/>
                <w:color w:val="auto"/>
              </w:rPr>
            </w:pPr>
          </w:p>
        </w:tc>
        <w:tc>
          <w:tcPr>
            <w:tcW w:w="420" w:type="dxa"/>
            <w:vAlign w:val="bottom"/>
            <w:tcBorders>
              <w:bottom w:val="single" w:sz="8" w:color="BECD32"/>
            </w:tcBorders>
          </w:tcPr>
          <w:p>
            <w:pPr>
              <w:spacing w:after="0"/>
              <w:rPr>
                <w:sz w:val="16"/>
                <w:szCs w:val="16"/>
                <w:color w:val="auto"/>
              </w:rPr>
            </w:pPr>
          </w:p>
        </w:tc>
        <w:tc>
          <w:tcPr>
            <w:tcW w:w="20" w:type="dxa"/>
            <w:vAlign w:val="bottom"/>
            <w:tcBorders>
              <w:bottom w:val="single" w:sz="8" w:color="BECD32"/>
            </w:tcBorders>
          </w:tcPr>
          <w:p>
            <w:pPr>
              <w:spacing w:after="0"/>
              <w:rPr>
                <w:sz w:val="16"/>
                <w:szCs w:val="16"/>
                <w:color w:val="auto"/>
              </w:rPr>
            </w:pPr>
          </w:p>
        </w:tc>
        <w:tc>
          <w:tcPr>
            <w:tcW w:w="200" w:type="dxa"/>
            <w:vAlign w:val="bottom"/>
            <w:tcBorders>
              <w:bottom w:val="single" w:sz="8" w:color="BECD32"/>
            </w:tcBorders>
          </w:tcPr>
          <w:p>
            <w:pPr>
              <w:spacing w:after="0"/>
              <w:rPr>
                <w:sz w:val="16"/>
                <w:szCs w:val="16"/>
                <w:color w:val="auto"/>
              </w:rPr>
            </w:pPr>
          </w:p>
        </w:tc>
        <w:tc>
          <w:tcPr>
            <w:tcW w:w="400" w:type="dxa"/>
            <w:vAlign w:val="bottom"/>
            <w:tcBorders>
              <w:bottom w:val="single" w:sz="8" w:color="BECD32"/>
            </w:tcBorders>
          </w:tcPr>
          <w:p>
            <w:pPr>
              <w:spacing w:after="0"/>
              <w:rPr>
                <w:sz w:val="16"/>
                <w:szCs w:val="16"/>
                <w:color w:val="auto"/>
              </w:rPr>
            </w:pPr>
          </w:p>
        </w:tc>
        <w:tc>
          <w:tcPr>
            <w:tcW w:w="40" w:type="dxa"/>
            <w:vAlign w:val="bottom"/>
            <w:tcBorders>
              <w:bottom w:val="single" w:sz="8" w:color="BECD32"/>
            </w:tcBorders>
          </w:tcPr>
          <w:p>
            <w:pPr>
              <w:spacing w:after="0"/>
              <w:rPr>
                <w:sz w:val="16"/>
                <w:szCs w:val="16"/>
                <w:color w:val="auto"/>
              </w:rPr>
            </w:pPr>
          </w:p>
        </w:tc>
        <w:tc>
          <w:tcPr>
            <w:tcW w:w="120" w:type="dxa"/>
            <w:vAlign w:val="bottom"/>
            <w:tcBorders>
              <w:bottom w:val="single" w:sz="8" w:color="BECD32"/>
            </w:tcBorders>
          </w:tcPr>
          <w:p>
            <w:pPr>
              <w:spacing w:after="0"/>
              <w:rPr>
                <w:sz w:val="16"/>
                <w:szCs w:val="16"/>
                <w:color w:val="auto"/>
              </w:rPr>
            </w:pPr>
          </w:p>
        </w:tc>
        <w:tc>
          <w:tcPr>
            <w:tcW w:w="80" w:type="dxa"/>
            <w:vAlign w:val="bottom"/>
            <w:tcBorders>
              <w:bottom w:val="single" w:sz="8" w:color="BECD32"/>
            </w:tcBorders>
          </w:tcPr>
          <w:p>
            <w:pPr>
              <w:spacing w:after="0"/>
              <w:rPr>
                <w:sz w:val="16"/>
                <w:szCs w:val="16"/>
                <w:color w:val="auto"/>
              </w:rPr>
            </w:pPr>
          </w:p>
        </w:tc>
        <w:tc>
          <w:tcPr>
            <w:tcW w:w="160" w:type="dxa"/>
            <w:vAlign w:val="bottom"/>
            <w:tcBorders>
              <w:bottom w:val="single" w:sz="8" w:color="BECD32"/>
            </w:tcBorders>
          </w:tcPr>
          <w:p>
            <w:pPr>
              <w:spacing w:after="0"/>
              <w:rPr>
                <w:sz w:val="16"/>
                <w:szCs w:val="16"/>
                <w:color w:val="auto"/>
              </w:rPr>
            </w:pPr>
          </w:p>
        </w:tc>
        <w:tc>
          <w:tcPr>
            <w:tcW w:w="240" w:type="dxa"/>
            <w:vAlign w:val="bottom"/>
            <w:tcBorders>
              <w:bottom w:val="single" w:sz="8" w:color="BECD32"/>
            </w:tcBorders>
          </w:tcPr>
          <w:p>
            <w:pPr>
              <w:spacing w:after="0"/>
              <w:rPr>
                <w:sz w:val="16"/>
                <w:szCs w:val="16"/>
                <w:color w:val="auto"/>
              </w:rPr>
            </w:pPr>
          </w:p>
        </w:tc>
        <w:tc>
          <w:tcPr>
            <w:tcW w:w="20" w:type="dxa"/>
            <w:vAlign w:val="bottom"/>
            <w:tcBorders>
              <w:bottom w:val="single" w:sz="8" w:color="BECD32"/>
            </w:tcBorders>
          </w:tcPr>
          <w:p>
            <w:pPr>
              <w:spacing w:after="0"/>
              <w:rPr>
                <w:sz w:val="16"/>
                <w:szCs w:val="16"/>
                <w:color w:val="auto"/>
              </w:rPr>
            </w:pPr>
          </w:p>
        </w:tc>
        <w:tc>
          <w:tcPr>
            <w:tcW w:w="640" w:type="dxa"/>
            <w:vAlign w:val="bottom"/>
            <w:tcBorders>
              <w:bottom w:val="single" w:sz="8" w:color="BECD32"/>
            </w:tcBorders>
          </w:tcPr>
          <w:p>
            <w:pPr>
              <w:spacing w:after="0"/>
              <w:rPr>
                <w:sz w:val="16"/>
                <w:szCs w:val="16"/>
                <w:color w:val="auto"/>
              </w:rPr>
            </w:pPr>
          </w:p>
        </w:tc>
        <w:tc>
          <w:tcPr>
            <w:tcW w:w="20" w:type="dxa"/>
            <w:vAlign w:val="bottom"/>
            <w:tcBorders>
              <w:bottom w:val="single" w:sz="8" w:color="BECD32"/>
            </w:tcBorders>
          </w:tcPr>
          <w:p>
            <w:pPr>
              <w:spacing w:after="0"/>
              <w:rPr>
                <w:sz w:val="16"/>
                <w:szCs w:val="16"/>
                <w:color w:val="auto"/>
              </w:rPr>
            </w:pPr>
          </w:p>
        </w:tc>
        <w:tc>
          <w:tcPr>
            <w:tcW w:w="760" w:type="dxa"/>
            <w:vAlign w:val="bottom"/>
            <w:tcBorders>
              <w:bottom w:val="single" w:sz="8" w:color="BECD32"/>
            </w:tcBorders>
          </w:tcPr>
          <w:p>
            <w:pPr>
              <w:spacing w:after="0"/>
              <w:rPr>
                <w:sz w:val="16"/>
                <w:szCs w:val="16"/>
                <w:color w:val="auto"/>
              </w:rPr>
            </w:pPr>
          </w:p>
        </w:tc>
        <w:tc>
          <w:tcPr>
            <w:tcW w:w="20" w:type="dxa"/>
            <w:vAlign w:val="bottom"/>
            <w:tcBorders>
              <w:bottom w:val="single" w:sz="8" w:color="BECD32"/>
            </w:tcBorders>
          </w:tcPr>
          <w:p>
            <w:pPr>
              <w:spacing w:after="0"/>
              <w:rPr>
                <w:sz w:val="16"/>
                <w:szCs w:val="16"/>
                <w:color w:val="auto"/>
              </w:rPr>
            </w:pPr>
          </w:p>
        </w:tc>
        <w:tc>
          <w:tcPr>
            <w:tcW w:w="200" w:type="dxa"/>
            <w:vAlign w:val="bottom"/>
            <w:tcBorders>
              <w:bottom w:val="single" w:sz="8" w:color="BECD32"/>
            </w:tcBorders>
          </w:tcPr>
          <w:p>
            <w:pPr>
              <w:spacing w:after="0"/>
              <w:rPr>
                <w:sz w:val="16"/>
                <w:szCs w:val="16"/>
                <w:color w:val="auto"/>
              </w:rPr>
            </w:pPr>
          </w:p>
        </w:tc>
        <w:tc>
          <w:tcPr>
            <w:tcW w:w="120" w:type="dxa"/>
            <w:vAlign w:val="bottom"/>
            <w:tcBorders>
              <w:bottom w:val="single" w:sz="8" w:color="BECD32"/>
            </w:tcBorders>
          </w:tcPr>
          <w:p>
            <w:pPr>
              <w:spacing w:after="0"/>
              <w:rPr>
                <w:sz w:val="16"/>
                <w:szCs w:val="16"/>
                <w:color w:val="auto"/>
              </w:rPr>
            </w:pPr>
          </w:p>
        </w:tc>
        <w:tc>
          <w:tcPr>
            <w:tcW w:w="280" w:type="dxa"/>
            <w:vAlign w:val="bottom"/>
            <w:tcBorders>
              <w:bottom w:val="single" w:sz="8" w:color="BECD32"/>
            </w:tcBorders>
          </w:tcPr>
          <w:p>
            <w:pPr>
              <w:spacing w:after="0"/>
              <w:rPr>
                <w:sz w:val="16"/>
                <w:szCs w:val="16"/>
                <w:color w:val="auto"/>
              </w:rPr>
            </w:pPr>
          </w:p>
        </w:tc>
        <w:tc>
          <w:tcPr>
            <w:tcW w:w="20" w:type="dxa"/>
            <w:vAlign w:val="bottom"/>
            <w:tcBorders>
              <w:bottom w:val="single" w:sz="8" w:color="BECD32"/>
            </w:tcBorders>
          </w:tcPr>
          <w:p>
            <w:pPr>
              <w:spacing w:after="0"/>
              <w:rPr>
                <w:sz w:val="16"/>
                <w:szCs w:val="16"/>
                <w:color w:val="auto"/>
              </w:rPr>
            </w:pPr>
          </w:p>
        </w:tc>
        <w:tc>
          <w:tcPr>
            <w:tcW w:w="620" w:type="dxa"/>
            <w:vAlign w:val="bottom"/>
            <w:tcBorders>
              <w:bottom w:val="single" w:sz="8" w:color="BECD32"/>
            </w:tcBorders>
          </w:tcPr>
          <w:p>
            <w:pPr>
              <w:spacing w:after="0"/>
              <w:rPr>
                <w:sz w:val="16"/>
                <w:szCs w:val="16"/>
                <w:color w:val="auto"/>
              </w:rPr>
            </w:pPr>
          </w:p>
        </w:tc>
        <w:tc>
          <w:tcPr>
            <w:tcW w:w="40" w:type="dxa"/>
            <w:vAlign w:val="bottom"/>
            <w:tcBorders>
              <w:bottom w:val="single" w:sz="8" w:color="BECD32"/>
            </w:tcBorders>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1400" w:type="dxa"/>
            <w:vAlign w:val="bottom"/>
            <w:tcBorders>
              <w:left w:val="single" w:sz="8" w:color="BECD32"/>
            </w:tcBorders>
          </w:tcPr>
          <w:p>
            <w:pPr>
              <w:ind w:left="20"/>
              <w:spacing w:after="0" w:line="102" w:lineRule="exact"/>
              <w:rPr>
                <w:sz w:val="20"/>
                <w:szCs w:val="20"/>
                <w:color w:val="auto"/>
              </w:rPr>
            </w:pPr>
            <w:r>
              <w:rPr>
                <w:rFonts w:ascii="Arial" w:cs="Arial" w:eastAsia="Arial" w:hAnsi="Arial"/>
                <w:sz w:val="11"/>
                <w:szCs w:val="11"/>
                <w:color w:val="005A64"/>
              </w:rPr>
              <w:t>2024</w:t>
            </w:r>
          </w:p>
        </w:tc>
        <w:tc>
          <w:tcPr>
            <w:tcW w:w="640" w:type="dxa"/>
            <w:vAlign w:val="bottom"/>
            <w:gridSpan w:val="2"/>
          </w:tcPr>
          <w:p>
            <w:pPr>
              <w:ind w:left="20"/>
              <w:spacing w:after="0" w:line="102" w:lineRule="exact"/>
              <w:rPr>
                <w:sz w:val="20"/>
                <w:szCs w:val="20"/>
                <w:color w:val="auto"/>
              </w:rPr>
            </w:pPr>
            <w:r>
              <w:rPr>
                <w:rFonts w:ascii="Arial" w:cs="Arial" w:eastAsia="Arial" w:hAnsi="Arial"/>
                <w:sz w:val="11"/>
                <w:szCs w:val="11"/>
                <w:color w:val="005A64"/>
              </w:rPr>
              <w:t>130</w:t>
            </w:r>
          </w:p>
        </w:tc>
        <w:tc>
          <w:tcPr>
            <w:tcW w:w="320" w:type="dxa"/>
            <w:vAlign w:val="bottom"/>
            <w:gridSpan w:val="3"/>
          </w:tcPr>
          <w:p>
            <w:pPr>
              <w:jc w:val="right"/>
              <w:spacing w:after="0"/>
              <w:rPr>
                <w:sz w:val="20"/>
                <w:szCs w:val="20"/>
                <w:color w:val="auto"/>
              </w:rPr>
            </w:pPr>
            <w:r>
              <w:rPr>
                <w:rFonts w:ascii="Arial" w:cs="Arial" w:eastAsia="Arial" w:hAnsi="Arial"/>
                <w:sz w:val="8"/>
                <w:szCs w:val="8"/>
                <w:color w:val="005A64"/>
              </w:rPr>
              <w:t>(12)</w:t>
            </w:r>
          </w:p>
        </w:tc>
        <w:tc>
          <w:tcPr>
            <w:tcW w:w="420" w:type="dxa"/>
            <w:vAlign w:val="bottom"/>
          </w:tcPr>
          <w:p>
            <w:pPr>
              <w:spacing w:after="0"/>
              <w:rPr>
                <w:sz w:val="8"/>
                <w:szCs w:val="8"/>
                <w:color w:val="auto"/>
              </w:rPr>
            </w:pPr>
          </w:p>
        </w:tc>
        <w:tc>
          <w:tcPr>
            <w:tcW w:w="220" w:type="dxa"/>
            <w:vAlign w:val="bottom"/>
            <w:gridSpan w:val="2"/>
          </w:tcPr>
          <w:p>
            <w:pPr>
              <w:ind w:left="20"/>
              <w:spacing w:after="0" w:line="102" w:lineRule="exact"/>
              <w:rPr>
                <w:sz w:val="20"/>
                <w:szCs w:val="20"/>
                <w:color w:val="auto"/>
              </w:rPr>
            </w:pPr>
            <w:r>
              <w:rPr>
                <w:rFonts w:ascii="Arial" w:cs="Arial" w:eastAsia="Arial" w:hAnsi="Arial"/>
                <w:sz w:val="11"/>
                <w:szCs w:val="11"/>
                <w:color w:val="005A64"/>
                <w:w w:val="97"/>
              </w:rPr>
              <w:t>111</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restart"/>
          </w:tcPr>
          <w:p>
            <w:pPr>
              <w:spacing w:after="0"/>
              <w:rPr>
                <w:sz w:val="20"/>
                <w:szCs w:val="20"/>
                <w:color w:val="auto"/>
              </w:rPr>
            </w:pPr>
            <w:r>
              <w:rPr>
                <w:rFonts w:ascii="Arial" w:cs="Arial" w:eastAsia="Arial" w:hAnsi="Arial"/>
                <w:sz w:val="12"/>
                <w:szCs w:val="12"/>
                <w:color w:val="005A64"/>
                <w:w w:val="82"/>
              </w:rPr>
              <w:t>—</w:t>
            </w:r>
          </w:p>
        </w:tc>
        <w:tc>
          <w:tcPr>
            <w:tcW w:w="240" w:type="dxa"/>
            <w:vAlign w:val="bottom"/>
            <w:gridSpan w:val="2"/>
          </w:tcPr>
          <w:p>
            <w:pPr>
              <w:jc w:val="right"/>
              <w:ind w:right="60"/>
              <w:spacing w:after="0"/>
              <w:rPr>
                <w:sz w:val="20"/>
                <w:szCs w:val="20"/>
                <w:color w:val="auto"/>
              </w:rPr>
            </w:pPr>
            <w:r>
              <w:rPr>
                <w:rFonts w:ascii="Arial" w:cs="Arial" w:eastAsia="Arial" w:hAnsi="Arial"/>
                <w:sz w:val="8"/>
                <w:szCs w:val="8"/>
                <w:color w:val="005A64"/>
                <w:w w:val="84"/>
              </w:rPr>
              <w:t>(14)</w:t>
            </w:r>
          </w:p>
        </w:tc>
        <w:tc>
          <w:tcPr>
            <w:tcW w:w="240" w:type="dxa"/>
            <w:vAlign w:val="bottom"/>
          </w:tcPr>
          <w:p>
            <w:pPr>
              <w:spacing w:after="0"/>
              <w:rPr>
                <w:sz w:val="8"/>
                <w:szCs w:val="8"/>
                <w:color w:val="auto"/>
              </w:rPr>
            </w:pPr>
          </w:p>
        </w:tc>
        <w:tc>
          <w:tcPr>
            <w:tcW w:w="660" w:type="dxa"/>
            <w:vAlign w:val="bottom"/>
            <w:gridSpan w:val="2"/>
          </w:tcPr>
          <w:p>
            <w:pPr>
              <w:ind w:left="40"/>
              <w:spacing w:after="0" w:line="102" w:lineRule="exact"/>
              <w:rPr>
                <w:sz w:val="20"/>
                <w:szCs w:val="20"/>
                <w:color w:val="auto"/>
              </w:rPr>
            </w:pPr>
            <w:r>
              <w:rPr>
                <w:rFonts w:ascii="Arial" w:cs="Arial" w:eastAsia="Arial" w:hAnsi="Arial"/>
                <w:sz w:val="11"/>
                <w:szCs w:val="11"/>
                <w:color w:val="005A64"/>
              </w:rPr>
              <w:t>111</w:t>
            </w:r>
          </w:p>
        </w:tc>
        <w:tc>
          <w:tcPr>
            <w:tcW w:w="780" w:type="dxa"/>
            <w:vAlign w:val="bottom"/>
            <w:gridSpan w:val="2"/>
          </w:tcPr>
          <w:p>
            <w:pPr>
              <w:ind w:left="20"/>
              <w:spacing w:after="0" w:line="102" w:lineRule="exact"/>
              <w:rPr>
                <w:sz w:val="20"/>
                <w:szCs w:val="20"/>
                <w:color w:val="auto"/>
              </w:rPr>
            </w:pPr>
            <w:r>
              <w:rPr>
                <w:rFonts w:ascii="Arial" w:cs="Arial" w:eastAsia="Arial" w:hAnsi="Arial"/>
                <w:sz w:val="11"/>
                <w:szCs w:val="11"/>
                <w:color w:val="005A64"/>
              </w:rPr>
              <w:t>111</w:t>
            </w:r>
          </w:p>
        </w:tc>
        <w:tc>
          <w:tcPr>
            <w:tcW w:w="220" w:type="dxa"/>
            <w:vAlign w:val="bottom"/>
            <w:gridSpan w:val="2"/>
          </w:tcPr>
          <w:p>
            <w:pPr>
              <w:ind w:left="20"/>
              <w:spacing w:after="0" w:line="102" w:lineRule="exact"/>
              <w:rPr>
                <w:sz w:val="20"/>
                <w:szCs w:val="20"/>
                <w:color w:val="auto"/>
              </w:rPr>
            </w:pPr>
            <w:r>
              <w:rPr>
                <w:rFonts w:ascii="Arial" w:cs="Arial" w:eastAsia="Arial" w:hAnsi="Arial"/>
                <w:sz w:val="11"/>
                <w:szCs w:val="11"/>
                <w:color w:val="005A64"/>
                <w:w w:val="97"/>
              </w:rPr>
              <w:t>111</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gridSpan w:val="2"/>
          </w:tcPr>
          <w:p>
            <w:pPr>
              <w:ind w:left="40"/>
              <w:spacing w:after="0" w:line="102" w:lineRule="exact"/>
              <w:rPr>
                <w:sz w:val="20"/>
                <w:szCs w:val="20"/>
                <w:color w:val="auto"/>
              </w:rPr>
            </w:pPr>
            <w:r>
              <w:rPr>
                <w:rFonts w:ascii="Arial" w:cs="Arial" w:eastAsia="Arial" w:hAnsi="Arial"/>
                <w:sz w:val="11"/>
                <w:szCs w:val="11"/>
                <w:color w:val="005A64"/>
              </w:rPr>
              <w:t>111</w:t>
            </w:r>
          </w:p>
        </w:tc>
        <w:tc>
          <w:tcPr>
            <w:tcW w:w="40" w:type="dxa"/>
            <w:vAlign w:val="bottom"/>
            <w:tcBorders>
              <w:right w:val="single" w:sz="8" w:color="BECD32"/>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400" w:type="dxa"/>
            <w:vAlign w:val="bottom"/>
            <w:tcBorders>
              <w:left w:val="single" w:sz="8" w:color="BECD32"/>
              <w:bottom w:val="single" w:sz="8" w:color="BECD32"/>
            </w:tcBorders>
          </w:tcPr>
          <w:p>
            <w:pPr>
              <w:spacing w:after="0"/>
              <w:rPr>
                <w:sz w:val="7"/>
                <w:szCs w:val="7"/>
                <w:color w:val="auto"/>
              </w:rPr>
            </w:pPr>
          </w:p>
        </w:tc>
        <w:tc>
          <w:tcPr>
            <w:tcW w:w="20" w:type="dxa"/>
            <w:vAlign w:val="bottom"/>
            <w:tcBorders>
              <w:bottom w:val="single" w:sz="8" w:color="BECD32"/>
            </w:tcBorders>
          </w:tcPr>
          <w:p>
            <w:pPr>
              <w:spacing w:after="0"/>
              <w:rPr>
                <w:sz w:val="7"/>
                <w:szCs w:val="7"/>
                <w:color w:val="auto"/>
              </w:rPr>
            </w:pPr>
          </w:p>
        </w:tc>
        <w:tc>
          <w:tcPr>
            <w:tcW w:w="620" w:type="dxa"/>
            <w:vAlign w:val="bottom"/>
            <w:tcBorders>
              <w:bottom w:val="single" w:sz="8" w:color="BECD32"/>
            </w:tcBorders>
          </w:tcPr>
          <w:p>
            <w:pPr>
              <w:spacing w:after="0"/>
              <w:rPr>
                <w:sz w:val="7"/>
                <w:szCs w:val="7"/>
                <w:color w:val="auto"/>
              </w:rPr>
            </w:pPr>
          </w:p>
        </w:tc>
        <w:tc>
          <w:tcPr>
            <w:tcW w:w="220" w:type="dxa"/>
            <w:vAlign w:val="bottom"/>
            <w:tcBorders>
              <w:bottom w:val="single" w:sz="8" w:color="BECD32"/>
            </w:tcBorders>
            <w:gridSpan w:val="2"/>
          </w:tcPr>
          <w:p>
            <w:pPr>
              <w:ind w:left="20"/>
              <w:spacing w:after="0" w:line="81" w:lineRule="exact"/>
              <w:rPr>
                <w:sz w:val="20"/>
                <w:szCs w:val="20"/>
                <w:color w:val="auto"/>
              </w:rPr>
            </w:pPr>
            <w:r>
              <w:rPr>
                <w:rFonts w:ascii="Arial" w:cs="Arial" w:eastAsia="Arial" w:hAnsi="Arial"/>
                <w:sz w:val="9"/>
                <w:szCs w:val="9"/>
                <w:color w:val="005A64"/>
              </w:rPr>
              <w:t>69</w:t>
            </w:r>
          </w:p>
        </w:tc>
        <w:tc>
          <w:tcPr>
            <w:tcW w:w="100" w:type="dxa"/>
            <w:vAlign w:val="bottom"/>
            <w:tcBorders>
              <w:bottom w:val="single" w:sz="8" w:color="BECD32"/>
            </w:tcBorders>
          </w:tcPr>
          <w:p>
            <w:pPr>
              <w:spacing w:after="0"/>
              <w:rPr>
                <w:sz w:val="7"/>
                <w:szCs w:val="7"/>
                <w:color w:val="auto"/>
              </w:rPr>
            </w:pPr>
          </w:p>
        </w:tc>
        <w:tc>
          <w:tcPr>
            <w:tcW w:w="420" w:type="dxa"/>
            <w:vAlign w:val="bottom"/>
            <w:tcBorders>
              <w:bottom w:val="single" w:sz="8" w:color="BECD32"/>
            </w:tcBorders>
          </w:tcPr>
          <w:p>
            <w:pPr>
              <w:spacing w:after="0"/>
              <w:rPr>
                <w:sz w:val="7"/>
                <w:szCs w:val="7"/>
                <w:color w:val="auto"/>
              </w:rPr>
            </w:pPr>
          </w:p>
        </w:tc>
        <w:tc>
          <w:tcPr>
            <w:tcW w:w="20" w:type="dxa"/>
            <w:vAlign w:val="bottom"/>
            <w:tcBorders>
              <w:bottom w:val="single" w:sz="8" w:color="BECD32"/>
            </w:tcBorders>
          </w:tcPr>
          <w:p>
            <w:pPr>
              <w:spacing w:after="0"/>
              <w:rPr>
                <w:sz w:val="7"/>
                <w:szCs w:val="7"/>
                <w:color w:val="auto"/>
              </w:rPr>
            </w:pPr>
          </w:p>
        </w:tc>
        <w:tc>
          <w:tcPr>
            <w:tcW w:w="200" w:type="dxa"/>
            <w:vAlign w:val="bottom"/>
            <w:tcBorders>
              <w:bottom w:val="single" w:sz="8" w:color="BECD32"/>
            </w:tcBorders>
          </w:tcPr>
          <w:p>
            <w:pPr>
              <w:spacing w:after="0"/>
              <w:rPr>
                <w:sz w:val="7"/>
                <w:szCs w:val="7"/>
                <w:color w:val="auto"/>
              </w:rPr>
            </w:pPr>
          </w:p>
        </w:tc>
        <w:tc>
          <w:tcPr>
            <w:tcW w:w="400" w:type="dxa"/>
            <w:vAlign w:val="bottom"/>
            <w:tcBorders>
              <w:bottom w:val="single" w:sz="8" w:color="BECD32"/>
            </w:tcBorders>
          </w:tcPr>
          <w:p>
            <w:pPr>
              <w:spacing w:after="0"/>
              <w:rPr>
                <w:sz w:val="7"/>
                <w:szCs w:val="7"/>
                <w:color w:val="auto"/>
              </w:rPr>
            </w:pPr>
          </w:p>
        </w:tc>
        <w:tc>
          <w:tcPr>
            <w:tcW w:w="40" w:type="dxa"/>
            <w:vAlign w:val="bottom"/>
            <w:tcBorders>
              <w:bottom w:val="single" w:sz="8" w:color="BECD32"/>
            </w:tcBorders>
          </w:tcPr>
          <w:p>
            <w:pPr>
              <w:spacing w:after="0"/>
              <w:rPr>
                <w:sz w:val="7"/>
                <w:szCs w:val="7"/>
                <w:color w:val="auto"/>
              </w:rPr>
            </w:pPr>
          </w:p>
        </w:tc>
        <w:tc>
          <w:tcPr>
            <w:tcW w:w="120" w:type="dxa"/>
            <w:vAlign w:val="bottom"/>
            <w:tcBorders>
              <w:bottom w:val="single" w:sz="8" w:color="BECD32"/>
            </w:tcBorders>
            <w:vMerge w:val="continue"/>
          </w:tcPr>
          <w:p>
            <w:pPr>
              <w:spacing w:after="0"/>
              <w:rPr>
                <w:sz w:val="7"/>
                <w:szCs w:val="7"/>
                <w:color w:val="auto"/>
              </w:rPr>
            </w:pPr>
          </w:p>
        </w:tc>
        <w:tc>
          <w:tcPr>
            <w:tcW w:w="80" w:type="dxa"/>
            <w:vAlign w:val="bottom"/>
            <w:tcBorders>
              <w:bottom w:val="single" w:sz="8" w:color="BECD32"/>
            </w:tcBorders>
          </w:tcPr>
          <w:p>
            <w:pPr>
              <w:spacing w:after="0"/>
              <w:rPr>
                <w:sz w:val="7"/>
                <w:szCs w:val="7"/>
                <w:color w:val="auto"/>
              </w:rPr>
            </w:pPr>
          </w:p>
        </w:tc>
        <w:tc>
          <w:tcPr>
            <w:tcW w:w="160" w:type="dxa"/>
            <w:vAlign w:val="bottom"/>
            <w:tcBorders>
              <w:bottom w:val="single" w:sz="8" w:color="BECD32"/>
            </w:tcBorders>
          </w:tcPr>
          <w:p>
            <w:pPr>
              <w:spacing w:after="0"/>
              <w:rPr>
                <w:sz w:val="7"/>
                <w:szCs w:val="7"/>
                <w:color w:val="auto"/>
              </w:rPr>
            </w:pPr>
          </w:p>
        </w:tc>
        <w:tc>
          <w:tcPr>
            <w:tcW w:w="240" w:type="dxa"/>
            <w:vAlign w:val="bottom"/>
            <w:tcBorders>
              <w:bottom w:val="single" w:sz="8" w:color="BECD32"/>
            </w:tcBorders>
          </w:tcPr>
          <w:p>
            <w:pPr>
              <w:spacing w:after="0"/>
              <w:rPr>
                <w:sz w:val="7"/>
                <w:szCs w:val="7"/>
                <w:color w:val="auto"/>
              </w:rPr>
            </w:pPr>
          </w:p>
        </w:tc>
        <w:tc>
          <w:tcPr>
            <w:tcW w:w="20" w:type="dxa"/>
            <w:vAlign w:val="bottom"/>
            <w:tcBorders>
              <w:bottom w:val="single" w:sz="8" w:color="BECD32"/>
            </w:tcBorders>
          </w:tcPr>
          <w:p>
            <w:pPr>
              <w:spacing w:after="0"/>
              <w:rPr>
                <w:sz w:val="7"/>
                <w:szCs w:val="7"/>
                <w:color w:val="auto"/>
              </w:rPr>
            </w:pPr>
          </w:p>
        </w:tc>
        <w:tc>
          <w:tcPr>
            <w:tcW w:w="640" w:type="dxa"/>
            <w:vAlign w:val="bottom"/>
            <w:tcBorders>
              <w:bottom w:val="single" w:sz="8" w:color="BECD32"/>
            </w:tcBorders>
          </w:tcPr>
          <w:p>
            <w:pPr>
              <w:spacing w:after="0"/>
              <w:rPr>
                <w:sz w:val="7"/>
                <w:szCs w:val="7"/>
                <w:color w:val="auto"/>
              </w:rPr>
            </w:pPr>
          </w:p>
        </w:tc>
        <w:tc>
          <w:tcPr>
            <w:tcW w:w="20" w:type="dxa"/>
            <w:vAlign w:val="bottom"/>
            <w:tcBorders>
              <w:bottom w:val="single" w:sz="8" w:color="BECD32"/>
            </w:tcBorders>
          </w:tcPr>
          <w:p>
            <w:pPr>
              <w:spacing w:after="0"/>
              <w:rPr>
                <w:sz w:val="7"/>
                <w:szCs w:val="7"/>
                <w:color w:val="auto"/>
              </w:rPr>
            </w:pPr>
          </w:p>
        </w:tc>
        <w:tc>
          <w:tcPr>
            <w:tcW w:w="760" w:type="dxa"/>
            <w:vAlign w:val="bottom"/>
            <w:tcBorders>
              <w:bottom w:val="single" w:sz="8" w:color="BECD32"/>
            </w:tcBorders>
          </w:tcPr>
          <w:p>
            <w:pPr>
              <w:spacing w:after="0"/>
              <w:rPr>
                <w:sz w:val="7"/>
                <w:szCs w:val="7"/>
                <w:color w:val="auto"/>
              </w:rPr>
            </w:pPr>
          </w:p>
        </w:tc>
        <w:tc>
          <w:tcPr>
            <w:tcW w:w="20" w:type="dxa"/>
            <w:vAlign w:val="bottom"/>
            <w:tcBorders>
              <w:bottom w:val="single" w:sz="8" w:color="BECD32"/>
            </w:tcBorders>
          </w:tcPr>
          <w:p>
            <w:pPr>
              <w:spacing w:after="0"/>
              <w:rPr>
                <w:sz w:val="7"/>
                <w:szCs w:val="7"/>
                <w:color w:val="auto"/>
              </w:rPr>
            </w:pPr>
          </w:p>
        </w:tc>
        <w:tc>
          <w:tcPr>
            <w:tcW w:w="200" w:type="dxa"/>
            <w:vAlign w:val="bottom"/>
            <w:tcBorders>
              <w:bottom w:val="single" w:sz="8" w:color="BECD32"/>
            </w:tcBorders>
          </w:tcPr>
          <w:p>
            <w:pPr>
              <w:spacing w:after="0"/>
              <w:rPr>
                <w:sz w:val="7"/>
                <w:szCs w:val="7"/>
                <w:color w:val="auto"/>
              </w:rPr>
            </w:pPr>
          </w:p>
        </w:tc>
        <w:tc>
          <w:tcPr>
            <w:tcW w:w="120" w:type="dxa"/>
            <w:vAlign w:val="bottom"/>
            <w:tcBorders>
              <w:bottom w:val="single" w:sz="8" w:color="BECD32"/>
            </w:tcBorders>
          </w:tcPr>
          <w:p>
            <w:pPr>
              <w:spacing w:after="0"/>
              <w:rPr>
                <w:sz w:val="7"/>
                <w:szCs w:val="7"/>
                <w:color w:val="auto"/>
              </w:rPr>
            </w:pPr>
          </w:p>
        </w:tc>
        <w:tc>
          <w:tcPr>
            <w:tcW w:w="280" w:type="dxa"/>
            <w:vAlign w:val="bottom"/>
            <w:tcBorders>
              <w:bottom w:val="single" w:sz="8" w:color="BECD32"/>
            </w:tcBorders>
          </w:tcPr>
          <w:p>
            <w:pPr>
              <w:spacing w:after="0"/>
              <w:rPr>
                <w:sz w:val="7"/>
                <w:szCs w:val="7"/>
                <w:color w:val="auto"/>
              </w:rPr>
            </w:pPr>
          </w:p>
        </w:tc>
        <w:tc>
          <w:tcPr>
            <w:tcW w:w="20" w:type="dxa"/>
            <w:vAlign w:val="bottom"/>
            <w:tcBorders>
              <w:bottom w:val="single" w:sz="8" w:color="BECD32"/>
            </w:tcBorders>
          </w:tcPr>
          <w:p>
            <w:pPr>
              <w:spacing w:after="0"/>
              <w:rPr>
                <w:sz w:val="7"/>
                <w:szCs w:val="7"/>
                <w:color w:val="auto"/>
              </w:rPr>
            </w:pPr>
          </w:p>
        </w:tc>
        <w:tc>
          <w:tcPr>
            <w:tcW w:w="620" w:type="dxa"/>
            <w:vAlign w:val="bottom"/>
            <w:tcBorders>
              <w:bottom w:val="single" w:sz="8" w:color="BECD32"/>
            </w:tcBorders>
          </w:tcPr>
          <w:p>
            <w:pPr>
              <w:spacing w:after="0"/>
              <w:rPr>
                <w:sz w:val="7"/>
                <w:szCs w:val="7"/>
                <w:color w:val="auto"/>
              </w:rPr>
            </w:pPr>
          </w:p>
        </w:tc>
        <w:tc>
          <w:tcPr>
            <w:tcW w:w="40" w:type="dxa"/>
            <w:vAlign w:val="bottom"/>
            <w:tcBorders>
              <w:bottom w:val="single" w:sz="8" w:color="BECD32"/>
              <w:right w:val="single" w:sz="8" w:color="BECD32"/>
            </w:tcBorders>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1400" w:type="dxa"/>
            <w:vAlign w:val="bottom"/>
          </w:tcPr>
          <w:p>
            <w:pPr>
              <w:ind w:left="20"/>
              <w:spacing w:after="0"/>
              <w:rPr>
                <w:sz w:val="20"/>
                <w:szCs w:val="20"/>
                <w:color w:val="auto"/>
              </w:rPr>
            </w:pPr>
            <w:r>
              <w:rPr>
                <w:rFonts w:ascii="Arial" w:cs="Arial" w:eastAsia="Arial" w:hAnsi="Arial"/>
                <w:sz w:val="12"/>
                <w:szCs w:val="12"/>
                <w:color w:val="005A64"/>
              </w:rPr>
              <w:t>2023</w:t>
            </w:r>
          </w:p>
        </w:tc>
        <w:tc>
          <w:tcPr>
            <w:tcW w:w="640" w:type="dxa"/>
            <w:vAlign w:val="bottom"/>
            <w:gridSpan w:val="2"/>
          </w:tcPr>
          <w:p>
            <w:pPr>
              <w:ind w:left="20"/>
              <w:spacing w:after="0"/>
              <w:rPr>
                <w:sz w:val="20"/>
                <w:szCs w:val="20"/>
                <w:color w:val="auto"/>
              </w:rPr>
            </w:pPr>
            <w:r>
              <w:rPr>
                <w:rFonts w:ascii="Arial" w:cs="Arial" w:eastAsia="Arial" w:hAnsi="Arial"/>
                <w:sz w:val="12"/>
                <w:szCs w:val="12"/>
                <w:color w:val="005A64"/>
              </w:rPr>
              <w:t>158</w:t>
            </w:r>
          </w:p>
        </w:tc>
        <w:tc>
          <w:tcPr>
            <w:tcW w:w="2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gridSpan w:val="2"/>
          </w:tcPr>
          <w:p>
            <w:pPr>
              <w:ind w:left="20"/>
              <w:spacing w:after="0"/>
              <w:rPr>
                <w:sz w:val="20"/>
                <w:szCs w:val="20"/>
                <w:color w:val="auto"/>
              </w:rPr>
            </w:pPr>
            <w:r>
              <w:rPr>
                <w:rFonts w:ascii="Arial" w:cs="Arial" w:eastAsia="Arial" w:hAnsi="Arial"/>
                <w:sz w:val="12"/>
                <w:szCs w:val="12"/>
                <w:color w:val="005A64"/>
                <w:w w:val="89"/>
              </w:rPr>
              <w:t>135</w:t>
            </w:r>
          </w:p>
        </w:tc>
        <w:tc>
          <w:tcPr>
            <w:tcW w:w="400" w:type="dxa"/>
            <w:vAlign w:val="bottom"/>
          </w:tcPr>
          <w:p>
            <w:pPr>
              <w:spacing w:after="0"/>
              <w:rPr>
                <w:sz w:val="13"/>
                <w:szCs w:val="13"/>
                <w:color w:val="auto"/>
              </w:rPr>
            </w:pPr>
          </w:p>
        </w:tc>
        <w:tc>
          <w:tcPr>
            <w:tcW w:w="240" w:type="dxa"/>
            <w:vAlign w:val="bottom"/>
            <w:gridSpan w:val="3"/>
          </w:tcPr>
          <w:p>
            <w:pPr>
              <w:ind w:left="40"/>
              <w:spacing w:after="0"/>
              <w:rPr>
                <w:sz w:val="20"/>
                <w:szCs w:val="20"/>
                <w:color w:val="auto"/>
              </w:rPr>
            </w:pPr>
            <w:r>
              <w:rPr>
                <w:rFonts w:ascii="Arial" w:cs="Arial" w:eastAsia="Arial" w:hAnsi="Arial"/>
                <w:sz w:val="12"/>
                <w:szCs w:val="12"/>
                <w:color w:val="005A64"/>
                <w:w w:val="89"/>
              </w:rPr>
              <w:t>135</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color w:val="005A64"/>
              </w:rPr>
              <w:t>135</w:t>
            </w:r>
          </w:p>
        </w:tc>
        <w:tc>
          <w:tcPr>
            <w:tcW w:w="780" w:type="dxa"/>
            <w:vAlign w:val="bottom"/>
            <w:gridSpan w:val="2"/>
          </w:tcPr>
          <w:p>
            <w:pPr>
              <w:ind w:left="20"/>
              <w:spacing w:after="0"/>
              <w:rPr>
                <w:sz w:val="20"/>
                <w:szCs w:val="20"/>
                <w:color w:val="auto"/>
              </w:rPr>
            </w:pPr>
            <w:r>
              <w:rPr>
                <w:rFonts w:ascii="Arial" w:cs="Arial" w:eastAsia="Arial" w:hAnsi="Arial"/>
                <w:sz w:val="12"/>
                <w:szCs w:val="12"/>
                <w:color w:val="005A64"/>
              </w:rPr>
              <w:t>135</w:t>
            </w:r>
          </w:p>
        </w:tc>
        <w:tc>
          <w:tcPr>
            <w:tcW w:w="220" w:type="dxa"/>
            <w:vAlign w:val="bottom"/>
            <w:gridSpan w:val="2"/>
          </w:tcPr>
          <w:p>
            <w:pPr>
              <w:ind w:left="20"/>
              <w:spacing w:after="0"/>
              <w:rPr>
                <w:sz w:val="20"/>
                <w:szCs w:val="20"/>
                <w:color w:val="auto"/>
              </w:rPr>
            </w:pPr>
            <w:r>
              <w:rPr>
                <w:rFonts w:ascii="Arial" w:cs="Arial" w:eastAsia="Arial" w:hAnsi="Arial"/>
                <w:sz w:val="12"/>
                <w:szCs w:val="12"/>
                <w:color w:val="005A64"/>
              </w:rPr>
              <w:t>45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color w:val="005A64"/>
              </w:rPr>
              <w:t>135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00" w:type="dxa"/>
            <w:vAlign w:val="bottom"/>
          </w:tcPr>
          <w:p>
            <w:pPr>
              <w:ind w:left="20"/>
              <w:spacing w:after="0"/>
              <w:rPr>
                <w:sz w:val="20"/>
                <w:szCs w:val="20"/>
                <w:color w:val="auto"/>
              </w:rPr>
            </w:pPr>
            <w:r>
              <w:rPr>
                <w:rFonts w:ascii="Arial" w:cs="Arial" w:eastAsia="Arial" w:hAnsi="Arial"/>
                <w:sz w:val="12"/>
                <w:szCs w:val="12"/>
                <w:b w:val="1"/>
                <w:bCs w:val="1"/>
                <w:color w:val="3C9673"/>
              </w:rPr>
              <w:t>Other variable</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400" w:type="dxa"/>
            <w:vAlign w:val="bottom"/>
          </w:tcPr>
          <w:p>
            <w:pPr>
              <w:ind w:left="20"/>
              <w:spacing w:after="0"/>
              <w:rPr>
                <w:sz w:val="20"/>
                <w:szCs w:val="20"/>
                <w:color w:val="auto"/>
              </w:rPr>
            </w:pPr>
            <w:r>
              <w:rPr>
                <w:rFonts w:ascii="Arial" w:cs="Arial" w:eastAsia="Arial" w:hAnsi="Arial"/>
                <w:sz w:val="12"/>
                <w:szCs w:val="12"/>
                <w:b w:val="1"/>
                <w:bCs w:val="1"/>
                <w:color w:val="3C9673"/>
              </w:rPr>
              <w:t>compensation</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1400" w:type="dxa"/>
            <w:vAlign w:val="bottom"/>
            <w:tcBorders>
              <w:bottom w:val="single" w:sz="8" w:color="BECD32"/>
            </w:tcBorders>
          </w:tcPr>
          <w:p>
            <w:pPr>
              <w:spacing w:after="0"/>
              <w:rPr>
                <w:sz w:val="4"/>
                <w:szCs w:val="4"/>
                <w:color w:val="auto"/>
              </w:rPr>
            </w:pPr>
          </w:p>
        </w:tc>
        <w:tc>
          <w:tcPr>
            <w:tcW w:w="20" w:type="dxa"/>
            <w:vAlign w:val="bottom"/>
            <w:tcBorders>
              <w:bottom w:val="single" w:sz="8" w:color="BECD32"/>
            </w:tcBorders>
          </w:tcPr>
          <w:p>
            <w:pPr>
              <w:spacing w:after="0"/>
              <w:rPr>
                <w:sz w:val="4"/>
                <w:szCs w:val="4"/>
                <w:color w:val="auto"/>
              </w:rPr>
            </w:pPr>
          </w:p>
        </w:tc>
        <w:tc>
          <w:tcPr>
            <w:tcW w:w="620" w:type="dxa"/>
            <w:vAlign w:val="bottom"/>
            <w:tcBorders>
              <w:bottom w:val="single" w:sz="8" w:color="BECD32"/>
            </w:tcBorders>
          </w:tcPr>
          <w:p>
            <w:pPr>
              <w:spacing w:after="0"/>
              <w:rPr>
                <w:sz w:val="4"/>
                <w:szCs w:val="4"/>
                <w:color w:val="auto"/>
              </w:rPr>
            </w:pPr>
          </w:p>
        </w:tc>
        <w:tc>
          <w:tcPr>
            <w:tcW w:w="20" w:type="dxa"/>
            <w:vAlign w:val="bottom"/>
            <w:tcBorders>
              <w:bottom w:val="single" w:sz="8" w:color="BECD32"/>
            </w:tcBorders>
          </w:tcPr>
          <w:p>
            <w:pPr>
              <w:spacing w:after="0"/>
              <w:rPr>
                <w:sz w:val="4"/>
                <w:szCs w:val="4"/>
                <w:color w:val="auto"/>
              </w:rPr>
            </w:pPr>
          </w:p>
        </w:tc>
        <w:tc>
          <w:tcPr>
            <w:tcW w:w="200" w:type="dxa"/>
            <w:vAlign w:val="bottom"/>
            <w:tcBorders>
              <w:bottom w:val="single" w:sz="8" w:color="BECD32"/>
            </w:tcBorders>
          </w:tcPr>
          <w:p>
            <w:pPr>
              <w:spacing w:after="0"/>
              <w:rPr>
                <w:sz w:val="4"/>
                <w:szCs w:val="4"/>
                <w:color w:val="auto"/>
              </w:rPr>
            </w:pPr>
          </w:p>
        </w:tc>
        <w:tc>
          <w:tcPr>
            <w:tcW w:w="100" w:type="dxa"/>
            <w:vAlign w:val="bottom"/>
            <w:tcBorders>
              <w:bottom w:val="single" w:sz="8" w:color="BECD32"/>
            </w:tcBorders>
          </w:tcPr>
          <w:p>
            <w:pPr>
              <w:spacing w:after="0"/>
              <w:rPr>
                <w:sz w:val="4"/>
                <w:szCs w:val="4"/>
                <w:color w:val="auto"/>
              </w:rPr>
            </w:pPr>
          </w:p>
        </w:tc>
        <w:tc>
          <w:tcPr>
            <w:tcW w:w="420" w:type="dxa"/>
            <w:vAlign w:val="bottom"/>
            <w:tcBorders>
              <w:bottom w:val="single" w:sz="8" w:color="BECD32"/>
            </w:tcBorders>
          </w:tcPr>
          <w:p>
            <w:pPr>
              <w:spacing w:after="0"/>
              <w:rPr>
                <w:sz w:val="4"/>
                <w:szCs w:val="4"/>
                <w:color w:val="auto"/>
              </w:rPr>
            </w:pPr>
          </w:p>
        </w:tc>
        <w:tc>
          <w:tcPr>
            <w:tcW w:w="20" w:type="dxa"/>
            <w:vAlign w:val="bottom"/>
            <w:tcBorders>
              <w:bottom w:val="single" w:sz="8" w:color="BECD32"/>
            </w:tcBorders>
          </w:tcPr>
          <w:p>
            <w:pPr>
              <w:spacing w:after="0"/>
              <w:rPr>
                <w:sz w:val="4"/>
                <w:szCs w:val="4"/>
                <w:color w:val="auto"/>
              </w:rPr>
            </w:pPr>
          </w:p>
        </w:tc>
        <w:tc>
          <w:tcPr>
            <w:tcW w:w="200" w:type="dxa"/>
            <w:vAlign w:val="bottom"/>
            <w:tcBorders>
              <w:bottom w:val="single" w:sz="8" w:color="BECD32"/>
            </w:tcBorders>
          </w:tcPr>
          <w:p>
            <w:pPr>
              <w:spacing w:after="0"/>
              <w:rPr>
                <w:sz w:val="4"/>
                <w:szCs w:val="4"/>
                <w:color w:val="auto"/>
              </w:rPr>
            </w:pPr>
          </w:p>
        </w:tc>
        <w:tc>
          <w:tcPr>
            <w:tcW w:w="400" w:type="dxa"/>
            <w:vAlign w:val="bottom"/>
            <w:tcBorders>
              <w:bottom w:val="single" w:sz="8" w:color="BECD32"/>
            </w:tcBorders>
          </w:tcPr>
          <w:p>
            <w:pPr>
              <w:spacing w:after="0"/>
              <w:rPr>
                <w:sz w:val="4"/>
                <w:szCs w:val="4"/>
                <w:color w:val="auto"/>
              </w:rPr>
            </w:pPr>
          </w:p>
        </w:tc>
        <w:tc>
          <w:tcPr>
            <w:tcW w:w="40" w:type="dxa"/>
            <w:vAlign w:val="bottom"/>
            <w:tcBorders>
              <w:bottom w:val="single" w:sz="8" w:color="BECD32"/>
            </w:tcBorders>
          </w:tcPr>
          <w:p>
            <w:pPr>
              <w:spacing w:after="0"/>
              <w:rPr>
                <w:sz w:val="4"/>
                <w:szCs w:val="4"/>
                <w:color w:val="auto"/>
              </w:rPr>
            </w:pPr>
          </w:p>
        </w:tc>
        <w:tc>
          <w:tcPr>
            <w:tcW w:w="120" w:type="dxa"/>
            <w:vAlign w:val="bottom"/>
            <w:tcBorders>
              <w:bottom w:val="single" w:sz="8" w:color="BECD32"/>
            </w:tcBorders>
          </w:tcPr>
          <w:p>
            <w:pPr>
              <w:spacing w:after="0"/>
              <w:rPr>
                <w:sz w:val="4"/>
                <w:szCs w:val="4"/>
                <w:color w:val="auto"/>
              </w:rPr>
            </w:pPr>
          </w:p>
        </w:tc>
        <w:tc>
          <w:tcPr>
            <w:tcW w:w="80" w:type="dxa"/>
            <w:vAlign w:val="bottom"/>
            <w:tcBorders>
              <w:bottom w:val="single" w:sz="8" w:color="BECD32"/>
            </w:tcBorders>
          </w:tcPr>
          <w:p>
            <w:pPr>
              <w:spacing w:after="0"/>
              <w:rPr>
                <w:sz w:val="4"/>
                <w:szCs w:val="4"/>
                <w:color w:val="auto"/>
              </w:rPr>
            </w:pPr>
          </w:p>
        </w:tc>
        <w:tc>
          <w:tcPr>
            <w:tcW w:w="160" w:type="dxa"/>
            <w:vAlign w:val="bottom"/>
            <w:tcBorders>
              <w:bottom w:val="single" w:sz="8" w:color="BECD32"/>
            </w:tcBorders>
          </w:tcPr>
          <w:p>
            <w:pPr>
              <w:spacing w:after="0"/>
              <w:rPr>
                <w:sz w:val="4"/>
                <w:szCs w:val="4"/>
                <w:color w:val="auto"/>
              </w:rPr>
            </w:pPr>
          </w:p>
        </w:tc>
        <w:tc>
          <w:tcPr>
            <w:tcW w:w="240" w:type="dxa"/>
            <w:vAlign w:val="bottom"/>
            <w:tcBorders>
              <w:bottom w:val="single" w:sz="8" w:color="BECD32"/>
            </w:tcBorders>
          </w:tcPr>
          <w:p>
            <w:pPr>
              <w:spacing w:after="0"/>
              <w:rPr>
                <w:sz w:val="4"/>
                <w:szCs w:val="4"/>
                <w:color w:val="auto"/>
              </w:rPr>
            </w:pPr>
          </w:p>
        </w:tc>
        <w:tc>
          <w:tcPr>
            <w:tcW w:w="20" w:type="dxa"/>
            <w:vAlign w:val="bottom"/>
            <w:tcBorders>
              <w:bottom w:val="single" w:sz="8" w:color="BECD32"/>
            </w:tcBorders>
          </w:tcPr>
          <w:p>
            <w:pPr>
              <w:spacing w:after="0"/>
              <w:rPr>
                <w:sz w:val="4"/>
                <w:szCs w:val="4"/>
                <w:color w:val="auto"/>
              </w:rPr>
            </w:pPr>
          </w:p>
        </w:tc>
        <w:tc>
          <w:tcPr>
            <w:tcW w:w="640" w:type="dxa"/>
            <w:vAlign w:val="bottom"/>
            <w:tcBorders>
              <w:bottom w:val="single" w:sz="8" w:color="BECD32"/>
            </w:tcBorders>
          </w:tcPr>
          <w:p>
            <w:pPr>
              <w:spacing w:after="0"/>
              <w:rPr>
                <w:sz w:val="4"/>
                <w:szCs w:val="4"/>
                <w:color w:val="auto"/>
              </w:rPr>
            </w:pPr>
          </w:p>
        </w:tc>
        <w:tc>
          <w:tcPr>
            <w:tcW w:w="20" w:type="dxa"/>
            <w:vAlign w:val="bottom"/>
            <w:tcBorders>
              <w:bottom w:val="single" w:sz="8" w:color="BECD32"/>
            </w:tcBorders>
          </w:tcPr>
          <w:p>
            <w:pPr>
              <w:spacing w:after="0"/>
              <w:rPr>
                <w:sz w:val="4"/>
                <w:szCs w:val="4"/>
                <w:color w:val="auto"/>
              </w:rPr>
            </w:pPr>
          </w:p>
        </w:tc>
        <w:tc>
          <w:tcPr>
            <w:tcW w:w="760" w:type="dxa"/>
            <w:vAlign w:val="bottom"/>
            <w:tcBorders>
              <w:bottom w:val="single" w:sz="8" w:color="BECD32"/>
            </w:tcBorders>
          </w:tcPr>
          <w:p>
            <w:pPr>
              <w:spacing w:after="0"/>
              <w:rPr>
                <w:sz w:val="4"/>
                <w:szCs w:val="4"/>
                <w:color w:val="auto"/>
              </w:rPr>
            </w:pPr>
          </w:p>
        </w:tc>
        <w:tc>
          <w:tcPr>
            <w:tcW w:w="20" w:type="dxa"/>
            <w:vAlign w:val="bottom"/>
            <w:tcBorders>
              <w:bottom w:val="single" w:sz="8" w:color="BECD32"/>
            </w:tcBorders>
          </w:tcPr>
          <w:p>
            <w:pPr>
              <w:spacing w:after="0"/>
              <w:rPr>
                <w:sz w:val="4"/>
                <w:szCs w:val="4"/>
                <w:color w:val="auto"/>
              </w:rPr>
            </w:pPr>
          </w:p>
        </w:tc>
        <w:tc>
          <w:tcPr>
            <w:tcW w:w="200" w:type="dxa"/>
            <w:vAlign w:val="bottom"/>
            <w:tcBorders>
              <w:bottom w:val="single" w:sz="8" w:color="BECD32"/>
            </w:tcBorders>
          </w:tcPr>
          <w:p>
            <w:pPr>
              <w:spacing w:after="0"/>
              <w:rPr>
                <w:sz w:val="4"/>
                <w:szCs w:val="4"/>
                <w:color w:val="auto"/>
              </w:rPr>
            </w:pPr>
          </w:p>
        </w:tc>
        <w:tc>
          <w:tcPr>
            <w:tcW w:w="120" w:type="dxa"/>
            <w:vAlign w:val="bottom"/>
            <w:tcBorders>
              <w:bottom w:val="single" w:sz="8" w:color="BECD32"/>
            </w:tcBorders>
          </w:tcPr>
          <w:p>
            <w:pPr>
              <w:spacing w:after="0"/>
              <w:rPr>
                <w:sz w:val="4"/>
                <w:szCs w:val="4"/>
                <w:color w:val="auto"/>
              </w:rPr>
            </w:pPr>
          </w:p>
        </w:tc>
        <w:tc>
          <w:tcPr>
            <w:tcW w:w="280" w:type="dxa"/>
            <w:vAlign w:val="bottom"/>
            <w:tcBorders>
              <w:bottom w:val="single" w:sz="8" w:color="BECD32"/>
            </w:tcBorders>
          </w:tcPr>
          <w:p>
            <w:pPr>
              <w:spacing w:after="0"/>
              <w:rPr>
                <w:sz w:val="4"/>
                <w:szCs w:val="4"/>
                <w:color w:val="auto"/>
              </w:rPr>
            </w:pPr>
          </w:p>
        </w:tc>
        <w:tc>
          <w:tcPr>
            <w:tcW w:w="20" w:type="dxa"/>
            <w:vAlign w:val="bottom"/>
            <w:tcBorders>
              <w:bottom w:val="single" w:sz="8" w:color="BECD32"/>
            </w:tcBorders>
          </w:tcPr>
          <w:p>
            <w:pPr>
              <w:spacing w:after="0"/>
              <w:rPr>
                <w:sz w:val="4"/>
                <w:szCs w:val="4"/>
                <w:color w:val="auto"/>
              </w:rPr>
            </w:pPr>
          </w:p>
        </w:tc>
        <w:tc>
          <w:tcPr>
            <w:tcW w:w="620" w:type="dxa"/>
            <w:vAlign w:val="bottom"/>
            <w:tcBorders>
              <w:bottom w:val="single" w:sz="8" w:color="BECD32"/>
            </w:tcBorders>
          </w:tcPr>
          <w:p>
            <w:pPr>
              <w:spacing w:after="0"/>
              <w:rPr>
                <w:sz w:val="4"/>
                <w:szCs w:val="4"/>
                <w:color w:val="auto"/>
              </w:rPr>
            </w:pPr>
          </w:p>
        </w:tc>
        <w:tc>
          <w:tcPr>
            <w:tcW w:w="40" w:type="dxa"/>
            <w:vAlign w:val="bottom"/>
            <w:tcBorders>
              <w:bottom w:val="single" w:sz="8" w:color="BECD32"/>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1400" w:type="dxa"/>
            <w:vAlign w:val="bottom"/>
            <w:tcBorders>
              <w:left w:val="single" w:sz="8" w:color="BECD32"/>
            </w:tcBorders>
          </w:tcPr>
          <w:p>
            <w:pPr>
              <w:ind w:left="20"/>
              <w:spacing w:after="0"/>
              <w:rPr>
                <w:sz w:val="20"/>
                <w:szCs w:val="20"/>
                <w:color w:val="auto"/>
              </w:rPr>
            </w:pPr>
            <w:r>
              <w:rPr>
                <w:rFonts w:ascii="Arial" w:cs="Arial" w:eastAsia="Arial" w:hAnsi="Arial"/>
                <w:sz w:val="12"/>
                <w:szCs w:val="12"/>
                <w:color w:val="005A64"/>
              </w:rPr>
              <w:t>2024</w:t>
            </w:r>
          </w:p>
        </w:tc>
        <w:tc>
          <w:tcPr>
            <w:tcW w:w="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color w:val="005A64"/>
              </w:rPr>
              <w:t>—</w:t>
            </w:r>
          </w:p>
        </w:tc>
        <w:tc>
          <w:tcPr>
            <w:tcW w:w="320" w:type="dxa"/>
            <w:vAlign w:val="bottom"/>
            <w:gridSpan w:val="3"/>
            <w:vMerge w:val="restart"/>
          </w:tcPr>
          <w:p>
            <w:pPr>
              <w:ind w:left="20"/>
              <w:spacing w:after="0"/>
              <w:rPr>
                <w:sz w:val="20"/>
                <w:szCs w:val="20"/>
                <w:color w:val="auto"/>
              </w:rPr>
            </w:pPr>
            <w:r>
              <w:rPr>
                <w:rFonts w:ascii="Arial" w:cs="Arial" w:eastAsia="Arial" w:hAnsi="Arial"/>
                <w:sz w:val="12"/>
                <w:szCs w:val="12"/>
                <w:color w:val="005A64"/>
                <w:w w:val="93"/>
              </w:rPr>
              <w:t>1,250</w:t>
            </w:r>
          </w:p>
        </w:tc>
        <w:tc>
          <w:tcPr>
            <w:tcW w:w="420" w:type="dxa"/>
            <w:vAlign w:val="bottom"/>
          </w:tcPr>
          <w:p>
            <w:pPr>
              <w:jc w:val="right"/>
              <w:ind w:right="220"/>
              <w:spacing w:after="0"/>
              <w:rPr>
                <w:sz w:val="20"/>
                <w:szCs w:val="20"/>
                <w:color w:val="auto"/>
              </w:rPr>
            </w:pPr>
            <w:r>
              <w:rPr>
                <w:rFonts w:ascii="Arial" w:cs="Arial" w:eastAsia="Arial" w:hAnsi="Arial"/>
                <w:sz w:val="8"/>
                <w:szCs w:val="8"/>
                <w:color w:val="005A64"/>
                <w:w w:val="98"/>
              </w:rPr>
              <w:t>(13)</w:t>
            </w:r>
          </w:p>
        </w:tc>
        <w:tc>
          <w:tcPr>
            <w:tcW w:w="2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2"/>
                <w:szCs w:val="12"/>
                <w:color w:val="005A64"/>
              </w:rPr>
              <w:t>—</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2"/>
                <w:szCs w:val="12"/>
                <w:color w:val="005A64"/>
                <w:w w:val="82"/>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color w:val="005A64"/>
              </w:rPr>
              <w:t>—</w:t>
            </w:r>
          </w:p>
        </w:tc>
        <w:tc>
          <w:tcPr>
            <w:tcW w:w="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color w:val="005A64"/>
              </w:rPr>
              <w:t>—</w:t>
            </w:r>
          </w:p>
        </w:tc>
        <w:tc>
          <w:tcPr>
            <w:tcW w:w="2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2"/>
                <w:szCs w:val="12"/>
                <w:color w:val="005A64"/>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005A64"/>
              </w:rPr>
              <w:t>—</w:t>
            </w:r>
          </w:p>
        </w:tc>
        <w:tc>
          <w:tcPr>
            <w:tcW w:w="40" w:type="dxa"/>
            <w:vAlign w:val="bottom"/>
            <w:tcBorders>
              <w:right w:val="single" w:sz="8" w:color="BECD32"/>
            </w:tcBorders>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400" w:type="dxa"/>
            <w:vAlign w:val="bottom"/>
            <w:tcBorders>
              <w:left w:val="single" w:sz="8" w:color="BECD32"/>
              <w:bottom w:val="single" w:sz="8" w:color="BECD32"/>
            </w:tcBorders>
          </w:tcPr>
          <w:p>
            <w:pPr>
              <w:spacing w:after="0"/>
              <w:rPr>
                <w:sz w:val="2"/>
                <w:szCs w:val="2"/>
                <w:color w:val="auto"/>
              </w:rPr>
            </w:pPr>
          </w:p>
        </w:tc>
        <w:tc>
          <w:tcPr>
            <w:tcW w:w="20" w:type="dxa"/>
            <w:vAlign w:val="bottom"/>
            <w:tcBorders>
              <w:bottom w:val="single" w:sz="8" w:color="BECD32"/>
            </w:tcBorders>
          </w:tcPr>
          <w:p>
            <w:pPr>
              <w:spacing w:after="0"/>
              <w:rPr>
                <w:sz w:val="2"/>
                <w:szCs w:val="2"/>
                <w:color w:val="auto"/>
              </w:rPr>
            </w:pPr>
          </w:p>
        </w:tc>
        <w:tc>
          <w:tcPr>
            <w:tcW w:w="620" w:type="dxa"/>
            <w:vAlign w:val="bottom"/>
            <w:tcBorders>
              <w:bottom w:val="single" w:sz="8" w:color="BECD32"/>
            </w:tcBorders>
          </w:tcPr>
          <w:p>
            <w:pPr>
              <w:spacing w:after="0"/>
              <w:rPr>
                <w:sz w:val="2"/>
                <w:szCs w:val="2"/>
                <w:color w:val="auto"/>
              </w:rPr>
            </w:pPr>
          </w:p>
        </w:tc>
        <w:tc>
          <w:tcPr>
            <w:tcW w:w="320" w:type="dxa"/>
            <w:vAlign w:val="bottom"/>
            <w:tcBorders>
              <w:bottom w:val="single" w:sz="8" w:color="BECD32"/>
            </w:tcBorders>
            <w:gridSpan w:val="3"/>
            <w:vMerge w:val="continue"/>
          </w:tcPr>
          <w:p>
            <w:pPr>
              <w:spacing w:after="0"/>
              <w:rPr>
                <w:sz w:val="2"/>
                <w:szCs w:val="2"/>
                <w:color w:val="auto"/>
              </w:rPr>
            </w:pPr>
          </w:p>
        </w:tc>
        <w:tc>
          <w:tcPr>
            <w:tcW w:w="420" w:type="dxa"/>
            <w:vAlign w:val="bottom"/>
            <w:tcBorders>
              <w:bottom w:val="single" w:sz="8" w:color="BECD32"/>
            </w:tcBorders>
          </w:tcPr>
          <w:p>
            <w:pPr>
              <w:spacing w:after="0"/>
              <w:rPr>
                <w:sz w:val="2"/>
                <w:szCs w:val="2"/>
                <w:color w:val="auto"/>
              </w:rPr>
            </w:pPr>
          </w:p>
        </w:tc>
        <w:tc>
          <w:tcPr>
            <w:tcW w:w="20" w:type="dxa"/>
            <w:vAlign w:val="bottom"/>
            <w:tcBorders>
              <w:bottom w:val="single" w:sz="8" w:color="BECD32"/>
            </w:tcBorders>
          </w:tcPr>
          <w:p>
            <w:pPr>
              <w:spacing w:after="0"/>
              <w:rPr>
                <w:sz w:val="2"/>
                <w:szCs w:val="2"/>
                <w:color w:val="auto"/>
              </w:rPr>
            </w:pPr>
          </w:p>
        </w:tc>
        <w:tc>
          <w:tcPr>
            <w:tcW w:w="200" w:type="dxa"/>
            <w:vAlign w:val="bottom"/>
            <w:tcBorders>
              <w:bottom w:val="single" w:sz="8" w:color="BECD32"/>
            </w:tcBorders>
          </w:tcPr>
          <w:p>
            <w:pPr>
              <w:spacing w:after="0"/>
              <w:rPr>
                <w:sz w:val="2"/>
                <w:szCs w:val="2"/>
                <w:color w:val="auto"/>
              </w:rPr>
            </w:pPr>
          </w:p>
        </w:tc>
        <w:tc>
          <w:tcPr>
            <w:tcW w:w="400" w:type="dxa"/>
            <w:vAlign w:val="bottom"/>
            <w:tcBorders>
              <w:bottom w:val="single" w:sz="8" w:color="BECD32"/>
            </w:tcBorders>
          </w:tcPr>
          <w:p>
            <w:pPr>
              <w:spacing w:after="0"/>
              <w:rPr>
                <w:sz w:val="2"/>
                <w:szCs w:val="2"/>
                <w:color w:val="auto"/>
              </w:rPr>
            </w:pPr>
          </w:p>
        </w:tc>
        <w:tc>
          <w:tcPr>
            <w:tcW w:w="40" w:type="dxa"/>
            <w:vAlign w:val="bottom"/>
            <w:tcBorders>
              <w:bottom w:val="single" w:sz="8" w:color="BECD32"/>
            </w:tcBorders>
          </w:tcPr>
          <w:p>
            <w:pPr>
              <w:spacing w:after="0"/>
              <w:rPr>
                <w:sz w:val="2"/>
                <w:szCs w:val="2"/>
                <w:color w:val="auto"/>
              </w:rPr>
            </w:pPr>
          </w:p>
        </w:tc>
        <w:tc>
          <w:tcPr>
            <w:tcW w:w="120" w:type="dxa"/>
            <w:vAlign w:val="bottom"/>
            <w:tcBorders>
              <w:bottom w:val="single" w:sz="8" w:color="BECD32"/>
            </w:tcBorders>
          </w:tcPr>
          <w:p>
            <w:pPr>
              <w:spacing w:after="0"/>
              <w:rPr>
                <w:sz w:val="2"/>
                <w:szCs w:val="2"/>
                <w:color w:val="auto"/>
              </w:rPr>
            </w:pPr>
          </w:p>
        </w:tc>
        <w:tc>
          <w:tcPr>
            <w:tcW w:w="80" w:type="dxa"/>
            <w:vAlign w:val="bottom"/>
            <w:tcBorders>
              <w:bottom w:val="single" w:sz="8" w:color="BECD32"/>
            </w:tcBorders>
          </w:tcPr>
          <w:p>
            <w:pPr>
              <w:spacing w:after="0"/>
              <w:rPr>
                <w:sz w:val="2"/>
                <w:szCs w:val="2"/>
                <w:color w:val="auto"/>
              </w:rPr>
            </w:pPr>
          </w:p>
        </w:tc>
        <w:tc>
          <w:tcPr>
            <w:tcW w:w="160" w:type="dxa"/>
            <w:vAlign w:val="bottom"/>
            <w:tcBorders>
              <w:bottom w:val="single" w:sz="8" w:color="BECD32"/>
            </w:tcBorders>
          </w:tcPr>
          <w:p>
            <w:pPr>
              <w:spacing w:after="0"/>
              <w:rPr>
                <w:sz w:val="2"/>
                <w:szCs w:val="2"/>
                <w:color w:val="auto"/>
              </w:rPr>
            </w:pPr>
          </w:p>
        </w:tc>
        <w:tc>
          <w:tcPr>
            <w:tcW w:w="240" w:type="dxa"/>
            <w:vAlign w:val="bottom"/>
            <w:tcBorders>
              <w:bottom w:val="single" w:sz="8" w:color="BECD32"/>
            </w:tcBorders>
          </w:tcPr>
          <w:p>
            <w:pPr>
              <w:spacing w:after="0"/>
              <w:rPr>
                <w:sz w:val="2"/>
                <w:szCs w:val="2"/>
                <w:color w:val="auto"/>
              </w:rPr>
            </w:pPr>
          </w:p>
        </w:tc>
        <w:tc>
          <w:tcPr>
            <w:tcW w:w="20" w:type="dxa"/>
            <w:vAlign w:val="bottom"/>
            <w:tcBorders>
              <w:bottom w:val="single" w:sz="8" w:color="BECD32"/>
            </w:tcBorders>
          </w:tcPr>
          <w:p>
            <w:pPr>
              <w:spacing w:after="0"/>
              <w:rPr>
                <w:sz w:val="2"/>
                <w:szCs w:val="2"/>
                <w:color w:val="auto"/>
              </w:rPr>
            </w:pPr>
          </w:p>
        </w:tc>
        <w:tc>
          <w:tcPr>
            <w:tcW w:w="640" w:type="dxa"/>
            <w:vAlign w:val="bottom"/>
            <w:tcBorders>
              <w:bottom w:val="single" w:sz="8" w:color="BECD32"/>
            </w:tcBorders>
          </w:tcPr>
          <w:p>
            <w:pPr>
              <w:spacing w:after="0"/>
              <w:rPr>
                <w:sz w:val="2"/>
                <w:szCs w:val="2"/>
                <w:color w:val="auto"/>
              </w:rPr>
            </w:pPr>
          </w:p>
        </w:tc>
        <w:tc>
          <w:tcPr>
            <w:tcW w:w="20" w:type="dxa"/>
            <w:vAlign w:val="bottom"/>
            <w:tcBorders>
              <w:bottom w:val="single" w:sz="8" w:color="BECD32"/>
            </w:tcBorders>
          </w:tcPr>
          <w:p>
            <w:pPr>
              <w:spacing w:after="0"/>
              <w:rPr>
                <w:sz w:val="2"/>
                <w:szCs w:val="2"/>
                <w:color w:val="auto"/>
              </w:rPr>
            </w:pPr>
          </w:p>
        </w:tc>
        <w:tc>
          <w:tcPr>
            <w:tcW w:w="760" w:type="dxa"/>
            <w:vAlign w:val="bottom"/>
            <w:tcBorders>
              <w:bottom w:val="single" w:sz="8" w:color="BECD32"/>
            </w:tcBorders>
          </w:tcPr>
          <w:p>
            <w:pPr>
              <w:spacing w:after="0"/>
              <w:rPr>
                <w:sz w:val="2"/>
                <w:szCs w:val="2"/>
                <w:color w:val="auto"/>
              </w:rPr>
            </w:pPr>
          </w:p>
        </w:tc>
        <w:tc>
          <w:tcPr>
            <w:tcW w:w="20" w:type="dxa"/>
            <w:vAlign w:val="bottom"/>
            <w:tcBorders>
              <w:bottom w:val="single" w:sz="8" w:color="BECD32"/>
            </w:tcBorders>
          </w:tcPr>
          <w:p>
            <w:pPr>
              <w:spacing w:after="0"/>
              <w:rPr>
                <w:sz w:val="2"/>
                <w:szCs w:val="2"/>
                <w:color w:val="auto"/>
              </w:rPr>
            </w:pPr>
          </w:p>
        </w:tc>
        <w:tc>
          <w:tcPr>
            <w:tcW w:w="200" w:type="dxa"/>
            <w:vAlign w:val="bottom"/>
            <w:tcBorders>
              <w:bottom w:val="single" w:sz="8" w:color="BECD32"/>
            </w:tcBorders>
          </w:tcPr>
          <w:p>
            <w:pPr>
              <w:spacing w:after="0"/>
              <w:rPr>
                <w:sz w:val="2"/>
                <w:szCs w:val="2"/>
                <w:color w:val="auto"/>
              </w:rPr>
            </w:pPr>
          </w:p>
        </w:tc>
        <w:tc>
          <w:tcPr>
            <w:tcW w:w="120" w:type="dxa"/>
            <w:vAlign w:val="bottom"/>
            <w:tcBorders>
              <w:bottom w:val="single" w:sz="8" w:color="BECD32"/>
            </w:tcBorders>
          </w:tcPr>
          <w:p>
            <w:pPr>
              <w:spacing w:after="0"/>
              <w:rPr>
                <w:sz w:val="2"/>
                <w:szCs w:val="2"/>
                <w:color w:val="auto"/>
              </w:rPr>
            </w:pPr>
          </w:p>
        </w:tc>
        <w:tc>
          <w:tcPr>
            <w:tcW w:w="280" w:type="dxa"/>
            <w:vAlign w:val="bottom"/>
            <w:tcBorders>
              <w:bottom w:val="single" w:sz="8" w:color="BECD32"/>
            </w:tcBorders>
          </w:tcPr>
          <w:p>
            <w:pPr>
              <w:spacing w:after="0"/>
              <w:rPr>
                <w:sz w:val="2"/>
                <w:szCs w:val="2"/>
                <w:color w:val="auto"/>
              </w:rPr>
            </w:pPr>
          </w:p>
        </w:tc>
        <w:tc>
          <w:tcPr>
            <w:tcW w:w="20" w:type="dxa"/>
            <w:vAlign w:val="bottom"/>
            <w:tcBorders>
              <w:bottom w:val="single" w:sz="8" w:color="BECD32"/>
            </w:tcBorders>
          </w:tcPr>
          <w:p>
            <w:pPr>
              <w:spacing w:after="0"/>
              <w:rPr>
                <w:sz w:val="2"/>
                <w:szCs w:val="2"/>
                <w:color w:val="auto"/>
              </w:rPr>
            </w:pPr>
          </w:p>
        </w:tc>
        <w:tc>
          <w:tcPr>
            <w:tcW w:w="620" w:type="dxa"/>
            <w:vAlign w:val="bottom"/>
            <w:tcBorders>
              <w:bottom w:val="single" w:sz="8" w:color="BECD32"/>
            </w:tcBorders>
          </w:tcPr>
          <w:p>
            <w:pPr>
              <w:spacing w:after="0"/>
              <w:rPr>
                <w:sz w:val="2"/>
                <w:szCs w:val="2"/>
                <w:color w:val="auto"/>
              </w:rPr>
            </w:pPr>
          </w:p>
        </w:tc>
        <w:tc>
          <w:tcPr>
            <w:tcW w:w="40" w:type="dxa"/>
            <w:vAlign w:val="bottom"/>
            <w:tcBorders>
              <w:bottom w:val="single" w:sz="8" w:color="BECD32"/>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400" w:type="dxa"/>
            <w:vAlign w:val="bottom"/>
          </w:tcPr>
          <w:p>
            <w:pPr>
              <w:ind w:left="20"/>
              <w:spacing w:after="0"/>
              <w:rPr>
                <w:sz w:val="20"/>
                <w:szCs w:val="20"/>
                <w:color w:val="auto"/>
              </w:rPr>
            </w:pPr>
            <w:r>
              <w:rPr>
                <w:rFonts w:ascii="Arial" w:cs="Arial" w:eastAsia="Arial" w:hAnsi="Arial"/>
                <w:sz w:val="12"/>
                <w:szCs w:val="12"/>
                <w:color w:val="005A64"/>
              </w:rPr>
              <w:t>2023</w:t>
            </w:r>
          </w:p>
        </w:tc>
        <w:tc>
          <w:tcPr>
            <w:tcW w:w="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color w:val="005A64"/>
              </w:rPr>
              <w:t>—</w:t>
            </w:r>
          </w:p>
        </w:tc>
        <w:tc>
          <w:tcPr>
            <w:tcW w:w="2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gridSpan w:val="2"/>
            <w:vMerge w:val="restart"/>
          </w:tcPr>
          <w:p>
            <w:pPr>
              <w:ind w:left="20"/>
              <w:spacing w:after="0"/>
              <w:rPr>
                <w:sz w:val="20"/>
                <w:szCs w:val="20"/>
                <w:color w:val="auto"/>
              </w:rPr>
            </w:pPr>
            <w:r>
              <w:rPr>
                <w:rFonts w:ascii="Arial" w:cs="Arial" w:eastAsia="Arial" w:hAnsi="Arial"/>
                <w:sz w:val="12"/>
                <w:szCs w:val="12"/>
                <w:color w:val="005A64"/>
                <w:w w:val="89"/>
              </w:rPr>
              <w:t>600</w:t>
            </w:r>
          </w:p>
        </w:tc>
        <w:tc>
          <w:tcPr>
            <w:tcW w:w="400" w:type="dxa"/>
            <w:vAlign w:val="bottom"/>
          </w:tcPr>
          <w:p>
            <w:pPr>
              <w:jc w:val="right"/>
              <w:ind w:right="260"/>
              <w:spacing w:after="0"/>
              <w:rPr>
                <w:sz w:val="20"/>
                <w:szCs w:val="20"/>
                <w:color w:val="auto"/>
              </w:rPr>
            </w:pPr>
            <w:r>
              <w:rPr>
                <w:rFonts w:ascii="Arial" w:cs="Arial" w:eastAsia="Arial" w:hAnsi="Arial"/>
                <w:sz w:val="8"/>
                <w:szCs w:val="8"/>
                <w:color w:val="005A64"/>
                <w:w w:val="81"/>
              </w:rPr>
              <w:t>(7)</w:t>
            </w:r>
          </w:p>
        </w:tc>
        <w:tc>
          <w:tcPr>
            <w:tcW w:w="4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2"/>
                <w:szCs w:val="12"/>
                <w:color w:val="005A64"/>
                <w:w w:val="82"/>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color w:val="005A64"/>
              </w:rPr>
              <w:t>—</w:t>
            </w:r>
          </w:p>
        </w:tc>
        <w:tc>
          <w:tcPr>
            <w:tcW w:w="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color w:val="005A64"/>
              </w:rPr>
              <w:t>—</w:t>
            </w:r>
          </w:p>
        </w:tc>
        <w:tc>
          <w:tcPr>
            <w:tcW w:w="220" w:type="dxa"/>
            <w:vAlign w:val="bottom"/>
            <w:gridSpan w:val="2"/>
            <w:vMerge w:val="restart"/>
          </w:tcPr>
          <w:p>
            <w:pPr>
              <w:ind w:left="20"/>
              <w:spacing w:after="0"/>
              <w:rPr>
                <w:sz w:val="20"/>
                <w:szCs w:val="20"/>
                <w:color w:val="auto"/>
              </w:rPr>
            </w:pPr>
            <w:r>
              <w:rPr>
                <w:rFonts w:ascii="Arial" w:cs="Arial" w:eastAsia="Arial" w:hAnsi="Arial"/>
                <w:sz w:val="12"/>
                <w:szCs w:val="12"/>
                <w:color w:val="005A64"/>
                <w:w w:val="89"/>
              </w:rPr>
              <w:t>180</w:t>
            </w:r>
          </w:p>
        </w:tc>
        <w:tc>
          <w:tcPr>
            <w:tcW w:w="120" w:type="dxa"/>
            <w:vAlign w:val="bottom"/>
          </w:tcPr>
          <w:p>
            <w:pPr>
              <w:jc w:val="right"/>
              <w:spacing w:after="0"/>
              <w:rPr>
                <w:sz w:val="20"/>
                <w:szCs w:val="20"/>
                <w:color w:val="auto"/>
              </w:rPr>
            </w:pPr>
            <w:r>
              <w:rPr>
                <w:rFonts w:ascii="Arial" w:cs="Arial" w:eastAsia="Arial" w:hAnsi="Arial"/>
                <w:sz w:val="8"/>
                <w:szCs w:val="8"/>
                <w:color w:val="005A64"/>
                <w:w w:val="81"/>
              </w:rPr>
              <w:t>(6)</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005A64"/>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400" w:type="dxa"/>
            <w:vAlign w:val="bottom"/>
            <w:vMerge w:val="restart"/>
          </w:tcPr>
          <w:p>
            <w:pPr>
              <w:ind w:left="20"/>
              <w:spacing w:after="0"/>
              <w:rPr>
                <w:sz w:val="20"/>
                <w:szCs w:val="20"/>
                <w:color w:val="auto"/>
              </w:rPr>
            </w:pPr>
            <w:r>
              <w:rPr>
                <w:rFonts w:ascii="Arial" w:cs="Arial" w:eastAsia="Arial" w:hAnsi="Arial"/>
                <w:sz w:val="12"/>
                <w:szCs w:val="12"/>
                <w:b w:val="1"/>
                <w:bCs w:val="1"/>
                <w:color w:val="3C9673"/>
              </w:rPr>
              <w:t>Share-based</w:t>
            </w: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4"/>
        </w:trPr>
        <w:tc>
          <w:tcPr>
            <w:tcW w:w="14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400" w:type="dxa"/>
            <w:vAlign w:val="bottom"/>
          </w:tcPr>
          <w:p>
            <w:pPr>
              <w:ind w:left="20"/>
              <w:spacing w:after="0"/>
              <w:rPr>
                <w:sz w:val="20"/>
                <w:szCs w:val="20"/>
                <w:color w:val="auto"/>
              </w:rPr>
            </w:pPr>
            <w:r>
              <w:rPr>
                <w:rFonts w:ascii="Arial" w:cs="Arial" w:eastAsia="Arial" w:hAnsi="Arial"/>
                <w:sz w:val="12"/>
                <w:szCs w:val="12"/>
                <w:b w:val="1"/>
                <w:bCs w:val="1"/>
                <w:color w:val="3C9673"/>
              </w:rPr>
              <w:t>payments (incl. long-</w:t>
            </w: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BECD32"/>
            </w:tcBorders>
          </w:tcPr>
          <w:p>
            <w:pPr>
              <w:ind w:left="20"/>
              <w:spacing w:after="0"/>
              <w:rPr>
                <w:sz w:val="20"/>
                <w:szCs w:val="20"/>
                <w:color w:val="auto"/>
              </w:rPr>
            </w:pPr>
            <w:r>
              <w:rPr>
                <w:rFonts w:ascii="Arial" w:cs="Arial" w:eastAsia="Arial" w:hAnsi="Arial"/>
                <w:sz w:val="12"/>
                <w:szCs w:val="12"/>
                <w:b w:val="1"/>
                <w:bCs w:val="1"/>
                <w:color w:val="3C9673"/>
              </w:rPr>
              <w:t>term incentive)</w:t>
            </w:r>
            <w:r>
              <w:rPr>
                <w:rFonts w:ascii="Arial" w:cs="Arial" w:eastAsia="Arial" w:hAnsi="Arial"/>
                <w:sz w:val="16"/>
                <w:szCs w:val="16"/>
                <w:b w:val="1"/>
                <w:bCs w:val="1"/>
                <w:color w:val="3C9673"/>
                <w:vertAlign w:val="superscript"/>
              </w:rPr>
              <w:t>(8)</w:t>
            </w:r>
          </w:p>
        </w:tc>
        <w:tc>
          <w:tcPr>
            <w:tcW w:w="20" w:type="dxa"/>
            <w:vAlign w:val="bottom"/>
            <w:tcBorders>
              <w:bottom w:val="single" w:sz="8" w:color="BECD32"/>
            </w:tcBorders>
          </w:tcPr>
          <w:p>
            <w:pPr>
              <w:spacing w:after="0"/>
              <w:rPr>
                <w:sz w:val="18"/>
                <w:szCs w:val="18"/>
                <w:color w:val="auto"/>
              </w:rPr>
            </w:pPr>
          </w:p>
        </w:tc>
        <w:tc>
          <w:tcPr>
            <w:tcW w:w="620" w:type="dxa"/>
            <w:vAlign w:val="bottom"/>
            <w:tcBorders>
              <w:bottom w:val="single" w:sz="8" w:color="BECD32"/>
            </w:tcBorders>
          </w:tcPr>
          <w:p>
            <w:pPr>
              <w:spacing w:after="0"/>
              <w:rPr>
                <w:sz w:val="18"/>
                <w:szCs w:val="18"/>
                <w:color w:val="auto"/>
              </w:rPr>
            </w:pPr>
          </w:p>
        </w:tc>
        <w:tc>
          <w:tcPr>
            <w:tcW w:w="20" w:type="dxa"/>
            <w:vAlign w:val="bottom"/>
            <w:tcBorders>
              <w:bottom w:val="single" w:sz="8" w:color="BECD32"/>
            </w:tcBorders>
          </w:tcPr>
          <w:p>
            <w:pPr>
              <w:spacing w:after="0"/>
              <w:rPr>
                <w:sz w:val="18"/>
                <w:szCs w:val="18"/>
                <w:color w:val="auto"/>
              </w:rPr>
            </w:pPr>
          </w:p>
        </w:tc>
        <w:tc>
          <w:tcPr>
            <w:tcW w:w="200" w:type="dxa"/>
            <w:vAlign w:val="bottom"/>
            <w:tcBorders>
              <w:bottom w:val="single" w:sz="8" w:color="BECD32"/>
            </w:tcBorders>
          </w:tcPr>
          <w:p>
            <w:pPr>
              <w:spacing w:after="0"/>
              <w:rPr>
                <w:sz w:val="18"/>
                <w:szCs w:val="18"/>
                <w:color w:val="auto"/>
              </w:rPr>
            </w:pPr>
          </w:p>
        </w:tc>
        <w:tc>
          <w:tcPr>
            <w:tcW w:w="100" w:type="dxa"/>
            <w:vAlign w:val="bottom"/>
            <w:tcBorders>
              <w:bottom w:val="single" w:sz="8" w:color="BECD32"/>
            </w:tcBorders>
          </w:tcPr>
          <w:p>
            <w:pPr>
              <w:spacing w:after="0"/>
              <w:rPr>
                <w:sz w:val="18"/>
                <w:szCs w:val="18"/>
                <w:color w:val="auto"/>
              </w:rPr>
            </w:pPr>
          </w:p>
        </w:tc>
        <w:tc>
          <w:tcPr>
            <w:tcW w:w="420" w:type="dxa"/>
            <w:vAlign w:val="bottom"/>
            <w:tcBorders>
              <w:bottom w:val="single" w:sz="8" w:color="BECD32"/>
            </w:tcBorders>
          </w:tcPr>
          <w:p>
            <w:pPr>
              <w:spacing w:after="0"/>
              <w:rPr>
                <w:sz w:val="18"/>
                <w:szCs w:val="18"/>
                <w:color w:val="auto"/>
              </w:rPr>
            </w:pPr>
          </w:p>
        </w:tc>
        <w:tc>
          <w:tcPr>
            <w:tcW w:w="20" w:type="dxa"/>
            <w:vAlign w:val="bottom"/>
            <w:tcBorders>
              <w:bottom w:val="single" w:sz="8" w:color="BECD32"/>
            </w:tcBorders>
          </w:tcPr>
          <w:p>
            <w:pPr>
              <w:spacing w:after="0"/>
              <w:rPr>
                <w:sz w:val="18"/>
                <w:szCs w:val="18"/>
                <w:color w:val="auto"/>
              </w:rPr>
            </w:pPr>
          </w:p>
        </w:tc>
        <w:tc>
          <w:tcPr>
            <w:tcW w:w="200" w:type="dxa"/>
            <w:vAlign w:val="bottom"/>
            <w:tcBorders>
              <w:bottom w:val="single" w:sz="8" w:color="BECD32"/>
            </w:tcBorders>
          </w:tcPr>
          <w:p>
            <w:pPr>
              <w:spacing w:after="0"/>
              <w:rPr>
                <w:sz w:val="18"/>
                <w:szCs w:val="18"/>
                <w:color w:val="auto"/>
              </w:rPr>
            </w:pPr>
          </w:p>
        </w:tc>
        <w:tc>
          <w:tcPr>
            <w:tcW w:w="400" w:type="dxa"/>
            <w:vAlign w:val="bottom"/>
            <w:tcBorders>
              <w:bottom w:val="single" w:sz="8" w:color="BECD32"/>
            </w:tcBorders>
          </w:tcPr>
          <w:p>
            <w:pPr>
              <w:spacing w:after="0"/>
              <w:rPr>
                <w:sz w:val="18"/>
                <w:szCs w:val="18"/>
                <w:color w:val="auto"/>
              </w:rPr>
            </w:pPr>
          </w:p>
        </w:tc>
        <w:tc>
          <w:tcPr>
            <w:tcW w:w="40" w:type="dxa"/>
            <w:vAlign w:val="bottom"/>
            <w:tcBorders>
              <w:bottom w:val="single" w:sz="8" w:color="BECD32"/>
            </w:tcBorders>
          </w:tcPr>
          <w:p>
            <w:pPr>
              <w:spacing w:after="0"/>
              <w:rPr>
                <w:sz w:val="18"/>
                <w:szCs w:val="18"/>
                <w:color w:val="auto"/>
              </w:rPr>
            </w:pPr>
          </w:p>
        </w:tc>
        <w:tc>
          <w:tcPr>
            <w:tcW w:w="120" w:type="dxa"/>
            <w:vAlign w:val="bottom"/>
            <w:tcBorders>
              <w:bottom w:val="single" w:sz="8" w:color="BECD32"/>
            </w:tcBorders>
          </w:tcPr>
          <w:p>
            <w:pPr>
              <w:spacing w:after="0"/>
              <w:rPr>
                <w:sz w:val="18"/>
                <w:szCs w:val="18"/>
                <w:color w:val="auto"/>
              </w:rPr>
            </w:pPr>
          </w:p>
        </w:tc>
        <w:tc>
          <w:tcPr>
            <w:tcW w:w="80" w:type="dxa"/>
            <w:vAlign w:val="bottom"/>
            <w:tcBorders>
              <w:bottom w:val="single" w:sz="8" w:color="BECD32"/>
            </w:tcBorders>
          </w:tcPr>
          <w:p>
            <w:pPr>
              <w:spacing w:after="0"/>
              <w:rPr>
                <w:sz w:val="18"/>
                <w:szCs w:val="18"/>
                <w:color w:val="auto"/>
              </w:rPr>
            </w:pPr>
          </w:p>
        </w:tc>
        <w:tc>
          <w:tcPr>
            <w:tcW w:w="160" w:type="dxa"/>
            <w:vAlign w:val="bottom"/>
            <w:tcBorders>
              <w:bottom w:val="single" w:sz="8" w:color="BECD32"/>
            </w:tcBorders>
          </w:tcPr>
          <w:p>
            <w:pPr>
              <w:spacing w:after="0"/>
              <w:rPr>
                <w:sz w:val="18"/>
                <w:szCs w:val="18"/>
                <w:color w:val="auto"/>
              </w:rPr>
            </w:pPr>
          </w:p>
        </w:tc>
        <w:tc>
          <w:tcPr>
            <w:tcW w:w="240" w:type="dxa"/>
            <w:vAlign w:val="bottom"/>
            <w:tcBorders>
              <w:bottom w:val="single" w:sz="8" w:color="BECD32"/>
            </w:tcBorders>
          </w:tcPr>
          <w:p>
            <w:pPr>
              <w:spacing w:after="0"/>
              <w:rPr>
                <w:sz w:val="18"/>
                <w:szCs w:val="18"/>
                <w:color w:val="auto"/>
              </w:rPr>
            </w:pPr>
          </w:p>
        </w:tc>
        <w:tc>
          <w:tcPr>
            <w:tcW w:w="20" w:type="dxa"/>
            <w:vAlign w:val="bottom"/>
            <w:tcBorders>
              <w:bottom w:val="single" w:sz="8" w:color="BECD32"/>
            </w:tcBorders>
          </w:tcPr>
          <w:p>
            <w:pPr>
              <w:spacing w:after="0"/>
              <w:rPr>
                <w:sz w:val="18"/>
                <w:szCs w:val="18"/>
                <w:color w:val="auto"/>
              </w:rPr>
            </w:pPr>
          </w:p>
        </w:tc>
        <w:tc>
          <w:tcPr>
            <w:tcW w:w="640" w:type="dxa"/>
            <w:vAlign w:val="bottom"/>
            <w:tcBorders>
              <w:bottom w:val="single" w:sz="8" w:color="BECD32"/>
            </w:tcBorders>
          </w:tcPr>
          <w:p>
            <w:pPr>
              <w:spacing w:after="0"/>
              <w:rPr>
                <w:sz w:val="18"/>
                <w:szCs w:val="18"/>
                <w:color w:val="auto"/>
              </w:rPr>
            </w:pPr>
          </w:p>
        </w:tc>
        <w:tc>
          <w:tcPr>
            <w:tcW w:w="20" w:type="dxa"/>
            <w:vAlign w:val="bottom"/>
            <w:tcBorders>
              <w:bottom w:val="single" w:sz="8" w:color="BECD32"/>
            </w:tcBorders>
          </w:tcPr>
          <w:p>
            <w:pPr>
              <w:spacing w:after="0"/>
              <w:rPr>
                <w:sz w:val="18"/>
                <w:szCs w:val="18"/>
                <w:color w:val="auto"/>
              </w:rPr>
            </w:pPr>
          </w:p>
        </w:tc>
        <w:tc>
          <w:tcPr>
            <w:tcW w:w="760" w:type="dxa"/>
            <w:vAlign w:val="bottom"/>
            <w:tcBorders>
              <w:bottom w:val="single" w:sz="8" w:color="BECD32"/>
            </w:tcBorders>
          </w:tcPr>
          <w:p>
            <w:pPr>
              <w:spacing w:after="0"/>
              <w:rPr>
                <w:sz w:val="18"/>
                <w:szCs w:val="18"/>
                <w:color w:val="auto"/>
              </w:rPr>
            </w:pPr>
          </w:p>
        </w:tc>
        <w:tc>
          <w:tcPr>
            <w:tcW w:w="20" w:type="dxa"/>
            <w:vAlign w:val="bottom"/>
            <w:tcBorders>
              <w:bottom w:val="single" w:sz="8" w:color="BECD32"/>
            </w:tcBorders>
          </w:tcPr>
          <w:p>
            <w:pPr>
              <w:spacing w:after="0"/>
              <w:rPr>
                <w:sz w:val="18"/>
                <w:szCs w:val="18"/>
                <w:color w:val="auto"/>
              </w:rPr>
            </w:pPr>
          </w:p>
        </w:tc>
        <w:tc>
          <w:tcPr>
            <w:tcW w:w="200" w:type="dxa"/>
            <w:vAlign w:val="bottom"/>
            <w:tcBorders>
              <w:bottom w:val="single" w:sz="8" w:color="BECD32"/>
            </w:tcBorders>
          </w:tcPr>
          <w:p>
            <w:pPr>
              <w:spacing w:after="0"/>
              <w:rPr>
                <w:sz w:val="18"/>
                <w:szCs w:val="18"/>
                <w:color w:val="auto"/>
              </w:rPr>
            </w:pPr>
          </w:p>
        </w:tc>
        <w:tc>
          <w:tcPr>
            <w:tcW w:w="120" w:type="dxa"/>
            <w:vAlign w:val="bottom"/>
            <w:tcBorders>
              <w:bottom w:val="single" w:sz="8" w:color="BECD32"/>
            </w:tcBorders>
          </w:tcPr>
          <w:p>
            <w:pPr>
              <w:spacing w:after="0"/>
              <w:rPr>
                <w:sz w:val="18"/>
                <w:szCs w:val="18"/>
                <w:color w:val="auto"/>
              </w:rPr>
            </w:pPr>
          </w:p>
        </w:tc>
        <w:tc>
          <w:tcPr>
            <w:tcW w:w="280" w:type="dxa"/>
            <w:vAlign w:val="bottom"/>
            <w:tcBorders>
              <w:bottom w:val="single" w:sz="8" w:color="BECD32"/>
            </w:tcBorders>
          </w:tcPr>
          <w:p>
            <w:pPr>
              <w:spacing w:after="0"/>
              <w:rPr>
                <w:sz w:val="18"/>
                <w:szCs w:val="18"/>
                <w:color w:val="auto"/>
              </w:rPr>
            </w:pPr>
          </w:p>
        </w:tc>
        <w:tc>
          <w:tcPr>
            <w:tcW w:w="20" w:type="dxa"/>
            <w:vAlign w:val="bottom"/>
            <w:tcBorders>
              <w:bottom w:val="single" w:sz="8" w:color="BECD32"/>
            </w:tcBorders>
          </w:tcPr>
          <w:p>
            <w:pPr>
              <w:spacing w:after="0"/>
              <w:rPr>
                <w:sz w:val="18"/>
                <w:szCs w:val="18"/>
                <w:color w:val="auto"/>
              </w:rPr>
            </w:pPr>
          </w:p>
        </w:tc>
        <w:tc>
          <w:tcPr>
            <w:tcW w:w="620" w:type="dxa"/>
            <w:vAlign w:val="bottom"/>
            <w:tcBorders>
              <w:bottom w:val="single" w:sz="8" w:color="BECD32"/>
            </w:tcBorders>
          </w:tcPr>
          <w:p>
            <w:pPr>
              <w:spacing w:after="0"/>
              <w:rPr>
                <w:sz w:val="18"/>
                <w:szCs w:val="18"/>
                <w:color w:val="auto"/>
              </w:rPr>
            </w:pPr>
          </w:p>
        </w:tc>
        <w:tc>
          <w:tcPr>
            <w:tcW w:w="40" w:type="dxa"/>
            <w:vAlign w:val="bottom"/>
            <w:tcBorders>
              <w:bottom w:val="single" w:sz="8" w:color="BECD32"/>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400" w:type="dxa"/>
            <w:vAlign w:val="bottom"/>
            <w:tcBorders>
              <w:left w:val="single" w:sz="8" w:color="BECD32"/>
            </w:tcBorders>
          </w:tcPr>
          <w:p>
            <w:pPr>
              <w:ind w:left="20"/>
              <w:spacing w:after="0"/>
              <w:rPr>
                <w:sz w:val="20"/>
                <w:szCs w:val="20"/>
                <w:color w:val="auto"/>
              </w:rPr>
            </w:pPr>
            <w:r>
              <w:rPr>
                <w:rFonts w:ascii="Arial" w:cs="Arial" w:eastAsia="Arial" w:hAnsi="Arial"/>
                <w:sz w:val="12"/>
                <w:szCs w:val="12"/>
                <w:color w:val="005A64"/>
              </w:rPr>
              <w:t>2024</w:t>
            </w: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Borders>
              <w:right w:val="single" w:sz="8" w:color="BECD32"/>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00" w:type="dxa"/>
            <w:vAlign w:val="bottom"/>
            <w:tcBorders>
              <w:left w:val="single" w:sz="8" w:color="BECD32"/>
            </w:tcBorders>
          </w:tcPr>
          <w:p>
            <w:pPr>
              <w:ind w:left="20"/>
              <w:spacing w:after="0"/>
              <w:rPr>
                <w:sz w:val="20"/>
                <w:szCs w:val="20"/>
                <w:color w:val="auto"/>
              </w:rPr>
            </w:pPr>
            <w:r>
              <w:rPr>
                <w:rFonts w:ascii="Arial" w:cs="Arial" w:eastAsia="Arial" w:hAnsi="Arial"/>
                <w:sz w:val="12"/>
                <w:szCs w:val="12"/>
                <w:color w:val="005A64"/>
              </w:rPr>
              <w:t>Management Board</w:t>
            </w:r>
          </w:p>
        </w:tc>
        <w:tc>
          <w:tcPr>
            <w:tcW w:w="640" w:type="dxa"/>
            <w:vAlign w:val="bottom"/>
            <w:gridSpan w:val="2"/>
          </w:tcPr>
          <w:p>
            <w:pPr>
              <w:ind w:left="20"/>
              <w:spacing w:after="0"/>
              <w:rPr>
                <w:sz w:val="20"/>
                <w:szCs w:val="20"/>
                <w:color w:val="auto"/>
              </w:rPr>
            </w:pPr>
            <w:r>
              <w:rPr>
                <w:rFonts w:ascii="Arial" w:cs="Arial" w:eastAsia="Arial" w:hAnsi="Arial"/>
                <w:sz w:val="12"/>
                <w:szCs w:val="12"/>
                <w:color w:val="005A64"/>
              </w:rPr>
              <w:t>4,386</w:t>
            </w:r>
          </w:p>
        </w:tc>
        <w:tc>
          <w:tcPr>
            <w:tcW w:w="2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Arial" w:cs="Arial" w:eastAsia="Arial" w:hAnsi="Arial"/>
                <w:sz w:val="12"/>
                <w:szCs w:val="12"/>
                <w:color w:val="005A64"/>
              </w:rPr>
              <w:t>—</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2"/>
                <w:szCs w:val="12"/>
                <w:color w:val="005A64"/>
                <w:w w:val="82"/>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color w:val="005A64"/>
              </w:rPr>
              <w:t>1,774</w:t>
            </w:r>
          </w:p>
        </w:tc>
        <w:tc>
          <w:tcPr>
            <w:tcW w:w="780" w:type="dxa"/>
            <w:vAlign w:val="bottom"/>
            <w:gridSpan w:val="2"/>
          </w:tcPr>
          <w:p>
            <w:pPr>
              <w:ind w:left="20"/>
              <w:spacing w:after="0"/>
              <w:rPr>
                <w:sz w:val="20"/>
                <w:szCs w:val="20"/>
                <w:color w:val="auto"/>
              </w:rPr>
            </w:pPr>
            <w:r>
              <w:rPr>
                <w:rFonts w:ascii="Arial" w:cs="Arial" w:eastAsia="Arial" w:hAnsi="Arial"/>
                <w:sz w:val="12"/>
                <w:szCs w:val="12"/>
                <w:color w:val="005A64"/>
              </w:rPr>
              <w:t>1,785</w:t>
            </w:r>
          </w:p>
        </w:tc>
        <w:tc>
          <w:tcPr>
            <w:tcW w:w="2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Arial" w:cs="Arial" w:eastAsia="Arial" w:hAnsi="Arial"/>
                <w:sz w:val="12"/>
                <w:szCs w:val="12"/>
                <w:color w:val="005A64"/>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color w:val="005A64"/>
              </w:rPr>
              <w:t>1,754</w:t>
            </w:r>
          </w:p>
        </w:tc>
        <w:tc>
          <w:tcPr>
            <w:tcW w:w="40" w:type="dxa"/>
            <w:vAlign w:val="bottom"/>
            <w:tcBorders>
              <w:right w:val="single" w:sz="8" w:color="BECD32"/>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00" w:type="dxa"/>
            <w:vAlign w:val="bottom"/>
            <w:tcBorders>
              <w:left w:val="single" w:sz="8" w:color="BECD32"/>
            </w:tcBorders>
          </w:tcPr>
          <w:p>
            <w:pPr>
              <w:ind w:left="20"/>
              <w:spacing w:after="0"/>
              <w:rPr>
                <w:sz w:val="20"/>
                <w:szCs w:val="20"/>
                <w:color w:val="auto"/>
              </w:rPr>
            </w:pPr>
            <w:r>
              <w:rPr>
                <w:rFonts w:ascii="Arial" w:cs="Arial" w:eastAsia="Arial" w:hAnsi="Arial"/>
                <w:sz w:val="12"/>
                <w:szCs w:val="12"/>
                <w:color w:val="005A64"/>
              </w:rPr>
              <w:t>Grant - LTI</w:t>
            </w: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Borders>
              <w:right w:val="single" w:sz="8" w:color="BECD32"/>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BECD32"/>
            </w:tcBorders>
          </w:tcPr>
          <w:p>
            <w:pPr>
              <w:ind w:left="20"/>
              <w:spacing w:after="0"/>
              <w:rPr>
                <w:sz w:val="20"/>
                <w:szCs w:val="20"/>
                <w:color w:val="auto"/>
              </w:rPr>
            </w:pPr>
            <w:r>
              <w:rPr>
                <w:rFonts w:ascii="Arial" w:cs="Arial" w:eastAsia="Arial" w:hAnsi="Arial"/>
                <w:sz w:val="12"/>
                <w:szCs w:val="12"/>
                <w:color w:val="005A64"/>
              </w:rPr>
              <w:t>CEO Grant 2019</w:t>
            </w:r>
          </w:p>
        </w:tc>
        <w:tc>
          <w:tcPr>
            <w:tcW w:w="640" w:type="dxa"/>
            <w:vAlign w:val="bottom"/>
            <w:gridSpan w:val="2"/>
          </w:tcPr>
          <w:p>
            <w:pPr>
              <w:ind w:left="20"/>
              <w:spacing w:after="0"/>
              <w:rPr>
                <w:sz w:val="20"/>
                <w:szCs w:val="20"/>
                <w:color w:val="auto"/>
              </w:rPr>
            </w:pPr>
            <w:r>
              <w:rPr>
                <w:rFonts w:ascii="Arial" w:cs="Arial" w:eastAsia="Arial" w:hAnsi="Arial"/>
                <w:sz w:val="12"/>
                <w:szCs w:val="12"/>
                <w:color w:val="005A64"/>
              </w:rPr>
              <w:t>259,531</w:t>
            </w:r>
          </w:p>
        </w:tc>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2"/>
                <w:szCs w:val="12"/>
                <w:color w:val="005A64"/>
              </w:rPr>
              <w:t>—</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2"/>
                <w:szCs w:val="12"/>
                <w:color w:val="005A64"/>
                <w:w w:val="82"/>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2"/>
                <w:szCs w:val="12"/>
                <w:color w:val="005A64"/>
              </w:rPr>
              <w:t>—</w:t>
            </w:r>
          </w:p>
        </w:tc>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2"/>
                <w:szCs w:val="12"/>
                <w:color w:val="005A64"/>
              </w:rPr>
              <w:t>—</w:t>
            </w:r>
          </w:p>
        </w:tc>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2"/>
                <w:szCs w:val="12"/>
                <w:color w:val="005A64"/>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005A64"/>
              </w:rPr>
              <w:t>—</w:t>
            </w:r>
          </w:p>
        </w:tc>
        <w:tc>
          <w:tcPr>
            <w:tcW w:w="40" w:type="dxa"/>
            <w:vAlign w:val="bottom"/>
            <w:tcBorders>
              <w:right w:val="single" w:sz="8" w:color="BECD32"/>
            </w:tcBorders>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1400" w:type="dxa"/>
            <w:vAlign w:val="bottom"/>
            <w:tcBorders>
              <w:left w:val="single" w:sz="8" w:color="BECD32"/>
              <w:bottom w:val="single" w:sz="8" w:color="BECD32"/>
            </w:tcBorders>
          </w:tcPr>
          <w:p>
            <w:pPr>
              <w:spacing w:after="0"/>
              <w:rPr>
                <w:sz w:val="4"/>
                <w:szCs w:val="4"/>
                <w:color w:val="auto"/>
              </w:rPr>
            </w:pPr>
          </w:p>
        </w:tc>
        <w:tc>
          <w:tcPr>
            <w:tcW w:w="20" w:type="dxa"/>
            <w:vAlign w:val="bottom"/>
            <w:tcBorders>
              <w:bottom w:val="single" w:sz="8" w:color="BECD32"/>
            </w:tcBorders>
          </w:tcPr>
          <w:p>
            <w:pPr>
              <w:spacing w:after="0"/>
              <w:rPr>
                <w:sz w:val="4"/>
                <w:szCs w:val="4"/>
                <w:color w:val="auto"/>
              </w:rPr>
            </w:pPr>
          </w:p>
        </w:tc>
        <w:tc>
          <w:tcPr>
            <w:tcW w:w="620" w:type="dxa"/>
            <w:vAlign w:val="bottom"/>
            <w:tcBorders>
              <w:bottom w:val="single" w:sz="8" w:color="BECD32"/>
            </w:tcBorders>
          </w:tcPr>
          <w:p>
            <w:pPr>
              <w:spacing w:after="0"/>
              <w:rPr>
                <w:sz w:val="4"/>
                <w:szCs w:val="4"/>
                <w:color w:val="auto"/>
              </w:rPr>
            </w:pPr>
          </w:p>
        </w:tc>
        <w:tc>
          <w:tcPr>
            <w:tcW w:w="20" w:type="dxa"/>
            <w:vAlign w:val="bottom"/>
            <w:tcBorders>
              <w:bottom w:val="single" w:sz="8" w:color="BECD32"/>
            </w:tcBorders>
          </w:tcPr>
          <w:p>
            <w:pPr>
              <w:spacing w:after="0"/>
              <w:rPr>
                <w:sz w:val="4"/>
                <w:szCs w:val="4"/>
                <w:color w:val="auto"/>
              </w:rPr>
            </w:pPr>
          </w:p>
        </w:tc>
        <w:tc>
          <w:tcPr>
            <w:tcW w:w="200" w:type="dxa"/>
            <w:vAlign w:val="bottom"/>
            <w:tcBorders>
              <w:bottom w:val="single" w:sz="8" w:color="BECD32"/>
            </w:tcBorders>
          </w:tcPr>
          <w:p>
            <w:pPr>
              <w:spacing w:after="0"/>
              <w:rPr>
                <w:sz w:val="4"/>
                <w:szCs w:val="4"/>
                <w:color w:val="auto"/>
              </w:rPr>
            </w:pPr>
          </w:p>
        </w:tc>
        <w:tc>
          <w:tcPr>
            <w:tcW w:w="100" w:type="dxa"/>
            <w:vAlign w:val="bottom"/>
            <w:tcBorders>
              <w:bottom w:val="single" w:sz="8" w:color="BECD32"/>
            </w:tcBorders>
          </w:tcPr>
          <w:p>
            <w:pPr>
              <w:spacing w:after="0"/>
              <w:rPr>
                <w:sz w:val="4"/>
                <w:szCs w:val="4"/>
                <w:color w:val="auto"/>
              </w:rPr>
            </w:pPr>
          </w:p>
        </w:tc>
        <w:tc>
          <w:tcPr>
            <w:tcW w:w="420" w:type="dxa"/>
            <w:vAlign w:val="bottom"/>
            <w:tcBorders>
              <w:bottom w:val="single" w:sz="8" w:color="BECD32"/>
            </w:tcBorders>
          </w:tcPr>
          <w:p>
            <w:pPr>
              <w:spacing w:after="0"/>
              <w:rPr>
                <w:sz w:val="4"/>
                <w:szCs w:val="4"/>
                <w:color w:val="auto"/>
              </w:rPr>
            </w:pPr>
          </w:p>
        </w:tc>
        <w:tc>
          <w:tcPr>
            <w:tcW w:w="20" w:type="dxa"/>
            <w:vAlign w:val="bottom"/>
            <w:tcBorders>
              <w:bottom w:val="single" w:sz="8" w:color="BECD32"/>
            </w:tcBorders>
          </w:tcPr>
          <w:p>
            <w:pPr>
              <w:spacing w:after="0"/>
              <w:rPr>
                <w:sz w:val="4"/>
                <w:szCs w:val="4"/>
                <w:color w:val="auto"/>
              </w:rPr>
            </w:pPr>
          </w:p>
        </w:tc>
        <w:tc>
          <w:tcPr>
            <w:tcW w:w="200" w:type="dxa"/>
            <w:vAlign w:val="bottom"/>
            <w:tcBorders>
              <w:bottom w:val="single" w:sz="8" w:color="BECD32"/>
            </w:tcBorders>
          </w:tcPr>
          <w:p>
            <w:pPr>
              <w:spacing w:after="0"/>
              <w:rPr>
                <w:sz w:val="4"/>
                <w:szCs w:val="4"/>
                <w:color w:val="auto"/>
              </w:rPr>
            </w:pPr>
          </w:p>
        </w:tc>
        <w:tc>
          <w:tcPr>
            <w:tcW w:w="400" w:type="dxa"/>
            <w:vAlign w:val="bottom"/>
            <w:tcBorders>
              <w:bottom w:val="single" w:sz="8" w:color="BECD32"/>
            </w:tcBorders>
          </w:tcPr>
          <w:p>
            <w:pPr>
              <w:spacing w:after="0"/>
              <w:rPr>
                <w:sz w:val="4"/>
                <w:szCs w:val="4"/>
                <w:color w:val="auto"/>
              </w:rPr>
            </w:pPr>
          </w:p>
        </w:tc>
        <w:tc>
          <w:tcPr>
            <w:tcW w:w="40" w:type="dxa"/>
            <w:vAlign w:val="bottom"/>
            <w:tcBorders>
              <w:bottom w:val="single" w:sz="8" w:color="BECD32"/>
            </w:tcBorders>
          </w:tcPr>
          <w:p>
            <w:pPr>
              <w:spacing w:after="0"/>
              <w:rPr>
                <w:sz w:val="4"/>
                <w:szCs w:val="4"/>
                <w:color w:val="auto"/>
              </w:rPr>
            </w:pPr>
          </w:p>
        </w:tc>
        <w:tc>
          <w:tcPr>
            <w:tcW w:w="120" w:type="dxa"/>
            <w:vAlign w:val="bottom"/>
            <w:tcBorders>
              <w:bottom w:val="single" w:sz="8" w:color="BECD32"/>
            </w:tcBorders>
          </w:tcPr>
          <w:p>
            <w:pPr>
              <w:spacing w:after="0"/>
              <w:rPr>
                <w:sz w:val="4"/>
                <w:szCs w:val="4"/>
                <w:color w:val="auto"/>
              </w:rPr>
            </w:pPr>
          </w:p>
        </w:tc>
        <w:tc>
          <w:tcPr>
            <w:tcW w:w="80" w:type="dxa"/>
            <w:vAlign w:val="bottom"/>
            <w:tcBorders>
              <w:bottom w:val="single" w:sz="8" w:color="BECD32"/>
            </w:tcBorders>
          </w:tcPr>
          <w:p>
            <w:pPr>
              <w:spacing w:after="0"/>
              <w:rPr>
                <w:sz w:val="4"/>
                <w:szCs w:val="4"/>
                <w:color w:val="auto"/>
              </w:rPr>
            </w:pPr>
          </w:p>
        </w:tc>
        <w:tc>
          <w:tcPr>
            <w:tcW w:w="160" w:type="dxa"/>
            <w:vAlign w:val="bottom"/>
            <w:tcBorders>
              <w:bottom w:val="single" w:sz="8" w:color="BECD32"/>
            </w:tcBorders>
          </w:tcPr>
          <w:p>
            <w:pPr>
              <w:spacing w:after="0"/>
              <w:rPr>
                <w:sz w:val="4"/>
                <w:szCs w:val="4"/>
                <w:color w:val="auto"/>
              </w:rPr>
            </w:pPr>
          </w:p>
        </w:tc>
        <w:tc>
          <w:tcPr>
            <w:tcW w:w="240" w:type="dxa"/>
            <w:vAlign w:val="bottom"/>
            <w:tcBorders>
              <w:bottom w:val="single" w:sz="8" w:color="BECD32"/>
            </w:tcBorders>
          </w:tcPr>
          <w:p>
            <w:pPr>
              <w:spacing w:after="0"/>
              <w:rPr>
                <w:sz w:val="4"/>
                <w:szCs w:val="4"/>
                <w:color w:val="auto"/>
              </w:rPr>
            </w:pPr>
          </w:p>
        </w:tc>
        <w:tc>
          <w:tcPr>
            <w:tcW w:w="20" w:type="dxa"/>
            <w:vAlign w:val="bottom"/>
            <w:tcBorders>
              <w:bottom w:val="single" w:sz="8" w:color="BECD32"/>
            </w:tcBorders>
          </w:tcPr>
          <w:p>
            <w:pPr>
              <w:spacing w:after="0"/>
              <w:rPr>
                <w:sz w:val="4"/>
                <w:szCs w:val="4"/>
                <w:color w:val="auto"/>
              </w:rPr>
            </w:pPr>
          </w:p>
        </w:tc>
        <w:tc>
          <w:tcPr>
            <w:tcW w:w="640" w:type="dxa"/>
            <w:vAlign w:val="bottom"/>
            <w:tcBorders>
              <w:bottom w:val="single" w:sz="8" w:color="BECD32"/>
            </w:tcBorders>
          </w:tcPr>
          <w:p>
            <w:pPr>
              <w:spacing w:after="0"/>
              <w:rPr>
                <w:sz w:val="4"/>
                <w:szCs w:val="4"/>
                <w:color w:val="auto"/>
              </w:rPr>
            </w:pPr>
          </w:p>
        </w:tc>
        <w:tc>
          <w:tcPr>
            <w:tcW w:w="20" w:type="dxa"/>
            <w:vAlign w:val="bottom"/>
            <w:tcBorders>
              <w:bottom w:val="single" w:sz="8" w:color="BECD32"/>
            </w:tcBorders>
          </w:tcPr>
          <w:p>
            <w:pPr>
              <w:spacing w:after="0"/>
              <w:rPr>
                <w:sz w:val="4"/>
                <w:szCs w:val="4"/>
                <w:color w:val="auto"/>
              </w:rPr>
            </w:pPr>
          </w:p>
        </w:tc>
        <w:tc>
          <w:tcPr>
            <w:tcW w:w="760" w:type="dxa"/>
            <w:vAlign w:val="bottom"/>
            <w:tcBorders>
              <w:bottom w:val="single" w:sz="8" w:color="BECD32"/>
            </w:tcBorders>
          </w:tcPr>
          <w:p>
            <w:pPr>
              <w:spacing w:after="0"/>
              <w:rPr>
                <w:sz w:val="4"/>
                <w:szCs w:val="4"/>
                <w:color w:val="auto"/>
              </w:rPr>
            </w:pPr>
          </w:p>
        </w:tc>
        <w:tc>
          <w:tcPr>
            <w:tcW w:w="20" w:type="dxa"/>
            <w:vAlign w:val="bottom"/>
            <w:tcBorders>
              <w:bottom w:val="single" w:sz="8" w:color="BECD32"/>
            </w:tcBorders>
          </w:tcPr>
          <w:p>
            <w:pPr>
              <w:spacing w:after="0"/>
              <w:rPr>
                <w:sz w:val="4"/>
                <w:szCs w:val="4"/>
                <w:color w:val="auto"/>
              </w:rPr>
            </w:pPr>
          </w:p>
        </w:tc>
        <w:tc>
          <w:tcPr>
            <w:tcW w:w="200" w:type="dxa"/>
            <w:vAlign w:val="bottom"/>
            <w:tcBorders>
              <w:bottom w:val="single" w:sz="8" w:color="BECD32"/>
            </w:tcBorders>
          </w:tcPr>
          <w:p>
            <w:pPr>
              <w:spacing w:after="0"/>
              <w:rPr>
                <w:sz w:val="4"/>
                <w:szCs w:val="4"/>
                <w:color w:val="auto"/>
              </w:rPr>
            </w:pPr>
          </w:p>
        </w:tc>
        <w:tc>
          <w:tcPr>
            <w:tcW w:w="120" w:type="dxa"/>
            <w:vAlign w:val="bottom"/>
            <w:tcBorders>
              <w:bottom w:val="single" w:sz="8" w:color="BECD32"/>
            </w:tcBorders>
          </w:tcPr>
          <w:p>
            <w:pPr>
              <w:spacing w:after="0"/>
              <w:rPr>
                <w:sz w:val="4"/>
                <w:szCs w:val="4"/>
                <w:color w:val="auto"/>
              </w:rPr>
            </w:pPr>
          </w:p>
        </w:tc>
        <w:tc>
          <w:tcPr>
            <w:tcW w:w="280" w:type="dxa"/>
            <w:vAlign w:val="bottom"/>
            <w:tcBorders>
              <w:bottom w:val="single" w:sz="8" w:color="BECD32"/>
            </w:tcBorders>
          </w:tcPr>
          <w:p>
            <w:pPr>
              <w:spacing w:after="0"/>
              <w:rPr>
                <w:sz w:val="4"/>
                <w:szCs w:val="4"/>
                <w:color w:val="auto"/>
              </w:rPr>
            </w:pPr>
          </w:p>
        </w:tc>
        <w:tc>
          <w:tcPr>
            <w:tcW w:w="20" w:type="dxa"/>
            <w:vAlign w:val="bottom"/>
            <w:tcBorders>
              <w:bottom w:val="single" w:sz="8" w:color="BECD32"/>
            </w:tcBorders>
          </w:tcPr>
          <w:p>
            <w:pPr>
              <w:spacing w:after="0"/>
              <w:rPr>
                <w:sz w:val="4"/>
                <w:szCs w:val="4"/>
                <w:color w:val="auto"/>
              </w:rPr>
            </w:pPr>
          </w:p>
        </w:tc>
        <w:tc>
          <w:tcPr>
            <w:tcW w:w="620" w:type="dxa"/>
            <w:vAlign w:val="bottom"/>
            <w:tcBorders>
              <w:bottom w:val="single" w:sz="8" w:color="BECD32"/>
            </w:tcBorders>
          </w:tcPr>
          <w:p>
            <w:pPr>
              <w:spacing w:after="0"/>
              <w:rPr>
                <w:sz w:val="4"/>
                <w:szCs w:val="4"/>
                <w:color w:val="auto"/>
              </w:rPr>
            </w:pPr>
          </w:p>
        </w:tc>
        <w:tc>
          <w:tcPr>
            <w:tcW w:w="40" w:type="dxa"/>
            <w:vAlign w:val="bottom"/>
            <w:tcBorders>
              <w:bottom w:val="single" w:sz="8" w:color="BECD32"/>
              <w:right w:val="single" w:sz="8" w:color="BECD32"/>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1400" w:type="dxa"/>
            <w:vAlign w:val="bottom"/>
          </w:tcPr>
          <w:p>
            <w:pPr>
              <w:ind w:left="20"/>
              <w:spacing w:after="0"/>
              <w:rPr>
                <w:sz w:val="20"/>
                <w:szCs w:val="20"/>
                <w:color w:val="auto"/>
              </w:rPr>
            </w:pPr>
            <w:r>
              <w:rPr>
                <w:rFonts w:ascii="Arial" w:cs="Arial" w:eastAsia="Arial" w:hAnsi="Arial"/>
                <w:sz w:val="12"/>
                <w:szCs w:val="12"/>
                <w:color w:val="005A64"/>
              </w:rPr>
              <w:t>2023</w:t>
            </w: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00" w:type="dxa"/>
            <w:vAlign w:val="bottom"/>
          </w:tcPr>
          <w:p>
            <w:pPr>
              <w:ind w:left="660"/>
              <w:spacing w:after="0"/>
              <w:rPr>
                <w:sz w:val="20"/>
                <w:szCs w:val="20"/>
                <w:color w:val="auto"/>
              </w:rPr>
            </w:pPr>
            <w:r>
              <w:rPr>
                <w:rFonts w:ascii="Arial" w:cs="Arial" w:eastAsia="Arial" w:hAnsi="Arial"/>
                <w:sz w:val="8"/>
                <w:szCs w:val="8"/>
                <w:color w:val="005A64"/>
              </w:rPr>
              <w:t>(9)</w:t>
            </w:r>
          </w:p>
        </w:tc>
        <w:tc>
          <w:tcPr>
            <w:tcW w:w="20" w:type="dxa"/>
            <w:vAlign w:val="bottom"/>
          </w:tcPr>
          <w:p>
            <w:pPr>
              <w:spacing w:after="0"/>
              <w:rPr>
                <w:sz w:val="12"/>
                <w:szCs w:val="12"/>
                <w:color w:val="auto"/>
              </w:rPr>
            </w:pPr>
          </w:p>
        </w:tc>
        <w:tc>
          <w:tcPr>
            <w:tcW w:w="620" w:type="dxa"/>
            <w:vAlign w:val="bottom"/>
          </w:tcPr>
          <w:p>
            <w:pPr>
              <w:spacing w:after="0"/>
              <w:rPr>
                <w:sz w:val="20"/>
                <w:szCs w:val="20"/>
                <w:color w:val="auto"/>
              </w:rPr>
            </w:pPr>
            <w:r>
              <w:rPr>
                <w:rFonts w:ascii="Arial" w:cs="Arial" w:eastAsia="Arial" w:hAnsi="Arial"/>
                <w:sz w:val="12"/>
                <w:szCs w:val="12"/>
                <w:color w:val="005A64"/>
              </w:rPr>
              <w:t>—</w:t>
            </w:r>
          </w:p>
        </w:tc>
        <w:tc>
          <w:tcPr>
            <w:tcW w:w="2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Arial" w:cs="Arial" w:eastAsia="Arial" w:hAnsi="Arial"/>
                <w:sz w:val="12"/>
                <w:szCs w:val="12"/>
                <w:color w:val="005A64"/>
              </w:rPr>
              <w:t>—</w:t>
            </w:r>
          </w:p>
        </w:tc>
        <w:tc>
          <w:tcPr>
            <w:tcW w:w="400" w:type="dxa"/>
            <w:vAlign w:val="bottom"/>
          </w:tcPr>
          <w:p>
            <w:pPr>
              <w:spacing w:after="0"/>
              <w:rPr>
                <w:sz w:val="12"/>
                <w:szCs w:val="12"/>
                <w:color w:val="auto"/>
              </w:rPr>
            </w:pPr>
          </w:p>
        </w:tc>
        <w:tc>
          <w:tcPr>
            <w:tcW w:w="640" w:type="dxa"/>
            <w:vAlign w:val="bottom"/>
            <w:gridSpan w:val="5"/>
          </w:tcPr>
          <w:p>
            <w:pPr>
              <w:ind w:left="40"/>
              <w:spacing w:after="0"/>
              <w:rPr>
                <w:sz w:val="20"/>
                <w:szCs w:val="20"/>
                <w:color w:val="auto"/>
              </w:rPr>
            </w:pPr>
            <w:r>
              <w:rPr>
                <w:rFonts w:ascii="Arial" w:cs="Arial" w:eastAsia="Arial" w:hAnsi="Arial"/>
                <w:sz w:val="12"/>
                <w:szCs w:val="12"/>
                <w:color w:val="005A64"/>
              </w:rPr>
              <w:t>19,289</w:t>
            </w:r>
          </w:p>
        </w:tc>
        <w:tc>
          <w:tcPr>
            <w:tcW w:w="20" w:type="dxa"/>
            <w:vAlign w:val="bottom"/>
          </w:tcPr>
          <w:p>
            <w:pPr>
              <w:spacing w:after="0"/>
              <w:rPr>
                <w:sz w:val="12"/>
                <w:szCs w:val="12"/>
                <w:color w:val="auto"/>
              </w:rPr>
            </w:pPr>
          </w:p>
        </w:tc>
        <w:tc>
          <w:tcPr>
            <w:tcW w:w="640" w:type="dxa"/>
            <w:vAlign w:val="bottom"/>
          </w:tcPr>
          <w:p>
            <w:pPr>
              <w:ind w:left="20"/>
              <w:spacing w:after="0"/>
              <w:rPr>
                <w:sz w:val="20"/>
                <w:szCs w:val="20"/>
                <w:color w:val="auto"/>
              </w:rPr>
            </w:pPr>
            <w:r>
              <w:rPr>
                <w:rFonts w:ascii="Arial" w:cs="Arial" w:eastAsia="Arial" w:hAnsi="Arial"/>
                <w:sz w:val="12"/>
                <w:szCs w:val="12"/>
                <w:color w:val="005A64"/>
              </w:rPr>
              <w:t>—</w:t>
            </w:r>
          </w:p>
        </w:tc>
        <w:tc>
          <w:tcPr>
            <w:tcW w:w="20" w:type="dxa"/>
            <w:vAlign w:val="bottom"/>
          </w:tcPr>
          <w:p>
            <w:pPr>
              <w:spacing w:after="0"/>
              <w:rPr>
                <w:sz w:val="12"/>
                <w:szCs w:val="12"/>
                <w:color w:val="auto"/>
              </w:rPr>
            </w:pPr>
          </w:p>
        </w:tc>
        <w:tc>
          <w:tcPr>
            <w:tcW w:w="760" w:type="dxa"/>
            <w:vAlign w:val="bottom"/>
          </w:tcPr>
          <w:p>
            <w:pPr>
              <w:spacing w:after="0"/>
              <w:rPr>
                <w:sz w:val="20"/>
                <w:szCs w:val="20"/>
                <w:color w:val="auto"/>
              </w:rPr>
            </w:pPr>
            <w:r>
              <w:rPr>
                <w:rFonts w:ascii="Arial" w:cs="Arial" w:eastAsia="Arial" w:hAnsi="Arial"/>
                <w:sz w:val="12"/>
                <w:szCs w:val="12"/>
                <w:color w:val="005A64"/>
              </w:rPr>
              <w:t>—</w:t>
            </w:r>
          </w:p>
        </w:tc>
        <w:tc>
          <w:tcPr>
            <w:tcW w:w="2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Arial" w:cs="Arial" w:eastAsia="Arial" w:hAnsi="Arial"/>
                <w:sz w:val="12"/>
                <w:szCs w:val="12"/>
                <w:color w:val="005A64"/>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005A64"/>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1400" w:type="dxa"/>
            <w:vAlign w:val="bottom"/>
          </w:tcPr>
          <w:p>
            <w:pPr>
              <w:ind w:left="20"/>
              <w:spacing w:after="0" w:line="81" w:lineRule="exact"/>
              <w:rPr>
                <w:sz w:val="20"/>
                <w:szCs w:val="20"/>
                <w:color w:val="auto"/>
              </w:rPr>
            </w:pPr>
            <w:r>
              <w:rPr>
                <w:rFonts w:ascii="Arial" w:cs="Arial" w:eastAsia="Arial" w:hAnsi="Arial"/>
                <w:sz w:val="9"/>
                <w:szCs w:val="9"/>
                <w:color w:val="005A64"/>
              </w:rPr>
              <w:t>ESOP 2018</w:t>
            </w: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00" w:type="dxa"/>
            <w:vAlign w:val="bottom"/>
          </w:tcPr>
          <w:p>
            <w:pPr>
              <w:ind w:left="20"/>
              <w:spacing w:after="0"/>
              <w:rPr>
                <w:sz w:val="20"/>
                <w:szCs w:val="20"/>
                <w:color w:val="auto"/>
              </w:rPr>
            </w:pPr>
            <w:r>
              <w:rPr>
                <w:rFonts w:ascii="Arial" w:cs="Arial" w:eastAsia="Arial" w:hAnsi="Arial"/>
                <w:sz w:val="12"/>
                <w:szCs w:val="12"/>
                <w:b w:val="1"/>
                <w:bCs w:val="1"/>
                <w:color w:val="005A64"/>
              </w:rPr>
              <w:t>Total</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400" w:type="dxa"/>
            <w:vAlign w:val="bottom"/>
            <w:tcBorders>
              <w:bottom w:val="single" w:sz="8" w:color="BECD32"/>
            </w:tcBorders>
          </w:tcPr>
          <w:p>
            <w:pPr>
              <w:spacing w:after="0"/>
              <w:rPr>
                <w:sz w:val="4"/>
                <w:szCs w:val="4"/>
                <w:color w:val="auto"/>
              </w:rPr>
            </w:pPr>
          </w:p>
        </w:tc>
        <w:tc>
          <w:tcPr>
            <w:tcW w:w="640" w:type="dxa"/>
            <w:vAlign w:val="bottom"/>
            <w:tcBorders>
              <w:bottom w:val="single" w:sz="8" w:color="BECD32"/>
            </w:tcBorders>
            <w:gridSpan w:val="2"/>
          </w:tcPr>
          <w:p>
            <w:pPr>
              <w:spacing w:after="0"/>
              <w:rPr>
                <w:sz w:val="4"/>
                <w:szCs w:val="4"/>
                <w:color w:val="auto"/>
              </w:rPr>
            </w:pPr>
          </w:p>
        </w:tc>
        <w:tc>
          <w:tcPr>
            <w:tcW w:w="320" w:type="dxa"/>
            <w:vAlign w:val="bottom"/>
            <w:tcBorders>
              <w:bottom w:val="single" w:sz="8" w:color="BECD32"/>
            </w:tcBorders>
            <w:gridSpan w:val="3"/>
          </w:tcPr>
          <w:p>
            <w:pPr>
              <w:spacing w:after="0"/>
              <w:rPr>
                <w:sz w:val="4"/>
                <w:szCs w:val="4"/>
                <w:color w:val="auto"/>
              </w:rPr>
            </w:pPr>
          </w:p>
        </w:tc>
        <w:tc>
          <w:tcPr>
            <w:tcW w:w="420" w:type="dxa"/>
            <w:vAlign w:val="bottom"/>
            <w:tcBorders>
              <w:bottom w:val="single" w:sz="8" w:color="BECD32"/>
            </w:tcBorders>
          </w:tcPr>
          <w:p>
            <w:pPr>
              <w:spacing w:after="0"/>
              <w:rPr>
                <w:sz w:val="4"/>
                <w:szCs w:val="4"/>
                <w:color w:val="auto"/>
              </w:rPr>
            </w:pPr>
          </w:p>
        </w:tc>
        <w:tc>
          <w:tcPr>
            <w:tcW w:w="220" w:type="dxa"/>
            <w:vAlign w:val="bottom"/>
            <w:tcBorders>
              <w:bottom w:val="single" w:sz="8" w:color="BECD32"/>
            </w:tcBorders>
            <w:gridSpan w:val="2"/>
          </w:tcPr>
          <w:p>
            <w:pPr>
              <w:spacing w:after="0"/>
              <w:rPr>
                <w:sz w:val="4"/>
                <w:szCs w:val="4"/>
                <w:color w:val="auto"/>
              </w:rPr>
            </w:pPr>
          </w:p>
        </w:tc>
        <w:tc>
          <w:tcPr>
            <w:tcW w:w="400" w:type="dxa"/>
            <w:vAlign w:val="bottom"/>
            <w:tcBorders>
              <w:bottom w:val="single" w:sz="8" w:color="BECD32"/>
            </w:tcBorders>
          </w:tcPr>
          <w:p>
            <w:pPr>
              <w:spacing w:after="0"/>
              <w:rPr>
                <w:sz w:val="4"/>
                <w:szCs w:val="4"/>
                <w:color w:val="auto"/>
              </w:rPr>
            </w:pPr>
          </w:p>
        </w:tc>
        <w:tc>
          <w:tcPr>
            <w:tcW w:w="240" w:type="dxa"/>
            <w:vAlign w:val="bottom"/>
            <w:tcBorders>
              <w:bottom w:val="single" w:sz="8" w:color="BECD32"/>
            </w:tcBorders>
            <w:gridSpan w:val="3"/>
          </w:tcPr>
          <w:p>
            <w:pPr>
              <w:spacing w:after="0"/>
              <w:rPr>
                <w:sz w:val="4"/>
                <w:szCs w:val="4"/>
                <w:color w:val="auto"/>
              </w:rPr>
            </w:pPr>
          </w:p>
        </w:tc>
        <w:tc>
          <w:tcPr>
            <w:tcW w:w="160" w:type="dxa"/>
            <w:vAlign w:val="bottom"/>
            <w:tcBorders>
              <w:bottom w:val="single" w:sz="8" w:color="BECD32"/>
            </w:tcBorders>
          </w:tcPr>
          <w:p>
            <w:pPr>
              <w:spacing w:after="0"/>
              <w:rPr>
                <w:sz w:val="4"/>
                <w:szCs w:val="4"/>
                <w:color w:val="auto"/>
              </w:rPr>
            </w:pPr>
          </w:p>
        </w:tc>
        <w:tc>
          <w:tcPr>
            <w:tcW w:w="240" w:type="dxa"/>
            <w:vAlign w:val="bottom"/>
            <w:tcBorders>
              <w:bottom w:val="single" w:sz="8" w:color="BECD32"/>
            </w:tcBorders>
          </w:tcPr>
          <w:p>
            <w:pPr>
              <w:spacing w:after="0"/>
              <w:rPr>
                <w:sz w:val="4"/>
                <w:szCs w:val="4"/>
                <w:color w:val="auto"/>
              </w:rPr>
            </w:pPr>
          </w:p>
        </w:tc>
        <w:tc>
          <w:tcPr>
            <w:tcW w:w="660" w:type="dxa"/>
            <w:vAlign w:val="bottom"/>
            <w:tcBorders>
              <w:bottom w:val="single" w:sz="8" w:color="BECD32"/>
            </w:tcBorders>
            <w:gridSpan w:val="2"/>
          </w:tcPr>
          <w:p>
            <w:pPr>
              <w:spacing w:after="0"/>
              <w:rPr>
                <w:sz w:val="4"/>
                <w:szCs w:val="4"/>
                <w:color w:val="auto"/>
              </w:rPr>
            </w:pPr>
          </w:p>
        </w:tc>
        <w:tc>
          <w:tcPr>
            <w:tcW w:w="780" w:type="dxa"/>
            <w:vAlign w:val="bottom"/>
            <w:tcBorders>
              <w:bottom w:val="single" w:sz="8" w:color="BECD32"/>
            </w:tcBorders>
            <w:gridSpan w:val="2"/>
          </w:tcPr>
          <w:p>
            <w:pPr>
              <w:spacing w:after="0"/>
              <w:rPr>
                <w:sz w:val="4"/>
                <w:szCs w:val="4"/>
                <w:color w:val="auto"/>
              </w:rPr>
            </w:pPr>
          </w:p>
        </w:tc>
        <w:tc>
          <w:tcPr>
            <w:tcW w:w="220" w:type="dxa"/>
            <w:vAlign w:val="bottom"/>
            <w:tcBorders>
              <w:bottom w:val="single" w:sz="8" w:color="BECD32"/>
            </w:tcBorders>
            <w:gridSpan w:val="2"/>
          </w:tcPr>
          <w:p>
            <w:pPr>
              <w:spacing w:after="0"/>
              <w:rPr>
                <w:sz w:val="4"/>
                <w:szCs w:val="4"/>
                <w:color w:val="auto"/>
              </w:rPr>
            </w:pPr>
          </w:p>
        </w:tc>
        <w:tc>
          <w:tcPr>
            <w:tcW w:w="120" w:type="dxa"/>
            <w:vAlign w:val="bottom"/>
            <w:tcBorders>
              <w:bottom w:val="single" w:sz="8" w:color="BECD32"/>
            </w:tcBorders>
          </w:tcPr>
          <w:p>
            <w:pPr>
              <w:spacing w:after="0"/>
              <w:rPr>
                <w:sz w:val="4"/>
                <w:szCs w:val="4"/>
                <w:color w:val="auto"/>
              </w:rPr>
            </w:pPr>
          </w:p>
        </w:tc>
        <w:tc>
          <w:tcPr>
            <w:tcW w:w="280" w:type="dxa"/>
            <w:vAlign w:val="bottom"/>
            <w:tcBorders>
              <w:bottom w:val="single" w:sz="8" w:color="BECD32"/>
            </w:tcBorders>
          </w:tcPr>
          <w:p>
            <w:pPr>
              <w:spacing w:after="0"/>
              <w:rPr>
                <w:sz w:val="4"/>
                <w:szCs w:val="4"/>
                <w:color w:val="auto"/>
              </w:rPr>
            </w:pPr>
          </w:p>
        </w:tc>
        <w:tc>
          <w:tcPr>
            <w:tcW w:w="640" w:type="dxa"/>
            <w:vAlign w:val="bottom"/>
            <w:tcBorders>
              <w:bottom w:val="single" w:sz="8" w:color="BECD32"/>
            </w:tcBorders>
            <w:gridSpan w:val="2"/>
          </w:tcPr>
          <w:p>
            <w:pPr>
              <w:spacing w:after="0"/>
              <w:rPr>
                <w:sz w:val="4"/>
                <w:szCs w:val="4"/>
                <w:color w:val="auto"/>
              </w:rPr>
            </w:pPr>
          </w:p>
        </w:tc>
        <w:tc>
          <w:tcPr>
            <w:tcW w:w="40" w:type="dxa"/>
            <w:vAlign w:val="bottom"/>
            <w:tcBorders>
              <w:bottom w:val="single" w:sz="8" w:color="BECD32"/>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400" w:type="dxa"/>
            <w:vAlign w:val="bottom"/>
            <w:tcBorders>
              <w:left w:val="single" w:sz="8" w:color="BECD32"/>
            </w:tcBorders>
          </w:tcPr>
          <w:p>
            <w:pPr>
              <w:ind w:left="20"/>
              <w:spacing w:after="0"/>
              <w:rPr>
                <w:sz w:val="20"/>
                <w:szCs w:val="20"/>
                <w:color w:val="auto"/>
              </w:rPr>
            </w:pPr>
            <w:r>
              <w:rPr>
                <w:rFonts w:ascii="Arial" w:cs="Arial" w:eastAsia="Arial" w:hAnsi="Arial"/>
                <w:sz w:val="12"/>
                <w:szCs w:val="12"/>
                <w:b w:val="1"/>
                <w:bCs w:val="1"/>
                <w:color w:val="005A64"/>
              </w:rPr>
              <w:t>2024</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005A64"/>
              </w:rPr>
              <w:t>264,882</w:t>
            </w:r>
          </w:p>
        </w:tc>
        <w:tc>
          <w:tcPr>
            <w:tcW w:w="320" w:type="dxa"/>
            <w:vAlign w:val="bottom"/>
            <w:gridSpan w:val="3"/>
          </w:tcPr>
          <w:p>
            <w:pPr>
              <w:ind w:left="20"/>
              <w:spacing w:after="0"/>
              <w:rPr>
                <w:sz w:val="20"/>
                <w:szCs w:val="20"/>
                <w:color w:val="auto"/>
              </w:rPr>
            </w:pPr>
            <w:r>
              <w:rPr>
                <w:rFonts w:ascii="Arial" w:cs="Arial" w:eastAsia="Arial" w:hAnsi="Arial"/>
                <w:sz w:val="12"/>
                <w:szCs w:val="12"/>
                <w:b w:val="1"/>
                <w:bCs w:val="1"/>
                <w:color w:val="005A64"/>
                <w:w w:val="93"/>
              </w:rPr>
              <w:t>1,727</w:t>
            </w:r>
          </w:p>
        </w:tc>
        <w:tc>
          <w:tcPr>
            <w:tcW w:w="420" w:type="dxa"/>
            <w:vAlign w:val="bottom"/>
          </w:tcPr>
          <w:p>
            <w:pPr>
              <w:spacing w:after="0"/>
              <w:rPr>
                <w:sz w:val="13"/>
                <w:szCs w:val="13"/>
                <w:color w:val="auto"/>
              </w:rPr>
            </w:pPr>
          </w:p>
        </w:tc>
        <w:tc>
          <w:tcPr>
            <w:tcW w:w="220" w:type="dxa"/>
            <w:vAlign w:val="bottom"/>
            <w:gridSpan w:val="2"/>
          </w:tcPr>
          <w:p>
            <w:pPr>
              <w:ind w:left="20"/>
              <w:spacing w:after="0"/>
              <w:rPr>
                <w:sz w:val="20"/>
                <w:szCs w:val="20"/>
                <w:color w:val="auto"/>
              </w:rPr>
            </w:pPr>
            <w:r>
              <w:rPr>
                <w:rFonts w:ascii="Arial" w:cs="Arial" w:eastAsia="Arial" w:hAnsi="Arial"/>
                <w:sz w:val="12"/>
                <w:szCs w:val="12"/>
                <w:b w:val="1"/>
                <w:bCs w:val="1"/>
                <w:color w:val="005A64"/>
                <w:w w:val="89"/>
              </w:rPr>
              <w:t>777</w:t>
            </w:r>
          </w:p>
        </w:tc>
        <w:tc>
          <w:tcPr>
            <w:tcW w:w="400" w:type="dxa"/>
            <w:vAlign w:val="bottom"/>
          </w:tcPr>
          <w:p>
            <w:pPr>
              <w:spacing w:after="0"/>
              <w:rPr>
                <w:sz w:val="13"/>
                <w:szCs w:val="13"/>
                <w:color w:val="auto"/>
              </w:rPr>
            </w:pPr>
          </w:p>
        </w:tc>
        <w:tc>
          <w:tcPr>
            <w:tcW w:w="240" w:type="dxa"/>
            <w:vAlign w:val="bottom"/>
            <w:gridSpan w:val="3"/>
          </w:tcPr>
          <w:p>
            <w:pPr>
              <w:ind w:left="40"/>
              <w:spacing w:after="0"/>
              <w:rPr>
                <w:sz w:val="20"/>
                <w:szCs w:val="20"/>
                <w:color w:val="auto"/>
              </w:rPr>
            </w:pPr>
            <w:r>
              <w:rPr>
                <w:rFonts w:ascii="Arial" w:cs="Arial" w:eastAsia="Arial" w:hAnsi="Arial"/>
                <w:sz w:val="12"/>
                <w:szCs w:val="12"/>
                <w:b w:val="1"/>
                <w:bCs w:val="1"/>
                <w:color w:val="005A64"/>
                <w:w w:val="89"/>
              </w:rPr>
              <w:t>440</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005A64"/>
              </w:rPr>
              <w:t>2,565</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005A64"/>
              </w:rPr>
              <w:t>2,584</w:t>
            </w:r>
          </w:p>
        </w:tc>
        <w:tc>
          <w:tcPr>
            <w:tcW w:w="220" w:type="dxa"/>
            <w:vAlign w:val="bottom"/>
            <w:gridSpan w:val="2"/>
          </w:tcPr>
          <w:p>
            <w:pPr>
              <w:ind w:left="20"/>
              <w:spacing w:after="0"/>
              <w:rPr>
                <w:sz w:val="20"/>
                <w:szCs w:val="20"/>
                <w:color w:val="auto"/>
              </w:rPr>
            </w:pPr>
            <w:r>
              <w:rPr>
                <w:rFonts w:ascii="Arial" w:cs="Arial" w:eastAsia="Arial" w:hAnsi="Arial"/>
                <w:sz w:val="12"/>
                <w:szCs w:val="12"/>
                <w:b w:val="1"/>
                <w:bCs w:val="1"/>
                <w:color w:val="005A64"/>
                <w:w w:val="89"/>
              </w:rPr>
              <w:t>881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005A64"/>
              </w:rPr>
              <w:t>2,526</w:t>
            </w:r>
          </w:p>
        </w:tc>
        <w:tc>
          <w:tcPr>
            <w:tcW w:w="40" w:type="dxa"/>
            <w:vAlign w:val="bottom"/>
            <w:tcBorders>
              <w:right w:val="single" w:sz="8" w:color="BECD32"/>
            </w:tcBorders>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400" w:type="dxa"/>
            <w:vAlign w:val="bottom"/>
            <w:tcBorders>
              <w:left w:val="single" w:sz="8" w:color="BECD32"/>
              <w:bottom w:val="single" w:sz="8" w:color="BECD32"/>
            </w:tcBorders>
          </w:tcPr>
          <w:p>
            <w:pPr>
              <w:spacing w:after="0"/>
              <w:rPr>
                <w:sz w:val="2"/>
                <w:szCs w:val="2"/>
                <w:color w:val="auto"/>
              </w:rPr>
            </w:pPr>
          </w:p>
        </w:tc>
        <w:tc>
          <w:tcPr>
            <w:tcW w:w="640" w:type="dxa"/>
            <w:vAlign w:val="bottom"/>
            <w:tcBorders>
              <w:bottom w:val="single" w:sz="8" w:color="BECD32"/>
            </w:tcBorders>
            <w:gridSpan w:val="2"/>
          </w:tcPr>
          <w:p>
            <w:pPr>
              <w:spacing w:after="0"/>
              <w:rPr>
                <w:sz w:val="2"/>
                <w:szCs w:val="2"/>
                <w:color w:val="auto"/>
              </w:rPr>
            </w:pPr>
          </w:p>
        </w:tc>
        <w:tc>
          <w:tcPr>
            <w:tcW w:w="20" w:type="dxa"/>
            <w:vAlign w:val="bottom"/>
            <w:tcBorders>
              <w:bottom w:val="single" w:sz="8" w:color="BECD32"/>
            </w:tcBorders>
          </w:tcPr>
          <w:p>
            <w:pPr>
              <w:spacing w:after="0"/>
              <w:rPr>
                <w:sz w:val="2"/>
                <w:szCs w:val="2"/>
                <w:color w:val="auto"/>
              </w:rPr>
            </w:pPr>
          </w:p>
        </w:tc>
        <w:tc>
          <w:tcPr>
            <w:tcW w:w="200" w:type="dxa"/>
            <w:vAlign w:val="bottom"/>
            <w:tcBorders>
              <w:bottom w:val="single" w:sz="8" w:color="BECD32"/>
            </w:tcBorders>
          </w:tcPr>
          <w:p>
            <w:pPr>
              <w:spacing w:after="0"/>
              <w:rPr>
                <w:sz w:val="2"/>
                <w:szCs w:val="2"/>
                <w:color w:val="auto"/>
              </w:rPr>
            </w:pPr>
          </w:p>
        </w:tc>
        <w:tc>
          <w:tcPr>
            <w:tcW w:w="100" w:type="dxa"/>
            <w:vAlign w:val="bottom"/>
            <w:tcBorders>
              <w:bottom w:val="single" w:sz="8" w:color="BECD32"/>
            </w:tcBorders>
          </w:tcPr>
          <w:p>
            <w:pPr>
              <w:spacing w:after="0"/>
              <w:rPr>
                <w:sz w:val="2"/>
                <w:szCs w:val="2"/>
                <w:color w:val="auto"/>
              </w:rPr>
            </w:pPr>
          </w:p>
        </w:tc>
        <w:tc>
          <w:tcPr>
            <w:tcW w:w="420" w:type="dxa"/>
            <w:vAlign w:val="bottom"/>
            <w:tcBorders>
              <w:bottom w:val="single" w:sz="8" w:color="BECD32"/>
            </w:tcBorders>
          </w:tcPr>
          <w:p>
            <w:pPr>
              <w:spacing w:after="0"/>
              <w:rPr>
                <w:sz w:val="2"/>
                <w:szCs w:val="2"/>
                <w:color w:val="auto"/>
              </w:rPr>
            </w:pPr>
          </w:p>
        </w:tc>
        <w:tc>
          <w:tcPr>
            <w:tcW w:w="620" w:type="dxa"/>
            <w:vAlign w:val="bottom"/>
            <w:tcBorders>
              <w:bottom w:val="single" w:sz="8" w:color="BECD32"/>
            </w:tcBorders>
            <w:gridSpan w:val="3"/>
          </w:tcPr>
          <w:p>
            <w:pPr>
              <w:spacing w:after="0"/>
              <w:rPr>
                <w:sz w:val="2"/>
                <w:szCs w:val="2"/>
                <w:color w:val="auto"/>
              </w:rPr>
            </w:pPr>
          </w:p>
        </w:tc>
        <w:tc>
          <w:tcPr>
            <w:tcW w:w="640" w:type="dxa"/>
            <w:vAlign w:val="bottom"/>
            <w:tcBorders>
              <w:bottom w:val="single" w:sz="8" w:color="BECD32"/>
            </w:tcBorders>
            <w:gridSpan w:val="5"/>
          </w:tcPr>
          <w:p>
            <w:pPr>
              <w:spacing w:after="0"/>
              <w:rPr>
                <w:sz w:val="2"/>
                <w:szCs w:val="2"/>
                <w:color w:val="auto"/>
              </w:rPr>
            </w:pPr>
          </w:p>
        </w:tc>
        <w:tc>
          <w:tcPr>
            <w:tcW w:w="660" w:type="dxa"/>
            <w:vAlign w:val="bottom"/>
            <w:tcBorders>
              <w:bottom w:val="single" w:sz="8" w:color="BECD32"/>
            </w:tcBorders>
            <w:gridSpan w:val="2"/>
          </w:tcPr>
          <w:p>
            <w:pPr>
              <w:spacing w:after="0"/>
              <w:rPr>
                <w:sz w:val="2"/>
                <w:szCs w:val="2"/>
                <w:color w:val="auto"/>
              </w:rPr>
            </w:pPr>
          </w:p>
        </w:tc>
        <w:tc>
          <w:tcPr>
            <w:tcW w:w="780" w:type="dxa"/>
            <w:vAlign w:val="bottom"/>
            <w:tcBorders>
              <w:bottom w:val="single" w:sz="8" w:color="BECD32"/>
            </w:tcBorders>
            <w:gridSpan w:val="2"/>
          </w:tcPr>
          <w:p>
            <w:pPr>
              <w:spacing w:after="0"/>
              <w:rPr>
                <w:sz w:val="2"/>
                <w:szCs w:val="2"/>
                <w:color w:val="auto"/>
              </w:rPr>
            </w:pPr>
          </w:p>
        </w:tc>
        <w:tc>
          <w:tcPr>
            <w:tcW w:w="220" w:type="dxa"/>
            <w:vAlign w:val="bottom"/>
            <w:tcBorders>
              <w:bottom w:val="single" w:sz="8" w:color="BECD32"/>
            </w:tcBorders>
            <w:gridSpan w:val="2"/>
          </w:tcPr>
          <w:p>
            <w:pPr>
              <w:spacing w:after="0"/>
              <w:rPr>
                <w:sz w:val="2"/>
                <w:szCs w:val="2"/>
                <w:color w:val="auto"/>
              </w:rPr>
            </w:pPr>
          </w:p>
        </w:tc>
        <w:tc>
          <w:tcPr>
            <w:tcW w:w="120" w:type="dxa"/>
            <w:vAlign w:val="bottom"/>
            <w:tcBorders>
              <w:bottom w:val="single" w:sz="8" w:color="BECD32"/>
            </w:tcBorders>
          </w:tcPr>
          <w:p>
            <w:pPr>
              <w:spacing w:after="0"/>
              <w:rPr>
                <w:sz w:val="2"/>
                <w:szCs w:val="2"/>
                <w:color w:val="auto"/>
              </w:rPr>
            </w:pPr>
          </w:p>
        </w:tc>
        <w:tc>
          <w:tcPr>
            <w:tcW w:w="280" w:type="dxa"/>
            <w:vAlign w:val="bottom"/>
            <w:tcBorders>
              <w:bottom w:val="single" w:sz="8" w:color="BECD32"/>
            </w:tcBorders>
          </w:tcPr>
          <w:p>
            <w:pPr>
              <w:spacing w:after="0"/>
              <w:rPr>
                <w:sz w:val="2"/>
                <w:szCs w:val="2"/>
                <w:color w:val="auto"/>
              </w:rPr>
            </w:pPr>
          </w:p>
        </w:tc>
        <w:tc>
          <w:tcPr>
            <w:tcW w:w="640" w:type="dxa"/>
            <w:vAlign w:val="bottom"/>
            <w:tcBorders>
              <w:bottom w:val="single" w:sz="8" w:color="BECD32"/>
            </w:tcBorders>
            <w:gridSpan w:val="2"/>
          </w:tcPr>
          <w:p>
            <w:pPr>
              <w:spacing w:after="0"/>
              <w:rPr>
                <w:sz w:val="2"/>
                <w:szCs w:val="2"/>
                <w:color w:val="auto"/>
              </w:rPr>
            </w:pPr>
          </w:p>
        </w:tc>
        <w:tc>
          <w:tcPr>
            <w:tcW w:w="40" w:type="dxa"/>
            <w:vAlign w:val="bottom"/>
            <w:tcBorders>
              <w:bottom w:val="single" w:sz="8" w:color="BECD32"/>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400" w:type="dxa"/>
            <w:vAlign w:val="bottom"/>
          </w:tcPr>
          <w:p>
            <w:pPr>
              <w:ind w:left="20"/>
              <w:spacing w:after="0"/>
              <w:rPr>
                <w:sz w:val="20"/>
                <w:szCs w:val="20"/>
                <w:color w:val="auto"/>
              </w:rPr>
            </w:pPr>
            <w:r>
              <w:rPr>
                <w:rFonts w:ascii="Arial" w:cs="Arial" w:eastAsia="Arial" w:hAnsi="Arial"/>
                <w:sz w:val="12"/>
                <w:szCs w:val="12"/>
                <w:b w:val="1"/>
                <w:bCs w:val="1"/>
                <w:color w:val="005A64"/>
              </w:rPr>
              <w:t>2023</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005A64"/>
              </w:rPr>
              <w:t>1,022</w:t>
            </w:r>
          </w:p>
        </w:tc>
        <w:tc>
          <w:tcPr>
            <w:tcW w:w="2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2"/>
                <w:szCs w:val="12"/>
                <w:b w:val="1"/>
                <w:bCs w:val="1"/>
                <w:color w:val="005A64"/>
              </w:rPr>
              <w:t>—</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005A64"/>
              </w:rPr>
              <w:t>1,425</w:t>
            </w:r>
          </w:p>
        </w:tc>
        <w:tc>
          <w:tcPr>
            <w:tcW w:w="640" w:type="dxa"/>
            <w:vAlign w:val="bottom"/>
            <w:gridSpan w:val="5"/>
          </w:tcPr>
          <w:p>
            <w:pPr>
              <w:ind w:left="40"/>
              <w:spacing w:after="0"/>
              <w:rPr>
                <w:sz w:val="20"/>
                <w:szCs w:val="20"/>
                <w:color w:val="auto"/>
              </w:rPr>
            </w:pPr>
            <w:r>
              <w:rPr>
                <w:rFonts w:ascii="Arial" w:cs="Arial" w:eastAsia="Arial" w:hAnsi="Arial"/>
                <w:sz w:val="12"/>
                <w:szCs w:val="12"/>
                <w:b w:val="1"/>
                <w:bCs w:val="1"/>
                <w:color w:val="005A64"/>
              </w:rPr>
              <w:t>20,121</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005A64"/>
              </w:rPr>
              <w:t>825</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005A64"/>
              </w:rPr>
              <w:t>846</w:t>
            </w:r>
          </w:p>
        </w:tc>
        <w:tc>
          <w:tcPr>
            <w:tcW w:w="220" w:type="dxa"/>
            <w:vAlign w:val="bottom"/>
            <w:gridSpan w:val="2"/>
          </w:tcPr>
          <w:p>
            <w:pPr>
              <w:ind w:left="20"/>
              <w:spacing w:after="0"/>
              <w:rPr>
                <w:sz w:val="20"/>
                <w:szCs w:val="20"/>
                <w:color w:val="auto"/>
              </w:rPr>
            </w:pPr>
            <w:r>
              <w:rPr>
                <w:rFonts w:ascii="Arial" w:cs="Arial" w:eastAsia="Arial" w:hAnsi="Arial"/>
                <w:sz w:val="12"/>
                <w:szCs w:val="12"/>
                <w:b w:val="1"/>
                <w:bCs w:val="1"/>
                <w:color w:val="005A64"/>
                <w:w w:val="89"/>
              </w:rPr>
              <w:t>453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005A64"/>
              </w:rPr>
              <w:t>820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16510</wp:posOffset>
            </wp:positionV>
            <wp:extent cx="428117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281170" cy="6350"/>
                    </a:xfrm>
                    <a:prstGeom prst="rect">
                      <a:avLst/>
                    </a:prstGeom>
                    <a:noFill/>
                  </pic:spPr>
                </pic:pic>
              </a:graphicData>
            </a:graphic>
          </wp:anchor>
        </w:drawing>
      </w:r>
    </w:p>
    <w:p>
      <w:pPr>
        <w:spacing w:after="0" w:line="46" w:lineRule="exact"/>
        <w:rPr>
          <w:sz w:val="20"/>
          <w:szCs w:val="20"/>
          <w:color w:val="auto"/>
        </w:rPr>
      </w:pPr>
    </w:p>
    <w:p>
      <w:pPr>
        <w:jc w:val="both"/>
        <w:ind w:left="380" w:right="2240" w:firstLine="3"/>
        <w:spacing w:after="0" w:line="209" w:lineRule="auto"/>
        <w:tabs>
          <w:tab w:leader="none" w:pos="582" w:val="left"/>
        </w:tabs>
        <w:numPr>
          <w:ilvl w:val="0"/>
          <w:numId w:val="27"/>
        </w:numPr>
        <w:rPr>
          <w:rFonts w:ascii="Arial" w:cs="Arial" w:eastAsia="Arial" w:hAnsi="Arial"/>
          <w:sz w:val="16"/>
          <w:szCs w:val="16"/>
          <w:color w:val="005A64"/>
          <w:vertAlign w:val="superscript"/>
        </w:rPr>
      </w:pPr>
      <w:r>
        <w:rPr>
          <w:rFonts w:ascii="Arial" w:cs="Arial" w:eastAsia="Arial" w:hAnsi="Arial"/>
          <w:sz w:val="12"/>
          <w:szCs w:val="12"/>
          <w:color w:val="005A64"/>
        </w:rPr>
        <w:t>For James Ryan, a part of the fixed compensation was paid by BioNTech UK Limited, a subsidiary of BioNTech SE. Approximately 30% of his total compensation is attributable to his position as a member of the Management Board and approximately 70% is attributable to his position as a director of BioNTech UK Limited.</w:t>
      </w:r>
    </w:p>
    <w:p>
      <w:pPr>
        <w:spacing w:after="0" w:line="13" w:lineRule="exact"/>
        <w:rPr>
          <w:rFonts w:ascii="Arial" w:cs="Arial" w:eastAsia="Arial" w:hAnsi="Arial"/>
          <w:sz w:val="16"/>
          <w:szCs w:val="16"/>
          <w:color w:val="005A64"/>
          <w:vertAlign w:val="superscript"/>
        </w:rPr>
      </w:pPr>
    </w:p>
    <w:p>
      <w:pPr>
        <w:ind w:left="380" w:right="2120" w:firstLine="3"/>
        <w:spacing w:after="0" w:line="209" w:lineRule="auto"/>
        <w:tabs>
          <w:tab w:leader="none" w:pos="582" w:val="left"/>
        </w:tabs>
        <w:numPr>
          <w:ilvl w:val="0"/>
          <w:numId w:val="27"/>
        </w:numPr>
        <w:rPr>
          <w:rFonts w:ascii="Arial" w:cs="Arial" w:eastAsia="Arial" w:hAnsi="Arial"/>
          <w:sz w:val="16"/>
          <w:szCs w:val="16"/>
          <w:color w:val="005A64"/>
          <w:vertAlign w:val="superscript"/>
        </w:rPr>
      </w:pPr>
      <w:r>
        <w:rPr>
          <w:rFonts w:ascii="Arial" w:cs="Arial" w:eastAsia="Arial" w:hAnsi="Arial"/>
          <w:sz w:val="12"/>
          <w:szCs w:val="12"/>
          <w:color w:val="005A64"/>
        </w:rPr>
        <w:t>James Ryan’s compensation for the year ended December 31, 2023 was granted on a pro rata basis starting as of his appointment to the Management Board on September 1, 2023.</w:t>
      </w:r>
    </w:p>
    <w:p>
      <w:pPr>
        <w:spacing w:after="0" w:line="12" w:lineRule="exact"/>
        <w:rPr>
          <w:rFonts w:ascii="Arial" w:cs="Arial" w:eastAsia="Arial" w:hAnsi="Arial"/>
          <w:sz w:val="16"/>
          <w:szCs w:val="16"/>
          <w:color w:val="005A64"/>
          <w:vertAlign w:val="superscript"/>
        </w:rPr>
      </w:pPr>
    </w:p>
    <w:p>
      <w:pPr>
        <w:ind w:left="380" w:right="2000" w:firstLine="3"/>
        <w:spacing w:after="0" w:line="209" w:lineRule="auto"/>
        <w:tabs>
          <w:tab w:leader="none" w:pos="582" w:val="left"/>
        </w:tabs>
        <w:numPr>
          <w:ilvl w:val="0"/>
          <w:numId w:val="27"/>
        </w:numPr>
        <w:rPr>
          <w:rFonts w:ascii="Arial" w:cs="Arial" w:eastAsia="Arial" w:hAnsi="Arial"/>
          <w:sz w:val="16"/>
          <w:szCs w:val="16"/>
          <w:color w:val="005A64"/>
          <w:vertAlign w:val="superscript"/>
        </w:rPr>
      </w:pPr>
      <w:r>
        <w:rPr>
          <w:rFonts w:ascii="Arial" w:cs="Arial" w:eastAsia="Arial" w:hAnsi="Arial"/>
          <w:sz w:val="12"/>
          <w:szCs w:val="12"/>
          <w:color w:val="005A64"/>
        </w:rPr>
        <w:t>Includes social security, health and additional insurance, company bike and travel expenses. Other fringe benefits which are integral to the performance of business duties, such as costs for security services, are not included in the amount.</w:t>
      </w:r>
    </w:p>
    <w:p>
      <w:pPr>
        <w:spacing w:after="0" w:line="12" w:lineRule="exact"/>
        <w:rPr>
          <w:rFonts w:ascii="Arial" w:cs="Arial" w:eastAsia="Arial" w:hAnsi="Arial"/>
          <w:sz w:val="16"/>
          <w:szCs w:val="16"/>
          <w:color w:val="005A64"/>
          <w:vertAlign w:val="superscript"/>
        </w:rPr>
      </w:pPr>
    </w:p>
    <w:p>
      <w:pPr>
        <w:ind w:left="380" w:right="1980" w:firstLine="3"/>
        <w:spacing w:after="0" w:line="209" w:lineRule="auto"/>
        <w:tabs>
          <w:tab w:leader="none" w:pos="582" w:val="left"/>
        </w:tabs>
        <w:numPr>
          <w:ilvl w:val="0"/>
          <w:numId w:val="27"/>
        </w:numPr>
        <w:rPr>
          <w:rFonts w:ascii="Arial" w:cs="Arial" w:eastAsia="Arial" w:hAnsi="Arial"/>
          <w:sz w:val="16"/>
          <w:szCs w:val="16"/>
          <w:color w:val="005A64"/>
          <w:vertAlign w:val="superscript"/>
        </w:rPr>
      </w:pPr>
      <w:r>
        <w:rPr>
          <w:rFonts w:ascii="Arial" w:cs="Arial" w:eastAsia="Arial" w:hAnsi="Arial"/>
          <w:sz w:val="12"/>
          <w:szCs w:val="12"/>
          <w:color w:val="005A64"/>
        </w:rPr>
        <w:t>The STI in a given year is always paid out in two installments over two years. The first STI installment for the year ended December 31, 2024, will be paid out in April 2025, the month after the approval of the 2024 consolidated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206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7" w:lineRule="exact"/>
        <w:rPr>
          <w:sz w:val="20"/>
          <w:szCs w:val="20"/>
          <w:color w:val="auto"/>
        </w:rPr>
      </w:pPr>
    </w:p>
    <w:p>
      <w:pPr>
        <w:ind w:left="380" w:right="2280"/>
        <w:spacing w:after="0" w:line="233" w:lineRule="auto"/>
        <w:rPr>
          <w:sz w:val="20"/>
          <w:szCs w:val="20"/>
          <w:color w:val="auto"/>
        </w:rPr>
      </w:pPr>
      <w:r>
        <w:rPr>
          <w:rFonts w:ascii="Arial" w:cs="Arial" w:eastAsia="Arial" w:hAnsi="Arial"/>
          <w:sz w:val="12"/>
          <w:szCs w:val="12"/>
          <w:color w:val="005A64"/>
        </w:rPr>
        <w:t>statements. This installment was considered granted and owed in 2024, the year in which the activity to which the compensation relates was performed. The first STI installment for the year ended December 31, 2023, was considered granted and owed in 2023 and was paid out in April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-247650</wp:posOffset>
            </wp:positionV>
            <wp:extent cx="523113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080" w:firstLine="3"/>
        <w:spacing w:after="0" w:line="201" w:lineRule="auto"/>
        <w:tabs>
          <w:tab w:leader="none" w:pos="582" w:val="left"/>
        </w:tabs>
        <w:numPr>
          <w:ilvl w:val="0"/>
          <w:numId w:val="28"/>
        </w:numPr>
        <w:rPr>
          <w:rFonts w:ascii="Arial" w:cs="Arial" w:eastAsia="Arial" w:hAnsi="Arial"/>
          <w:sz w:val="16"/>
          <w:szCs w:val="16"/>
          <w:color w:val="005A64"/>
          <w:vertAlign w:val="superscript"/>
        </w:rPr>
      </w:pPr>
      <w:r>
        <w:rPr>
          <w:rFonts w:ascii="Arial" w:cs="Arial" w:eastAsia="Arial" w:hAnsi="Arial"/>
          <w:sz w:val="12"/>
          <w:szCs w:val="12"/>
          <w:color w:val="005A64"/>
        </w:rPr>
        <w:t>The second STI installment for the year ended December 31, 2024 was also considered granted and owed in 2024, as the Management Board had already completed the activity to which it relates. It will be paid out in February 2026 (subject to an adjustment due to the share-price development). The second STI installment for the year ended December 31, 2023, was considered granted and owed in 2023 and was paid out in February 2025 with adjustments due to the share-price development. The amounts ultimately paid were as follows: Ugur Sahin €183 thousand, Jens Holstein</w:t>
      </w:r>
    </w:p>
    <w:p>
      <w:pPr>
        <w:spacing w:after="0" w:line="2" w:lineRule="exact"/>
        <w:rPr>
          <w:rFonts w:ascii="Arial" w:cs="Arial" w:eastAsia="Arial" w:hAnsi="Arial"/>
          <w:sz w:val="16"/>
          <w:szCs w:val="16"/>
          <w:color w:val="005A64"/>
          <w:vertAlign w:val="superscript"/>
        </w:rPr>
      </w:pPr>
    </w:p>
    <w:p>
      <w:pPr>
        <w:ind w:left="380" w:right="2360"/>
        <w:spacing w:after="0" w:line="233" w:lineRule="auto"/>
        <w:rPr>
          <w:rFonts w:ascii="Arial" w:cs="Arial" w:eastAsia="Arial" w:hAnsi="Arial"/>
          <w:sz w:val="16"/>
          <w:szCs w:val="16"/>
          <w:color w:val="005A64"/>
          <w:vertAlign w:val="superscript"/>
        </w:rPr>
      </w:pPr>
      <w:r>
        <w:rPr>
          <w:rFonts w:ascii="Arial" w:cs="Arial" w:eastAsia="Arial" w:hAnsi="Arial"/>
          <w:sz w:val="12"/>
          <w:szCs w:val="12"/>
          <w:color w:val="005A64"/>
        </w:rPr>
        <w:t>€157 thousand, Sean Marett €157 thousand, Sierk Poetting €157 thousand, Ryan Richardson €157 thousand, James Ryan €52 thousand and Özlem Türeci €157 thousand.</w:t>
      </w:r>
    </w:p>
    <w:p>
      <w:pPr>
        <w:spacing w:after="0" w:line="13" w:lineRule="exact"/>
        <w:rPr>
          <w:rFonts w:ascii="Arial" w:cs="Arial" w:eastAsia="Arial" w:hAnsi="Arial"/>
          <w:sz w:val="16"/>
          <w:szCs w:val="16"/>
          <w:color w:val="005A64"/>
          <w:vertAlign w:val="superscript"/>
        </w:rPr>
      </w:pPr>
    </w:p>
    <w:p>
      <w:pPr>
        <w:ind w:left="380" w:right="2020" w:firstLine="3"/>
        <w:spacing w:after="0" w:line="210" w:lineRule="auto"/>
        <w:tabs>
          <w:tab w:leader="none" w:pos="582" w:val="left"/>
        </w:tabs>
        <w:numPr>
          <w:ilvl w:val="0"/>
          <w:numId w:val="28"/>
        </w:numPr>
        <w:rPr>
          <w:rFonts w:ascii="Arial" w:cs="Arial" w:eastAsia="Arial" w:hAnsi="Arial"/>
          <w:sz w:val="16"/>
          <w:szCs w:val="16"/>
          <w:color w:val="005A64"/>
          <w:vertAlign w:val="superscript"/>
        </w:rPr>
      </w:pPr>
      <w:r>
        <w:rPr>
          <w:rFonts w:ascii="Arial" w:cs="Arial" w:eastAsia="Arial" w:hAnsi="Arial"/>
          <w:sz w:val="12"/>
          <w:szCs w:val="12"/>
          <w:color w:val="005A64"/>
        </w:rPr>
        <w:t>During the year ended December 31, 2023, James Ryan received a one-time signing cash payment of €180,000 as part of his appointment to the Management Board. The one-time signing cash payment provided compensation in lieu of participation in the LTI 2023 program, as the awards were allocated before his appointment and a pro rata allocation for 2023 would not have been permitted under the AGM authorizations then in force. Under those authorizations, which were modified by the May 17, 2024 AGM, ESOPs could only be issued within the first six months of each calendar year. To further strengthen his commitment to the Company, James Ryan used £50,000 (net of costs and expenses) to purchase BioNTech shares during the year ended December 31, 2024.</w:t>
      </w:r>
    </w:p>
    <w:p>
      <w:pPr>
        <w:spacing w:after="0" w:line="14" w:lineRule="exact"/>
        <w:rPr>
          <w:rFonts w:ascii="Arial" w:cs="Arial" w:eastAsia="Arial" w:hAnsi="Arial"/>
          <w:sz w:val="16"/>
          <w:szCs w:val="16"/>
          <w:color w:val="005A64"/>
          <w:vertAlign w:val="superscript"/>
        </w:rPr>
      </w:pPr>
    </w:p>
    <w:p>
      <w:pPr>
        <w:ind w:left="380" w:right="2020" w:firstLine="3"/>
        <w:spacing w:after="0" w:line="210" w:lineRule="auto"/>
        <w:tabs>
          <w:tab w:leader="none" w:pos="582" w:val="left"/>
        </w:tabs>
        <w:numPr>
          <w:ilvl w:val="0"/>
          <w:numId w:val="28"/>
        </w:numPr>
        <w:rPr>
          <w:rFonts w:ascii="Arial" w:cs="Arial" w:eastAsia="Arial" w:hAnsi="Arial"/>
          <w:sz w:val="16"/>
          <w:szCs w:val="16"/>
          <w:color w:val="005A64"/>
          <w:vertAlign w:val="superscript"/>
        </w:rPr>
      </w:pPr>
      <w:r>
        <w:rPr>
          <w:rFonts w:ascii="Arial" w:cs="Arial" w:eastAsia="Arial" w:hAnsi="Arial"/>
          <w:sz w:val="12"/>
          <w:szCs w:val="12"/>
          <w:color w:val="005A64"/>
        </w:rPr>
        <w:t>During the year ended December 31, 2023, upon the recommendation of the Compensation, Nomination and Corporate Governance Committee, the Supervisory Board approved a special payment in the gross amount of €600,000 to Jens Holstein, of which €150,000 (net of costs and expenses) was used to purchase 1,620 BioNTech shares during the year ended December 31, 2023.</w:t>
      </w:r>
    </w:p>
    <w:p>
      <w:pPr>
        <w:spacing w:after="0" w:line="12" w:lineRule="exact"/>
        <w:rPr>
          <w:rFonts w:ascii="Arial" w:cs="Arial" w:eastAsia="Arial" w:hAnsi="Arial"/>
          <w:sz w:val="16"/>
          <w:szCs w:val="16"/>
          <w:color w:val="005A64"/>
          <w:vertAlign w:val="superscript"/>
        </w:rPr>
      </w:pPr>
    </w:p>
    <w:p>
      <w:pPr>
        <w:ind w:left="380" w:right="2200" w:firstLine="3"/>
        <w:spacing w:after="0" w:line="209" w:lineRule="auto"/>
        <w:tabs>
          <w:tab w:leader="none" w:pos="582" w:val="left"/>
        </w:tabs>
        <w:numPr>
          <w:ilvl w:val="0"/>
          <w:numId w:val="28"/>
        </w:numPr>
        <w:rPr>
          <w:rFonts w:ascii="Arial" w:cs="Arial" w:eastAsia="Arial" w:hAnsi="Arial"/>
          <w:sz w:val="16"/>
          <w:szCs w:val="16"/>
          <w:color w:val="005A64"/>
          <w:vertAlign w:val="superscript"/>
        </w:rPr>
      </w:pPr>
      <w:r>
        <w:rPr>
          <w:rFonts w:ascii="Arial" w:cs="Arial" w:eastAsia="Arial" w:hAnsi="Arial"/>
          <w:sz w:val="12"/>
          <w:szCs w:val="12"/>
          <w:color w:val="005A64"/>
        </w:rPr>
        <w:t>Explanations of our share-based payment arrangements are given in Note 16 “Share-Based Payments” to our consolidated financial statements included elsewhere in this Annual Report. The benefits from our share-based payment</w:t>
      </w:r>
    </w:p>
    <w:p>
      <w:pPr>
        <w:sectPr>
          <w:pgSz w:w="11900" w:h="16840" w:orient="portrait"/>
          <w:cols w:equalWidth="0" w:num="1">
            <w:col w:w="9020"/>
          </w:cols>
          <w:pgMar w:left="1440" w:top="1440" w:right="1440" w:bottom="61" w:gutter="0" w:footer="0" w:header="0"/>
        </w:sectPr>
      </w:pPr>
    </w:p>
    <w:bookmarkStart w:id="143" w:name="page144"/>
    <w:bookmarkEnd w:id="143"/>
    <w:p>
      <w:pPr>
        <w:ind w:left="380" w:right="2220"/>
        <w:spacing w:after="0" w:line="233" w:lineRule="auto"/>
        <w:rPr>
          <w:sz w:val="20"/>
          <w:szCs w:val="20"/>
          <w:color w:val="auto"/>
        </w:rPr>
      </w:pPr>
      <w:r>
        <w:rPr>
          <w:rFonts w:ascii="Arial" w:cs="Arial" w:eastAsia="Arial" w:hAnsi="Arial"/>
          <w:sz w:val="12"/>
          <w:szCs w:val="12"/>
          <w:color w:val="005A64"/>
        </w:rPr>
        <w:t>arrangements (including long-term incentive) are considered granted and owed when the awards are settled. During the years ended December 31, 2023 and 2024, this principle applied to the option rights granted under the ESOP 2018 Program, CEO Grant 2019 and LTI 2020 Program as a result of their exercise and settlement.</w:t>
      </w:r>
    </w:p>
    <w:p>
      <w:pPr>
        <w:spacing w:after="0" w:line="13" w:lineRule="exact"/>
        <w:rPr>
          <w:sz w:val="20"/>
          <w:szCs w:val="20"/>
          <w:color w:val="auto"/>
        </w:rPr>
      </w:pPr>
    </w:p>
    <w:p>
      <w:pPr>
        <w:ind w:left="380" w:right="2020" w:firstLine="3"/>
        <w:spacing w:after="0" w:line="210" w:lineRule="auto"/>
        <w:tabs>
          <w:tab w:leader="none" w:pos="582" w:val="left"/>
        </w:tabs>
        <w:numPr>
          <w:ilvl w:val="0"/>
          <w:numId w:val="29"/>
        </w:numPr>
        <w:rPr>
          <w:rFonts w:ascii="Arial" w:cs="Arial" w:eastAsia="Arial" w:hAnsi="Arial"/>
          <w:sz w:val="16"/>
          <w:szCs w:val="16"/>
          <w:color w:val="005A64"/>
          <w:vertAlign w:val="superscript"/>
        </w:rPr>
      </w:pPr>
      <w:r>
        <w:rPr>
          <w:rFonts w:ascii="Arial" w:cs="Arial" w:eastAsia="Arial" w:hAnsi="Arial"/>
          <w:sz w:val="12"/>
          <w:szCs w:val="12"/>
          <w:color w:val="005A64"/>
        </w:rPr>
        <w:t>The amount shown is related to the option rights granted one-time under the ESOP 2018 Program. The table shows the implied market value calculated using the closing price of an ADS of BioNTech on Nasdaq on the last day preceding the exercise date converted from USD to Euro using the exchange rate published by the German Central Bank (Deutsche Bundesbank) on the same day, as well as applying the effective exercise price and maximum cap mechanism. The implied market value may vary from the benefit in kind. They are not to be seen as cash payments to the Management Board, as the exercise was settled by delivering ADSs.</w:t>
      </w:r>
    </w:p>
    <w:p>
      <w:pPr>
        <w:spacing w:after="0" w:line="13" w:lineRule="exact"/>
        <w:rPr>
          <w:rFonts w:ascii="Arial" w:cs="Arial" w:eastAsia="Arial" w:hAnsi="Arial"/>
          <w:sz w:val="16"/>
          <w:szCs w:val="16"/>
          <w:color w:val="005A64"/>
          <w:vertAlign w:val="superscript"/>
        </w:rPr>
      </w:pPr>
    </w:p>
    <w:p>
      <w:pPr>
        <w:ind w:left="380" w:right="2420" w:firstLine="3"/>
        <w:spacing w:after="0" w:line="234" w:lineRule="auto"/>
        <w:tabs>
          <w:tab w:leader="none" w:pos="552" w:val="left"/>
        </w:tabs>
        <w:numPr>
          <w:ilvl w:val="0"/>
          <w:numId w:val="29"/>
        </w:numPr>
        <w:rPr>
          <w:rFonts w:ascii="Arial" w:cs="Arial" w:eastAsia="Arial" w:hAnsi="Arial"/>
          <w:sz w:val="14"/>
          <w:szCs w:val="14"/>
          <w:color w:val="005A64"/>
          <w:vertAlign w:val="superscript"/>
        </w:rPr>
      </w:pPr>
      <w:r>
        <w:rPr>
          <w:rFonts w:ascii="Arial" w:cs="Arial" w:eastAsia="Arial" w:hAnsi="Arial"/>
          <w:sz w:val="11"/>
          <w:szCs w:val="11"/>
          <w:color w:val="005A64"/>
        </w:rPr>
        <w:t>Sean Marett’s compensation for the year ended December 31, 2024, was granted on a pro rata basis through his retirement with effect as of June 30, 2024.</w:t>
      </w:r>
    </w:p>
    <w:p>
      <w:pPr>
        <w:spacing w:after="0" w:line="12" w:lineRule="exact"/>
        <w:rPr>
          <w:rFonts w:ascii="Arial" w:cs="Arial" w:eastAsia="Arial" w:hAnsi="Arial"/>
          <w:sz w:val="14"/>
          <w:szCs w:val="14"/>
          <w:color w:val="005A64"/>
          <w:vertAlign w:val="superscript"/>
        </w:rPr>
      </w:pPr>
    </w:p>
    <w:p>
      <w:pPr>
        <w:ind w:left="380" w:right="1920" w:firstLine="3"/>
        <w:spacing w:after="0" w:line="209" w:lineRule="auto"/>
        <w:tabs>
          <w:tab w:leader="none" w:pos="582" w:val="left"/>
        </w:tabs>
        <w:numPr>
          <w:ilvl w:val="0"/>
          <w:numId w:val="29"/>
        </w:numPr>
        <w:rPr>
          <w:rFonts w:ascii="Arial" w:cs="Arial" w:eastAsia="Arial" w:hAnsi="Arial"/>
          <w:sz w:val="16"/>
          <w:szCs w:val="16"/>
          <w:color w:val="005A64"/>
          <w:vertAlign w:val="superscript"/>
        </w:rPr>
      </w:pPr>
      <w:r>
        <w:rPr>
          <w:rFonts w:ascii="Arial" w:cs="Arial" w:eastAsia="Arial" w:hAnsi="Arial"/>
          <w:sz w:val="12"/>
          <w:szCs w:val="12"/>
          <w:color w:val="005A64"/>
        </w:rPr>
        <w:t>Annemarie Hanekamp was appointed to the Management Board as Chief Commercial Officer (CCO) with effect as of July 1, 2024. Her compensation for the year ended December 31, 2024, was granted on a pro-rata basis.</w:t>
      </w:r>
    </w:p>
    <w:p>
      <w:pPr>
        <w:spacing w:after="0" w:line="12" w:lineRule="exact"/>
        <w:rPr>
          <w:rFonts w:ascii="Arial" w:cs="Arial" w:eastAsia="Arial" w:hAnsi="Arial"/>
          <w:sz w:val="16"/>
          <w:szCs w:val="16"/>
          <w:color w:val="005A64"/>
          <w:vertAlign w:val="superscript"/>
        </w:rPr>
      </w:pPr>
    </w:p>
    <w:p>
      <w:pPr>
        <w:ind w:left="380" w:right="2020" w:firstLine="3"/>
        <w:spacing w:after="0" w:line="209" w:lineRule="auto"/>
        <w:tabs>
          <w:tab w:leader="none" w:pos="582" w:val="left"/>
        </w:tabs>
        <w:numPr>
          <w:ilvl w:val="0"/>
          <w:numId w:val="29"/>
        </w:numPr>
        <w:rPr>
          <w:rFonts w:ascii="Arial" w:cs="Arial" w:eastAsia="Arial" w:hAnsi="Arial"/>
          <w:sz w:val="16"/>
          <w:szCs w:val="16"/>
          <w:color w:val="005A64"/>
          <w:vertAlign w:val="superscript"/>
        </w:rPr>
      </w:pPr>
      <w:r>
        <w:rPr>
          <w:rFonts w:ascii="Arial" w:cs="Arial" w:eastAsia="Arial" w:hAnsi="Arial"/>
          <w:sz w:val="12"/>
          <w:szCs w:val="12"/>
          <w:color w:val="005A64"/>
        </w:rPr>
        <w:t>For the year ended December 31, 2024, Annemarie Hanekamp was granted a guaranteed pro rata bonus in the amount of 50% of the maximum amount, i.e., €137,500. The first half of the corresponding net amount is to be paid out in April 2024 and the second half in January 2026, irrespective of the share price performance.</w:t>
      </w:r>
    </w:p>
    <w:p>
      <w:pPr>
        <w:spacing w:after="0" w:line="13" w:lineRule="exact"/>
        <w:rPr>
          <w:rFonts w:ascii="Arial" w:cs="Arial" w:eastAsia="Arial" w:hAnsi="Arial"/>
          <w:sz w:val="16"/>
          <w:szCs w:val="16"/>
          <w:color w:val="005A64"/>
          <w:vertAlign w:val="superscript"/>
        </w:rPr>
      </w:pPr>
    </w:p>
    <w:p>
      <w:pPr>
        <w:ind w:left="380" w:right="2100" w:firstLine="3"/>
        <w:spacing w:after="0" w:line="210" w:lineRule="auto"/>
        <w:tabs>
          <w:tab w:leader="none" w:pos="582" w:val="left"/>
        </w:tabs>
        <w:numPr>
          <w:ilvl w:val="0"/>
          <w:numId w:val="29"/>
        </w:numPr>
        <w:rPr>
          <w:rFonts w:ascii="Arial" w:cs="Arial" w:eastAsia="Arial" w:hAnsi="Arial"/>
          <w:sz w:val="16"/>
          <w:szCs w:val="16"/>
          <w:color w:val="005A64"/>
          <w:vertAlign w:val="superscript"/>
        </w:rPr>
      </w:pPr>
      <w:r>
        <w:rPr>
          <w:rFonts w:ascii="Arial" w:cs="Arial" w:eastAsia="Arial" w:hAnsi="Arial"/>
          <w:sz w:val="12"/>
          <w:szCs w:val="12"/>
          <w:color w:val="005A64"/>
        </w:rPr>
        <w:t>The Supervisory Board granted Annemarie Hanekamp a one-time signing bonus of €1,750,000 as of her appointment. Out of this amount, €1,250,000 was paid as a cash bonus in July 2024. The remainder of €500,000 will be granted in shares (and considered owed) in July 2028 or, at the earliest possible date after a potential blackout period, provided she is still a Management Board Member on June 30, 2028.</w:t>
      </w:r>
    </w:p>
    <w:p>
      <w:pPr>
        <w:spacing w:after="0" w:line="12" w:lineRule="exact"/>
        <w:rPr>
          <w:rFonts w:ascii="Arial" w:cs="Arial" w:eastAsia="Arial" w:hAnsi="Arial"/>
          <w:sz w:val="16"/>
          <w:szCs w:val="16"/>
          <w:color w:val="005A64"/>
          <w:vertAlign w:val="superscript"/>
        </w:rPr>
      </w:pPr>
    </w:p>
    <w:p>
      <w:pPr>
        <w:ind w:left="380" w:right="1940" w:firstLine="3"/>
        <w:spacing w:after="0" w:line="209" w:lineRule="auto"/>
        <w:tabs>
          <w:tab w:leader="none" w:pos="582" w:val="left"/>
        </w:tabs>
        <w:numPr>
          <w:ilvl w:val="0"/>
          <w:numId w:val="29"/>
        </w:numPr>
        <w:rPr>
          <w:rFonts w:ascii="Arial" w:cs="Arial" w:eastAsia="Arial" w:hAnsi="Arial"/>
          <w:sz w:val="16"/>
          <w:szCs w:val="16"/>
          <w:color w:val="005A64"/>
          <w:vertAlign w:val="superscript"/>
        </w:rPr>
      </w:pPr>
      <w:r>
        <w:rPr>
          <w:rFonts w:ascii="Arial" w:cs="Arial" w:eastAsia="Arial" w:hAnsi="Arial"/>
          <w:sz w:val="12"/>
          <w:szCs w:val="12"/>
          <w:color w:val="005A64"/>
        </w:rPr>
        <w:t>For the year ended December 31, 2024, Sean Marett was granted a guaranteed pro rata bonus in the amount of 100% of the maximum amount pursuant to his separation agreement, that was paid out in June 2024. For further information, see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207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300"/>
        <w:spacing w:after="0" w:line="217" w:lineRule="auto"/>
        <w:rPr>
          <w:sz w:val="20"/>
          <w:szCs w:val="20"/>
          <w:color w:val="auto"/>
        </w:rPr>
      </w:pPr>
      <w:r>
        <w:rPr>
          <w:rFonts w:ascii="Arial" w:cs="Arial" w:eastAsia="Arial" w:hAnsi="Arial"/>
          <w:sz w:val="13"/>
          <w:szCs w:val="13"/>
          <w:color w:val="auto"/>
        </w:rPr>
        <w:t>As part of Sean Marett’s retirement from the Management Board with effect as of June 30, 2024, he and the Supervisory Board entered into a separation agreement. Pursuant to this separation agreement, the following payments apply subsequently to his termination and thus as a former Management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680"/>
        <w:spacing w:after="0" w:line="210" w:lineRule="auto"/>
        <w:rPr>
          <w:sz w:val="20"/>
          <w:szCs w:val="20"/>
          <w:color w:val="auto"/>
        </w:rPr>
      </w:pPr>
      <w:r>
        <w:rPr>
          <w:rFonts w:ascii="Arial" w:cs="Arial" w:eastAsia="Arial" w:hAnsi="Arial"/>
          <w:sz w:val="13"/>
          <w:szCs w:val="13"/>
          <w:color w:val="auto"/>
        </w:rPr>
        <w:t>•a severance payment of € 275,000 payable in monthly installments equivalent to the annual base fixed salary for the remainder of his original term of appointment until December 31, 2024;</w:t>
      </w:r>
    </w:p>
    <w:p>
      <w:pPr>
        <w:spacing w:after="0" w:line="1" w:lineRule="exact"/>
        <w:rPr>
          <w:sz w:val="20"/>
          <w:szCs w:val="20"/>
          <w:color w:val="auto"/>
        </w:rPr>
      </w:pPr>
    </w:p>
    <w:p>
      <w:pPr>
        <w:ind w:left="380" w:right="2640"/>
        <w:spacing w:after="0" w:line="210" w:lineRule="auto"/>
        <w:rPr>
          <w:sz w:val="20"/>
          <w:szCs w:val="20"/>
          <w:color w:val="auto"/>
        </w:rPr>
      </w:pPr>
      <w:r>
        <w:rPr>
          <w:rFonts w:ascii="Arial" w:cs="Arial" w:eastAsia="Arial" w:hAnsi="Arial"/>
          <w:sz w:val="13"/>
          <w:szCs w:val="13"/>
          <w:color w:val="auto"/>
        </w:rPr>
        <w:t>•an additional payment of €39,000 in respect of the 2024 STI to compensate him for the difference between the 2024 target achievement of Management Board members of 74% (additional payment is already reflected in the above total compensation granted and owed table) and his guaranteed pro rata STI bonus in the amount of 100% of his maximum amount pursuant to his separation agreement; and •a grant of 5,760 phantom options representing one- quarter of the 2024 LTI award, which are subject to the same conditions and waiting period that apply to the 2024 LTI awards granted to the Management Board; all previous granted option rights will be dealt with in accordance with the LTI terms.</w:t>
      </w:r>
    </w:p>
    <w:p>
      <w:pPr>
        <w:spacing w:after="0" w:line="4" w:lineRule="exact"/>
        <w:rPr>
          <w:sz w:val="20"/>
          <w:szCs w:val="20"/>
          <w:color w:val="auto"/>
        </w:rPr>
      </w:pPr>
    </w:p>
    <w:p>
      <w:pPr>
        <w:ind w:left="380" w:right="2280"/>
        <w:spacing w:after="0" w:line="226" w:lineRule="auto"/>
        <w:rPr>
          <w:sz w:val="20"/>
          <w:szCs w:val="20"/>
          <w:color w:val="auto"/>
        </w:rPr>
      </w:pPr>
      <w:r>
        <w:rPr>
          <w:rFonts w:ascii="Arial" w:cs="Arial" w:eastAsia="Arial" w:hAnsi="Arial"/>
          <w:sz w:val="13"/>
          <w:szCs w:val="13"/>
          <w:color w:val="auto"/>
        </w:rPr>
        <w:t>In addition, to ensure a smooth transition of services, Sean Marett entered into a 12-month consultancy agreement with the Company on July 1, 2024, resulting in a compensation of €477,030 during the year ended December 31, 2024.</w:t>
      </w:r>
    </w:p>
    <w:p>
      <w:pPr>
        <w:sectPr>
          <w:pgSz w:w="11900" w:h="16840" w:orient="portrait"/>
          <w:cols w:equalWidth="0" w:num="1">
            <w:col w:w="9020"/>
          </w:cols>
          <w:pgMar w:left="1440" w:top="559" w:right="1440" w:bottom="1440" w:gutter="0" w:footer="0" w:header="0"/>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208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005A64"/>
        </w:rPr>
        <w:t>Share-Based Payment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640"/>
        <w:spacing w:after="0" w:line="234" w:lineRule="auto"/>
        <w:rPr>
          <w:sz w:val="20"/>
          <w:szCs w:val="20"/>
          <w:color w:val="auto"/>
        </w:rPr>
      </w:pPr>
      <w:r>
        <w:rPr>
          <w:rFonts w:ascii="Arial" w:cs="Arial" w:eastAsia="Arial" w:hAnsi="Arial"/>
          <w:sz w:val="13"/>
          <w:szCs w:val="13"/>
          <w:color w:val="auto"/>
        </w:rPr>
        <w:t>The table below provides an overview of the share options and other share-based payment instruments allocated to our Management Board and outstanding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-12700</wp:posOffset>
            </wp:positionV>
            <wp:extent cx="4262120" cy="127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262120" cy="12700"/>
                    </a:xfrm>
                    <a:prstGeom prst="rect">
                      <a:avLst/>
                    </a:prstGeom>
                    <a:noFill/>
                  </pic:spPr>
                </pic:pic>
              </a:graphicData>
            </a:graphic>
          </wp:anchor>
        </w:drawing>
      </w:r>
    </w:p>
    <w:p>
      <w:pPr>
        <w:spacing w:after="0" w:line="75"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1960" w:type="dxa"/>
            <w:vAlign w:val="bottom"/>
            <w:gridSpan w:val="2"/>
          </w:tcPr>
          <w:p>
            <w:pPr>
              <w:spacing w:after="0"/>
              <w:rPr>
                <w:sz w:val="20"/>
                <w:szCs w:val="20"/>
                <w:color w:val="auto"/>
              </w:rPr>
            </w:pPr>
            <w:r>
              <w:rPr>
                <w:rFonts w:ascii="Arial" w:cs="Arial" w:eastAsia="Arial" w:hAnsi="Arial"/>
                <w:sz w:val="11"/>
                <w:szCs w:val="11"/>
                <w:b w:val="1"/>
                <w:bCs w:val="1"/>
                <w:color w:val="005A64"/>
              </w:rPr>
              <w:t>Grant Date /   Number of Ordinary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005A64"/>
              </w:rPr>
              <w:t>Option</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005A64"/>
              </w:rPr>
              <w:t>Earliest</w:t>
            </w:r>
          </w:p>
        </w:tc>
        <w:tc>
          <w:tcPr>
            <w:tcW w:w="860" w:type="dxa"/>
            <w:vAlign w:val="bottom"/>
          </w:tcPr>
          <w:p>
            <w:pPr>
              <w:ind w:left="180"/>
              <w:spacing w:after="0"/>
              <w:rPr>
                <w:sz w:val="20"/>
                <w:szCs w:val="20"/>
                <w:color w:val="auto"/>
              </w:rPr>
            </w:pPr>
            <w:r>
              <w:rPr>
                <w:rFonts w:ascii="Arial" w:cs="Arial" w:eastAsia="Arial" w:hAnsi="Arial"/>
                <w:sz w:val="11"/>
                <w:szCs w:val="11"/>
                <w:b w:val="1"/>
                <w:bCs w:val="1"/>
                <w:color w:val="005A64"/>
              </w:rPr>
              <w:t>Option</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005A64"/>
                <w:w w:val="98"/>
              </w:rPr>
              <w:t>Name of the</w:t>
            </w:r>
          </w:p>
        </w:tc>
        <w:tc>
          <w:tcPr>
            <w:tcW w:w="0" w:type="dxa"/>
            <w:vAlign w:val="bottom"/>
          </w:tcPr>
          <w:p>
            <w:pPr>
              <w:spacing w:after="0"/>
              <w:rPr>
                <w:sz w:val="1"/>
                <w:szCs w:val="1"/>
                <w:color w:val="auto"/>
              </w:rPr>
            </w:pPr>
          </w:p>
        </w:tc>
      </w:tr>
      <w:tr>
        <w:trPr>
          <w:trHeight w:val="101"/>
        </w:trPr>
        <w:tc>
          <w:tcPr>
            <w:tcW w:w="680" w:type="dxa"/>
            <w:vAlign w:val="bottom"/>
          </w:tcPr>
          <w:p>
            <w:pPr>
              <w:spacing w:after="0" w:line="101" w:lineRule="exact"/>
              <w:rPr>
                <w:sz w:val="20"/>
                <w:szCs w:val="20"/>
                <w:color w:val="auto"/>
              </w:rPr>
            </w:pPr>
            <w:r>
              <w:rPr>
                <w:rFonts w:ascii="Arial" w:cs="Arial" w:eastAsia="Arial" w:hAnsi="Arial"/>
                <w:sz w:val="11"/>
                <w:szCs w:val="11"/>
                <w:b w:val="1"/>
                <w:bCs w:val="1"/>
                <w:color w:val="005A64"/>
              </w:rPr>
              <w:t>Allocation</w:t>
            </w:r>
          </w:p>
        </w:tc>
        <w:tc>
          <w:tcPr>
            <w:tcW w:w="1280" w:type="dxa"/>
            <w:vAlign w:val="bottom"/>
          </w:tcPr>
          <w:p>
            <w:pPr>
              <w:ind w:left="140"/>
              <w:spacing w:after="0" w:line="101" w:lineRule="exact"/>
              <w:rPr>
                <w:sz w:val="20"/>
                <w:szCs w:val="20"/>
                <w:color w:val="auto"/>
              </w:rPr>
            </w:pPr>
            <w:r>
              <w:rPr>
                <w:rFonts w:ascii="Arial" w:cs="Arial" w:eastAsia="Arial" w:hAnsi="Arial"/>
                <w:sz w:val="11"/>
                <w:szCs w:val="11"/>
                <w:b w:val="1"/>
                <w:bCs w:val="1"/>
                <w:color w:val="005A64"/>
              </w:rPr>
              <w:t>Shares Underlying</w:t>
            </w:r>
          </w:p>
        </w:tc>
        <w:tc>
          <w:tcPr>
            <w:tcW w:w="760" w:type="dxa"/>
            <w:vAlign w:val="bottom"/>
          </w:tcPr>
          <w:p>
            <w:pPr>
              <w:ind w:left="60"/>
              <w:spacing w:after="0" w:line="101" w:lineRule="exact"/>
              <w:rPr>
                <w:sz w:val="20"/>
                <w:szCs w:val="20"/>
                <w:color w:val="auto"/>
              </w:rPr>
            </w:pPr>
            <w:r>
              <w:rPr>
                <w:rFonts w:ascii="Arial" w:cs="Arial" w:eastAsia="Arial" w:hAnsi="Arial"/>
                <w:sz w:val="11"/>
                <w:szCs w:val="11"/>
                <w:b w:val="1"/>
                <w:bCs w:val="1"/>
                <w:color w:val="005A64"/>
              </w:rPr>
              <w:t>Exercise</w:t>
            </w:r>
          </w:p>
        </w:tc>
        <w:tc>
          <w:tcPr>
            <w:tcW w:w="760" w:type="dxa"/>
            <w:vAlign w:val="bottom"/>
            <w:gridSpan w:val="2"/>
          </w:tcPr>
          <w:p>
            <w:pPr>
              <w:ind w:left="120"/>
              <w:spacing w:after="0" w:line="101" w:lineRule="exact"/>
              <w:rPr>
                <w:sz w:val="20"/>
                <w:szCs w:val="20"/>
                <w:color w:val="auto"/>
              </w:rPr>
            </w:pPr>
            <w:r>
              <w:rPr>
                <w:rFonts w:ascii="Arial" w:cs="Arial" w:eastAsia="Arial" w:hAnsi="Arial"/>
                <w:sz w:val="11"/>
                <w:szCs w:val="11"/>
                <w:b w:val="1"/>
                <w:bCs w:val="1"/>
                <w:color w:val="005A64"/>
              </w:rPr>
              <w:t>Option</w:t>
            </w:r>
          </w:p>
        </w:tc>
        <w:tc>
          <w:tcPr>
            <w:tcW w:w="860" w:type="dxa"/>
            <w:vAlign w:val="bottom"/>
          </w:tcPr>
          <w:p>
            <w:pPr>
              <w:ind w:left="180"/>
              <w:spacing w:after="0" w:line="101" w:lineRule="exact"/>
              <w:rPr>
                <w:sz w:val="20"/>
                <w:szCs w:val="20"/>
                <w:color w:val="auto"/>
              </w:rPr>
            </w:pPr>
            <w:r>
              <w:rPr>
                <w:rFonts w:ascii="Arial" w:cs="Arial" w:eastAsia="Arial" w:hAnsi="Arial"/>
                <w:sz w:val="11"/>
                <w:szCs w:val="11"/>
                <w:b w:val="1"/>
                <w:bCs w:val="1"/>
                <w:color w:val="005A64"/>
              </w:rPr>
              <w:t>Expiration</w:t>
            </w:r>
          </w:p>
        </w:tc>
        <w:tc>
          <w:tcPr>
            <w:tcW w:w="780" w:type="dxa"/>
            <w:vAlign w:val="bottom"/>
          </w:tcPr>
          <w:p>
            <w:pPr>
              <w:ind w:left="140"/>
              <w:spacing w:after="0" w:line="101" w:lineRule="exact"/>
              <w:rPr>
                <w:sz w:val="20"/>
                <w:szCs w:val="20"/>
                <w:color w:val="auto"/>
              </w:rPr>
            </w:pPr>
            <w:r>
              <w:rPr>
                <w:rFonts w:ascii="Arial" w:cs="Arial" w:eastAsia="Arial" w:hAnsi="Arial"/>
                <w:sz w:val="11"/>
                <w:szCs w:val="11"/>
                <w:b w:val="1"/>
                <w:bCs w:val="1"/>
                <w:color w:val="005A64"/>
              </w:rPr>
              <w:t>Program</w:t>
            </w:r>
          </w:p>
        </w:tc>
        <w:tc>
          <w:tcPr>
            <w:tcW w:w="0" w:type="dxa"/>
            <w:vAlign w:val="bottom"/>
          </w:tcPr>
          <w:p>
            <w:pPr>
              <w:spacing w:after="0"/>
              <w:rPr>
                <w:sz w:val="1"/>
                <w:szCs w:val="1"/>
                <w:color w:val="auto"/>
              </w:rPr>
            </w:pPr>
          </w:p>
        </w:tc>
      </w:tr>
      <w:tr>
        <w:trPr>
          <w:trHeight w:val="101"/>
        </w:trPr>
        <w:tc>
          <w:tcPr>
            <w:tcW w:w="680" w:type="dxa"/>
            <w:vAlign w:val="bottom"/>
          </w:tcPr>
          <w:p>
            <w:pPr>
              <w:spacing w:after="0" w:line="101" w:lineRule="exact"/>
              <w:rPr>
                <w:sz w:val="20"/>
                <w:szCs w:val="20"/>
                <w:color w:val="auto"/>
              </w:rPr>
            </w:pPr>
            <w:r>
              <w:rPr>
                <w:rFonts w:ascii="Arial" w:cs="Arial" w:eastAsia="Arial" w:hAnsi="Arial"/>
                <w:sz w:val="11"/>
                <w:szCs w:val="11"/>
                <w:b w:val="1"/>
                <w:bCs w:val="1"/>
                <w:color w:val="005A64"/>
              </w:rPr>
              <w:t>Date</w:t>
            </w:r>
          </w:p>
        </w:tc>
        <w:tc>
          <w:tcPr>
            <w:tcW w:w="1280" w:type="dxa"/>
            <w:vAlign w:val="bottom"/>
          </w:tcPr>
          <w:p>
            <w:pPr>
              <w:ind w:left="140"/>
              <w:spacing w:after="0" w:line="101" w:lineRule="exact"/>
              <w:rPr>
                <w:sz w:val="20"/>
                <w:szCs w:val="20"/>
                <w:color w:val="auto"/>
              </w:rPr>
            </w:pPr>
            <w:r>
              <w:rPr>
                <w:rFonts w:ascii="Arial" w:cs="Arial" w:eastAsia="Arial" w:hAnsi="Arial"/>
                <w:sz w:val="11"/>
                <w:szCs w:val="11"/>
                <w:b w:val="1"/>
                <w:bCs w:val="1"/>
                <w:color w:val="005A64"/>
              </w:rPr>
              <w:t>Share Options /</w:t>
            </w:r>
          </w:p>
        </w:tc>
        <w:tc>
          <w:tcPr>
            <w:tcW w:w="760" w:type="dxa"/>
            <w:vAlign w:val="bottom"/>
          </w:tcPr>
          <w:p>
            <w:pPr>
              <w:jc w:val="right"/>
              <w:ind w:right="89"/>
              <w:spacing w:after="0"/>
              <w:rPr>
                <w:sz w:val="20"/>
                <w:szCs w:val="20"/>
                <w:color w:val="auto"/>
              </w:rPr>
            </w:pPr>
            <w:r>
              <w:rPr>
                <w:rFonts w:ascii="Arial" w:cs="Arial" w:eastAsia="Arial" w:hAnsi="Arial"/>
                <w:sz w:val="7"/>
                <w:szCs w:val="7"/>
                <w:b w:val="1"/>
                <w:bCs w:val="1"/>
                <w:color w:val="005A64"/>
              </w:rPr>
              <w:t>(11)</w:t>
            </w:r>
          </w:p>
        </w:tc>
        <w:tc>
          <w:tcPr>
            <w:tcW w:w="760" w:type="dxa"/>
            <w:vAlign w:val="bottom"/>
            <w:gridSpan w:val="2"/>
          </w:tcPr>
          <w:p>
            <w:pPr>
              <w:ind w:left="120"/>
              <w:spacing w:after="0" w:line="101" w:lineRule="exact"/>
              <w:rPr>
                <w:sz w:val="20"/>
                <w:szCs w:val="20"/>
                <w:color w:val="auto"/>
              </w:rPr>
            </w:pPr>
            <w:r>
              <w:rPr>
                <w:rFonts w:ascii="Arial" w:cs="Arial" w:eastAsia="Arial" w:hAnsi="Arial"/>
                <w:sz w:val="11"/>
                <w:szCs w:val="11"/>
                <w:b w:val="1"/>
                <w:bCs w:val="1"/>
                <w:color w:val="005A64"/>
              </w:rPr>
              <w:t>Exercise</w:t>
            </w:r>
          </w:p>
        </w:tc>
        <w:tc>
          <w:tcPr>
            <w:tcW w:w="860" w:type="dxa"/>
            <w:vAlign w:val="bottom"/>
          </w:tcPr>
          <w:p>
            <w:pPr>
              <w:ind w:left="180"/>
              <w:spacing w:after="0" w:line="101" w:lineRule="exact"/>
              <w:rPr>
                <w:sz w:val="20"/>
                <w:szCs w:val="20"/>
                <w:color w:val="auto"/>
              </w:rPr>
            </w:pPr>
            <w:r>
              <w:rPr>
                <w:rFonts w:ascii="Arial" w:cs="Arial" w:eastAsia="Arial" w:hAnsi="Arial"/>
                <w:sz w:val="11"/>
                <w:szCs w:val="11"/>
                <w:b w:val="1"/>
                <w:bCs w:val="1"/>
                <w:color w:val="005A64"/>
              </w:rPr>
              <w:t>Date</w:t>
            </w: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1280" w:type="dxa"/>
            <w:vAlign w:val="bottom"/>
          </w:tcPr>
          <w:p>
            <w:pPr>
              <w:ind w:left="140"/>
              <w:spacing w:after="0" w:line="101" w:lineRule="exact"/>
              <w:rPr>
                <w:sz w:val="20"/>
                <w:szCs w:val="20"/>
                <w:color w:val="auto"/>
              </w:rPr>
            </w:pPr>
            <w:r>
              <w:rPr>
                <w:rFonts w:ascii="Arial" w:cs="Arial" w:eastAsia="Arial" w:hAnsi="Arial"/>
                <w:sz w:val="11"/>
                <w:szCs w:val="11"/>
                <w:b w:val="1"/>
                <w:bCs w:val="1"/>
                <w:color w:val="005A64"/>
              </w:rPr>
              <w:t>Number of Phantom</w:t>
            </w:r>
          </w:p>
        </w:tc>
        <w:tc>
          <w:tcPr>
            <w:tcW w:w="760" w:type="dxa"/>
            <w:vAlign w:val="bottom"/>
          </w:tcPr>
          <w:p>
            <w:pPr>
              <w:ind w:left="60"/>
              <w:spacing w:after="0" w:line="101" w:lineRule="exact"/>
              <w:rPr>
                <w:sz w:val="20"/>
                <w:szCs w:val="20"/>
                <w:color w:val="auto"/>
              </w:rPr>
            </w:pPr>
            <w:r>
              <w:rPr>
                <w:rFonts w:ascii="Arial" w:cs="Arial" w:eastAsia="Arial" w:hAnsi="Arial"/>
                <w:sz w:val="11"/>
                <w:szCs w:val="11"/>
                <w:b w:val="1"/>
                <w:bCs w:val="1"/>
                <w:color w:val="005A64"/>
              </w:rPr>
              <w:t>Price (€)</w:t>
            </w:r>
          </w:p>
        </w:tc>
        <w:tc>
          <w:tcPr>
            <w:tcW w:w="360" w:type="dxa"/>
            <w:vAlign w:val="bottom"/>
            <w:vMerge w:val="restart"/>
          </w:tcPr>
          <w:p>
            <w:pPr>
              <w:ind w:left="120"/>
              <w:spacing w:after="0"/>
              <w:rPr>
                <w:sz w:val="20"/>
                <w:szCs w:val="20"/>
                <w:color w:val="auto"/>
              </w:rPr>
            </w:pPr>
            <w:r>
              <w:rPr>
                <w:rFonts w:ascii="Arial" w:cs="Arial" w:eastAsia="Arial" w:hAnsi="Arial"/>
                <w:sz w:val="11"/>
                <w:szCs w:val="11"/>
                <w:b w:val="1"/>
                <w:bCs w:val="1"/>
                <w:color w:val="005A64"/>
                <w:w w:val="92"/>
              </w:rPr>
              <w:t>Date</w:t>
            </w:r>
          </w:p>
        </w:tc>
        <w:tc>
          <w:tcPr>
            <w:tcW w:w="400" w:type="dxa"/>
            <w:vAlign w:val="bottom"/>
          </w:tcPr>
          <w:p>
            <w:pPr>
              <w:jc w:val="right"/>
              <w:ind w:right="265"/>
              <w:spacing w:after="0"/>
              <w:rPr>
                <w:sz w:val="20"/>
                <w:szCs w:val="20"/>
                <w:color w:val="auto"/>
              </w:rPr>
            </w:pPr>
            <w:r>
              <w:rPr>
                <w:rFonts w:ascii="Arial" w:cs="Arial" w:eastAsia="Arial" w:hAnsi="Arial"/>
                <w:sz w:val="7"/>
                <w:szCs w:val="7"/>
                <w:b w:val="1"/>
                <w:bCs w:val="1"/>
                <w:color w:val="005A64"/>
                <w:w w:val="92"/>
              </w:rPr>
              <w:t>(9)</w:t>
            </w: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680" w:type="dxa"/>
            <w:vAlign w:val="bottom"/>
          </w:tcPr>
          <w:p>
            <w:pPr>
              <w:spacing w:after="0"/>
              <w:rPr>
                <w:sz w:val="6"/>
                <w:szCs w:val="6"/>
                <w:color w:val="auto"/>
              </w:rPr>
            </w:pPr>
          </w:p>
        </w:tc>
        <w:tc>
          <w:tcPr>
            <w:tcW w:w="1280" w:type="dxa"/>
            <w:vAlign w:val="bottom"/>
            <w:vMerge w:val="restart"/>
          </w:tcPr>
          <w:p>
            <w:pPr>
              <w:ind w:left="140"/>
              <w:spacing w:after="0"/>
              <w:rPr>
                <w:sz w:val="20"/>
                <w:szCs w:val="20"/>
                <w:color w:val="auto"/>
              </w:rPr>
            </w:pPr>
            <w:r>
              <w:rPr>
                <w:rFonts w:ascii="Arial" w:cs="Arial" w:eastAsia="Arial" w:hAnsi="Arial"/>
                <w:sz w:val="11"/>
                <w:szCs w:val="11"/>
                <w:b w:val="1"/>
                <w:bCs w:val="1"/>
                <w:color w:val="005A64"/>
              </w:rPr>
              <w:t>Share Options</w:t>
            </w:r>
          </w:p>
        </w:tc>
        <w:tc>
          <w:tcPr>
            <w:tcW w:w="7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77470</wp:posOffset>
            </wp:positionV>
            <wp:extent cx="815340"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15340" cy="635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77470</wp:posOffset>
            </wp:positionV>
            <wp:extent cx="57150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1500" cy="6350"/>
                    </a:xfrm>
                    <a:prstGeom prst="rect">
                      <a:avLst/>
                    </a:prstGeom>
                    <a:noFill/>
                  </pic:spPr>
                </pic:pic>
              </a:graphicData>
            </a:graphic>
          </wp:anchor>
        </w:drawing>
      </w:r>
    </w:p>
    <w:p>
      <w:pPr>
        <w:sectPr>
          <w:pgSz w:w="11900" w:h="16840" w:orient="portrait"/>
          <w:cols w:equalWidth="0" w:num="1">
            <w:col w:w="9020"/>
          </w:cols>
          <w:pgMar w:left="1440" w:top="1440" w:right="1440" w:bottom="51" w:gutter="0" w:footer="0" w:header="0"/>
        </w:sectPr>
      </w:pPr>
    </w:p>
    <w:p>
      <w:pPr>
        <w:spacing w:after="0" w:line="123" w:lineRule="exact"/>
        <w:rPr>
          <w:sz w:val="20"/>
          <w:szCs w:val="20"/>
          <w:color w:val="auto"/>
        </w:rPr>
      </w:pPr>
    </w:p>
    <w:p>
      <w:pPr>
        <w:ind w:left="400"/>
        <w:spacing w:after="0"/>
        <w:rPr>
          <w:sz w:val="20"/>
          <w:szCs w:val="20"/>
          <w:color w:val="auto"/>
        </w:rPr>
      </w:pPr>
      <w:r>
        <w:rPr>
          <w:rFonts w:ascii="Arial" w:cs="Arial" w:eastAsia="Arial" w:hAnsi="Arial"/>
          <w:sz w:val="11"/>
          <w:szCs w:val="11"/>
          <w:color w:val="005A64"/>
        </w:rPr>
        <w:t>Prof. Ugur Sahin,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650875</wp:posOffset>
            </wp:positionV>
            <wp:extent cx="815340"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153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
        <w:spacing w:after="0"/>
        <w:rPr>
          <w:sz w:val="20"/>
          <w:szCs w:val="20"/>
          <w:color w:val="auto"/>
        </w:rPr>
      </w:pPr>
      <w:r>
        <w:rPr>
          <w:rFonts w:ascii="Arial" w:cs="Arial" w:eastAsia="Arial" w:hAnsi="Arial"/>
          <w:sz w:val="11"/>
          <w:szCs w:val="11"/>
          <w:color w:val="005A64"/>
        </w:rPr>
        <w:t>Jens Holstein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535305</wp:posOffset>
            </wp:positionV>
            <wp:extent cx="815340"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153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0"/>
        <w:spacing w:after="0"/>
        <w:rPr>
          <w:sz w:val="20"/>
          <w:szCs w:val="20"/>
          <w:color w:val="auto"/>
        </w:rPr>
      </w:pPr>
      <w:r>
        <w:rPr>
          <w:rFonts w:ascii="Arial" w:cs="Arial" w:eastAsia="Arial" w:hAnsi="Arial"/>
          <w:sz w:val="11"/>
          <w:szCs w:val="11"/>
          <w:color w:val="005A64"/>
        </w:rPr>
        <w:t>Sean Marett</w:t>
      </w:r>
      <w:r>
        <w:rPr>
          <w:rFonts w:ascii="Arial" w:cs="Arial" w:eastAsia="Arial" w:hAnsi="Arial"/>
          <w:sz w:val="14"/>
          <w:szCs w:val="14"/>
          <w:color w:val="005A64"/>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378460</wp:posOffset>
            </wp:positionV>
            <wp:extent cx="815340"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15340" cy="635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400"/>
        <w:spacing w:after="0"/>
        <w:rPr>
          <w:sz w:val="20"/>
          <w:szCs w:val="20"/>
          <w:color w:val="auto"/>
        </w:rPr>
      </w:pPr>
      <w:r>
        <w:rPr>
          <w:rFonts w:ascii="Arial" w:cs="Arial" w:eastAsia="Arial" w:hAnsi="Arial"/>
          <w:sz w:val="11"/>
          <w:szCs w:val="11"/>
          <w:color w:val="005A64"/>
        </w:rPr>
        <w:t>Sierk Poetting,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535305</wp:posOffset>
            </wp:positionV>
            <wp:extent cx="81534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153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0"/>
        <w:spacing w:after="0"/>
        <w:rPr>
          <w:sz w:val="20"/>
          <w:szCs w:val="20"/>
          <w:color w:val="auto"/>
        </w:rPr>
      </w:pPr>
      <w:r>
        <w:rPr>
          <w:rFonts w:ascii="Arial" w:cs="Arial" w:eastAsia="Arial" w:hAnsi="Arial"/>
          <w:sz w:val="11"/>
          <w:szCs w:val="11"/>
          <w:color w:val="005A64"/>
        </w:rPr>
        <w:t>Ryan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535305</wp:posOffset>
            </wp:positionV>
            <wp:extent cx="815340"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153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spacing w:after="0"/>
        <w:rPr>
          <w:sz w:val="20"/>
          <w:szCs w:val="20"/>
          <w:color w:val="auto"/>
        </w:rPr>
      </w:pPr>
      <w:r>
        <w:rPr>
          <w:rFonts w:ascii="Arial" w:cs="Arial" w:eastAsia="Arial" w:hAnsi="Arial"/>
          <w:sz w:val="11"/>
          <w:szCs w:val="11"/>
          <w:color w:val="005A64"/>
        </w:rPr>
        <w:t>James Ryan, Ph.D.</w:t>
      </w:r>
      <w:r>
        <w:rPr>
          <w:rFonts w:ascii="Arial" w:cs="Arial" w:eastAsia="Arial" w:hAnsi="Arial"/>
          <w:sz w:val="16"/>
          <w:szCs w:val="16"/>
          <w:color w:val="005A64"/>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480060</wp:posOffset>
            </wp:positionV>
            <wp:extent cx="815340"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153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0"/>
        <w:spacing w:after="0"/>
        <w:rPr>
          <w:sz w:val="20"/>
          <w:szCs w:val="20"/>
          <w:color w:val="auto"/>
        </w:rPr>
      </w:pPr>
      <w:r>
        <w:rPr>
          <w:rFonts w:ascii="Arial" w:cs="Arial" w:eastAsia="Arial" w:hAnsi="Arial"/>
          <w:sz w:val="11"/>
          <w:szCs w:val="11"/>
          <w:color w:val="005A64"/>
        </w:rPr>
        <w:t>Prof. Özlem Türeci,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535305</wp:posOffset>
            </wp:positionV>
            <wp:extent cx="815340"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1534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500" w:type="dxa"/>
            <w:vAlign w:val="bottom"/>
            <w:tcBorders>
              <w:top w:val="single" w:sz="8" w:color="005A64"/>
            </w:tcBorders>
            <w:vMerge w:val="restart"/>
          </w:tcPr>
          <w:p>
            <w:pPr>
              <w:spacing w:after="0"/>
              <w:rPr>
                <w:sz w:val="20"/>
                <w:szCs w:val="20"/>
                <w:color w:val="auto"/>
              </w:rPr>
            </w:pPr>
            <w:r>
              <w:rPr>
                <w:rFonts w:ascii="Arial" w:cs="Arial" w:eastAsia="Arial" w:hAnsi="Arial"/>
                <w:sz w:val="11"/>
                <w:szCs w:val="11"/>
                <w:color w:val="005A64"/>
                <w:w w:val="97"/>
              </w:rPr>
              <w:t>10/9/2019</w:t>
            </w:r>
          </w:p>
        </w:tc>
        <w:tc>
          <w:tcPr>
            <w:tcW w:w="260" w:type="dxa"/>
            <w:vAlign w:val="bottom"/>
            <w:tcBorders>
              <w:top w:val="single" w:sz="8" w:color="005A64"/>
            </w:tcBorders>
          </w:tcPr>
          <w:p>
            <w:pPr>
              <w:jc w:val="right"/>
              <w:ind w:right="151"/>
              <w:spacing w:after="0"/>
              <w:rPr>
                <w:sz w:val="20"/>
                <w:szCs w:val="20"/>
                <w:color w:val="auto"/>
              </w:rPr>
            </w:pPr>
            <w:r>
              <w:rPr>
                <w:rFonts w:ascii="Arial" w:cs="Arial" w:eastAsia="Arial" w:hAnsi="Arial"/>
                <w:sz w:val="6"/>
                <w:szCs w:val="6"/>
                <w:color w:val="005A64"/>
                <w:w w:val="81"/>
              </w:rPr>
              <w:t>(1)</w:t>
            </w:r>
          </w:p>
        </w:tc>
        <w:tc>
          <w:tcPr>
            <w:tcW w:w="40" w:type="dxa"/>
            <w:vAlign w:val="bottom"/>
          </w:tcPr>
          <w:p>
            <w:pPr>
              <w:spacing w:after="0"/>
              <w:rPr>
                <w:sz w:val="13"/>
                <w:szCs w:val="13"/>
                <w:color w:val="auto"/>
              </w:rPr>
            </w:pPr>
          </w:p>
        </w:tc>
        <w:tc>
          <w:tcPr>
            <w:tcW w:w="1160" w:type="dxa"/>
            <w:vAlign w:val="bottom"/>
            <w:tcBorders>
              <w:top w:val="single" w:sz="8" w:color="005A64"/>
            </w:tcBorders>
          </w:tcPr>
          <w:p>
            <w:pPr>
              <w:ind w:left="20"/>
              <w:spacing w:after="0"/>
              <w:rPr>
                <w:sz w:val="20"/>
                <w:szCs w:val="20"/>
                <w:color w:val="auto"/>
              </w:rPr>
            </w:pPr>
            <w:r>
              <w:rPr>
                <w:rFonts w:ascii="Arial" w:cs="Arial" w:eastAsia="Arial" w:hAnsi="Arial"/>
                <w:sz w:val="11"/>
                <w:szCs w:val="11"/>
                <w:color w:val="005A64"/>
              </w:rPr>
              <w:t>—</w:t>
            </w:r>
          </w:p>
        </w:tc>
        <w:tc>
          <w:tcPr>
            <w:tcW w:w="60" w:type="dxa"/>
            <w:vAlign w:val="bottom"/>
          </w:tcPr>
          <w:p>
            <w:pPr>
              <w:spacing w:after="0"/>
              <w:rPr>
                <w:sz w:val="13"/>
                <w:szCs w:val="13"/>
                <w:color w:val="auto"/>
              </w:rPr>
            </w:pPr>
          </w:p>
        </w:tc>
        <w:tc>
          <w:tcPr>
            <w:tcW w:w="76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13.74</w:t>
            </w:r>
          </w:p>
        </w:tc>
        <w:tc>
          <w:tcPr>
            <w:tcW w:w="60" w:type="dxa"/>
            <w:vAlign w:val="bottom"/>
          </w:tcPr>
          <w:p>
            <w:pPr>
              <w:spacing w:after="0"/>
              <w:rPr>
                <w:sz w:val="13"/>
                <w:szCs w:val="13"/>
                <w:color w:val="auto"/>
              </w:rPr>
            </w:pPr>
          </w:p>
        </w:tc>
        <w:tc>
          <w:tcPr>
            <w:tcW w:w="76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10/9/2023</w:t>
            </w:r>
          </w:p>
        </w:tc>
        <w:tc>
          <w:tcPr>
            <w:tcW w:w="60" w:type="dxa"/>
            <w:vAlign w:val="bottom"/>
          </w:tcPr>
          <w:p>
            <w:pPr>
              <w:spacing w:after="0"/>
              <w:rPr>
                <w:sz w:val="13"/>
                <w:szCs w:val="13"/>
                <w:color w:val="auto"/>
              </w:rPr>
            </w:pPr>
          </w:p>
        </w:tc>
        <w:tc>
          <w:tcPr>
            <w:tcW w:w="76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10/9/2029</w:t>
            </w:r>
          </w:p>
        </w:tc>
        <w:tc>
          <w:tcPr>
            <w:tcW w:w="0" w:type="dxa"/>
            <w:vAlign w:val="bottom"/>
          </w:tcPr>
          <w:p>
            <w:pPr>
              <w:spacing w:after="0"/>
              <w:rPr>
                <w:sz w:val="1"/>
                <w:szCs w:val="1"/>
                <w:color w:val="auto"/>
              </w:rPr>
            </w:pPr>
          </w:p>
        </w:tc>
      </w:tr>
      <w:tr>
        <w:trPr>
          <w:trHeight w:val="36"/>
        </w:trPr>
        <w:tc>
          <w:tcPr>
            <w:tcW w:w="5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1"/>
                <w:szCs w:val="11"/>
                <w:color w:val="005A64"/>
              </w:rPr>
              <w:t>—</w:t>
            </w:r>
          </w:p>
        </w:tc>
        <w:tc>
          <w:tcPr>
            <w:tcW w:w="820" w:type="dxa"/>
            <w:vAlign w:val="bottom"/>
            <w:gridSpan w:val="2"/>
            <w:vMerge w:val="restart"/>
          </w:tcPr>
          <w:p>
            <w:pPr>
              <w:ind w:left="60"/>
              <w:spacing w:after="0"/>
              <w:rPr>
                <w:sz w:val="20"/>
                <w:szCs w:val="20"/>
                <w:color w:val="auto"/>
              </w:rPr>
            </w:pPr>
            <w:r>
              <w:rPr>
                <w:rFonts w:ascii="Arial" w:cs="Arial" w:eastAsia="Arial" w:hAnsi="Arial"/>
                <w:sz w:val="11"/>
                <w:szCs w:val="11"/>
                <w:color w:val="005A64"/>
              </w:rPr>
              <w:t>29.63</w:t>
            </w:r>
          </w:p>
        </w:tc>
        <w:tc>
          <w:tcPr>
            <w:tcW w:w="820" w:type="dxa"/>
            <w:vAlign w:val="bottom"/>
            <w:gridSpan w:val="2"/>
            <w:vMerge w:val="restart"/>
          </w:tcPr>
          <w:p>
            <w:pPr>
              <w:ind w:left="60"/>
              <w:spacing w:after="0"/>
              <w:rPr>
                <w:sz w:val="20"/>
                <w:szCs w:val="20"/>
                <w:color w:val="auto"/>
              </w:rPr>
            </w:pPr>
            <w:r>
              <w:rPr>
                <w:rFonts w:ascii="Arial" w:cs="Arial" w:eastAsia="Arial" w:hAnsi="Arial"/>
                <w:sz w:val="11"/>
                <w:szCs w:val="11"/>
                <w:color w:val="005A64"/>
              </w:rPr>
              <w:t>2/13/2024</w:t>
            </w:r>
          </w:p>
        </w:tc>
        <w:tc>
          <w:tcPr>
            <w:tcW w:w="820" w:type="dxa"/>
            <w:vAlign w:val="bottom"/>
            <w:gridSpan w:val="2"/>
            <w:vMerge w:val="restart"/>
          </w:tcPr>
          <w:p>
            <w:pPr>
              <w:ind w:left="60"/>
              <w:spacing w:after="0"/>
              <w:rPr>
                <w:sz w:val="20"/>
                <w:szCs w:val="20"/>
                <w:color w:val="auto"/>
              </w:rPr>
            </w:pPr>
            <w:r>
              <w:rPr>
                <w:rFonts w:ascii="Arial" w:cs="Arial" w:eastAsia="Arial" w:hAnsi="Arial"/>
                <w:sz w:val="11"/>
                <w:szCs w:val="11"/>
                <w:color w:val="005A64"/>
              </w:rPr>
              <w:t>2/13/2030</w:t>
            </w:r>
          </w:p>
        </w:tc>
        <w:tc>
          <w:tcPr>
            <w:tcW w:w="0" w:type="dxa"/>
            <w:vAlign w:val="bottom"/>
          </w:tcPr>
          <w:p>
            <w:pPr>
              <w:spacing w:after="0" w:line="20" w:lineRule="exact"/>
              <w:rPr>
                <w:sz w:val="1"/>
                <w:szCs w:val="1"/>
                <w:color w:val="auto"/>
              </w:rPr>
            </w:pPr>
          </w:p>
        </w:tc>
      </w:tr>
      <w:tr>
        <w:trPr>
          <w:trHeight w:val="187"/>
        </w:trPr>
        <w:tc>
          <w:tcPr>
            <w:tcW w:w="760" w:type="dxa"/>
            <w:vAlign w:val="bottom"/>
            <w:gridSpan w:val="2"/>
          </w:tcPr>
          <w:p>
            <w:pPr>
              <w:spacing w:after="0"/>
              <w:rPr>
                <w:sz w:val="20"/>
                <w:szCs w:val="20"/>
                <w:color w:val="auto"/>
              </w:rPr>
            </w:pPr>
            <w:r>
              <w:rPr>
                <w:rFonts w:ascii="Arial" w:cs="Arial" w:eastAsia="Arial" w:hAnsi="Arial"/>
                <w:sz w:val="11"/>
                <w:szCs w:val="11"/>
                <w:color w:val="005A64"/>
              </w:rPr>
              <w:t>2/13/2020</w:t>
            </w:r>
            <w:r>
              <w:rPr>
                <w:rFonts w:ascii="Arial" w:cs="Arial" w:eastAsia="Arial" w:hAnsi="Arial"/>
                <w:sz w:val="16"/>
                <w:szCs w:val="16"/>
                <w:color w:val="005A64"/>
                <w:vertAlign w:val="superscript"/>
              </w:rPr>
              <w:t>(2)</w:t>
            </w:r>
          </w:p>
        </w:tc>
        <w:tc>
          <w:tcPr>
            <w:tcW w:w="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60" w:type="dxa"/>
            <w:vAlign w:val="bottom"/>
            <w:gridSpan w:val="2"/>
          </w:tcPr>
          <w:p>
            <w:pPr>
              <w:spacing w:after="0"/>
              <w:rPr>
                <w:sz w:val="20"/>
                <w:szCs w:val="20"/>
                <w:color w:val="auto"/>
              </w:rPr>
            </w:pPr>
            <w:r>
              <w:rPr>
                <w:rFonts w:ascii="Arial" w:cs="Arial" w:eastAsia="Arial" w:hAnsi="Arial"/>
                <w:sz w:val="11"/>
                <w:szCs w:val="11"/>
                <w:color w:val="005A64"/>
              </w:rPr>
              <w:t>5/12/2021</w:t>
            </w:r>
            <w:r>
              <w:rPr>
                <w:rFonts w:ascii="Arial" w:cs="Arial" w:eastAsia="Arial" w:hAnsi="Arial"/>
                <w:sz w:val="16"/>
                <w:szCs w:val="16"/>
                <w:color w:val="005A64"/>
                <w:vertAlign w:val="superscript"/>
              </w:rPr>
              <w:t>(3)</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17,780</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178.29</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5/12/2025</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5/12/2031</w:t>
            </w:r>
          </w:p>
        </w:tc>
        <w:tc>
          <w:tcPr>
            <w:tcW w:w="0" w:type="dxa"/>
            <w:vAlign w:val="bottom"/>
          </w:tcPr>
          <w:p>
            <w:pPr>
              <w:spacing w:after="0"/>
              <w:rPr>
                <w:sz w:val="1"/>
                <w:szCs w:val="1"/>
                <w:color w:val="auto"/>
              </w:rPr>
            </w:pPr>
          </w:p>
        </w:tc>
      </w:tr>
      <w:tr>
        <w:trPr>
          <w:trHeight w:val="192"/>
        </w:trPr>
        <w:tc>
          <w:tcPr>
            <w:tcW w:w="760" w:type="dxa"/>
            <w:vAlign w:val="bottom"/>
            <w:gridSpan w:val="2"/>
          </w:tcPr>
          <w:p>
            <w:pPr>
              <w:spacing w:after="0"/>
              <w:rPr>
                <w:sz w:val="20"/>
                <w:szCs w:val="20"/>
                <w:color w:val="auto"/>
              </w:rPr>
            </w:pPr>
            <w:r>
              <w:rPr>
                <w:rFonts w:ascii="Arial" w:cs="Arial" w:eastAsia="Arial" w:hAnsi="Arial"/>
                <w:sz w:val="11"/>
                <w:szCs w:val="11"/>
                <w:color w:val="005A64"/>
              </w:rPr>
              <w:t>5/31/2022</w:t>
            </w:r>
            <w:r>
              <w:rPr>
                <w:rFonts w:ascii="Arial" w:cs="Arial" w:eastAsia="Arial" w:hAnsi="Arial"/>
                <w:sz w:val="16"/>
                <w:szCs w:val="16"/>
                <w:color w:val="005A64"/>
                <w:vertAlign w:val="superscript"/>
              </w:rPr>
              <w:t>(4)</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19,997</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146.40</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5/31/2026</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5/31/2032</w:t>
            </w:r>
          </w:p>
        </w:tc>
        <w:tc>
          <w:tcPr>
            <w:tcW w:w="0" w:type="dxa"/>
            <w:vAlign w:val="bottom"/>
          </w:tcPr>
          <w:p>
            <w:pPr>
              <w:spacing w:after="0"/>
              <w:rPr>
                <w:sz w:val="1"/>
                <w:szCs w:val="1"/>
                <w:color w:val="auto"/>
              </w:rPr>
            </w:pPr>
          </w:p>
        </w:tc>
      </w:tr>
      <w:tr>
        <w:trPr>
          <w:trHeight w:val="192"/>
        </w:trPr>
        <w:tc>
          <w:tcPr>
            <w:tcW w:w="760" w:type="dxa"/>
            <w:vAlign w:val="bottom"/>
            <w:gridSpan w:val="2"/>
          </w:tcPr>
          <w:p>
            <w:pPr>
              <w:spacing w:after="0"/>
              <w:rPr>
                <w:sz w:val="20"/>
                <w:szCs w:val="20"/>
                <w:color w:val="auto"/>
              </w:rPr>
            </w:pPr>
            <w:r>
              <w:rPr>
                <w:rFonts w:ascii="Arial" w:cs="Arial" w:eastAsia="Arial" w:hAnsi="Arial"/>
                <w:sz w:val="11"/>
                <w:szCs w:val="11"/>
                <w:color w:val="005A64"/>
              </w:rPr>
              <w:t>5/22/2023</w:t>
            </w:r>
            <w:r>
              <w:rPr>
                <w:rFonts w:ascii="Arial" w:cs="Arial" w:eastAsia="Arial" w:hAnsi="Arial"/>
                <w:sz w:val="16"/>
                <w:szCs w:val="16"/>
                <w:color w:val="005A64"/>
                <w:vertAlign w:val="superscript"/>
              </w:rPr>
              <w:t>(5)</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38,506</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109.67</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5/22/2027</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5/22/2033</w:t>
            </w:r>
          </w:p>
        </w:tc>
        <w:tc>
          <w:tcPr>
            <w:tcW w:w="0" w:type="dxa"/>
            <w:vAlign w:val="bottom"/>
          </w:tcPr>
          <w:p>
            <w:pPr>
              <w:spacing w:after="0"/>
              <w:rPr>
                <w:sz w:val="1"/>
                <w:szCs w:val="1"/>
                <w:color w:val="auto"/>
              </w:rPr>
            </w:pPr>
          </w:p>
        </w:tc>
      </w:tr>
      <w:tr>
        <w:trPr>
          <w:trHeight w:val="202"/>
        </w:trPr>
        <w:tc>
          <w:tcPr>
            <w:tcW w:w="760" w:type="dxa"/>
            <w:vAlign w:val="bottom"/>
            <w:gridSpan w:val="2"/>
          </w:tcPr>
          <w:p>
            <w:pPr>
              <w:spacing w:after="0"/>
              <w:rPr>
                <w:sz w:val="20"/>
                <w:szCs w:val="20"/>
                <w:color w:val="auto"/>
              </w:rPr>
            </w:pPr>
            <w:r>
              <w:rPr>
                <w:rFonts w:ascii="Arial" w:cs="Arial" w:eastAsia="Arial" w:hAnsi="Arial"/>
                <w:sz w:val="11"/>
                <w:szCs w:val="11"/>
                <w:color w:val="005A64"/>
              </w:rPr>
              <w:t>8/26/2024</w:t>
            </w:r>
            <w:r>
              <w:rPr>
                <w:rFonts w:ascii="Arial" w:cs="Arial" w:eastAsia="Arial" w:hAnsi="Arial"/>
                <w:sz w:val="16"/>
                <w:szCs w:val="16"/>
                <w:color w:val="005A64"/>
                <w:vertAlign w:val="superscript"/>
              </w:rPr>
              <w:t>(6)</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53,233</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75.91</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8/26/2028</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8/26/2034</w:t>
            </w:r>
          </w:p>
        </w:tc>
        <w:tc>
          <w:tcPr>
            <w:tcW w:w="0" w:type="dxa"/>
            <w:vAlign w:val="bottom"/>
          </w:tcPr>
          <w:p>
            <w:pPr>
              <w:spacing w:after="0"/>
              <w:rPr>
                <w:sz w:val="1"/>
                <w:szCs w:val="1"/>
                <w:color w:val="auto"/>
              </w:rPr>
            </w:pPr>
          </w:p>
        </w:tc>
      </w:tr>
      <w:tr>
        <w:trPr>
          <w:trHeight w:val="173"/>
        </w:trPr>
        <w:tc>
          <w:tcPr>
            <w:tcW w:w="760" w:type="dxa"/>
            <w:vAlign w:val="bottom"/>
            <w:tcBorders>
              <w:top w:val="single" w:sz="8" w:color="005A64"/>
            </w:tcBorders>
            <w:gridSpan w:val="2"/>
          </w:tcPr>
          <w:p>
            <w:pPr>
              <w:spacing w:after="0" w:line="173" w:lineRule="exact"/>
              <w:rPr>
                <w:sz w:val="20"/>
                <w:szCs w:val="20"/>
                <w:color w:val="auto"/>
              </w:rPr>
            </w:pPr>
            <w:r>
              <w:rPr>
                <w:rFonts w:ascii="Arial" w:cs="Arial" w:eastAsia="Arial" w:hAnsi="Arial"/>
                <w:sz w:val="11"/>
                <w:szCs w:val="11"/>
                <w:color w:val="005A64"/>
              </w:rPr>
              <w:t>5/17/2021</w:t>
            </w:r>
            <w:r>
              <w:rPr>
                <w:rFonts w:ascii="Arial" w:cs="Arial" w:eastAsia="Arial" w:hAnsi="Arial"/>
                <w:sz w:val="16"/>
                <w:szCs w:val="16"/>
                <w:color w:val="005A64"/>
                <w:vertAlign w:val="superscript"/>
              </w:rPr>
              <w:t>(3)</w:t>
            </w:r>
          </w:p>
        </w:tc>
        <w:tc>
          <w:tcPr>
            <w:tcW w:w="40" w:type="dxa"/>
            <w:vAlign w:val="bottom"/>
          </w:tcPr>
          <w:p>
            <w:pPr>
              <w:spacing w:after="0"/>
              <w:rPr>
                <w:sz w:val="15"/>
                <w:szCs w:val="15"/>
                <w:color w:val="auto"/>
              </w:rPr>
            </w:pPr>
          </w:p>
        </w:tc>
        <w:tc>
          <w:tcPr>
            <w:tcW w:w="1160" w:type="dxa"/>
            <w:vAlign w:val="bottom"/>
            <w:tcBorders>
              <w:top w:val="single" w:sz="8" w:color="005A64"/>
            </w:tcBorders>
          </w:tcPr>
          <w:p>
            <w:pPr>
              <w:ind w:left="20"/>
              <w:spacing w:after="0"/>
              <w:rPr>
                <w:sz w:val="20"/>
                <w:szCs w:val="20"/>
                <w:color w:val="auto"/>
              </w:rPr>
            </w:pPr>
            <w:r>
              <w:rPr>
                <w:rFonts w:ascii="Arial" w:cs="Arial" w:eastAsia="Arial" w:hAnsi="Arial"/>
                <w:sz w:val="11"/>
                <w:szCs w:val="11"/>
                <w:color w:val="005A64"/>
              </w:rPr>
              <w:t>6,463</w:t>
            </w:r>
          </w:p>
        </w:tc>
        <w:tc>
          <w:tcPr>
            <w:tcW w:w="60" w:type="dxa"/>
            <w:vAlign w:val="bottom"/>
          </w:tcPr>
          <w:p>
            <w:pPr>
              <w:spacing w:after="0"/>
              <w:rPr>
                <w:sz w:val="15"/>
                <w:szCs w:val="15"/>
                <w:color w:val="auto"/>
              </w:rPr>
            </w:pPr>
          </w:p>
        </w:tc>
        <w:tc>
          <w:tcPr>
            <w:tcW w:w="76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179.83</w:t>
            </w:r>
          </w:p>
        </w:tc>
        <w:tc>
          <w:tcPr>
            <w:tcW w:w="60" w:type="dxa"/>
            <w:vAlign w:val="bottom"/>
          </w:tcPr>
          <w:p>
            <w:pPr>
              <w:spacing w:after="0"/>
              <w:rPr>
                <w:sz w:val="15"/>
                <w:szCs w:val="15"/>
                <w:color w:val="auto"/>
              </w:rPr>
            </w:pPr>
          </w:p>
        </w:tc>
        <w:tc>
          <w:tcPr>
            <w:tcW w:w="76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5/17/2025</w:t>
            </w:r>
          </w:p>
        </w:tc>
        <w:tc>
          <w:tcPr>
            <w:tcW w:w="60" w:type="dxa"/>
            <w:vAlign w:val="bottom"/>
          </w:tcPr>
          <w:p>
            <w:pPr>
              <w:spacing w:after="0"/>
              <w:rPr>
                <w:sz w:val="15"/>
                <w:szCs w:val="15"/>
                <w:color w:val="auto"/>
              </w:rPr>
            </w:pPr>
          </w:p>
        </w:tc>
        <w:tc>
          <w:tcPr>
            <w:tcW w:w="76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5/17/2031</w:t>
            </w:r>
          </w:p>
        </w:tc>
        <w:tc>
          <w:tcPr>
            <w:tcW w:w="0" w:type="dxa"/>
            <w:vAlign w:val="bottom"/>
          </w:tcPr>
          <w:p>
            <w:pPr>
              <w:spacing w:after="0"/>
              <w:rPr>
                <w:sz w:val="1"/>
                <w:szCs w:val="1"/>
                <w:color w:val="auto"/>
              </w:rPr>
            </w:pPr>
          </w:p>
        </w:tc>
      </w:tr>
      <w:tr>
        <w:trPr>
          <w:trHeight w:val="192"/>
        </w:trPr>
        <w:tc>
          <w:tcPr>
            <w:tcW w:w="760" w:type="dxa"/>
            <w:vAlign w:val="bottom"/>
            <w:gridSpan w:val="2"/>
          </w:tcPr>
          <w:p>
            <w:pPr>
              <w:spacing w:after="0"/>
              <w:rPr>
                <w:sz w:val="20"/>
                <w:szCs w:val="20"/>
                <w:color w:val="auto"/>
              </w:rPr>
            </w:pPr>
            <w:r>
              <w:rPr>
                <w:rFonts w:ascii="Arial" w:cs="Arial" w:eastAsia="Arial" w:hAnsi="Arial"/>
                <w:sz w:val="11"/>
                <w:szCs w:val="11"/>
                <w:color w:val="005A64"/>
              </w:rPr>
              <w:t>7/1/2021</w:t>
            </w:r>
            <w:r>
              <w:rPr>
                <w:rFonts w:ascii="Arial" w:cs="Arial" w:eastAsia="Arial" w:hAnsi="Arial"/>
                <w:sz w:val="16"/>
                <w:szCs w:val="16"/>
                <w:color w:val="005A64"/>
                <w:vertAlign w:val="superscript"/>
              </w:rPr>
              <w:t>(8)</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4,246</w:t>
            </w:r>
          </w:p>
        </w:tc>
        <w:tc>
          <w:tcPr>
            <w:tcW w:w="6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1"/>
                <w:szCs w:val="11"/>
                <w:color w:val="005A64"/>
              </w:rPr>
              <w:t>n/a</w:t>
            </w:r>
            <w:r>
              <w:rPr>
                <w:rFonts w:ascii="Arial" w:cs="Arial" w:eastAsia="Arial" w:hAnsi="Arial"/>
                <w:sz w:val="16"/>
                <w:szCs w:val="16"/>
                <w:color w:val="005A64"/>
                <w:vertAlign w:val="superscript"/>
              </w:rPr>
              <w:t>(8)</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7/1/2025</w:t>
            </w:r>
            <w:r>
              <w:rPr>
                <w:rFonts w:ascii="Arial" w:cs="Arial" w:eastAsia="Arial" w:hAnsi="Arial"/>
                <w:sz w:val="16"/>
                <w:szCs w:val="16"/>
                <w:color w:val="005A64"/>
                <w:vertAlign w:val="superscript"/>
              </w:rPr>
              <w:t>(8)</w:t>
            </w:r>
          </w:p>
        </w:tc>
        <w:tc>
          <w:tcPr>
            <w:tcW w:w="6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1"/>
                <w:szCs w:val="11"/>
                <w:color w:val="005A64"/>
              </w:rPr>
              <w:t>n/a</w:t>
            </w:r>
            <w:r>
              <w:rPr>
                <w:rFonts w:ascii="Arial" w:cs="Arial" w:eastAsia="Arial" w:hAnsi="Arial"/>
                <w:sz w:val="16"/>
                <w:szCs w:val="16"/>
                <w:color w:val="005A64"/>
                <w:vertAlign w:val="superscript"/>
              </w:rPr>
              <w:t>(8)</w:t>
            </w:r>
          </w:p>
        </w:tc>
        <w:tc>
          <w:tcPr>
            <w:tcW w:w="0" w:type="dxa"/>
            <w:vAlign w:val="bottom"/>
          </w:tcPr>
          <w:p>
            <w:pPr>
              <w:spacing w:after="0"/>
              <w:rPr>
                <w:sz w:val="1"/>
                <w:szCs w:val="1"/>
                <w:color w:val="auto"/>
              </w:rPr>
            </w:pPr>
          </w:p>
        </w:tc>
      </w:tr>
      <w:tr>
        <w:trPr>
          <w:trHeight w:val="192"/>
        </w:trPr>
        <w:tc>
          <w:tcPr>
            <w:tcW w:w="760" w:type="dxa"/>
            <w:vAlign w:val="bottom"/>
            <w:gridSpan w:val="2"/>
          </w:tcPr>
          <w:p>
            <w:pPr>
              <w:spacing w:after="0"/>
              <w:rPr>
                <w:sz w:val="20"/>
                <w:szCs w:val="20"/>
                <w:color w:val="auto"/>
              </w:rPr>
            </w:pPr>
            <w:r>
              <w:rPr>
                <w:rFonts w:ascii="Arial" w:cs="Arial" w:eastAsia="Arial" w:hAnsi="Arial"/>
                <w:sz w:val="11"/>
                <w:szCs w:val="11"/>
                <w:color w:val="005A64"/>
              </w:rPr>
              <w:t>5/31/2022</w:t>
            </w:r>
            <w:r>
              <w:rPr>
                <w:rFonts w:ascii="Arial" w:cs="Arial" w:eastAsia="Arial" w:hAnsi="Arial"/>
                <w:sz w:val="16"/>
                <w:szCs w:val="16"/>
                <w:color w:val="005A64"/>
                <w:vertAlign w:val="superscript"/>
              </w:rPr>
              <w:t>(4)</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14,664</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146.40</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5/31/2026</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5/31/2032</w:t>
            </w:r>
          </w:p>
        </w:tc>
        <w:tc>
          <w:tcPr>
            <w:tcW w:w="0" w:type="dxa"/>
            <w:vAlign w:val="bottom"/>
          </w:tcPr>
          <w:p>
            <w:pPr>
              <w:spacing w:after="0"/>
              <w:rPr>
                <w:sz w:val="1"/>
                <w:szCs w:val="1"/>
                <w:color w:val="auto"/>
              </w:rPr>
            </w:pPr>
          </w:p>
        </w:tc>
      </w:tr>
      <w:tr>
        <w:trPr>
          <w:trHeight w:val="192"/>
        </w:trPr>
        <w:tc>
          <w:tcPr>
            <w:tcW w:w="760" w:type="dxa"/>
            <w:vAlign w:val="bottom"/>
            <w:gridSpan w:val="2"/>
          </w:tcPr>
          <w:p>
            <w:pPr>
              <w:spacing w:after="0"/>
              <w:rPr>
                <w:sz w:val="20"/>
                <w:szCs w:val="20"/>
                <w:color w:val="auto"/>
              </w:rPr>
            </w:pPr>
            <w:r>
              <w:rPr>
                <w:rFonts w:ascii="Arial" w:cs="Arial" w:eastAsia="Arial" w:hAnsi="Arial"/>
                <w:sz w:val="11"/>
                <w:szCs w:val="11"/>
                <w:color w:val="005A64"/>
              </w:rPr>
              <w:t>5/22/2023</w:t>
            </w:r>
            <w:r>
              <w:rPr>
                <w:rFonts w:ascii="Arial" w:cs="Arial" w:eastAsia="Arial" w:hAnsi="Arial"/>
                <w:sz w:val="16"/>
                <w:szCs w:val="16"/>
                <w:color w:val="005A64"/>
                <w:vertAlign w:val="superscript"/>
              </w:rPr>
              <w:t>(5)</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18,416</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109.67</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5/22/2027</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5/22/2033</w:t>
            </w:r>
          </w:p>
        </w:tc>
        <w:tc>
          <w:tcPr>
            <w:tcW w:w="0" w:type="dxa"/>
            <w:vAlign w:val="bottom"/>
          </w:tcPr>
          <w:p>
            <w:pPr>
              <w:spacing w:after="0"/>
              <w:rPr>
                <w:sz w:val="1"/>
                <w:szCs w:val="1"/>
                <w:color w:val="auto"/>
              </w:rPr>
            </w:pPr>
          </w:p>
        </w:tc>
      </w:tr>
      <w:tr>
        <w:trPr>
          <w:trHeight w:val="202"/>
        </w:trPr>
        <w:tc>
          <w:tcPr>
            <w:tcW w:w="760" w:type="dxa"/>
            <w:vAlign w:val="bottom"/>
            <w:gridSpan w:val="2"/>
          </w:tcPr>
          <w:p>
            <w:pPr>
              <w:spacing w:after="0"/>
              <w:rPr>
                <w:sz w:val="20"/>
                <w:szCs w:val="20"/>
                <w:color w:val="auto"/>
              </w:rPr>
            </w:pPr>
            <w:r>
              <w:rPr>
                <w:rFonts w:ascii="Arial" w:cs="Arial" w:eastAsia="Arial" w:hAnsi="Arial"/>
                <w:sz w:val="11"/>
                <w:szCs w:val="11"/>
                <w:color w:val="005A64"/>
              </w:rPr>
              <w:t>8/26/2024</w:t>
            </w:r>
            <w:r>
              <w:rPr>
                <w:rFonts w:ascii="Arial" w:cs="Arial" w:eastAsia="Arial" w:hAnsi="Arial"/>
                <w:sz w:val="16"/>
                <w:szCs w:val="16"/>
                <w:color w:val="005A64"/>
                <w:vertAlign w:val="superscript"/>
              </w:rPr>
              <w:t>(6)</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25,459</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75.91</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8/26/2028</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8/26/2034</w:t>
            </w:r>
          </w:p>
        </w:tc>
        <w:tc>
          <w:tcPr>
            <w:tcW w:w="0" w:type="dxa"/>
            <w:vAlign w:val="bottom"/>
          </w:tcPr>
          <w:p>
            <w:pPr>
              <w:spacing w:after="0"/>
              <w:rPr>
                <w:sz w:val="1"/>
                <w:szCs w:val="1"/>
                <w:color w:val="auto"/>
              </w:rPr>
            </w:pPr>
          </w:p>
        </w:tc>
      </w:tr>
      <w:tr>
        <w:trPr>
          <w:trHeight w:val="173"/>
        </w:trPr>
        <w:tc>
          <w:tcPr>
            <w:tcW w:w="760" w:type="dxa"/>
            <w:vAlign w:val="bottom"/>
            <w:tcBorders>
              <w:top w:val="single" w:sz="8" w:color="005A64"/>
            </w:tcBorders>
            <w:gridSpan w:val="2"/>
          </w:tcPr>
          <w:p>
            <w:pPr>
              <w:spacing w:after="0" w:line="173" w:lineRule="exact"/>
              <w:rPr>
                <w:sz w:val="20"/>
                <w:szCs w:val="20"/>
                <w:color w:val="auto"/>
              </w:rPr>
            </w:pPr>
            <w:r>
              <w:rPr>
                <w:rFonts w:ascii="Arial" w:cs="Arial" w:eastAsia="Arial" w:hAnsi="Arial"/>
                <w:sz w:val="11"/>
                <w:szCs w:val="11"/>
                <w:color w:val="005A64"/>
              </w:rPr>
              <w:t>2/13/2020</w:t>
            </w:r>
            <w:r>
              <w:rPr>
                <w:rFonts w:ascii="Arial" w:cs="Arial" w:eastAsia="Arial" w:hAnsi="Arial"/>
                <w:sz w:val="16"/>
                <w:szCs w:val="16"/>
                <w:color w:val="005A64"/>
                <w:vertAlign w:val="superscript"/>
              </w:rPr>
              <w:t>(2)</w:t>
            </w:r>
          </w:p>
        </w:tc>
        <w:tc>
          <w:tcPr>
            <w:tcW w:w="40" w:type="dxa"/>
            <w:vAlign w:val="bottom"/>
          </w:tcPr>
          <w:p>
            <w:pPr>
              <w:spacing w:after="0"/>
              <w:rPr>
                <w:sz w:val="15"/>
                <w:szCs w:val="15"/>
                <w:color w:val="auto"/>
              </w:rPr>
            </w:pPr>
          </w:p>
        </w:tc>
        <w:tc>
          <w:tcPr>
            <w:tcW w:w="1160" w:type="dxa"/>
            <w:vAlign w:val="bottom"/>
            <w:tcBorders>
              <w:top w:val="single" w:sz="8" w:color="005A64"/>
            </w:tcBorders>
          </w:tcPr>
          <w:p>
            <w:pPr>
              <w:ind w:left="20"/>
              <w:spacing w:after="0"/>
              <w:rPr>
                <w:sz w:val="20"/>
                <w:szCs w:val="20"/>
                <w:color w:val="auto"/>
              </w:rPr>
            </w:pPr>
            <w:r>
              <w:rPr>
                <w:rFonts w:ascii="Arial" w:cs="Arial" w:eastAsia="Arial" w:hAnsi="Arial"/>
                <w:sz w:val="11"/>
                <w:szCs w:val="11"/>
                <w:color w:val="005A64"/>
              </w:rPr>
              <w:t>38,968</w:t>
            </w:r>
          </w:p>
        </w:tc>
        <w:tc>
          <w:tcPr>
            <w:tcW w:w="60" w:type="dxa"/>
            <w:vAlign w:val="bottom"/>
          </w:tcPr>
          <w:p>
            <w:pPr>
              <w:spacing w:after="0"/>
              <w:rPr>
                <w:sz w:val="15"/>
                <w:szCs w:val="15"/>
                <w:color w:val="auto"/>
              </w:rPr>
            </w:pPr>
          </w:p>
        </w:tc>
        <w:tc>
          <w:tcPr>
            <w:tcW w:w="76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29.63</w:t>
            </w:r>
          </w:p>
        </w:tc>
        <w:tc>
          <w:tcPr>
            <w:tcW w:w="60" w:type="dxa"/>
            <w:vAlign w:val="bottom"/>
          </w:tcPr>
          <w:p>
            <w:pPr>
              <w:spacing w:after="0"/>
              <w:rPr>
                <w:sz w:val="15"/>
                <w:szCs w:val="15"/>
                <w:color w:val="auto"/>
              </w:rPr>
            </w:pPr>
          </w:p>
        </w:tc>
        <w:tc>
          <w:tcPr>
            <w:tcW w:w="76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2/13/2024</w:t>
            </w:r>
          </w:p>
        </w:tc>
        <w:tc>
          <w:tcPr>
            <w:tcW w:w="60" w:type="dxa"/>
            <w:vAlign w:val="bottom"/>
          </w:tcPr>
          <w:p>
            <w:pPr>
              <w:spacing w:after="0"/>
              <w:rPr>
                <w:sz w:val="15"/>
                <w:szCs w:val="15"/>
                <w:color w:val="auto"/>
              </w:rPr>
            </w:pPr>
          </w:p>
        </w:tc>
        <w:tc>
          <w:tcPr>
            <w:tcW w:w="76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2/13/2030</w:t>
            </w:r>
          </w:p>
        </w:tc>
        <w:tc>
          <w:tcPr>
            <w:tcW w:w="0" w:type="dxa"/>
            <w:vAlign w:val="bottom"/>
          </w:tcPr>
          <w:p>
            <w:pPr>
              <w:spacing w:after="0"/>
              <w:rPr>
                <w:sz w:val="1"/>
                <w:szCs w:val="1"/>
                <w:color w:val="auto"/>
              </w:rPr>
            </w:pPr>
          </w:p>
        </w:tc>
      </w:tr>
      <w:tr>
        <w:trPr>
          <w:trHeight w:val="192"/>
        </w:trPr>
        <w:tc>
          <w:tcPr>
            <w:tcW w:w="760" w:type="dxa"/>
            <w:vAlign w:val="bottom"/>
            <w:gridSpan w:val="2"/>
          </w:tcPr>
          <w:p>
            <w:pPr>
              <w:spacing w:after="0"/>
              <w:rPr>
                <w:sz w:val="20"/>
                <w:szCs w:val="20"/>
                <w:color w:val="auto"/>
              </w:rPr>
            </w:pPr>
            <w:r>
              <w:rPr>
                <w:rFonts w:ascii="Arial" w:cs="Arial" w:eastAsia="Arial" w:hAnsi="Arial"/>
                <w:sz w:val="11"/>
                <w:szCs w:val="11"/>
                <w:color w:val="005A64"/>
              </w:rPr>
              <w:t>5/12/2021</w:t>
            </w:r>
            <w:r>
              <w:rPr>
                <w:rFonts w:ascii="Arial" w:cs="Arial" w:eastAsia="Arial" w:hAnsi="Arial"/>
                <w:sz w:val="16"/>
                <w:szCs w:val="16"/>
                <w:color w:val="005A64"/>
                <w:vertAlign w:val="superscript"/>
              </w:rPr>
              <w:t>(3)</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5,334</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178.29</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5/12/2025</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5/12/2031</w:t>
            </w:r>
          </w:p>
        </w:tc>
        <w:tc>
          <w:tcPr>
            <w:tcW w:w="0" w:type="dxa"/>
            <w:vAlign w:val="bottom"/>
          </w:tcPr>
          <w:p>
            <w:pPr>
              <w:spacing w:after="0"/>
              <w:rPr>
                <w:sz w:val="1"/>
                <w:szCs w:val="1"/>
                <w:color w:val="auto"/>
              </w:rPr>
            </w:pPr>
          </w:p>
        </w:tc>
      </w:tr>
      <w:tr>
        <w:trPr>
          <w:trHeight w:val="192"/>
        </w:trPr>
        <w:tc>
          <w:tcPr>
            <w:tcW w:w="760" w:type="dxa"/>
            <w:vAlign w:val="bottom"/>
            <w:gridSpan w:val="2"/>
          </w:tcPr>
          <w:p>
            <w:pPr>
              <w:spacing w:after="0"/>
              <w:rPr>
                <w:sz w:val="20"/>
                <w:szCs w:val="20"/>
                <w:color w:val="auto"/>
              </w:rPr>
            </w:pPr>
            <w:r>
              <w:rPr>
                <w:rFonts w:ascii="Arial" w:cs="Arial" w:eastAsia="Arial" w:hAnsi="Arial"/>
                <w:sz w:val="11"/>
                <w:szCs w:val="11"/>
                <w:color w:val="005A64"/>
              </w:rPr>
              <w:t>5/31/2022</w:t>
            </w:r>
            <w:r>
              <w:rPr>
                <w:rFonts w:ascii="Arial" w:cs="Arial" w:eastAsia="Arial" w:hAnsi="Arial"/>
                <w:sz w:val="16"/>
                <w:szCs w:val="16"/>
                <w:color w:val="005A64"/>
                <w:vertAlign w:val="superscript"/>
              </w:rPr>
              <w:t>(4)</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7,332</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146.40</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5/31/2026</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5/31/2032</w:t>
            </w:r>
          </w:p>
        </w:tc>
        <w:tc>
          <w:tcPr>
            <w:tcW w:w="0" w:type="dxa"/>
            <w:vAlign w:val="bottom"/>
          </w:tcPr>
          <w:p>
            <w:pPr>
              <w:spacing w:after="0"/>
              <w:rPr>
                <w:sz w:val="1"/>
                <w:szCs w:val="1"/>
                <w:color w:val="auto"/>
              </w:rPr>
            </w:pPr>
          </w:p>
        </w:tc>
      </w:tr>
      <w:tr>
        <w:trPr>
          <w:trHeight w:val="202"/>
        </w:trPr>
        <w:tc>
          <w:tcPr>
            <w:tcW w:w="760" w:type="dxa"/>
            <w:vAlign w:val="bottom"/>
            <w:gridSpan w:val="2"/>
          </w:tcPr>
          <w:p>
            <w:pPr>
              <w:spacing w:after="0"/>
              <w:rPr>
                <w:sz w:val="20"/>
                <w:szCs w:val="20"/>
                <w:color w:val="auto"/>
              </w:rPr>
            </w:pPr>
            <w:r>
              <w:rPr>
                <w:rFonts w:ascii="Arial" w:cs="Arial" w:eastAsia="Arial" w:hAnsi="Arial"/>
                <w:sz w:val="11"/>
                <w:szCs w:val="11"/>
                <w:color w:val="005A64"/>
              </w:rPr>
              <w:t>5/22/2023</w:t>
            </w:r>
            <w:r>
              <w:rPr>
                <w:rFonts w:ascii="Arial" w:cs="Arial" w:eastAsia="Arial" w:hAnsi="Arial"/>
                <w:sz w:val="16"/>
                <w:szCs w:val="16"/>
                <w:color w:val="005A64"/>
                <w:vertAlign w:val="superscript"/>
              </w:rPr>
              <w:t>(5)</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4,604</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109.67</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5/22/2027</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5/22/2033</w:t>
            </w:r>
          </w:p>
        </w:tc>
        <w:tc>
          <w:tcPr>
            <w:tcW w:w="0" w:type="dxa"/>
            <w:vAlign w:val="bottom"/>
          </w:tcPr>
          <w:p>
            <w:pPr>
              <w:spacing w:after="0"/>
              <w:rPr>
                <w:sz w:val="1"/>
                <w:szCs w:val="1"/>
                <w:color w:val="auto"/>
              </w:rPr>
            </w:pPr>
          </w:p>
        </w:tc>
      </w:tr>
      <w:tr>
        <w:trPr>
          <w:trHeight w:val="173"/>
        </w:trPr>
        <w:tc>
          <w:tcPr>
            <w:tcW w:w="760" w:type="dxa"/>
            <w:vAlign w:val="bottom"/>
            <w:tcBorders>
              <w:top w:val="single" w:sz="8" w:color="005A64"/>
            </w:tcBorders>
            <w:gridSpan w:val="2"/>
          </w:tcPr>
          <w:p>
            <w:pPr>
              <w:spacing w:after="0" w:line="173" w:lineRule="exact"/>
              <w:rPr>
                <w:sz w:val="20"/>
                <w:szCs w:val="20"/>
                <w:color w:val="auto"/>
              </w:rPr>
            </w:pPr>
            <w:r>
              <w:rPr>
                <w:rFonts w:ascii="Arial" w:cs="Arial" w:eastAsia="Arial" w:hAnsi="Arial"/>
                <w:sz w:val="11"/>
                <w:szCs w:val="11"/>
                <w:color w:val="005A64"/>
              </w:rPr>
              <w:t>13/2/2020</w:t>
            </w:r>
            <w:r>
              <w:rPr>
                <w:rFonts w:ascii="Arial" w:cs="Arial" w:eastAsia="Arial" w:hAnsi="Arial"/>
                <w:sz w:val="16"/>
                <w:szCs w:val="16"/>
                <w:color w:val="005A64"/>
                <w:vertAlign w:val="superscript"/>
              </w:rPr>
              <w:t>(2)</w:t>
            </w:r>
          </w:p>
        </w:tc>
        <w:tc>
          <w:tcPr>
            <w:tcW w:w="40" w:type="dxa"/>
            <w:vAlign w:val="bottom"/>
          </w:tcPr>
          <w:p>
            <w:pPr>
              <w:spacing w:after="0"/>
              <w:rPr>
                <w:sz w:val="15"/>
                <w:szCs w:val="15"/>
                <w:color w:val="auto"/>
              </w:rPr>
            </w:pPr>
          </w:p>
        </w:tc>
        <w:tc>
          <w:tcPr>
            <w:tcW w:w="1160" w:type="dxa"/>
            <w:vAlign w:val="bottom"/>
            <w:tcBorders>
              <w:top w:val="single" w:sz="8" w:color="005A64"/>
            </w:tcBorders>
          </w:tcPr>
          <w:p>
            <w:pPr>
              <w:ind w:left="20"/>
              <w:spacing w:after="0"/>
              <w:rPr>
                <w:sz w:val="20"/>
                <w:szCs w:val="20"/>
                <w:color w:val="auto"/>
              </w:rPr>
            </w:pPr>
            <w:r>
              <w:rPr>
                <w:rFonts w:ascii="Arial" w:cs="Arial" w:eastAsia="Arial" w:hAnsi="Arial"/>
                <w:sz w:val="11"/>
                <w:szCs w:val="11"/>
                <w:color w:val="005A64"/>
              </w:rPr>
              <w:t>—</w:t>
            </w:r>
          </w:p>
        </w:tc>
        <w:tc>
          <w:tcPr>
            <w:tcW w:w="60" w:type="dxa"/>
            <w:vAlign w:val="bottom"/>
          </w:tcPr>
          <w:p>
            <w:pPr>
              <w:spacing w:after="0"/>
              <w:rPr>
                <w:sz w:val="15"/>
                <w:szCs w:val="15"/>
                <w:color w:val="auto"/>
              </w:rPr>
            </w:pPr>
          </w:p>
        </w:tc>
        <w:tc>
          <w:tcPr>
            <w:tcW w:w="76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29.63</w:t>
            </w:r>
          </w:p>
        </w:tc>
        <w:tc>
          <w:tcPr>
            <w:tcW w:w="60" w:type="dxa"/>
            <w:vAlign w:val="bottom"/>
          </w:tcPr>
          <w:p>
            <w:pPr>
              <w:spacing w:after="0"/>
              <w:rPr>
                <w:sz w:val="15"/>
                <w:szCs w:val="15"/>
                <w:color w:val="auto"/>
              </w:rPr>
            </w:pPr>
          </w:p>
        </w:tc>
        <w:tc>
          <w:tcPr>
            <w:tcW w:w="76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2/13/2024</w:t>
            </w:r>
          </w:p>
        </w:tc>
        <w:tc>
          <w:tcPr>
            <w:tcW w:w="60" w:type="dxa"/>
            <w:vAlign w:val="bottom"/>
          </w:tcPr>
          <w:p>
            <w:pPr>
              <w:spacing w:after="0"/>
              <w:rPr>
                <w:sz w:val="15"/>
                <w:szCs w:val="15"/>
                <w:color w:val="auto"/>
              </w:rPr>
            </w:pPr>
          </w:p>
        </w:tc>
        <w:tc>
          <w:tcPr>
            <w:tcW w:w="76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2/13/2030</w:t>
            </w:r>
          </w:p>
        </w:tc>
        <w:tc>
          <w:tcPr>
            <w:tcW w:w="0" w:type="dxa"/>
            <w:vAlign w:val="bottom"/>
          </w:tcPr>
          <w:p>
            <w:pPr>
              <w:spacing w:after="0"/>
              <w:rPr>
                <w:sz w:val="1"/>
                <w:szCs w:val="1"/>
                <w:color w:val="auto"/>
              </w:rPr>
            </w:pPr>
          </w:p>
        </w:tc>
      </w:tr>
      <w:tr>
        <w:trPr>
          <w:trHeight w:val="192"/>
        </w:trPr>
        <w:tc>
          <w:tcPr>
            <w:tcW w:w="760" w:type="dxa"/>
            <w:vAlign w:val="bottom"/>
            <w:gridSpan w:val="2"/>
          </w:tcPr>
          <w:p>
            <w:pPr>
              <w:spacing w:after="0"/>
              <w:rPr>
                <w:sz w:val="20"/>
                <w:szCs w:val="20"/>
                <w:color w:val="auto"/>
              </w:rPr>
            </w:pPr>
            <w:r>
              <w:rPr>
                <w:rFonts w:ascii="Arial" w:cs="Arial" w:eastAsia="Arial" w:hAnsi="Arial"/>
                <w:sz w:val="11"/>
                <w:szCs w:val="11"/>
                <w:color w:val="005A64"/>
              </w:rPr>
              <w:t>5/12/2021</w:t>
            </w:r>
            <w:r>
              <w:rPr>
                <w:rFonts w:ascii="Arial" w:cs="Arial" w:eastAsia="Arial" w:hAnsi="Arial"/>
                <w:sz w:val="16"/>
                <w:szCs w:val="16"/>
                <w:color w:val="005A64"/>
                <w:vertAlign w:val="superscript"/>
              </w:rPr>
              <w:t>(3)</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7,112</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178.29</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5/12/2025</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5/12/2031</w:t>
            </w:r>
          </w:p>
        </w:tc>
        <w:tc>
          <w:tcPr>
            <w:tcW w:w="0" w:type="dxa"/>
            <w:vAlign w:val="bottom"/>
          </w:tcPr>
          <w:p>
            <w:pPr>
              <w:spacing w:after="0"/>
              <w:rPr>
                <w:sz w:val="1"/>
                <w:szCs w:val="1"/>
                <w:color w:val="auto"/>
              </w:rPr>
            </w:pPr>
          </w:p>
        </w:tc>
      </w:tr>
      <w:tr>
        <w:trPr>
          <w:trHeight w:val="192"/>
        </w:trPr>
        <w:tc>
          <w:tcPr>
            <w:tcW w:w="760" w:type="dxa"/>
            <w:vAlign w:val="bottom"/>
            <w:gridSpan w:val="2"/>
          </w:tcPr>
          <w:p>
            <w:pPr>
              <w:spacing w:after="0"/>
              <w:rPr>
                <w:sz w:val="20"/>
                <w:szCs w:val="20"/>
                <w:color w:val="auto"/>
              </w:rPr>
            </w:pPr>
            <w:r>
              <w:rPr>
                <w:rFonts w:ascii="Arial" w:cs="Arial" w:eastAsia="Arial" w:hAnsi="Arial"/>
                <w:sz w:val="11"/>
                <w:szCs w:val="11"/>
                <w:color w:val="005A64"/>
              </w:rPr>
              <w:t>5/31/2022</w:t>
            </w:r>
            <w:r>
              <w:rPr>
                <w:rFonts w:ascii="Arial" w:cs="Arial" w:eastAsia="Arial" w:hAnsi="Arial"/>
                <w:sz w:val="16"/>
                <w:szCs w:val="16"/>
                <w:color w:val="005A64"/>
                <w:vertAlign w:val="superscript"/>
              </w:rPr>
              <w:t>(4)</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14,664</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146.40</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5/31/2026</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5/31/2032</w:t>
            </w:r>
          </w:p>
        </w:tc>
        <w:tc>
          <w:tcPr>
            <w:tcW w:w="0" w:type="dxa"/>
            <w:vAlign w:val="bottom"/>
          </w:tcPr>
          <w:p>
            <w:pPr>
              <w:spacing w:after="0"/>
              <w:rPr>
                <w:sz w:val="1"/>
                <w:szCs w:val="1"/>
                <w:color w:val="auto"/>
              </w:rPr>
            </w:pPr>
          </w:p>
        </w:tc>
      </w:tr>
      <w:tr>
        <w:trPr>
          <w:trHeight w:val="192"/>
        </w:trPr>
        <w:tc>
          <w:tcPr>
            <w:tcW w:w="760" w:type="dxa"/>
            <w:vAlign w:val="bottom"/>
            <w:gridSpan w:val="2"/>
          </w:tcPr>
          <w:p>
            <w:pPr>
              <w:spacing w:after="0"/>
              <w:rPr>
                <w:sz w:val="20"/>
                <w:szCs w:val="20"/>
                <w:color w:val="auto"/>
              </w:rPr>
            </w:pPr>
            <w:r>
              <w:rPr>
                <w:rFonts w:ascii="Arial" w:cs="Arial" w:eastAsia="Arial" w:hAnsi="Arial"/>
                <w:sz w:val="11"/>
                <w:szCs w:val="11"/>
                <w:color w:val="005A64"/>
              </w:rPr>
              <w:t>5/22/2023</w:t>
            </w:r>
            <w:r>
              <w:rPr>
                <w:rFonts w:ascii="Arial" w:cs="Arial" w:eastAsia="Arial" w:hAnsi="Arial"/>
                <w:sz w:val="16"/>
                <w:szCs w:val="16"/>
                <w:color w:val="005A64"/>
                <w:vertAlign w:val="superscript"/>
              </w:rPr>
              <w:t>(5)</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18,416</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109.67</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5/22/2027</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5/22/2033</w:t>
            </w:r>
          </w:p>
        </w:tc>
        <w:tc>
          <w:tcPr>
            <w:tcW w:w="0" w:type="dxa"/>
            <w:vAlign w:val="bottom"/>
          </w:tcPr>
          <w:p>
            <w:pPr>
              <w:spacing w:after="0"/>
              <w:rPr>
                <w:sz w:val="1"/>
                <w:szCs w:val="1"/>
                <w:color w:val="auto"/>
              </w:rPr>
            </w:pPr>
          </w:p>
        </w:tc>
      </w:tr>
      <w:tr>
        <w:trPr>
          <w:trHeight w:val="202"/>
        </w:trPr>
        <w:tc>
          <w:tcPr>
            <w:tcW w:w="760" w:type="dxa"/>
            <w:vAlign w:val="bottom"/>
            <w:gridSpan w:val="2"/>
          </w:tcPr>
          <w:p>
            <w:pPr>
              <w:spacing w:after="0"/>
              <w:rPr>
                <w:sz w:val="20"/>
                <w:szCs w:val="20"/>
                <w:color w:val="auto"/>
              </w:rPr>
            </w:pPr>
            <w:r>
              <w:rPr>
                <w:rFonts w:ascii="Arial" w:cs="Arial" w:eastAsia="Arial" w:hAnsi="Arial"/>
                <w:sz w:val="11"/>
                <w:szCs w:val="11"/>
                <w:color w:val="005A64"/>
              </w:rPr>
              <w:t>8/26/2024</w:t>
            </w:r>
            <w:r>
              <w:rPr>
                <w:rFonts w:ascii="Arial" w:cs="Arial" w:eastAsia="Arial" w:hAnsi="Arial"/>
                <w:sz w:val="16"/>
                <w:szCs w:val="16"/>
                <w:color w:val="005A64"/>
                <w:vertAlign w:val="superscript"/>
              </w:rPr>
              <w:t>(6)</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25,459</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75.91</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8/26/2028</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8/26/2034</w:t>
            </w:r>
          </w:p>
        </w:tc>
        <w:tc>
          <w:tcPr>
            <w:tcW w:w="0" w:type="dxa"/>
            <w:vAlign w:val="bottom"/>
          </w:tcPr>
          <w:p>
            <w:pPr>
              <w:spacing w:after="0"/>
              <w:rPr>
                <w:sz w:val="1"/>
                <w:szCs w:val="1"/>
                <w:color w:val="auto"/>
              </w:rPr>
            </w:pPr>
          </w:p>
        </w:tc>
      </w:tr>
      <w:tr>
        <w:trPr>
          <w:trHeight w:val="173"/>
        </w:trPr>
        <w:tc>
          <w:tcPr>
            <w:tcW w:w="760" w:type="dxa"/>
            <w:vAlign w:val="bottom"/>
            <w:tcBorders>
              <w:top w:val="single" w:sz="8" w:color="005A64"/>
            </w:tcBorders>
            <w:gridSpan w:val="2"/>
          </w:tcPr>
          <w:p>
            <w:pPr>
              <w:spacing w:after="0" w:line="173" w:lineRule="exact"/>
              <w:rPr>
                <w:sz w:val="20"/>
                <w:szCs w:val="20"/>
                <w:color w:val="auto"/>
              </w:rPr>
            </w:pPr>
            <w:r>
              <w:rPr>
                <w:rFonts w:ascii="Arial" w:cs="Arial" w:eastAsia="Arial" w:hAnsi="Arial"/>
                <w:sz w:val="11"/>
                <w:szCs w:val="11"/>
                <w:color w:val="005A64"/>
              </w:rPr>
              <w:t>2/13/2020</w:t>
            </w:r>
            <w:r>
              <w:rPr>
                <w:rFonts w:ascii="Arial" w:cs="Arial" w:eastAsia="Arial" w:hAnsi="Arial"/>
                <w:sz w:val="16"/>
                <w:szCs w:val="16"/>
                <w:color w:val="005A64"/>
                <w:vertAlign w:val="superscript"/>
              </w:rPr>
              <w:t>(2)</w:t>
            </w:r>
          </w:p>
        </w:tc>
        <w:tc>
          <w:tcPr>
            <w:tcW w:w="40" w:type="dxa"/>
            <w:vAlign w:val="bottom"/>
          </w:tcPr>
          <w:p>
            <w:pPr>
              <w:spacing w:after="0"/>
              <w:rPr>
                <w:sz w:val="15"/>
                <w:szCs w:val="15"/>
                <w:color w:val="auto"/>
              </w:rPr>
            </w:pPr>
          </w:p>
        </w:tc>
        <w:tc>
          <w:tcPr>
            <w:tcW w:w="1160" w:type="dxa"/>
            <w:vAlign w:val="bottom"/>
            <w:tcBorders>
              <w:top w:val="single" w:sz="8" w:color="005A64"/>
            </w:tcBorders>
          </w:tcPr>
          <w:p>
            <w:pPr>
              <w:ind w:left="20"/>
              <w:spacing w:after="0"/>
              <w:rPr>
                <w:sz w:val="20"/>
                <w:szCs w:val="20"/>
                <w:color w:val="auto"/>
              </w:rPr>
            </w:pPr>
            <w:r>
              <w:rPr>
                <w:rFonts w:ascii="Arial" w:cs="Arial" w:eastAsia="Arial" w:hAnsi="Arial"/>
                <w:sz w:val="11"/>
                <w:szCs w:val="11"/>
                <w:color w:val="005A64"/>
              </w:rPr>
              <w:t>—</w:t>
            </w:r>
          </w:p>
        </w:tc>
        <w:tc>
          <w:tcPr>
            <w:tcW w:w="60" w:type="dxa"/>
            <w:vAlign w:val="bottom"/>
          </w:tcPr>
          <w:p>
            <w:pPr>
              <w:spacing w:after="0"/>
              <w:rPr>
                <w:sz w:val="15"/>
                <w:szCs w:val="15"/>
                <w:color w:val="auto"/>
              </w:rPr>
            </w:pPr>
          </w:p>
        </w:tc>
        <w:tc>
          <w:tcPr>
            <w:tcW w:w="76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29.63</w:t>
            </w:r>
          </w:p>
        </w:tc>
        <w:tc>
          <w:tcPr>
            <w:tcW w:w="60" w:type="dxa"/>
            <w:vAlign w:val="bottom"/>
          </w:tcPr>
          <w:p>
            <w:pPr>
              <w:spacing w:after="0"/>
              <w:rPr>
                <w:sz w:val="15"/>
                <w:szCs w:val="15"/>
                <w:color w:val="auto"/>
              </w:rPr>
            </w:pPr>
          </w:p>
        </w:tc>
        <w:tc>
          <w:tcPr>
            <w:tcW w:w="76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2/13/2024</w:t>
            </w:r>
          </w:p>
        </w:tc>
        <w:tc>
          <w:tcPr>
            <w:tcW w:w="60" w:type="dxa"/>
            <w:vAlign w:val="bottom"/>
          </w:tcPr>
          <w:p>
            <w:pPr>
              <w:spacing w:after="0"/>
              <w:rPr>
                <w:sz w:val="15"/>
                <w:szCs w:val="15"/>
                <w:color w:val="auto"/>
              </w:rPr>
            </w:pPr>
          </w:p>
        </w:tc>
        <w:tc>
          <w:tcPr>
            <w:tcW w:w="76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2/13/2030</w:t>
            </w:r>
          </w:p>
        </w:tc>
        <w:tc>
          <w:tcPr>
            <w:tcW w:w="0" w:type="dxa"/>
            <w:vAlign w:val="bottom"/>
          </w:tcPr>
          <w:p>
            <w:pPr>
              <w:spacing w:after="0"/>
              <w:rPr>
                <w:sz w:val="1"/>
                <w:szCs w:val="1"/>
                <w:color w:val="auto"/>
              </w:rPr>
            </w:pPr>
          </w:p>
        </w:tc>
      </w:tr>
      <w:tr>
        <w:trPr>
          <w:trHeight w:val="192"/>
        </w:trPr>
        <w:tc>
          <w:tcPr>
            <w:tcW w:w="760" w:type="dxa"/>
            <w:vAlign w:val="bottom"/>
            <w:gridSpan w:val="2"/>
          </w:tcPr>
          <w:p>
            <w:pPr>
              <w:spacing w:after="0"/>
              <w:rPr>
                <w:sz w:val="20"/>
                <w:szCs w:val="20"/>
                <w:color w:val="auto"/>
              </w:rPr>
            </w:pPr>
            <w:r>
              <w:rPr>
                <w:rFonts w:ascii="Arial" w:cs="Arial" w:eastAsia="Arial" w:hAnsi="Arial"/>
                <w:sz w:val="11"/>
                <w:szCs w:val="11"/>
                <w:color w:val="005A64"/>
              </w:rPr>
              <w:t>5/12/2021</w:t>
            </w:r>
            <w:r>
              <w:rPr>
                <w:rFonts w:ascii="Arial" w:cs="Arial" w:eastAsia="Arial" w:hAnsi="Arial"/>
                <w:sz w:val="16"/>
                <w:szCs w:val="16"/>
                <w:color w:val="005A64"/>
                <w:vertAlign w:val="superscript"/>
              </w:rPr>
              <w:t>(3)</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6,163</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178.29</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5/12/2025</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5/12/2031</w:t>
            </w:r>
          </w:p>
        </w:tc>
        <w:tc>
          <w:tcPr>
            <w:tcW w:w="0" w:type="dxa"/>
            <w:vAlign w:val="bottom"/>
          </w:tcPr>
          <w:p>
            <w:pPr>
              <w:spacing w:after="0"/>
              <w:rPr>
                <w:sz w:val="1"/>
                <w:szCs w:val="1"/>
                <w:color w:val="auto"/>
              </w:rPr>
            </w:pPr>
          </w:p>
        </w:tc>
      </w:tr>
      <w:tr>
        <w:trPr>
          <w:trHeight w:val="192"/>
        </w:trPr>
        <w:tc>
          <w:tcPr>
            <w:tcW w:w="760" w:type="dxa"/>
            <w:vAlign w:val="bottom"/>
            <w:gridSpan w:val="2"/>
          </w:tcPr>
          <w:p>
            <w:pPr>
              <w:spacing w:after="0"/>
              <w:rPr>
                <w:sz w:val="20"/>
                <w:szCs w:val="20"/>
                <w:color w:val="auto"/>
              </w:rPr>
            </w:pPr>
            <w:r>
              <w:rPr>
                <w:rFonts w:ascii="Arial" w:cs="Arial" w:eastAsia="Arial" w:hAnsi="Arial"/>
                <w:sz w:val="11"/>
                <w:szCs w:val="11"/>
                <w:color w:val="005A64"/>
              </w:rPr>
              <w:t>5/31/2022</w:t>
            </w:r>
            <w:r>
              <w:rPr>
                <w:rFonts w:ascii="Arial" w:cs="Arial" w:eastAsia="Arial" w:hAnsi="Arial"/>
                <w:sz w:val="16"/>
                <w:szCs w:val="16"/>
                <w:color w:val="005A64"/>
                <w:vertAlign w:val="superscript"/>
              </w:rPr>
              <w:t>(4)</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7,465</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146.40</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5/31/2026</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5/31/2032</w:t>
            </w:r>
          </w:p>
        </w:tc>
        <w:tc>
          <w:tcPr>
            <w:tcW w:w="0" w:type="dxa"/>
            <w:vAlign w:val="bottom"/>
          </w:tcPr>
          <w:p>
            <w:pPr>
              <w:spacing w:after="0"/>
              <w:rPr>
                <w:sz w:val="1"/>
                <w:szCs w:val="1"/>
                <w:color w:val="auto"/>
              </w:rPr>
            </w:pPr>
          </w:p>
        </w:tc>
      </w:tr>
      <w:tr>
        <w:trPr>
          <w:trHeight w:val="192"/>
        </w:trPr>
        <w:tc>
          <w:tcPr>
            <w:tcW w:w="760" w:type="dxa"/>
            <w:vAlign w:val="bottom"/>
            <w:gridSpan w:val="2"/>
          </w:tcPr>
          <w:p>
            <w:pPr>
              <w:spacing w:after="0"/>
              <w:rPr>
                <w:sz w:val="20"/>
                <w:szCs w:val="20"/>
                <w:color w:val="auto"/>
              </w:rPr>
            </w:pPr>
            <w:r>
              <w:rPr>
                <w:rFonts w:ascii="Arial" w:cs="Arial" w:eastAsia="Arial" w:hAnsi="Arial"/>
                <w:sz w:val="11"/>
                <w:szCs w:val="11"/>
                <w:color w:val="005A64"/>
              </w:rPr>
              <w:t>5/22/2023</w:t>
            </w:r>
            <w:r>
              <w:rPr>
                <w:rFonts w:ascii="Arial" w:cs="Arial" w:eastAsia="Arial" w:hAnsi="Arial"/>
                <w:sz w:val="16"/>
                <w:szCs w:val="16"/>
                <w:color w:val="005A64"/>
                <w:vertAlign w:val="superscript"/>
              </w:rPr>
              <w:t>(5)</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18,416</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109.67</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5/22/2027</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5/22/2033</w:t>
            </w:r>
          </w:p>
        </w:tc>
        <w:tc>
          <w:tcPr>
            <w:tcW w:w="0" w:type="dxa"/>
            <w:vAlign w:val="bottom"/>
          </w:tcPr>
          <w:p>
            <w:pPr>
              <w:spacing w:after="0"/>
              <w:rPr>
                <w:sz w:val="1"/>
                <w:szCs w:val="1"/>
                <w:color w:val="auto"/>
              </w:rPr>
            </w:pPr>
          </w:p>
        </w:tc>
      </w:tr>
      <w:tr>
        <w:trPr>
          <w:trHeight w:val="202"/>
        </w:trPr>
        <w:tc>
          <w:tcPr>
            <w:tcW w:w="760" w:type="dxa"/>
            <w:vAlign w:val="bottom"/>
            <w:gridSpan w:val="2"/>
          </w:tcPr>
          <w:p>
            <w:pPr>
              <w:spacing w:after="0"/>
              <w:rPr>
                <w:sz w:val="20"/>
                <w:szCs w:val="20"/>
                <w:color w:val="auto"/>
              </w:rPr>
            </w:pPr>
            <w:r>
              <w:rPr>
                <w:rFonts w:ascii="Arial" w:cs="Arial" w:eastAsia="Arial" w:hAnsi="Arial"/>
                <w:sz w:val="11"/>
                <w:szCs w:val="11"/>
                <w:color w:val="005A64"/>
              </w:rPr>
              <w:t>8/26/2024</w:t>
            </w:r>
            <w:r>
              <w:rPr>
                <w:rFonts w:ascii="Arial" w:cs="Arial" w:eastAsia="Arial" w:hAnsi="Arial"/>
                <w:sz w:val="16"/>
                <w:szCs w:val="16"/>
                <w:color w:val="005A64"/>
                <w:vertAlign w:val="superscript"/>
              </w:rPr>
              <w:t>(6)</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25,459</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75.91</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8/26/2028</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8/26/2034</w:t>
            </w:r>
          </w:p>
        </w:tc>
        <w:tc>
          <w:tcPr>
            <w:tcW w:w="0" w:type="dxa"/>
            <w:vAlign w:val="bottom"/>
          </w:tcPr>
          <w:p>
            <w:pPr>
              <w:spacing w:after="0"/>
              <w:rPr>
                <w:sz w:val="1"/>
                <w:szCs w:val="1"/>
                <w:color w:val="auto"/>
              </w:rPr>
            </w:pPr>
          </w:p>
        </w:tc>
      </w:tr>
      <w:tr>
        <w:trPr>
          <w:trHeight w:val="137"/>
        </w:trPr>
        <w:tc>
          <w:tcPr>
            <w:tcW w:w="760" w:type="dxa"/>
            <w:vAlign w:val="bottom"/>
            <w:tcBorders>
              <w:top w:val="single" w:sz="8" w:color="005A64"/>
            </w:tcBorders>
            <w:gridSpan w:val="2"/>
          </w:tcPr>
          <w:p>
            <w:pPr>
              <w:spacing w:after="0"/>
              <w:rPr>
                <w:sz w:val="20"/>
                <w:szCs w:val="20"/>
                <w:color w:val="auto"/>
              </w:rPr>
            </w:pPr>
            <w:r>
              <w:rPr>
                <w:rFonts w:ascii="Arial" w:cs="Arial" w:eastAsia="Arial" w:hAnsi="Arial"/>
                <w:sz w:val="11"/>
                <w:szCs w:val="11"/>
                <w:color w:val="005A64"/>
              </w:rPr>
              <w:t>12/15/2020</w:t>
            </w:r>
          </w:p>
        </w:tc>
        <w:tc>
          <w:tcPr>
            <w:tcW w:w="40" w:type="dxa"/>
            <w:vAlign w:val="bottom"/>
          </w:tcPr>
          <w:p>
            <w:pPr>
              <w:spacing w:after="0"/>
              <w:rPr>
                <w:sz w:val="11"/>
                <w:szCs w:val="11"/>
                <w:color w:val="auto"/>
              </w:rPr>
            </w:pPr>
          </w:p>
        </w:tc>
        <w:tc>
          <w:tcPr>
            <w:tcW w:w="1160" w:type="dxa"/>
            <w:vAlign w:val="bottom"/>
            <w:tcBorders>
              <w:top w:val="single" w:sz="8" w:color="005A64"/>
            </w:tcBorders>
          </w:tcPr>
          <w:p>
            <w:pPr>
              <w:ind w:left="20"/>
              <w:spacing w:after="0"/>
              <w:rPr>
                <w:sz w:val="20"/>
                <w:szCs w:val="20"/>
                <w:color w:val="auto"/>
              </w:rPr>
            </w:pPr>
            <w:r>
              <w:rPr>
                <w:rFonts w:ascii="Arial" w:cs="Arial" w:eastAsia="Arial" w:hAnsi="Arial"/>
                <w:sz w:val="11"/>
                <w:szCs w:val="11"/>
                <w:color w:val="005A64"/>
              </w:rPr>
              <w:t>1,163</w:t>
            </w:r>
          </w:p>
        </w:tc>
        <w:tc>
          <w:tcPr>
            <w:tcW w:w="60" w:type="dxa"/>
            <w:vAlign w:val="bottom"/>
          </w:tcPr>
          <w:p>
            <w:pPr>
              <w:spacing w:after="0"/>
              <w:rPr>
                <w:sz w:val="11"/>
                <w:szCs w:val="11"/>
                <w:color w:val="auto"/>
              </w:rPr>
            </w:pPr>
          </w:p>
        </w:tc>
        <w:tc>
          <w:tcPr>
            <w:tcW w:w="76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n/a</w:t>
            </w:r>
          </w:p>
        </w:tc>
        <w:tc>
          <w:tcPr>
            <w:tcW w:w="60" w:type="dxa"/>
            <w:vAlign w:val="bottom"/>
          </w:tcPr>
          <w:p>
            <w:pPr>
              <w:spacing w:after="0"/>
              <w:rPr>
                <w:sz w:val="11"/>
                <w:szCs w:val="11"/>
                <w:color w:val="auto"/>
              </w:rPr>
            </w:pPr>
          </w:p>
        </w:tc>
        <w:tc>
          <w:tcPr>
            <w:tcW w:w="76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12/15/2024</w:t>
            </w:r>
          </w:p>
        </w:tc>
        <w:tc>
          <w:tcPr>
            <w:tcW w:w="60" w:type="dxa"/>
            <w:vAlign w:val="bottom"/>
          </w:tcPr>
          <w:p>
            <w:pPr>
              <w:spacing w:after="0"/>
              <w:rPr>
                <w:sz w:val="11"/>
                <w:szCs w:val="11"/>
                <w:color w:val="auto"/>
              </w:rPr>
            </w:pPr>
          </w:p>
        </w:tc>
        <w:tc>
          <w:tcPr>
            <w:tcW w:w="76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n/a</w:t>
            </w:r>
          </w:p>
        </w:tc>
        <w:tc>
          <w:tcPr>
            <w:tcW w:w="0" w:type="dxa"/>
            <w:vAlign w:val="bottom"/>
          </w:tcPr>
          <w:p>
            <w:pPr>
              <w:spacing w:after="0"/>
              <w:rPr>
                <w:sz w:val="1"/>
                <w:szCs w:val="1"/>
                <w:color w:val="auto"/>
              </w:rPr>
            </w:pPr>
          </w:p>
        </w:tc>
      </w:tr>
      <w:tr>
        <w:trPr>
          <w:trHeight w:val="183"/>
        </w:trPr>
        <w:tc>
          <w:tcPr>
            <w:tcW w:w="760" w:type="dxa"/>
            <w:vAlign w:val="bottom"/>
            <w:gridSpan w:val="2"/>
          </w:tcPr>
          <w:p>
            <w:pPr>
              <w:spacing w:after="0"/>
              <w:rPr>
                <w:sz w:val="20"/>
                <w:szCs w:val="20"/>
                <w:color w:val="auto"/>
              </w:rPr>
            </w:pPr>
            <w:r>
              <w:rPr>
                <w:rFonts w:ascii="Arial" w:cs="Arial" w:eastAsia="Arial" w:hAnsi="Arial"/>
                <w:sz w:val="11"/>
                <w:szCs w:val="11"/>
                <w:color w:val="005A64"/>
              </w:rPr>
              <w:t>12/10/2021</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313</w:t>
            </w:r>
          </w:p>
        </w:tc>
        <w:tc>
          <w:tcPr>
            <w:tcW w:w="6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1"/>
                <w:szCs w:val="11"/>
                <w:color w:val="005A64"/>
              </w:rPr>
              <w:t>n/a</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12/10/2025</w:t>
            </w:r>
          </w:p>
        </w:tc>
        <w:tc>
          <w:tcPr>
            <w:tcW w:w="6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1"/>
                <w:szCs w:val="11"/>
                <w:color w:val="005A64"/>
              </w:rPr>
              <w:t>n/a</w:t>
            </w:r>
          </w:p>
        </w:tc>
        <w:tc>
          <w:tcPr>
            <w:tcW w:w="0" w:type="dxa"/>
            <w:vAlign w:val="bottom"/>
          </w:tcPr>
          <w:p>
            <w:pPr>
              <w:spacing w:after="0"/>
              <w:rPr>
                <w:sz w:val="1"/>
                <w:szCs w:val="1"/>
                <w:color w:val="auto"/>
              </w:rPr>
            </w:pPr>
          </w:p>
        </w:tc>
      </w:tr>
      <w:tr>
        <w:trPr>
          <w:trHeight w:val="192"/>
        </w:trPr>
        <w:tc>
          <w:tcPr>
            <w:tcW w:w="500" w:type="dxa"/>
            <w:vAlign w:val="bottom"/>
          </w:tcPr>
          <w:p>
            <w:pPr>
              <w:spacing w:after="0"/>
              <w:rPr>
                <w:sz w:val="20"/>
                <w:szCs w:val="20"/>
                <w:color w:val="auto"/>
              </w:rPr>
            </w:pPr>
            <w:r>
              <w:rPr>
                <w:rFonts w:ascii="Arial" w:cs="Arial" w:eastAsia="Arial" w:hAnsi="Arial"/>
                <w:sz w:val="11"/>
                <w:szCs w:val="11"/>
                <w:color w:val="005A64"/>
                <w:w w:val="97"/>
              </w:rPr>
              <w:t>12/9/2022</w:t>
            </w:r>
          </w:p>
        </w:tc>
        <w:tc>
          <w:tcPr>
            <w:tcW w:w="2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740</w:t>
            </w:r>
          </w:p>
        </w:tc>
        <w:tc>
          <w:tcPr>
            <w:tcW w:w="6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1"/>
                <w:szCs w:val="11"/>
                <w:color w:val="005A64"/>
              </w:rPr>
              <w:t>n/a</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12/9/2026</w:t>
            </w:r>
          </w:p>
        </w:tc>
        <w:tc>
          <w:tcPr>
            <w:tcW w:w="6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1"/>
                <w:szCs w:val="11"/>
                <w:color w:val="005A64"/>
              </w:rPr>
              <w:t>n/a</w:t>
            </w:r>
          </w:p>
        </w:tc>
        <w:tc>
          <w:tcPr>
            <w:tcW w:w="0" w:type="dxa"/>
            <w:vAlign w:val="bottom"/>
          </w:tcPr>
          <w:p>
            <w:pPr>
              <w:spacing w:after="0"/>
              <w:rPr>
                <w:sz w:val="1"/>
                <w:szCs w:val="1"/>
                <w:color w:val="auto"/>
              </w:rPr>
            </w:pPr>
          </w:p>
        </w:tc>
      </w:tr>
      <w:tr>
        <w:trPr>
          <w:trHeight w:val="192"/>
        </w:trPr>
        <w:tc>
          <w:tcPr>
            <w:tcW w:w="500" w:type="dxa"/>
            <w:vAlign w:val="bottom"/>
          </w:tcPr>
          <w:p>
            <w:pPr>
              <w:spacing w:after="0"/>
              <w:rPr>
                <w:sz w:val="20"/>
                <w:szCs w:val="20"/>
                <w:color w:val="auto"/>
              </w:rPr>
            </w:pPr>
            <w:r>
              <w:rPr>
                <w:rFonts w:ascii="Arial" w:cs="Arial" w:eastAsia="Arial" w:hAnsi="Arial"/>
                <w:sz w:val="11"/>
                <w:szCs w:val="11"/>
                <w:color w:val="005A64"/>
                <w:w w:val="97"/>
              </w:rPr>
              <w:t>12/8/2023</w:t>
            </w:r>
          </w:p>
        </w:tc>
        <w:tc>
          <w:tcPr>
            <w:tcW w:w="2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750</w:t>
            </w:r>
          </w:p>
        </w:tc>
        <w:tc>
          <w:tcPr>
            <w:tcW w:w="6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1"/>
                <w:szCs w:val="11"/>
                <w:color w:val="005A64"/>
              </w:rPr>
              <w:t>n/a</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12/8/2027</w:t>
            </w:r>
          </w:p>
        </w:tc>
        <w:tc>
          <w:tcPr>
            <w:tcW w:w="6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1"/>
                <w:szCs w:val="11"/>
                <w:color w:val="005A64"/>
              </w:rPr>
              <w:t>n/a</w:t>
            </w:r>
          </w:p>
        </w:tc>
        <w:tc>
          <w:tcPr>
            <w:tcW w:w="0" w:type="dxa"/>
            <w:vAlign w:val="bottom"/>
          </w:tcPr>
          <w:p>
            <w:pPr>
              <w:spacing w:after="0"/>
              <w:rPr>
                <w:sz w:val="1"/>
                <w:szCs w:val="1"/>
                <w:color w:val="auto"/>
              </w:rPr>
            </w:pPr>
          </w:p>
        </w:tc>
      </w:tr>
      <w:tr>
        <w:trPr>
          <w:trHeight w:val="247"/>
        </w:trPr>
        <w:tc>
          <w:tcPr>
            <w:tcW w:w="760" w:type="dxa"/>
            <w:vAlign w:val="bottom"/>
            <w:gridSpan w:val="2"/>
          </w:tcPr>
          <w:p>
            <w:pPr>
              <w:spacing w:after="0"/>
              <w:rPr>
                <w:sz w:val="20"/>
                <w:szCs w:val="20"/>
                <w:color w:val="auto"/>
              </w:rPr>
            </w:pPr>
            <w:r>
              <w:rPr>
                <w:rFonts w:ascii="Arial" w:cs="Arial" w:eastAsia="Arial" w:hAnsi="Arial"/>
                <w:sz w:val="11"/>
                <w:szCs w:val="11"/>
                <w:color w:val="005A64"/>
              </w:rPr>
              <w:t>8/26/2024</w:t>
            </w:r>
            <w:r>
              <w:rPr>
                <w:rFonts w:ascii="Arial" w:cs="Arial" w:eastAsia="Arial" w:hAnsi="Arial"/>
                <w:sz w:val="16"/>
                <w:szCs w:val="16"/>
                <w:color w:val="005A64"/>
                <w:vertAlign w:val="superscript"/>
              </w:rPr>
              <w:t>(6)</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25,459</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75.91</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8/26/2028</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8/26/2034</w:t>
            </w:r>
          </w:p>
        </w:tc>
        <w:tc>
          <w:tcPr>
            <w:tcW w:w="0" w:type="dxa"/>
            <w:vAlign w:val="bottom"/>
          </w:tcPr>
          <w:p>
            <w:pPr>
              <w:spacing w:after="0"/>
              <w:rPr>
                <w:sz w:val="1"/>
                <w:szCs w:val="1"/>
                <w:color w:val="auto"/>
              </w:rPr>
            </w:pPr>
          </w:p>
        </w:tc>
      </w:tr>
      <w:tr>
        <w:trPr>
          <w:trHeight w:val="173"/>
        </w:trPr>
        <w:tc>
          <w:tcPr>
            <w:tcW w:w="760" w:type="dxa"/>
            <w:vAlign w:val="bottom"/>
            <w:tcBorders>
              <w:top w:val="single" w:sz="8" w:color="005A64"/>
            </w:tcBorders>
            <w:gridSpan w:val="2"/>
          </w:tcPr>
          <w:p>
            <w:pPr>
              <w:spacing w:after="0" w:line="173" w:lineRule="exact"/>
              <w:rPr>
                <w:sz w:val="20"/>
                <w:szCs w:val="20"/>
                <w:color w:val="auto"/>
              </w:rPr>
            </w:pPr>
            <w:r>
              <w:rPr>
                <w:rFonts w:ascii="Arial" w:cs="Arial" w:eastAsia="Arial" w:hAnsi="Arial"/>
                <w:sz w:val="11"/>
                <w:szCs w:val="11"/>
                <w:color w:val="005A64"/>
              </w:rPr>
              <w:t>2/13/2020</w:t>
            </w:r>
            <w:r>
              <w:rPr>
                <w:rFonts w:ascii="Arial" w:cs="Arial" w:eastAsia="Arial" w:hAnsi="Arial"/>
                <w:sz w:val="16"/>
                <w:szCs w:val="16"/>
                <w:color w:val="005A64"/>
                <w:vertAlign w:val="superscript"/>
              </w:rPr>
              <w:t>(2)</w:t>
            </w:r>
          </w:p>
        </w:tc>
        <w:tc>
          <w:tcPr>
            <w:tcW w:w="40" w:type="dxa"/>
            <w:vAlign w:val="bottom"/>
          </w:tcPr>
          <w:p>
            <w:pPr>
              <w:spacing w:after="0"/>
              <w:rPr>
                <w:sz w:val="15"/>
                <w:szCs w:val="15"/>
                <w:color w:val="auto"/>
              </w:rPr>
            </w:pPr>
          </w:p>
        </w:tc>
        <w:tc>
          <w:tcPr>
            <w:tcW w:w="1160" w:type="dxa"/>
            <w:vAlign w:val="bottom"/>
            <w:tcBorders>
              <w:top w:val="single" w:sz="8" w:color="005A64"/>
            </w:tcBorders>
          </w:tcPr>
          <w:p>
            <w:pPr>
              <w:ind w:left="20"/>
              <w:spacing w:after="0"/>
              <w:rPr>
                <w:sz w:val="20"/>
                <w:szCs w:val="20"/>
                <w:color w:val="auto"/>
              </w:rPr>
            </w:pPr>
            <w:r>
              <w:rPr>
                <w:rFonts w:ascii="Arial" w:cs="Arial" w:eastAsia="Arial" w:hAnsi="Arial"/>
                <w:sz w:val="11"/>
                <w:szCs w:val="11"/>
                <w:color w:val="005A64"/>
              </w:rPr>
              <w:t>—</w:t>
            </w:r>
          </w:p>
        </w:tc>
        <w:tc>
          <w:tcPr>
            <w:tcW w:w="60" w:type="dxa"/>
            <w:vAlign w:val="bottom"/>
          </w:tcPr>
          <w:p>
            <w:pPr>
              <w:spacing w:after="0"/>
              <w:rPr>
                <w:sz w:val="15"/>
                <w:szCs w:val="15"/>
                <w:color w:val="auto"/>
              </w:rPr>
            </w:pPr>
          </w:p>
        </w:tc>
        <w:tc>
          <w:tcPr>
            <w:tcW w:w="76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29.63</w:t>
            </w:r>
          </w:p>
        </w:tc>
        <w:tc>
          <w:tcPr>
            <w:tcW w:w="60" w:type="dxa"/>
            <w:vAlign w:val="bottom"/>
          </w:tcPr>
          <w:p>
            <w:pPr>
              <w:spacing w:after="0"/>
              <w:rPr>
                <w:sz w:val="15"/>
                <w:szCs w:val="15"/>
                <w:color w:val="auto"/>
              </w:rPr>
            </w:pPr>
          </w:p>
        </w:tc>
        <w:tc>
          <w:tcPr>
            <w:tcW w:w="76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2/13/2024</w:t>
            </w:r>
          </w:p>
        </w:tc>
        <w:tc>
          <w:tcPr>
            <w:tcW w:w="60" w:type="dxa"/>
            <w:vAlign w:val="bottom"/>
          </w:tcPr>
          <w:p>
            <w:pPr>
              <w:spacing w:after="0"/>
              <w:rPr>
                <w:sz w:val="15"/>
                <w:szCs w:val="15"/>
                <w:color w:val="auto"/>
              </w:rPr>
            </w:pPr>
          </w:p>
        </w:tc>
        <w:tc>
          <w:tcPr>
            <w:tcW w:w="76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2/13/2030</w:t>
            </w:r>
          </w:p>
        </w:tc>
        <w:tc>
          <w:tcPr>
            <w:tcW w:w="0" w:type="dxa"/>
            <w:vAlign w:val="bottom"/>
          </w:tcPr>
          <w:p>
            <w:pPr>
              <w:spacing w:after="0"/>
              <w:rPr>
                <w:sz w:val="1"/>
                <w:szCs w:val="1"/>
                <w:color w:val="auto"/>
              </w:rPr>
            </w:pPr>
          </w:p>
        </w:tc>
      </w:tr>
      <w:tr>
        <w:trPr>
          <w:trHeight w:val="192"/>
        </w:trPr>
        <w:tc>
          <w:tcPr>
            <w:tcW w:w="760" w:type="dxa"/>
            <w:vAlign w:val="bottom"/>
            <w:gridSpan w:val="2"/>
          </w:tcPr>
          <w:p>
            <w:pPr>
              <w:spacing w:after="0"/>
              <w:rPr>
                <w:sz w:val="20"/>
                <w:szCs w:val="20"/>
                <w:color w:val="auto"/>
              </w:rPr>
            </w:pPr>
            <w:r>
              <w:rPr>
                <w:rFonts w:ascii="Arial" w:cs="Arial" w:eastAsia="Arial" w:hAnsi="Arial"/>
                <w:sz w:val="11"/>
                <w:szCs w:val="11"/>
                <w:color w:val="005A64"/>
              </w:rPr>
              <w:t>5/12/2021</w:t>
            </w:r>
            <w:r>
              <w:rPr>
                <w:rFonts w:ascii="Arial" w:cs="Arial" w:eastAsia="Arial" w:hAnsi="Arial"/>
                <w:sz w:val="16"/>
                <w:szCs w:val="16"/>
                <w:color w:val="005A64"/>
                <w:vertAlign w:val="superscript"/>
              </w:rPr>
              <w:t>(3)</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7,112</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178.29</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5/12/2025</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5/12/2031</w:t>
            </w:r>
          </w:p>
        </w:tc>
        <w:tc>
          <w:tcPr>
            <w:tcW w:w="0" w:type="dxa"/>
            <w:vAlign w:val="bottom"/>
          </w:tcPr>
          <w:p>
            <w:pPr>
              <w:spacing w:after="0"/>
              <w:rPr>
                <w:sz w:val="1"/>
                <w:szCs w:val="1"/>
                <w:color w:val="auto"/>
              </w:rPr>
            </w:pPr>
          </w:p>
        </w:tc>
      </w:tr>
      <w:tr>
        <w:trPr>
          <w:trHeight w:val="192"/>
        </w:trPr>
        <w:tc>
          <w:tcPr>
            <w:tcW w:w="760" w:type="dxa"/>
            <w:vAlign w:val="bottom"/>
            <w:gridSpan w:val="2"/>
          </w:tcPr>
          <w:p>
            <w:pPr>
              <w:spacing w:after="0"/>
              <w:rPr>
                <w:sz w:val="20"/>
                <w:szCs w:val="20"/>
                <w:color w:val="auto"/>
              </w:rPr>
            </w:pPr>
            <w:r>
              <w:rPr>
                <w:rFonts w:ascii="Arial" w:cs="Arial" w:eastAsia="Arial" w:hAnsi="Arial"/>
                <w:sz w:val="11"/>
                <w:szCs w:val="11"/>
                <w:color w:val="005A64"/>
              </w:rPr>
              <w:t>5/31/2022</w:t>
            </w:r>
            <w:r>
              <w:rPr>
                <w:rFonts w:ascii="Arial" w:cs="Arial" w:eastAsia="Arial" w:hAnsi="Arial"/>
                <w:sz w:val="16"/>
                <w:szCs w:val="16"/>
                <w:color w:val="005A64"/>
                <w:vertAlign w:val="superscript"/>
              </w:rPr>
              <w:t>(4)</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14,664</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146.40</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5/31/2026</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5/31/2032</w:t>
            </w:r>
          </w:p>
        </w:tc>
        <w:tc>
          <w:tcPr>
            <w:tcW w:w="0" w:type="dxa"/>
            <w:vAlign w:val="bottom"/>
          </w:tcPr>
          <w:p>
            <w:pPr>
              <w:spacing w:after="0"/>
              <w:rPr>
                <w:sz w:val="1"/>
                <w:szCs w:val="1"/>
                <w:color w:val="auto"/>
              </w:rPr>
            </w:pPr>
          </w:p>
        </w:tc>
      </w:tr>
      <w:tr>
        <w:trPr>
          <w:trHeight w:val="192"/>
        </w:trPr>
        <w:tc>
          <w:tcPr>
            <w:tcW w:w="760" w:type="dxa"/>
            <w:vAlign w:val="bottom"/>
            <w:gridSpan w:val="2"/>
          </w:tcPr>
          <w:p>
            <w:pPr>
              <w:spacing w:after="0"/>
              <w:rPr>
                <w:sz w:val="20"/>
                <w:szCs w:val="20"/>
                <w:color w:val="auto"/>
              </w:rPr>
            </w:pPr>
            <w:r>
              <w:rPr>
                <w:rFonts w:ascii="Arial" w:cs="Arial" w:eastAsia="Arial" w:hAnsi="Arial"/>
                <w:sz w:val="11"/>
                <w:szCs w:val="11"/>
                <w:color w:val="005A64"/>
              </w:rPr>
              <w:t>5/22/2023</w:t>
            </w:r>
            <w:r>
              <w:rPr>
                <w:rFonts w:ascii="Arial" w:cs="Arial" w:eastAsia="Arial" w:hAnsi="Arial"/>
                <w:sz w:val="16"/>
                <w:szCs w:val="16"/>
                <w:color w:val="005A64"/>
                <w:vertAlign w:val="superscript"/>
              </w:rPr>
              <w:t>(5)</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18,416</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109.67</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5/22/2027</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5/22/2033</w:t>
            </w: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1"/>
                <w:szCs w:val="11"/>
                <w:color w:val="005A64"/>
              </w:rPr>
              <w:t>8/26/2024</w:t>
            </w:r>
            <w:r>
              <w:rPr>
                <w:rFonts w:ascii="Arial" w:cs="Arial" w:eastAsia="Arial" w:hAnsi="Arial"/>
                <w:sz w:val="16"/>
                <w:szCs w:val="16"/>
                <w:color w:val="005A64"/>
                <w:vertAlign w:val="superscript"/>
              </w:rPr>
              <w:t>(6)</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25,459</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75.91</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8/26/2028</w:t>
            </w:r>
          </w:p>
        </w:tc>
        <w:tc>
          <w:tcPr>
            <w:tcW w:w="820" w:type="dxa"/>
            <w:vAlign w:val="bottom"/>
            <w:gridSpan w:val="2"/>
          </w:tcPr>
          <w:p>
            <w:pPr>
              <w:ind w:left="60"/>
              <w:spacing w:after="0"/>
              <w:rPr>
                <w:sz w:val="20"/>
                <w:szCs w:val="20"/>
                <w:color w:val="auto"/>
              </w:rPr>
            </w:pPr>
            <w:r>
              <w:rPr>
                <w:rFonts w:ascii="Arial" w:cs="Arial" w:eastAsia="Arial" w:hAnsi="Arial"/>
                <w:sz w:val="11"/>
                <w:szCs w:val="11"/>
                <w:color w:val="005A64"/>
              </w:rPr>
              <w:t>8/26/2034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2804795"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8047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005A64"/>
        </w:rPr>
        <w:t>CEO Grant 2019</w:t>
      </w:r>
    </w:p>
    <w:p>
      <w:pPr>
        <w:spacing w:after="0" w:line="85" w:lineRule="exact"/>
        <w:rPr>
          <w:sz w:val="20"/>
          <w:szCs w:val="20"/>
          <w:color w:val="auto"/>
        </w:rPr>
      </w:pPr>
    </w:p>
    <w:p>
      <w:pPr>
        <w:spacing w:after="0"/>
        <w:rPr>
          <w:sz w:val="20"/>
          <w:szCs w:val="20"/>
          <w:color w:val="auto"/>
        </w:rPr>
      </w:pPr>
      <w:r>
        <w:rPr>
          <w:rFonts w:ascii="Arial" w:cs="Arial" w:eastAsia="Arial" w:hAnsi="Arial"/>
          <w:sz w:val="11"/>
          <w:szCs w:val="11"/>
          <w:color w:val="005A64"/>
        </w:rPr>
        <w:t>LTI 2020</w:t>
      </w:r>
      <w:r>
        <w:rPr>
          <w:rFonts w:ascii="Arial" w:cs="Arial" w:eastAsia="Arial" w:hAnsi="Arial"/>
          <w:sz w:val="16"/>
          <w:szCs w:val="16"/>
          <w:color w:val="005A64"/>
          <w:vertAlign w:val="superscript"/>
        </w:rPr>
        <w:t>(10)</w:t>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005A64"/>
        </w:rPr>
        <w:t>LTI 2021</w:t>
      </w:r>
      <w:r>
        <w:rPr>
          <w:rFonts w:ascii="Arial" w:cs="Arial" w:eastAsia="Arial" w:hAnsi="Arial"/>
          <w:sz w:val="16"/>
          <w:szCs w:val="16"/>
          <w:color w:val="005A64"/>
          <w:vertAlign w:val="superscript"/>
        </w:rPr>
        <w:t>(10)</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005A64"/>
        </w:rPr>
        <w:t>LTI 2022</w:t>
      </w:r>
      <w:r>
        <w:rPr>
          <w:rFonts w:ascii="Arial" w:cs="Arial" w:eastAsia="Arial" w:hAnsi="Arial"/>
          <w:sz w:val="16"/>
          <w:szCs w:val="16"/>
          <w:color w:val="005A64"/>
          <w:vertAlign w:val="superscript"/>
        </w:rPr>
        <w:t>(10)</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005A64"/>
        </w:rPr>
        <w:t>LTI 2023</w:t>
      </w:r>
      <w:r>
        <w:rPr>
          <w:rFonts w:ascii="Arial" w:cs="Arial" w:eastAsia="Arial" w:hAnsi="Arial"/>
          <w:sz w:val="16"/>
          <w:szCs w:val="16"/>
          <w:color w:val="005A64"/>
          <w:vertAlign w:val="superscript"/>
        </w:rPr>
        <w:t>(10)</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005A64"/>
        </w:rPr>
        <w:t>LTI 2024</w:t>
      </w:r>
      <w:r>
        <w:rPr>
          <w:rFonts w:ascii="Arial" w:cs="Arial" w:eastAsia="Arial" w:hAnsi="Arial"/>
          <w:sz w:val="16"/>
          <w:szCs w:val="16"/>
          <w:color w:val="005A64"/>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571500"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1500" cy="6350"/>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11"/>
          <w:szCs w:val="11"/>
          <w:color w:val="005A64"/>
        </w:rPr>
        <w:t>LTI 2021</w:t>
      </w:r>
      <w:r>
        <w:rPr>
          <w:rFonts w:ascii="Arial" w:cs="Arial" w:eastAsia="Arial" w:hAnsi="Arial"/>
          <w:sz w:val="16"/>
          <w:szCs w:val="16"/>
          <w:color w:val="005A64"/>
          <w:vertAlign w:val="superscript"/>
        </w:rPr>
        <w:t>(10)</w:t>
      </w:r>
    </w:p>
    <w:p>
      <w:pPr>
        <w:spacing w:after="0"/>
        <w:rPr>
          <w:sz w:val="20"/>
          <w:szCs w:val="20"/>
          <w:color w:val="auto"/>
        </w:rPr>
      </w:pPr>
      <w:r>
        <w:rPr>
          <w:rFonts w:ascii="Arial" w:cs="Arial" w:eastAsia="Arial" w:hAnsi="Arial"/>
          <w:sz w:val="11"/>
          <w:szCs w:val="11"/>
          <w:color w:val="005A64"/>
        </w:rPr>
        <w:t>Signing Bonus</w:t>
      </w:r>
    </w:p>
    <w:p>
      <w:pPr>
        <w:spacing w:after="0" w:line="85" w:lineRule="exact"/>
        <w:rPr>
          <w:sz w:val="20"/>
          <w:szCs w:val="20"/>
          <w:color w:val="auto"/>
        </w:rPr>
      </w:pPr>
    </w:p>
    <w:p>
      <w:pPr>
        <w:spacing w:after="0"/>
        <w:rPr>
          <w:sz w:val="20"/>
          <w:szCs w:val="20"/>
          <w:color w:val="auto"/>
        </w:rPr>
      </w:pPr>
      <w:r>
        <w:rPr>
          <w:rFonts w:ascii="Arial" w:cs="Arial" w:eastAsia="Arial" w:hAnsi="Arial"/>
          <w:sz w:val="11"/>
          <w:szCs w:val="11"/>
          <w:color w:val="005A64"/>
        </w:rPr>
        <w:t>LTI 2022</w:t>
      </w:r>
      <w:r>
        <w:rPr>
          <w:rFonts w:ascii="Arial" w:cs="Arial" w:eastAsia="Arial" w:hAnsi="Arial"/>
          <w:sz w:val="16"/>
          <w:szCs w:val="16"/>
          <w:color w:val="005A64"/>
          <w:vertAlign w:val="superscript"/>
        </w:rPr>
        <w:t>(10)</w:t>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005A64"/>
        </w:rPr>
        <w:t>LTI 2023</w:t>
      </w:r>
      <w:r>
        <w:rPr>
          <w:rFonts w:ascii="Arial" w:cs="Arial" w:eastAsia="Arial" w:hAnsi="Arial"/>
          <w:sz w:val="16"/>
          <w:szCs w:val="16"/>
          <w:color w:val="005A64"/>
          <w:vertAlign w:val="superscript"/>
        </w:rPr>
        <w:t>(10)</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005A64"/>
        </w:rPr>
        <w:t>LTI 2024</w:t>
      </w:r>
      <w:r>
        <w:rPr>
          <w:rFonts w:ascii="Arial" w:cs="Arial" w:eastAsia="Arial" w:hAnsi="Arial"/>
          <w:sz w:val="16"/>
          <w:szCs w:val="16"/>
          <w:color w:val="005A64"/>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571500"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1500"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005A64"/>
        </w:rPr>
        <w:t>LTI 2020</w:t>
      </w:r>
      <w:r>
        <w:rPr>
          <w:rFonts w:ascii="Arial" w:cs="Arial" w:eastAsia="Arial" w:hAnsi="Arial"/>
          <w:sz w:val="16"/>
          <w:szCs w:val="16"/>
          <w:color w:val="005A64"/>
          <w:vertAlign w:val="superscript"/>
        </w:rPr>
        <w:t>(10)</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005A64"/>
        </w:rPr>
        <w:t>LTI 2021</w:t>
      </w:r>
      <w:r>
        <w:rPr>
          <w:rFonts w:ascii="Arial" w:cs="Arial" w:eastAsia="Arial" w:hAnsi="Arial"/>
          <w:sz w:val="16"/>
          <w:szCs w:val="16"/>
          <w:color w:val="005A64"/>
          <w:vertAlign w:val="superscript"/>
        </w:rPr>
        <w:t>(10)</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005A64"/>
        </w:rPr>
        <w:t>LTI 2022</w:t>
      </w:r>
      <w:r>
        <w:rPr>
          <w:rFonts w:ascii="Arial" w:cs="Arial" w:eastAsia="Arial" w:hAnsi="Arial"/>
          <w:sz w:val="16"/>
          <w:szCs w:val="16"/>
          <w:color w:val="005A64"/>
          <w:vertAlign w:val="superscript"/>
        </w:rPr>
        <w:t>(10)</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005A64"/>
        </w:rPr>
        <w:t>LTI 2023</w:t>
      </w:r>
      <w:r>
        <w:rPr>
          <w:rFonts w:ascii="Arial" w:cs="Arial" w:eastAsia="Arial" w:hAnsi="Arial"/>
          <w:sz w:val="16"/>
          <w:szCs w:val="16"/>
          <w:color w:val="005A64"/>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571500"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1500"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005A64"/>
        </w:rPr>
        <w:t>LTI 2020</w:t>
      </w:r>
      <w:r>
        <w:rPr>
          <w:rFonts w:ascii="Arial" w:cs="Arial" w:eastAsia="Arial" w:hAnsi="Arial"/>
          <w:sz w:val="16"/>
          <w:szCs w:val="16"/>
          <w:color w:val="005A64"/>
          <w:vertAlign w:val="superscript"/>
        </w:rPr>
        <w:t>(10)</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005A64"/>
        </w:rPr>
        <w:t>LTI 2021</w:t>
      </w:r>
      <w:r>
        <w:rPr>
          <w:rFonts w:ascii="Arial" w:cs="Arial" w:eastAsia="Arial" w:hAnsi="Arial"/>
          <w:sz w:val="16"/>
          <w:szCs w:val="16"/>
          <w:color w:val="005A64"/>
          <w:vertAlign w:val="superscript"/>
        </w:rPr>
        <w:t>(10)</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005A64"/>
        </w:rPr>
        <w:t>LTI 2022</w:t>
      </w:r>
      <w:r>
        <w:rPr>
          <w:rFonts w:ascii="Arial" w:cs="Arial" w:eastAsia="Arial" w:hAnsi="Arial"/>
          <w:sz w:val="16"/>
          <w:szCs w:val="16"/>
          <w:color w:val="005A64"/>
          <w:vertAlign w:val="superscript"/>
        </w:rPr>
        <w:t>(10)</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005A64"/>
        </w:rPr>
        <w:t>LTI 2023</w:t>
      </w:r>
      <w:r>
        <w:rPr>
          <w:rFonts w:ascii="Arial" w:cs="Arial" w:eastAsia="Arial" w:hAnsi="Arial"/>
          <w:sz w:val="16"/>
          <w:szCs w:val="16"/>
          <w:color w:val="005A64"/>
          <w:vertAlign w:val="superscript"/>
        </w:rPr>
        <w:t>(10)</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005A64"/>
        </w:rPr>
        <w:t>LTI 2024</w:t>
      </w:r>
      <w:r>
        <w:rPr>
          <w:rFonts w:ascii="Arial" w:cs="Arial" w:eastAsia="Arial" w:hAnsi="Arial"/>
          <w:sz w:val="16"/>
          <w:szCs w:val="16"/>
          <w:color w:val="005A64"/>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571500"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1500"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005A64"/>
        </w:rPr>
        <w:t>LTI 2020</w:t>
      </w:r>
      <w:r>
        <w:rPr>
          <w:rFonts w:ascii="Arial" w:cs="Arial" w:eastAsia="Arial" w:hAnsi="Arial"/>
          <w:sz w:val="16"/>
          <w:szCs w:val="16"/>
          <w:color w:val="005A64"/>
          <w:vertAlign w:val="superscript"/>
        </w:rPr>
        <w:t>(10)</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005A64"/>
        </w:rPr>
        <w:t>LTI 2021</w:t>
      </w:r>
      <w:r>
        <w:rPr>
          <w:rFonts w:ascii="Arial" w:cs="Arial" w:eastAsia="Arial" w:hAnsi="Arial"/>
          <w:sz w:val="16"/>
          <w:szCs w:val="16"/>
          <w:color w:val="005A64"/>
          <w:vertAlign w:val="superscript"/>
        </w:rPr>
        <w:t>(10)</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005A64"/>
        </w:rPr>
        <w:t>LTI 2022</w:t>
      </w:r>
      <w:r>
        <w:rPr>
          <w:rFonts w:ascii="Arial" w:cs="Arial" w:eastAsia="Arial" w:hAnsi="Arial"/>
          <w:sz w:val="16"/>
          <w:szCs w:val="16"/>
          <w:color w:val="005A64"/>
          <w:vertAlign w:val="superscript"/>
        </w:rPr>
        <w:t>(10)</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005A64"/>
        </w:rPr>
        <w:t>LTI 2023</w:t>
      </w:r>
      <w:r>
        <w:rPr>
          <w:rFonts w:ascii="Arial" w:cs="Arial" w:eastAsia="Arial" w:hAnsi="Arial"/>
          <w:sz w:val="16"/>
          <w:szCs w:val="16"/>
          <w:color w:val="005A64"/>
          <w:vertAlign w:val="superscript"/>
        </w:rPr>
        <w:t>(10)</w:t>
      </w:r>
    </w:p>
    <w:p>
      <w:pPr>
        <w:spacing w:after="0" w:line="238" w:lineRule="auto"/>
        <w:rPr>
          <w:sz w:val="20"/>
          <w:szCs w:val="20"/>
          <w:color w:val="auto"/>
        </w:rPr>
      </w:pPr>
      <w:r>
        <w:rPr>
          <w:rFonts w:ascii="Arial" w:cs="Arial" w:eastAsia="Arial" w:hAnsi="Arial"/>
          <w:sz w:val="11"/>
          <w:szCs w:val="11"/>
          <w:color w:val="005A64"/>
        </w:rPr>
        <w:t>LTI 2024</w:t>
      </w:r>
      <w:r>
        <w:rPr>
          <w:rFonts w:ascii="Arial" w:cs="Arial" w:eastAsia="Arial" w:hAnsi="Arial"/>
          <w:sz w:val="16"/>
          <w:szCs w:val="16"/>
          <w:color w:val="005A64"/>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571500"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1500"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005A64"/>
        </w:rPr>
        <w:t>LTI 2020 (EEP)</w:t>
      </w:r>
    </w:p>
    <w:p>
      <w:pPr>
        <w:spacing w:after="0" w:line="56" w:lineRule="exact"/>
        <w:rPr>
          <w:sz w:val="20"/>
          <w:szCs w:val="20"/>
          <w:color w:val="auto"/>
        </w:rPr>
      </w:pPr>
    </w:p>
    <w:p>
      <w:pPr>
        <w:spacing w:after="0"/>
        <w:rPr>
          <w:sz w:val="20"/>
          <w:szCs w:val="20"/>
          <w:color w:val="auto"/>
        </w:rPr>
      </w:pPr>
      <w:r>
        <w:rPr>
          <w:rFonts w:ascii="Arial" w:cs="Arial" w:eastAsia="Arial" w:hAnsi="Arial"/>
          <w:sz w:val="11"/>
          <w:szCs w:val="11"/>
          <w:color w:val="005A64"/>
        </w:rPr>
        <w:t>LTI 2021 (EEP)</w:t>
      </w:r>
    </w:p>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005A64"/>
        </w:rPr>
        <w:t>LTI 2022 (EEP)</w:t>
      </w:r>
    </w:p>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005A64"/>
        </w:rPr>
        <w:t>LTI 2023 (EEP)</w:t>
      </w:r>
    </w:p>
    <w:p>
      <w:pPr>
        <w:spacing w:after="0" w:line="95" w:lineRule="exact"/>
        <w:rPr>
          <w:sz w:val="20"/>
          <w:szCs w:val="20"/>
          <w:color w:val="auto"/>
        </w:rPr>
      </w:pPr>
    </w:p>
    <w:p>
      <w:pPr>
        <w:spacing w:after="0"/>
        <w:rPr>
          <w:sz w:val="20"/>
          <w:szCs w:val="20"/>
          <w:color w:val="auto"/>
        </w:rPr>
      </w:pPr>
      <w:r>
        <w:rPr>
          <w:rFonts w:ascii="Arial" w:cs="Arial" w:eastAsia="Arial" w:hAnsi="Arial"/>
          <w:sz w:val="11"/>
          <w:szCs w:val="11"/>
          <w:color w:val="005A64"/>
        </w:rPr>
        <w:t>LTI 2024</w:t>
      </w:r>
      <w:r>
        <w:rPr>
          <w:rFonts w:ascii="Arial" w:cs="Arial" w:eastAsia="Arial" w:hAnsi="Arial"/>
          <w:sz w:val="16"/>
          <w:szCs w:val="16"/>
          <w:color w:val="005A64"/>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571500"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1500" cy="635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005A64"/>
        </w:rPr>
        <w:t>LTI 2020</w:t>
      </w:r>
      <w:r>
        <w:rPr>
          <w:rFonts w:ascii="Arial" w:cs="Arial" w:eastAsia="Arial" w:hAnsi="Arial"/>
          <w:sz w:val="16"/>
          <w:szCs w:val="16"/>
          <w:color w:val="005A64"/>
          <w:vertAlign w:val="superscript"/>
        </w:rPr>
        <w:t>(10)</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005A64"/>
        </w:rPr>
        <w:t>LTI 2021</w:t>
      </w:r>
      <w:r>
        <w:rPr>
          <w:rFonts w:ascii="Arial" w:cs="Arial" w:eastAsia="Arial" w:hAnsi="Arial"/>
          <w:sz w:val="16"/>
          <w:szCs w:val="16"/>
          <w:color w:val="005A64"/>
          <w:vertAlign w:val="superscript"/>
        </w:rPr>
        <w:t>(10)</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005A64"/>
        </w:rPr>
        <w:t>LTI 2022</w:t>
      </w:r>
      <w:r>
        <w:rPr>
          <w:rFonts w:ascii="Arial" w:cs="Arial" w:eastAsia="Arial" w:hAnsi="Arial"/>
          <w:sz w:val="16"/>
          <w:szCs w:val="16"/>
          <w:color w:val="005A64"/>
          <w:vertAlign w:val="superscript"/>
        </w:rPr>
        <w:t>(10)</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005A64"/>
        </w:rPr>
        <w:t>LTI 2023</w:t>
      </w:r>
      <w:r>
        <w:rPr>
          <w:rFonts w:ascii="Arial" w:cs="Arial" w:eastAsia="Arial" w:hAnsi="Arial"/>
          <w:sz w:val="16"/>
          <w:szCs w:val="16"/>
          <w:color w:val="005A64"/>
          <w:vertAlign w:val="superscript"/>
        </w:rPr>
        <w:t>(10)</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005A64"/>
        </w:rPr>
        <w:t>LTI 2024</w:t>
      </w:r>
      <w:r>
        <w:rPr>
          <w:rFonts w:ascii="Arial" w:cs="Arial" w:eastAsia="Arial" w:hAnsi="Arial"/>
          <w:sz w:val="16"/>
          <w:szCs w:val="16"/>
          <w:color w:val="005A64"/>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571500"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71500" cy="6350"/>
                    </a:xfrm>
                    <a:prstGeom prst="rect">
                      <a:avLst/>
                    </a:prstGeom>
                    <a:noFill/>
                  </pic:spPr>
                </pic:pic>
              </a:graphicData>
            </a:graphic>
          </wp:anchor>
        </w:drawing>
      </w:r>
    </w:p>
    <w:p>
      <w:pPr>
        <w:spacing w:after="0" w:line="20" w:lineRule="exact"/>
        <w:rPr>
          <w:sz w:val="20"/>
          <w:szCs w:val="20"/>
          <w:color w:val="auto"/>
        </w:rPr>
      </w:pPr>
    </w:p>
    <w:p>
      <w:pPr>
        <w:sectPr>
          <w:pgSz w:w="11900" w:h="16840" w:orient="portrait"/>
          <w:cols w:equalWidth="0" w:num="3">
            <w:col w:w="1620" w:space="100"/>
            <w:col w:w="4420" w:space="60"/>
            <w:col w:w="2820"/>
          </w:cols>
          <w:pgMar w:left="1440" w:top="1440" w:right="1440" w:bottom="51" w:gutter="0" w:footer="0" w:header="0"/>
          <w:type w:val="continuous"/>
        </w:sectPr>
      </w:pPr>
    </w:p>
    <w:p>
      <w:pPr>
        <w:ind w:left="380" w:right="2420" w:firstLine="3"/>
        <w:spacing w:after="0" w:line="209" w:lineRule="auto"/>
        <w:tabs>
          <w:tab w:leader="none" w:pos="582" w:val="left"/>
        </w:tabs>
        <w:numPr>
          <w:ilvl w:val="0"/>
          <w:numId w:val="30"/>
        </w:numPr>
        <w:rPr>
          <w:rFonts w:ascii="Arial" w:cs="Arial" w:eastAsia="Arial" w:hAnsi="Arial"/>
          <w:sz w:val="16"/>
          <w:szCs w:val="16"/>
          <w:color w:val="005A64"/>
          <w:vertAlign w:val="superscript"/>
        </w:rPr>
      </w:pPr>
      <w:r>
        <w:rPr>
          <w:rFonts w:ascii="Arial" w:cs="Arial" w:eastAsia="Arial" w:hAnsi="Arial"/>
          <w:sz w:val="12"/>
          <w:szCs w:val="12"/>
          <w:color w:val="005A64"/>
        </w:rPr>
        <w:t>Options vested in four equal installments on October 9 of 2020, 2021, 2022 and 2023. The entire award became exercisable in 2023. The options were exercised in 2024.</w:t>
      </w:r>
    </w:p>
    <w:p>
      <w:pPr>
        <w:spacing w:after="0" w:line="12" w:lineRule="exact"/>
        <w:rPr>
          <w:rFonts w:ascii="Arial" w:cs="Arial" w:eastAsia="Arial" w:hAnsi="Arial"/>
          <w:sz w:val="16"/>
          <w:szCs w:val="16"/>
          <w:color w:val="005A64"/>
          <w:vertAlign w:val="superscript"/>
        </w:rPr>
      </w:pPr>
    </w:p>
    <w:p>
      <w:pPr>
        <w:ind w:left="380" w:right="2100" w:firstLine="3"/>
        <w:spacing w:after="0" w:line="209" w:lineRule="auto"/>
        <w:tabs>
          <w:tab w:leader="none" w:pos="582" w:val="left"/>
        </w:tabs>
        <w:numPr>
          <w:ilvl w:val="0"/>
          <w:numId w:val="30"/>
        </w:numPr>
        <w:rPr>
          <w:rFonts w:ascii="Arial" w:cs="Arial" w:eastAsia="Arial" w:hAnsi="Arial"/>
          <w:sz w:val="16"/>
          <w:szCs w:val="16"/>
          <w:color w:val="005A64"/>
          <w:vertAlign w:val="superscript"/>
        </w:rPr>
      </w:pPr>
      <w:r>
        <w:rPr>
          <w:rFonts w:ascii="Arial" w:cs="Arial" w:eastAsia="Arial" w:hAnsi="Arial"/>
          <w:sz w:val="12"/>
          <w:szCs w:val="12"/>
          <w:color w:val="005A64"/>
        </w:rPr>
        <w:t>Options vested in four equal installments on February 13 of 2021, 2022, 2023 and 2024, are now exercisable following the expiry of the waiting period on February 13, 2024, and can only be exercised during defined exercise windows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209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7" w:lineRule="exact"/>
        <w:rPr>
          <w:sz w:val="20"/>
          <w:szCs w:val="20"/>
          <w:color w:val="auto"/>
        </w:rPr>
      </w:pPr>
    </w:p>
    <w:p>
      <w:pPr>
        <w:ind w:left="380" w:right="2160"/>
        <w:spacing w:after="0" w:line="244" w:lineRule="auto"/>
        <w:rPr>
          <w:sz w:val="20"/>
          <w:szCs w:val="20"/>
          <w:color w:val="auto"/>
        </w:rPr>
      </w:pPr>
      <w:r>
        <w:rPr>
          <w:rFonts w:ascii="Arial" w:cs="Arial" w:eastAsia="Arial" w:hAnsi="Arial"/>
          <w:sz w:val="12"/>
          <w:szCs w:val="12"/>
          <w:color w:val="005A64"/>
        </w:rPr>
        <w:t>our ESOP. Apart from Sean Marett, who did not exercise the options during 2024, all other options were exercised by the respective Management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-170815</wp:posOffset>
            </wp:positionV>
            <wp:extent cx="5231130"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1960" w:firstLine="3"/>
        <w:spacing w:after="0" w:line="210" w:lineRule="auto"/>
        <w:tabs>
          <w:tab w:leader="none" w:pos="582" w:val="left"/>
        </w:tabs>
        <w:numPr>
          <w:ilvl w:val="0"/>
          <w:numId w:val="31"/>
        </w:numPr>
        <w:rPr>
          <w:rFonts w:ascii="Arial" w:cs="Arial" w:eastAsia="Arial" w:hAnsi="Arial"/>
          <w:sz w:val="16"/>
          <w:szCs w:val="16"/>
          <w:color w:val="005A64"/>
          <w:vertAlign w:val="superscript"/>
        </w:rPr>
      </w:pPr>
      <w:r>
        <w:rPr>
          <w:rFonts w:ascii="Arial" w:cs="Arial" w:eastAsia="Arial" w:hAnsi="Arial"/>
          <w:sz w:val="12"/>
          <w:szCs w:val="12"/>
          <w:color w:val="005A64"/>
        </w:rPr>
        <w:t>Phantom share options were issued which vest in four equal installments on May 12 of 2022, 2023, 2024 and 2025 for all Management Board members except Jens Holstein, and in the case of Jens Holstein, vest in four equal installments on May 17 of the same years. The options will not become exercisable before the expiry of the waiting period on May 12, 2025 and May 17, 2025, respectively, and can only be exercised during defined exercise windows.</w:t>
      </w:r>
    </w:p>
    <w:p>
      <w:pPr>
        <w:spacing w:after="0" w:line="12" w:lineRule="exact"/>
        <w:rPr>
          <w:rFonts w:ascii="Arial" w:cs="Arial" w:eastAsia="Arial" w:hAnsi="Arial"/>
          <w:sz w:val="16"/>
          <w:szCs w:val="16"/>
          <w:color w:val="005A64"/>
          <w:vertAlign w:val="superscript"/>
        </w:rPr>
      </w:pPr>
    </w:p>
    <w:p>
      <w:pPr>
        <w:ind w:left="380" w:right="1960" w:firstLine="3"/>
        <w:spacing w:after="0" w:line="209" w:lineRule="auto"/>
        <w:tabs>
          <w:tab w:leader="none" w:pos="582" w:val="left"/>
        </w:tabs>
        <w:numPr>
          <w:ilvl w:val="0"/>
          <w:numId w:val="31"/>
        </w:numPr>
        <w:rPr>
          <w:rFonts w:ascii="Arial" w:cs="Arial" w:eastAsia="Arial" w:hAnsi="Arial"/>
          <w:sz w:val="16"/>
          <w:szCs w:val="16"/>
          <w:color w:val="005A64"/>
          <w:vertAlign w:val="superscript"/>
        </w:rPr>
      </w:pPr>
      <w:r>
        <w:rPr>
          <w:rFonts w:ascii="Arial" w:cs="Arial" w:eastAsia="Arial" w:hAnsi="Arial"/>
          <w:sz w:val="12"/>
          <w:szCs w:val="12"/>
          <w:color w:val="005A64"/>
        </w:rPr>
        <w:t>Phantom share options were issued which vest in four equal installments on May 31 of 2023, 2024, 2025 and 2026 for all Management Board members. These phantom options will not become exercisable before the expiry of the waiting period on May 31, 2026, and can only be exercised during defined exercise windows.</w:t>
      </w:r>
    </w:p>
    <w:p>
      <w:pPr>
        <w:spacing w:after="0" w:line="13" w:lineRule="exact"/>
        <w:rPr>
          <w:rFonts w:ascii="Arial" w:cs="Arial" w:eastAsia="Arial" w:hAnsi="Arial"/>
          <w:sz w:val="16"/>
          <w:szCs w:val="16"/>
          <w:color w:val="005A64"/>
          <w:vertAlign w:val="superscript"/>
        </w:rPr>
      </w:pPr>
    </w:p>
    <w:p>
      <w:pPr>
        <w:ind w:left="380" w:right="1920" w:firstLine="3"/>
        <w:spacing w:after="0" w:line="209" w:lineRule="auto"/>
        <w:tabs>
          <w:tab w:leader="none" w:pos="582" w:val="left"/>
        </w:tabs>
        <w:numPr>
          <w:ilvl w:val="0"/>
          <w:numId w:val="31"/>
        </w:numPr>
        <w:rPr>
          <w:rFonts w:ascii="Arial" w:cs="Arial" w:eastAsia="Arial" w:hAnsi="Arial"/>
          <w:sz w:val="16"/>
          <w:szCs w:val="16"/>
          <w:color w:val="005A64"/>
          <w:vertAlign w:val="superscript"/>
        </w:rPr>
      </w:pPr>
      <w:r>
        <w:rPr>
          <w:rFonts w:ascii="Arial" w:cs="Arial" w:eastAsia="Arial" w:hAnsi="Arial"/>
          <w:sz w:val="12"/>
          <w:szCs w:val="12"/>
          <w:color w:val="005A64"/>
        </w:rPr>
        <w:t>Options vest in four equal installments on May 22 of 2024, 2025, 2026 and 2027. The options will not become exercisable before the expiry of the waiting period on May 22, 2027, and can only be exercised during defined exercise windows.</w:t>
      </w:r>
    </w:p>
    <w:p>
      <w:pPr>
        <w:spacing w:after="0" w:line="12" w:lineRule="exact"/>
        <w:rPr>
          <w:rFonts w:ascii="Arial" w:cs="Arial" w:eastAsia="Arial" w:hAnsi="Arial"/>
          <w:sz w:val="16"/>
          <w:szCs w:val="16"/>
          <w:color w:val="005A64"/>
          <w:vertAlign w:val="superscript"/>
        </w:rPr>
      </w:pPr>
    </w:p>
    <w:p>
      <w:pPr>
        <w:ind w:left="380" w:right="2120" w:firstLine="3"/>
        <w:spacing w:after="0" w:line="209" w:lineRule="auto"/>
        <w:tabs>
          <w:tab w:leader="none" w:pos="582" w:val="left"/>
        </w:tabs>
        <w:numPr>
          <w:ilvl w:val="0"/>
          <w:numId w:val="31"/>
        </w:numPr>
        <w:rPr>
          <w:rFonts w:ascii="Arial" w:cs="Arial" w:eastAsia="Arial" w:hAnsi="Arial"/>
          <w:sz w:val="16"/>
          <w:szCs w:val="16"/>
          <w:color w:val="005A64"/>
          <w:vertAlign w:val="superscript"/>
        </w:rPr>
      </w:pPr>
      <w:r>
        <w:rPr>
          <w:rFonts w:ascii="Arial" w:cs="Arial" w:eastAsia="Arial" w:hAnsi="Arial"/>
          <w:sz w:val="12"/>
          <w:szCs w:val="12"/>
          <w:color w:val="005A64"/>
        </w:rPr>
        <w:t>Options vest in four equal installments on August 26 of 2025, 2026, 2027 and 2028. The options will not become exercisable before the expiry of the waiting period on August 26, 2028, and can only be exercised during defined exercise windows.</w:t>
      </w:r>
    </w:p>
    <w:p>
      <w:pPr>
        <w:spacing w:after="0" w:line="1" w:lineRule="exact"/>
        <w:rPr>
          <w:rFonts w:ascii="Arial" w:cs="Arial" w:eastAsia="Arial" w:hAnsi="Arial"/>
          <w:sz w:val="16"/>
          <w:szCs w:val="16"/>
          <w:color w:val="005A64"/>
          <w:vertAlign w:val="superscript"/>
        </w:rPr>
      </w:pPr>
    </w:p>
    <w:p>
      <w:pPr>
        <w:ind w:left="580" w:hanging="197"/>
        <w:spacing w:after="0" w:line="224" w:lineRule="auto"/>
        <w:tabs>
          <w:tab w:leader="none" w:pos="580" w:val="left"/>
        </w:tabs>
        <w:numPr>
          <w:ilvl w:val="0"/>
          <w:numId w:val="31"/>
        </w:numPr>
        <w:rPr>
          <w:rFonts w:ascii="Arial" w:cs="Arial" w:eastAsia="Arial" w:hAnsi="Arial"/>
          <w:sz w:val="16"/>
          <w:szCs w:val="16"/>
          <w:color w:val="005A64"/>
          <w:vertAlign w:val="superscript"/>
        </w:rPr>
      </w:pPr>
      <w:r>
        <w:rPr>
          <w:rFonts w:ascii="Arial" w:cs="Arial" w:eastAsia="Arial" w:hAnsi="Arial"/>
          <w:sz w:val="12"/>
          <w:szCs w:val="12"/>
          <w:color w:val="005A64"/>
        </w:rPr>
        <w:t>As James Ryan was not part of the Management Board at the time the 2023 LTI award was allocated, he did not receive</w:t>
      </w:r>
    </w:p>
    <w:p>
      <w:pPr>
        <w:sectPr>
          <w:pgSz w:w="11900" w:h="16840" w:orient="portrait"/>
          <w:cols w:equalWidth="0" w:num="1">
            <w:col w:w="9020"/>
          </w:cols>
          <w:pgMar w:left="1440" w:top="1440" w:right="1440" w:bottom="51" w:gutter="0" w:footer="0" w:header="0"/>
          <w:type w:val="continuous"/>
        </w:sectPr>
      </w:pPr>
    </w:p>
    <w:bookmarkStart w:id="145" w:name="page146"/>
    <w:bookmarkEnd w:id="145"/>
    <w:p>
      <w:pPr>
        <w:ind w:left="380" w:right="2360"/>
        <w:spacing w:after="0" w:line="227" w:lineRule="auto"/>
        <w:rPr>
          <w:sz w:val="20"/>
          <w:szCs w:val="20"/>
          <w:color w:val="auto"/>
        </w:rPr>
      </w:pPr>
      <w:r>
        <w:rPr>
          <w:rFonts w:ascii="Arial" w:cs="Arial" w:eastAsia="Arial" w:hAnsi="Arial"/>
          <w:sz w:val="12"/>
          <w:szCs w:val="12"/>
          <w:color w:val="005A64"/>
        </w:rPr>
        <w:t>any options under this plan. Prior to his appointment, RSUs were granted to him under the BioNTech 2020 Employee Equity Plan (EEP) . RSUs issued under the LTI 2020 (EEP), LTI 2021 (EEP), LTI 2022 (EEP) and LTI 2023 (EEP) programs vest annually in equal installments over four years commencing in December 2021, December 2022 and December 2023 respectively and will be settled after a waiting period of four years. n/a = not applicable.</w:t>
      </w:r>
    </w:p>
    <w:p>
      <w:pPr>
        <w:spacing w:after="0" w:line="14" w:lineRule="exact"/>
        <w:rPr>
          <w:sz w:val="20"/>
          <w:szCs w:val="20"/>
          <w:color w:val="auto"/>
        </w:rPr>
      </w:pPr>
    </w:p>
    <w:p>
      <w:pPr>
        <w:ind w:left="380" w:right="2000" w:firstLine="3"/>
        <w:spacing w:after="0" w:line="210" w:lineRule="auto"/>
        <w:tabs>
          <w:tab w:leader="none" w:pos="582" w:val="left"/>
        </w:tabs>
        <w:numPr>
          <w:ilvl w:val="0"/>
          <w:numId w:val="32"/>
        </w:numPr>
        <w:rPr>
          <w:rFonts w:ascii="Arial" w:cs="Arial" w:eastAsia="Arial" w:hAnsi="Arial"/>
          <w:sz w:val="16"/>
          <w:szCs w:val="16"/>
          <w:color w:val="005A64"/>
          <w:vertAlign w:val="superscript"/>
        </w:rPr>
      </w:pPr>
      <w:r>
        <w:rPr>
          <w:rFonts w:ascii="Arial" w:cs="Arial" w:eastAsia="Arial" w:hAnsi="Arial"/>
          <w:sz w:val="12"/>
          <w:szCs w:val="12"/>
          <w:color w:val="005A64"/>
        </w:rPr>
        <w:t>In connection with Jens Holstein’s appointment to the Management Board as Chief Financial Officer on July 1, 2021, the Supervisory Board granted him a one-time signing bonus of €800,000 in the form of 4,246 phantom shares. The phantom shares vest in four equal installments on July 1 of 2022, 2023, 2024 and June 30, 2025 but will only be settled in cash on July 1, 2025. The cash payment is subject to an effective settlement closing price cap. This means that the settlement closing price shall effectively be adjusted to ensure that the current price of an ADS as of the settlement date does not exceed 800% of the cash payment, which in respect of all phantom shares shall not exceed €6.4 million.</w:t>
      </w:r>
    </w:p>
    <w:p>
      <w:pPr>
        <w:spacing w:after="0" w:line="1" w:lineRule="exact"/>
        <w:rPr>
          <w:rFonts w:ascii="Arial" w:cs="Arial" w:eastAsia="Arial" w:hAnsi="Arial"/>
          <w:sz w:val="16"/>
          <w:szCs w:val="16"/>
          <w:color w:val="005A64"/>
          <w:vertAlign w:val="superscript"/>
        </w:rPr>
      </w:pPr>
    </w:p>
    <w:p>
      <w:pPr>
        <w:ind w:left="580" w:hanging="197"/>
        <w:spacing w:after="0" w:line="224" w:lineRule="auto"/>
        <w:tabs>
          <w:tab w:leader="none" w:pos="580" w:val="left"/>
        </w:tabs>
        <w:numPr>
          <w:ilvl w:val="0"/>
          <w:numId w:val="32"/>
        </w:numPr>
        <w:rPr>
          <w:rFonts w:ascii="Arial" w:cs="Arial" w:eastAsia="Arial" w:hAnsi="Arial"/>
          <w:sz w:val="16"/>
          <w:szCs w:val="16"/>
          <w:color w:val="005A64"/>
          <w:vertAlign w:val="superscript"/>
        </w:rPr>
      </w:pPr>
      <w:r>
        <w:rPr>
          <w:rFonts w:ascii="Arial" w:cs="Arial" w:eastAsia="Arial" w:hAnsi="Arial"/>
          <w:sz w:val="12"/>
          <w:szCs w:val="12"/>
          <w:color w:val="005A64"/>
        </w:rPr>
        <w:t>Indicates the end of the respective waiting periods. Additional restrictions with respect to exercise windows may apply.</w:t>
      </w:r>
    </w:p>
    <w:p>
      <w:pPr>
        <w:spacing w:after="0" w:line="24" w:lineRule="exact"/>
        <w:rPr>
          <w:rFonts w:ascii="Arial" w:cs="Arial" w:eastAsia="Arial" w:hAnsi="Arial"/>
          <w:sz w:val="16"/>
          <w:szCs w:val="16"/>
          <w:color w:val="005A64"/>
          <w:vertAlign w:val="superscript"/>
        </w:rPr>
      </w:pPr>
    </w:p>
    <w:p>
      <w:pPr>
        <w:ind w:left="580" w:hanging="197"/>
        <w:spacing w:after="0" w:line="192" w:lineRule="auto"/>
        <w:tabs>
          <w:tab w:leader="none" w:pos="580" w:val="left"/>
        </w:tabs>
        <w:numPr>
          <w:ilvl w:val="0"/>
          <w:numId w:val="32"/>
        </w:numPr>
        <w:rPr>
          <w:rFonts w:ascii="Arial" w:cs="Arial" w:eastAsia="Arial" w:hAnsi="Arial"/>
          <w:sz w:val="16"/>
          <w:szCs w:val="16"/>
          <w:color w:val="005A64"/>
          <w:vertAlign w:val="superscript"/>
        </w:rPr>
      </w:pPr>
      <w:r>
        <w:rPr>
          <w:rFonts w:ascii="Arial" w:cs="Arial" w:eastAsia="Arial" w:hAnsi="Arial"/>
          <w:sz w:val="12"/>
          <w:szCs w:val="12"/>
          <w:color w:val="005A64"/>
        </w:rPr>
        <w:t>Management Board Grant (Long-Term Incentive) in the respective years.</w:t>
      </w:r>
    </w:p>
    <w:p>
      <w:pPr>
        <w:spacing w:after="0" w:line="24" w:lineRule="exact"/>
        <w:rPr>
          <w:rFonts w:ascii="Arial" w:cs="Arial" w:eastAsia="Arial" w:hAnsi="Arial"/>
          <w:sz w:val="16"/>
          <w:szCs w:val="16"/>
          <w:color w:val="005A64"/>
          <w:vertAlign w:val="superscript"/>
        </w:rPr>
      </w:pPr>
    </w:p>
    <w:p>
      <w:pPr>
        <w:ind w:left="380" w:right="2060" w:firstLine="3"/>
        <w:spacing w:after="0" w:line="208" w:lineRule="auto"/>
        <w:tabs>
          <w:tab w:leader="none" w:pos="582" w:val="left"/>
        </w:tabs>
        <w:numPr>
          <w:ilvl w:val="0"/>
          <w:numId w:val="32"/>
        </w:numPr>
        <w:rPr>
          <w:rFonts w:ascii="Arial" w:cs="Arial" w:eastAsia="Arial" w:hAnsi="Arial"/>
          <w:sz w:val="16"/>
          <w:szCs w:val="16"/>
          <w:color w:val="005A64"/>
          <w:vertAlign w:val="superscript"/>
        </w:rPr>
      </w:pPr>
      <w:r>
        <w:rPr>
          <w:rFonts w:ascii="Arial" w:cs="Arial" w:eastAsia="Arial" w:hAnsi="Arial"/>
          <w:sz w:val="12"/>
          <w:szCs w:val="12"/>
          <w:color w:val="005A64"/>
        </w:rPr>
        <w:t>All options are subject to an effective exercise price cap. This means that the exercise price shall be adjusted to ensure that the current price of an ADS as of the exercise date does not exceed 800% of the exercise price. For the ESOP 2018 Program and the CEO Grant 2019, the maximum economic benefit receivable for any exercised option was capped at $240.00 and the effective exercise price was capped at a Euro amount equivalent to $30.00. For the LTI 2020, the maximum economic benefit receivable is capped at $246.24, and the effective exercise price is capped at a Euro amount equivalent to $30.78. For the phantom share options issued under the LTI 2021 and 2022 programs and the options issued under the LTI 2023 and 2024 programs, the maximum compensation that each member is entitled to receive, together with other compensation components received in the respective grant year, shall not exceed €20.0 million for Ugur Sahin and €10.0 million for all others.</w:t>
      </w:r>
    </w:p>
    <w:p>
      <w:pPr>
        <w:spacing w:after="0" w:line="14" w:lineRule="exact"/>
        <w:rPr>
          <w:rFonts w:ascii="Arial" w:cs="Arial" w:eastAsia="Arial" w:hAnsi="Arial"/>
          <w:sz w:val="16"/>
          <w:szCs w:val="16"/>
          <w:color w:val="005A64"/>
          <w:vertAlign w:val="superscript"/>
        </w:rPr>
      </w:pPr>
    </w:p>
    <w:p>
      <w:pPr>
        <w:ind w:left="380" w:right="2000" w:firstLine="3"/>
        <w:spacing w:after="0"/>
        <w:tabs>
          <w:tab w:leader="none" w:pos="582" w:val="left"/>
        </w:tabs>
        <w:numPr>
          <w:ilvl w:val="0"/>
          <w:numId w:val="32"/>
        </w:numPr>
        <w:rPr>
          <w:rFonts w:ascii="Arial" w:cs="Arial" w:eastAsia="Arial" w:hAnsi="Arial"/>
          <w:sz w:val="16"/>
          <w:szCs w:val="16"/>
          <w:color w:val="005A64"/>
          <w:vertAlign w:val="superscript"/>
        </w:rPr>
      </w:pPr>
      <w:r>
        <w:rPr>
          <w:rFonts w:ascii="Arial" w:cs="Arial" w:eastAsia="Arial" w:hAnsi="Arial"/>
          <w:sz w:val="12"/>
          <w:szCs w:val="12"/>
          <w:color w:val="005A64"/>
        </w:rPr>
        <w:t>Upon Sean Marett’s resignation from the Management Board with effect as of June 30, 2024, the LTI 2024 grant relating to the first six months of 2024 to which he was contractually entitled was immediately forfeited due to his resignation. As part of Sean Marett’s retirement from the Management Board, he and the Supervisory Board entered into a separation agreement, details of which are outlined in the section “Compensation of the Members of Our Management Board” above.</w:t>
      </w:r>
    </w:p>
    <w:p>
      <w:pPr>
        <w:spacing w:after="0" w:line="21" w:lineRule="exact"/>
        <w:rPr>
          <w:rFonts w:ascii="Arial" w:cs="Arial" w:eastAsia="Arial" w:hAnsi="Arial"/>
          <w:sz w:val="16"/>
          <w:szCs w:val="16"/>
          <w:color w:val="005A64"/>
          <w:vertAlign w:val="superscript"/>
        </w:rPr>
      </w:pPr>
    </w:p>
    <w:p>
      <w:pPr>
        <w:ind w:left="380"/>
        <w:spacing w:after="0" w:line="210" w:lineRule="auto"/>
        <w:rPr>
          <w:rFonts w:ascii="Arial" w:cs="Arial" w:eastAsia="Arial" w:hAnsi="Arial"/>
          <w:sz w:val="16"/>
          <w:szCs w:val="16"/>
          <w:color w:val="005A64"/>
          <w:vertAlign w:val="superscript"/>
        </w:rPr>
      </w:pPr>
      <w:r>
        <w:rPr>
          <w:rFonts w:ascii="Arial" w:cs="Arial" w:eastAsia="Arial" w:hAnsi="Arial"/>
          <w:sz w:val="13"/>
          <w:szCs w:val="13"/>
          <w:b w:val="1"/>
          <w:bCs w:val="1"/>
          <w:color w:val="auto"/>
        </w:rPr>
        <w:t>Management Board Grant (Long-Term Incentive)</w:t>
      </w:r>
    </w:p>
    <w:p>
      <w:pPr>
        <w:ind w:left="380" w:right="2080"/>
        <w:spacing w:after="0" w:line="210" w:lineRule="auto"/>
        <w:rPr>
          <w:rFonts w:ascii="Arial" w:cs="Arial" w:eastAsia="Arial" w:hAnsi="Arial"/>
          <w:sz w:val="16"/>
          <w:szCs w:val="16"/>
          <w:color w:val="005A64"/>
          <w:vertAlign w:val="superscript"/>
        </w:rPr>
      </w:pPr>
      <w:r>
        <w:rPr>
          <w:rFonts w:ascii="Arial" w:cs="Arial" w:eastAsia="Arial" w:hAnsi="Arial"/>
          <w:sz w:val="13"/>
          <w:szCs w:val="13"/>
          <w:color w:val="auto"/>
        </w:rPr>
        <w:t>Our Management Board’s service agreements provide for long-term, P4Y-year incentive compensation (Management Board Grant - LTI) through an annual grant of options to acquire BioNTech shares at the end of the respective waiting periods of such agreements. The options are subject to the terms and conditions of the respective authorizations of the AGM creating our Employee Stock Ownership Plan, or ESOP, and the applicable option agreements.</w:t>
      </w:r>
    </w:p>
    <w:p>
      <w:pPr>
        <w:spacing w:after="0" w:line="2" w:lineRule="exact"/>
        <w:rPr>
          <w:rFonts w:ascii="Arial" w:cs="Arial" w:eastAsia="Arial" w:hAnsi="Arial"/>
          <w:sz w:val="16"/>
          <w:szCs w:val="16"/>
          <w:color w:val="005A64"/>
          <w:vertAlign w:val="superscript"/>
        </w:rPr>
      </w:pPr>
    </w:p>
    <w:p>
      <w:pPr>
        <w:ind w:left="380" w:right="2280"/>
        <w:spacing w:after="0" w:line="222" w:lineRule="auto"/>
        <w:rPr>
          <w:rFonts w:ascii="Arial" w:cs="Arial" w:eastAsia="Arial" w:hAnsi="Arial"/>
          <w:sz w:val="16"/>
          <w:szCs w:val="16"/>
          <w:color w:val="005A64"/>
          <w:vertAlign w:val="superscript"/>
        </w:rPr>
      </w:pPr>
      <w:r>
        <w:rPr>
          <w:rFonts w:ascii="Arial" w:cs="Arial" w:eastAsia="Arial" w:hAnsi="Arial"/>
          <w:sz w:val="13"/>
          <w:szCs w:val="13"/>
          <w:color w:val="auto"/>
        </w:rPr>
        <w:t>The allocation of options in 2020 occurred in February 2020. In May 2021 and May 2022, Management Board members received phantom options equivalent to the number of options they would have been entitled to receive for 2021 and 2022. During 2023 and 2024, options were granted in May 2023 and August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210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For the awards allocated as of February 13, 2020; May 12, 2021; May 17, 2021; May 31, 2022; May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0" w:lineRule="auto"/>
        <w:rPr>
          <w:sz w:val="20"/>
          <w:szCs w:val="20"/>
          <w:color w:val="auto"/>
        </w:rPr>
      </w:pPr>
      <w:r>
        <w:rPr>
          <w:rFonts w:ascii="Arial" w:cs="Arial" w:eastAsia="Arial" w:hAnsi="Arial"/>
          <w:sz w:val="13"/>
          <w:szCs w:val="13"/>
          <w:color w:val="auto"/>
        </w:rPr>
        <w:t>and August 2024, the exercise prices are $30.78 (€29.63); $185.23 (€178.29); $186.83 (€179.83); $152.10</w:t>
      </w:r>
    </w:p>
    <w:p>
      <w:pPr>
        <w:ind w:left="380"/>
        <w:spacing w:after="0" w:line="211" w:lineRule="auto"/>
        <w:rPr>
          <w:sz w:val="20"/>
          <w:szCs w:val="20"/>
          <w:color w:val="auto"/>
        </w:rPr>
      </w:pPr>
      <w:r>
        <w:rPr>
          <w:rFonts w:ascii="Arial" w:cs="Arial" w:eastAsia="Arial" w:hAnsi="Arial"/>
          <w:sz w:val="13"/>
          <w:szCs w:val="13"/>
          <w:color w:val="auto"/>
        </w:rPr>
        <w:t>(€146.40), $113.94 (€109.67) and €75.91 respectively (all conversions from USD to EUR are calculated using</w:t>
      </w:r>
    </w:p>
    <w:p>
      <w:pPr>
        <w:ind w:left="380"/>
        <w:spacing w:after="0" w:line="211" w:lineRule="auto"/>
        <w:rPr>
          <w:sz w:val="20"/>
          <w:szCs w:val="20"/>
          <w:color w:val="auto"/>
        </w:rPr>
      </w:pPr>
      <w:r>
        <w:rPr>
          <w:rFonts w:ascii="Arial" w:cs="Arial" w:eastAsia="Arial" w:hAnsi="Arial"/>
          <w:sz w:val="13"/>
          <w:szCs w:val="13"/>
          <w:color w:val="auto"/>
        </w:rPr>
        <w:t>the foreign exchange rate as published by the German Central Bank (Deutsche Bundesbank) as of December</w:t>
      </w:r>
    </w:p>
    <w:p>
      <w:pPr>
        <w:ind w:left="380"/>
        <w:spacing w:after="0" w:line="211" w:lineRule="auto"/>
        <w:rPr>
          <w:sz w:val="20"/>
          <w:szCs w:val="20"/>
          <w:color w:val="auto"/>
        </w:rPr>
      </w:pPr>
      <w:r>
        <w:rPr>
          <w:rFonts w:ascii="Arial" w:cs="Arial" w:eastAsia="Arial" w:hAnsi="Arial"/>
          <w:sz w:val="13"/>
          <w:szCs w:val="13"/>
          <w:color w:val="auto"/>
        </w:rPr>
        <w:t>31, 2024).</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All options are subject to an effective exercise price cap, which means that the exercise price shall be adjusted to ensure that the current price of an ADS as of the exercise date does not exceed 800% of the exercise price. For the LTI 2020, the maximum economic benefit receivable is capped at $246.24, and the effective exercise price is capped at a Euro amount equivalent to $30.78. For the phantom share options issued under the LTI 2021 and 2022 programs and the options issued under the LTI 2023 and 2024 programs, the maximum compensation that each member is entitled to receive, together with other compensation components received in the respective grant year, shall not exceed €20.0 million for Ugur Sahin and €10.0 million for all others.</w:t>
      </w:r>
    </w:p>
    <w:p>
      <w:pPr>
        <w:spacing w:after="0" w:line="4"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The options vest annually in equal installments over four years commencing on the first anniversary of the allocation date and become exercisable four years after the allocation date. Vested options can only be exercised if each of the following performance criteria has been achieved: (i) at the time of exercise, the current price is equal to or greater than the threshold amount (that is, the exercise price, provided that such amount increases by seven percentage points on each anniversary of the allocation date); (ii) at the time of exercise, the current price is at least equal to the target price (that is, (a) for the twelve- month period starting on the fourth anniversary of the allocation date, $8.5 billion divided by the total number of the ordinary shares outstanding immediately following the initial public offering (other than ordinary shares owned by BioNTech), and (b) for each twelve-month period starting on the fifth or subsequent anniversary of the allocation date, 107% of the target share price applicable for the prior twelve-month period); and (iii) the closing price for the fifth trading day prior to the start of the relevant exercise window is higher than the exercise price by at least the same percentage by which the Nasdaq Biotechnology Index (or a comparable successor index) is higher than it was on the last trading day before the allocation date. Following the expiry of the waiting period, option rights may be exercised during the exercise windows set out in the ESOP agreement. Option rights can be exercised up to ten years after the allocation date, after which they will be forfeited without compensation.</w:t>
      </w:r>
    </w:p>
    <w:p>
      <w:pPr>
        <w:spacing w:after="0" w:line="9"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During the year ended December 31, 2023, the options granted under the LTI 2020 program vested and were almost entirely exercised in 2024, with the exception of 38,968 options held by Sean Marett. During the year ended December 31, 2024, the options granted under the LTI 2024 program were allocated to Ugur Sahin, Jens Holstein, Sierk Poetting, Ryan Richardson, James Ryan and Özlem Türeci. Although Sean Marett resigned from the board as of June 30, 2024, according to his service agreement, he would have been entitled to an LTI 2024 grant within the first six months of 2024. However, upon his retirement from the Management Board, all unvested options from the LTI 2021, LTI 2022, LTI 2023, and LTI 2024 programs were immediately forfeited. Annemarie Hanekamp joined the Management Board on July 1, 2024, after the allocation of the LTI 2024 grant. She received a pro rata LTI grant of € 275,000 (reflects 50% of the annual target value) that will be made in shares or as a cash payment in 2025. She will participate in the applicable LTI plan as in force starting January 1, 2025.</w:t>
      </w:r>
    </w:p>
    <w:p>
      <w:pPr>
        <w:ind w:left="380"/>
        <w:spacing w:after="0" w:line="220" w:lineRule="auto"/>
        <w:rPr>
          <w:sz w:val="20"/>
          <w:szCs w:val="20"/>
          <w:color w:val="auto"/>
        </w:rPr>
      </w:pPr>
      <w:r>
        <w:rPr>
          <w:rFonts w:ascii="Arial" w:cs="Arial" w:eastAsia="Arial" w:hAnsi="Arial"/>
          <w:sz w:val="13"/>
          <w:szCs w:val="13"/>
          <w:b w:val="1"/>
          <w:bCs w:val="1"/>
          <w:color w:val="auto"/>
        </w:rPr>
        <w:t>Chief Executive Officer Grant (CEO Grant 2019)</w:t>
      </w:r>
    </w:p>
    <w:p>
      <w:pPr>
        <w:ind w:left="380" w:right="2100"/>
        <w:spacing w:after="0" w:line="210" w:lineRule="auto"/>
        <w:rPr>
          <w:sz w:val="20"/>
          <w:szCs w:val="20"/>
          <w:color w:val="auto"/>
        </w:rPr>
      </w:pPr>
      <w:r>
        <w:rPr>
          <w:rFonts w:ascii="Arial" w:cs="Arial" w:eastAsia="Arial" w:hAnsi="Arial"/>
          <w:sz w:val="13"/>
          <w:szCs w:val="13"/>
          <w:color w:val="auto"/>
        </w:rPr>
        <w:t>In September 2019, we granted Prof. Ugur Sahin, M.D., an option to purchase 4,374,963 of our shares under the ESOP 2017/2019 program. All of these option rights vested and became exercisable in 2023, and were exercised on August 9, 2024, with an exercise price for each option of €13.74 (</w:t>
      </w:r>
      <w:r>
        <w:rPr>
          <w:rFonts w:ascii="Arial" w:cs="Arial" w:eastAsia="Arial" w:hAnsi="Arial"/>
          <w:sz w:val="13"/>
          <w:szCs w:val="13"/>
          <w:color w:val="080509"/>
        </w:rPr>
        <w:t>$15.00</w:t>
      </w:r>
      <w:r>
        <w:rPr>
          <w:rFonts w:ascii="Arial" w:cs="Arial" w:eastAsia="Arial" w:hAnsi="Arial"/>
          <w:sz w:val="13"/>
          <w:szCs w:val="13"/>
          <w:color w:val="auto"/>
        </w:rPr>
        <w:t>) calculated using the foreign exchange rate published by the German Central Bank (Deutsche Bundesbank) on the day before the exercise date and by applying the effective exercise cap and the maximum cap mechanism as disclosed above. The closing price of one ADS on Nasdaq on the settlement date converted from U.S. Dollars to Euro using the exchange rate published by the German Central Bank (Deutsche Bundesbank) on the same day was 73.68 and led to an intrinsic value of the exercised options of €259.5 million.</w:t>
      </w:r>
    </w:p>
    <w:p>
      <w:pPr>
        <w:spacing w:after="0" w:line="5" w:lineRule="exact"/>
        <w:rPr>
          <w:sz w:val="20"/>
          <w:szCs w:val="20"/>
          <w:color w:val="auto"/>
        </w:rPr>
      </w:pPr>
    </w:p>
    <w:p>
      <w:pPr>
        <w:ind w:left="380" w:right="2100"/>
        <w:spacing w:after="0" w:line="222" w:lineRule="auto"/>
        <w:rPr>
          <w:sz w:val="20"/>
          <w:szCs w:val="20"/>
          <w:color w:val="auto"/>
        </w:rPr>
      </w:pPr>
      <w:r>
        <w:rPr>
          <w:rFonts w:ascii="Arial" w:cs="Arial" w:eastAsia="Arial" w:hAnsi="Arial"/>
          <w:sz w:val="13"/>
          <w:szCs w:val="13"/>
          <w:color w:val="auto"/>
        </w:rPr>
        <w:t>In August 2024, the Supervisory Board determined that the award would be settled by the delivery of treasury shares (in the form of ADSs) equal to the net value of the exercised option rights after deduction of (i) the exercise price and (ii) the applicable wage taxes (including solidarity surcharge and church tax, if applicable) and social security contributions resulting from the exercise.</w:t>
      </w:r>
    </w:p>
    <w:p>
      <w:pPr>
        <w:sectPr>
          <w:pgSz w:w="11900" w:h="16840" w:orient="portrait"/>
          <w:cols w:equalWidth="0" w:num="1">
            <w:col w:w="9020"/>
          </w:cols>
          <w:pgMar w:left="1440" w:top="559" w:right="1440" w:bottom="473" w:gutter="0" w:footer="0" w:header="0"/>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211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005A64"/>
        </w:rPr>
        <w:t>C. Board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0" w:lineRule="auto"/>
        <w:rPr>
          <w:sz w:val="20"/>
          <w:szCs w:val="20"/>
          <w:color w:val="auto"/>
        </w:rPr>
      </w:pPr>
      <w:r>
        <w:rPr>
          <w:rFonts w:ascii="Arial" w:cs="Arial" w:eastAsia="Arial" w:hAnsi="Arial"/>
          <w:sz w:val="13"/>
          <w:szCs w:val="13"/>
          <w:color w:val="005A64"/>
        </w:rPr>
        <w:t>Two-Tiered Board Structure</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We are a European public company with limited liability (Societas Europaea or SE) (also referred to as European stock corporation, and in the official terminology of the European legislation referred to as European public limited-liability company), having its seat in Germany. We have chosen to have a two-tiered SE structure. Hence, our corporate bodies are the Management Board (</w:t>
      </w:r>
      <w:r>
        <w:rPr>
          <w:rFonts w:ascii="Arial" w:cs="Arial" w:eastAsia="Arial" w:hAnsi="Arial"/>
          <w:sz w:val="13"/>
          <w:szCs w:val="13"/>
          <w:i w:val="1"/>
          <w:iCs w:val="1"/>
          <w:color w:val="auto"/>
        </w:rPr>
        <w:t>Vorstand</w:t>
      </w:r>
      <w:r>
        <w:rPr>
          <w:rFonts w:ascii="Arial" w:cs="Arial" w:eastAsia="Arial" w:hAnsi="Arial"/>
          <w:sz w:val="13"/>
          <w:szCs w:val="13"/>
          <w:color w:val="auto"/>
        </w:rPr>
        <w:t>), the Supervisory Board (</w:t>
      </w:r>
      <w:r>
        <w:rPr>
          <w:rFonts w:ascii="Arial" w:cs="Arial" w:eastAsia="Arial" w:hAnsi="Arial"/>
          <w:sz w:val="13"/>
          <w:szCs w:val="13"/>
          <w:i w:val="1"/>
          <w:iCs w:val="1"/>
          <w:color w:val="auto"/>
        </w:rPr>
        <w:t>Aufsichtsrat</w:t>
      </w:r>
      <w:r>
        <w:rPr>
          <w:rFonts w:ascii="Arial" w:cs="Arial" w:eastAsia="Arial" w:hAnsi="Arial"/>
          <w:sz w:val="13"/>
          <w:szCs w:val="13"/>
          <w:color w:val="auto"/>
        </w:rPr>
        <w:t>) and the shareholders’ meeting (</w:t>
      </w:r>
      <w:r>
        <w:rPr>
          <w:rFonts w:ascii="Arial" w:cs="Arial" w:eastAsia="Arial" w:hAnsi="Arial"/>
          <w:sz w:val="13"/>
          <w:szCs w:val="13"/>
          <w:i w:val="1"/>
          <w:iCs w:val="1"/>
          <w:color w:val="auto"/>
        </w:rPr>
        <w:t>Hauptversammlung</w:t>
      </w:r>
      <w:r>
        <w:rPr>
          <w:rFonts w:ascii="Arial" w:cs="Arial" w:eastAsia="Arial" w:hAnsi="Arial"/>
          <w:sz w:val="13"/>
          <w:szCs w:val="13"/>
          <w:color w:val="auto"/>
        </w:rPr>
        <w:t>). Our Management and Supervisory Boards are entirely separate, and, as a rule, no individual may simultaneously be a member of both boards.</w:t>
      </w:r>
    </w:p>
    <w:p>
      <w:pPr>
        <w:spacing w:after="0" w:line="4"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Our Management Board is responsible for the day-to- day management of our business in accordance with applicable laws, our Articles of Association (</w:t>
      </w:r>
      <w:r>
        <w:rPr>
          <w:rFonts w:ascii="Arial" w:cs="Arial" w:eastAsia="Arial" w:hAnsi="Arial"/>
          <w:sz w:val="13"/>
          <w:szCs w:val="13"/>
          <w:i w:val="1"/>
          <w:iCs w:val="1"/>
          <w:color w:val="auto"/>
        </w:rPr>
        <w:t>Satzung</w:t>
      </w:r>
      <w:r>
        <w:rPr>
          <w:rFonts w:ascii="Arial" w:cs="Arial" w:eastAsia="Arial" w:hAnsi="Arial"/>
          <w:sz w:val="13"/>
          <w:szCs w:val="13"/>
          <w:color w:val="auto"/>
        </w:rPr>
        <w:t>) and the Management Board’s internal rules of procedure (</w:t>
      </w:r>
      <w:r>
        <w:rPr>
          <w:rFonts w:ascii="Arial" w:cs="Arial" w:eastAsia="Arial" w:hAnsi="Arial"/>
          <w:sz w:val="13"/>
          <w:szCs w:val="13"/>
          <w:i w:val="1"/>
          <w:iCs w:val="1"/>
          <w:color w:val="auto"/>
        </w:rPr>
        <w:t>Geschäftsordnung</w:t>
      </w:r>
      <w:r>
        <w:rPr>
          <w:rFonts w:ascii="Arial" w:cs="Arial" w:eastAsia="Arial" w:hAnsi="Arial"/>
          <w:sz w:val="13"/>
          <w:szCs w:val="13"/>
          <w:color w:val="auto"/>
        </w:rPr>
        <w:t>). Our Management Board represents us in our dealings with third parties.</w:t>
      </w:r>
    </w:p>
    <w:p>
      <w:pPr>
        <w:spacing w:after="0" w:line="2"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The principal function of our Supervisory Board is to supervise our Management Board. The Supervisory Board is also responsible for appointing and removing the members of our Management Board, representing us in connection with transactions between a current or former member of the Management Board and us, and granting approvals for certain significant matters.</w:t>
      </w:r>
    </w:p>
    <w:p>
      <w:pPr>
        <w:spacing w:after="0" w:line="2" w:lineRule="exact"/>
        <w:rPr>
          <w:sz w:val="20"/>
          <w:szCs w:val="20"/>
          <w:color w:val="auto"/>
        </w:rPr>
      </w:pPr>
    </w:p>
    <w:p>
      <w:pPr>
        <w:jc w:val="both"/>
        <w:ind w:left="380" w:right="2280"/>
        <w:spacing w:after="0" w:line="210" w:lineRule="auto"/>
        <w:rPr>
          <w:sz w:val="20"/>
          <w:szCs w:val="20"/>
          <w:color w:val="auto"/>
        </w:rPr>
      </w:pPr>
      <w:r>
        <w:rPr>
          <w:rFonts w:ascii="Arial" w:cs="Arial" w:eastAsia="Arial" w:hAnsi="Arial"/>
          <w:sz w:val="13"/>
          <w:szCs w:val="13"/>
          <w:color w:val="auto"/>
        </w:rPr>
        <w:t>Our Management Board and our Supervisory Board are solely responsible for and manage their own areas of competency (</w:t>
      </w:r>
      <w:r>
        <w:rPr>
          <w:rFonts w:ascii="Arial" w:cs="Arial" w:eastAsia="Arial" w:hAnsi="Arial"/>
          <w:sz w:val="13"/>
          <w:szCs w:val="13"/>
          <w:i w:val="1"/>
          <w:iCs w:val="1"/>
          <w:color w:val="auto"/>
        </w:rPr>
        <w:t>Kompetenztrennung</w:t>
      </w:r>
      <w:r>
        <w:rPr>
          <w:rFonts w:ascii="Arial" w:cs="Arial" w:eastAsia="Arial" w:hAnsi="Arial"/>
          <w:sz w:val="13"/>
          <w:szCs w:val="13"/>
          <w:color w:val="auto"/>
        </w:rPr>
        <w:t>); therefore, neither board may make decisions that, pursuant to applicable law, our Articles of Association or the internal rules of procedure are the responsibility of the other board.</w:t>
      </w:r>
    </w:p>
    <w:p>
      <w:pPr>
        <w:spacing w:after="0" w:line="2" w:lineRule="exact"/>
        <w:rPr>
          <w:sz w:val="20"/>
          <w:szCs w:val="20"/>
          <w:color w:val="auto"/>
        </w:rPr>
      </w:pPr>
    </w:p>
    <w:p>
      <w:pPr>
        <w:jc w:val="both"/>
        <w:ind w:left="380" w:right="2320"/>
        <w:spacing w:after="0" w:line="210" w:lineRule="auto"/>
        <w:rPr>
          <w:sz w:val="20"/>
          <w:szCs w:val="20"/>
          <w:color w:val="auto"/>
        </w:rPr>
      </w:pPr>
      <w:r>
        <w:rPr>
          <w:rFonts w:ascii="Arial" w:cs="Arial" w:eastAsia="Arial" w:hAnsi="Arial"/>
          <w:sz w:val="13"/>
          <w:szCs w:val="13"/>
          <w:color w:val="auto"/>
        </w:rPr>
        <w:t>Members of both boards owe a duty of loyalty and care to us. In carrying out their duties, they are required to exercise the standard of care of a prudent and diligent businessperson. If they fail to observe the appropriate standard of care, they may become liable to us.</w:t>
      </w:r>
    </w:p>
    <w:p>
      <w:pPr>
        <w:spacing w:after="0" w:line="2"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In carrying out their duties, the members of both boards must take into account a broad range of considerations when making decisions, including our interests and the interests of our shareholders, employees, creditors and, to a limited extent, the general public, while respecting the rights of our shareholders to be treated on equal terms. Additionally, the Management Board is responsible for implementing an appropriate and effective internal control system and risk management system with regard to the scope of business activities and the risk situation of the Company.</w:t>
      </w:r>
    </w:p>
    <w:p>
      <w:pPr>
        <w:spacing w:after="0" w:line="4"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Our Supervisory Board has comprehensive monitoring responsibilities. To ensure that our Supervisory Board can carry out these functions properly, our Management Board must, among other duties, regularly report to our Supervisory Board regarding our current business operations and future business planning (including financial, investment and personnel planning). In addition, our Supervisory Board or any of its members is entitled to request special reports from the Management Board on all matters regarding the Company, our legal and business relations with affiliated companies and any business transactions and matters at such affiliated companies that may have a significant impact on our position at any time.</w:t>
      </w:r>
    </w:p>
    <w:p>
      <w:pPr>
        <w:spacing w:after="0" w:line="4"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Under German law, our shareholders have, as a general rule, no direct recourse against the members of our Management Board or the members of our Supervisory Board in the event that they are believed to have breached their duty of loyalty and care to us. Apart from when we are unable to fulfill our third party obligations, tortious conduct to board members or other special circumstances, only we have the right to claim damages against the members of our two boards.</w:t>
      </w:r>
    </w:p>
    <w:p>
      <w:pPr>
        <w:spacing w:after="0" w:line="3" w:lineRule="exact"/>
        <w:rPr>
          <w:sz w:val="20"/>
          <w:szCs w:val="20"/>
          <w:color w:val="auto"/>
        </w:rPr>
      </w:pPr>
    </w:p>
    <w:p>
      <w:pPr>
        <w:ind w:left="380" w:right="2120"/>
        <w:spacing w:after="0" w:line="220" w:lineRule="auto"/>
        <w:rPr>
          <w:sz w:val="20"/>
          <w:szCs w:val="20"/>
          <w:color w:val="auto"/>
        </w:rPr>
      </w:pPr>
      <w:r>
        <w:rPr>
          <w:rFonts w:ascii="Arial" w:cs="Arial" w:eastAsia="Arial" w:hAnsi="Arial"/>
          <w:sz w:val="13"/>
          <w:szCs w:val="13"/>
          <w:color w:val="auto"/>
        </w:rPr>
        <w:t>We may waive these claims to damages or settle these claims only if at least three years have passed since a claim associated with any violation of a duty has arisen and only if our shareholders approve the waiver or settlement at a shareholders’ meeting with a simple majority of the votes cast, provided that no shareholders who in the aggregate hold one- tenth or more of our share capital oppose the waiver or settlement and have their opposition formally recorded in the meeting’s minutes.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212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005A64"/>
        </w:rPr>
        <w:t>Supervisory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60"/>
        <w:spacing w:after="0" w:line="216" w:lineRule="auto"/>
        <w:rPr>
          <w:sz w:val="20"/>
          <w:szCs w:val="20"/>
          <w:color w:val="auto"/>
        </w:rPr>
      </w:pPr>
      <w:r>
        <w:rPr>
          <w:rFonts w:ascii="Arial" w:cs="Arial" w:eastAsia="Arial" w:hAnsi="Arial"/>
          <w:sz w:val="13"/>
          <w:szCs w:val="13"/>
          <w:color w:val="auto"/>
        </w:rPr>
        <w:t>German law requires that the Supervisory Board consists of at least three members, while a company’s articles of association may stipulate a certain higher number. Our Supervisory Board currently consists of six members. As we are not subject to co-determination, the members of our Supervisory Board are all elected by the shareholders’ meeting in accordance with the provisions of the SE Regulation and the German Stock Corporation Act (</w:t>
      </w:r>
      <w:r>
        <w:rPr>
          <w:rFonts w:ascii="Arial" w:cs="Arial" w:eastAsia="Arial" w:hAnsi="Arial"/>
          <w:sz w:val="13"/>
          <w:szCs w:val="13"/>
          <w:i w:val="1"/>
          <w:iCs w:val="1"/>
          <w:color w:val="auto"/>
        </w:rPr>
        <w:t>Aktiengesetz</w:t>
      </w:r>
      <w:r>
        <w:rPr>
          <w:rFonts w:ascii="Arial" w:cs="Arial" w:eastAsia="Arial" w:hAnsi="Arial"/>
          <w:sz w:val="13"/>
          <w:szCs w:val="13"/>
          <w:color w:val="auto"/>
        </w:rPr>
        <w:t>). German law does not require the majority of our Supervisory Board members to be independent and neither our Articles of Association (</w:t>
      </w:r>
      <w:r>
        <w:rPr>
          <w:rFonts w:ascii="Arial" w:cs="Arial" w:eastAsia="Arial" w:hAnsi="Arial"/>
          <w:sz w:val="13"/>
          <w:szCs w:val="13"/>
          <w:i w:val="1"/>
          <w:iCs w:val="1"/>
          <w:color w:val="auto"/>
        </w:rPr>
        <w:t>Satzung</w:t>
      </w:r>
      <w:r>
        <w:rPr>
          <w:rFonts w:ascii="Arial" w:cs="Arial" w:eastAsia="Arial" w:hAnsi="Arial"/>
          <w:sz w:val="13"/>
          <w:szCs w:val="13"/>
          <w:color w:val="auto"/>
        </w:rPr>
        <w:t>) nor the rules of procedure for our Supervisory Board provide otherwise. As per our Supervisory Board’s assessment, an appropriate number of shareholder representatives on the Supervisory Board (i.e. the entire Supervisory Board) are independent if the Supervisory</w:t>
      </w:r>
    </w:p>
    <w:p>
      <w:pPr>
        <w:sectPr>
          <w:pgSz w:w="11900" w:h="16840" w:orient="portrait"/>
          <w:cols w:equalWidth="0" w:num="1">
            <w:col w:w="9020"/>
          </w:cols>
          <w:pgMar w:left="1440" w:top="1440" w:right="1440" w:bottom="10" w:gutter="0" w:footer="0" w:header="0"/>
        </w:sectPr>
      </w:pPr>
    </w:p>
    <w:bookmarkStart w:id="147" w:name="page148"/>
    <w:bookmarkEnd w:id="147"/>
    <w:p>
      <w:pPr>
        <w:ind w:left="380" w:right="2100"/>
        <w:spacing w:after="0" w:line="212" w:lineRule="auto"/>
        <w:rPr>
          <w:sz w:val="20"/>
          <w:szCs w:val="20"/>
          <w:color w:val="auto"/>
        </w:rPr>
      </w:pPr>
      <w:r>
        <w:rPr>
          <w:rFonts w:ascii="Arial" w:cs="Arial" w:eastAsia="Arial" w:hAnsi="Arial"/>
          <w:sz w:val="13"/>
          <w:szCs w:val="13"/>
          <w:color w:val="auto"/>
        </w:rPr>
        <w:t>Board has two independent members. The Supervisory Board considers Helmut Jeggle and Michael Motschmann to be independent irrespective of the fact that they will soon have been members of the Supervisory Board for a period of more than 14 years. As stated in the declaration to the German Corporate Governance Code, or the Corporate Governance Code, (</w:t>
      </w:r>
      <w:r>
        <w:rPr>
          <w:rFonts w:ascii="Arial" w:cs="Arial" w:eastAsia="Arial" w:hAnsi="Arial"/>
          <w:sz w:val="13"/>
          <w:szCs w:val="13"/>
          <w:i w:val="1"/>
          <w:iCs w:val="1"/>
          <w:color w:val="auto"/>
        </w:rPr>
        <w:t>Entsprechenserklärung</w:t>
      </w:r>
      <w:r>
        <w:rPr>
          <w:rFonts w:ascii="Arial" w:cs="Arial" w:eastAsia="Arial" w:hAnsi="Arial"/>
          <w:sz w:val="13"/>
          <w:szCs w:val="13"/>
          <w:color w:val="auto"/>
        </w:rPr>
        <w:t>) published by the Company on February 27, 2025 pursuant to Section 161 para. 1 of the German Stock Corporation Act (</w:t>
      </w:r>
      <w:r>
        <w:rPr>
          <w:rFonts w:ascii="Arial" w:cs="Arial" w:eastAsia="Arial" w:hAnsi="Arial"/>
          <w:sz w:val="13"/>
          <w:szCs w:val="13"/>
          <w:i w:val="1"/>
          <w:iCs w:val="1"/>
          <w:color w:val="auto"/>
        </w:rPr>
        <w:t>Aktiengesetz</w:t>
      </w:r>
      <w:r>
        <w:rPr>
          <w:rFonts w:ascii="Arial" w:cs="Arial" w:eastAsia="Arial" w:hAnsi="Arial"/>
          <w:sz w:val="13"/>
          <w:szCs w:val="13"/>
          <w:color w:val="auto"/>
        </w:rPr>
        <w:t>), which in accordance with the Corporate Governance Code is issued in connection with the Declaration pursuant to Section 315d in conjunction with Section 289f of the German Commercial Code (</w:t>
      </w:r>
      <w:r>
        <w:rPr>
          <w:rFonts w:ascii="Arial" w:cs="Arial" w:eastAsia="Arial" w:hAnsi="Arial"/>
          <w:sz w:val="13"/>
          <w:szCs w:val="13"/>
          <w:i w:val="1"/>
          <w:iCs w:val="1"/>
          <w:color w:val="auto"/>
        </w:rPr>
        <w:t>HGB</w:t>
      </w:r>
      <w:r>
        <w:rPr>
          <w:rFonts w:ascii="Arial" w:cs="Arial" w:eastAsia="Arial" w:hAnsi="Arial"/>
          <w:sz w:val="13"/>
          <w:szCs w:val="13"/>
          <w:color w:val="auto"/>
        </w:rPr>
        <w:t>), the length of membership does not give rise to any fears of material conflicts of interest on the part of the members of the Supervisory Board and therefore does not stand in the way of their independence. However, the rules of procedure for our Supervisory Board provide that the Supervisory Board should have an independent member with expertise in the field of accounting, internal control processes and auditing. Ulrich Wandschneider, Anja Morawietz, Michael Motschmann and Rudolf Staudigl fulfill this role.</w:t>
      </w:r>
    </w:p>
    <w:p>
      <w:pPr>
        <w:spacing w:after="0" w:line="4"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Under European law, a member of a supervisory board of an SE may be elected for a maximum term to be specified in the articles of association, which must not exceed six years. Re-election, including repeated re-election, is permissible. The shareholders’ meeting may specify a term of office for individual members or all of the members of our Supervisory Board which is shorter than the standard term of office and, subject to statutory limits, may set different start and end dates for the terms of members of our Supervisory Board. Our Articles of Association provide for a term of approximately five years, depending on the date of the annual general shareholders’ meeting in the year in which the term of the relevant member is to expire.</w:t>
      </w:r>
    </w:p>
    <w:p>
      <w:pPr>
        <w:spacing w:after="0" w:line="4"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The shareholders’ meeting may, at the same time as it elects the members of the Supervisory Board, elect one or more substitute members. The substitute members replace members who cease to be members of our Supervisory Board and take their place for the remainder of their respective terms of office. Currently, no substitute members have been elected or have been proposed to be elected.</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Members of our Supervisory Board may be dismissed at any time during their term of office by a resolution of the shareholders’ meeting adopted by at least a simple majority of the votes cast. In addition, any member of our Supervisory Board may resign at any time by giving one month’s written notice – or, in the event of cause, giving written notice with immediate effect – of his or her resignation to the Management Board.</w:t>
      </w:r>
    </w:p>
    <w:p>
      <w:pPr>
        <w:spacing w:after="0" w:line="2"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Our Supervisory Board elects a chairperson and a deputy chairperson from its members. The deputy chairperson exercises the chairperson’s rights and obligations whenever the chairperson is unable to do so. The members of our Supervisory Board have elected Helmut Jeggle as chairperson and Ulrich Wandschneider as deputy chairperson, each for the term of their respective membership on our Supervisory Board.</w:t>
      </w:r>
    </w:p>
    <w:p>
      <w:pPr>
        <w:spacing w:after="0" w:line="2"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The Supervisory Board meets at least twice each calendar half- year. Our Articles of Association provide that a quorum of the Supervisory Board members is present if at least three of its members participate in the vote. Members of our Supervisory Board are deemed present if they attend the meeting via telephone or other (electronic) means of communication (including via video conference) or submit their written vote through another member. Additionally, our Articles of Association allow for resolutions to be taken via telephone or other (electronic) means of communications (including via video conference).</w:t>
      </w:r>
    </w:p>
    <w:p>
      <w:pPr>
        <w:spacing w:after="0" w:line="4" w:lineRule="exact"/>
        <w:rPr>
          <w:sz w:val="20"/>
          <w:szCs w:val="20"/>
          <w:color w:val="auto"/>
        </w:rPr>
      </w:pPr>
    </w:p>
    <w:p>
      <w:pPr>
        <w:ind w:left="380" w:right="2220"/>
        <w:spacing w:after="0" w:line="234" w:lineRule="auto"/>
        <w:rPr>
          <w:sz w:val="20"/>
          <w:szCs w:val="20"/>
          <w:color w:val="auto"/>
        </w:rPr>
      </w:pPr>
      <w:r>
        <w:rPr>
          <w:rFonts w:ascii="Arial" w:cs="Arial" w:eastAsia="Arial" w:hAnsi="Arial"/>
          <w:sz w:val="13"/>
          <w:szCs w:val="13"/>
          <w:color w:val="auto"/>
        </w:rPr>
        <w:t>Resolutions of our Supervisory Board are passed by the vote of a simple majority of the votes cast unless otherwise required by law, our Articles of Association or the rules of procedure of our Supervisory Board.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213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80"/>
        <w:spacing w:after="0" w:line="215" w:lineRule="auto"/>
        <w:rPr>
          <w:sz w:val="20"/>
          <w:szCs w:val="20"/>
          <w:color w:val="auto"/>
        </w:rPr>
      </w:pPr>
      <w:r>
        <w:rPr>
          <w:rFonts w:ascii="Arial" w:cs="Arial" w:eastAsia="Arial" w:hAnsi="Arial"/>
          <w:sz w:val="13"/>
          <w:szCs w:val="13"/>
          <w:color w:val="auto"/>
        </w:rPr>
        <w:t>event of a tie, the chairperson of the Supervisory Board has the casting vote. Our Supervisory Board is not permitted to make management decisions, but in accordance with European and German law and in addition to its statutory responsibilities, it has determined that certain matters require its prior consent, including: •entering into certain large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620"/>
        <w:spacing w:after="0" w:line="210" w:lineRule="auto"/>
        <w:rPr>
          <w:sz w:val="20"/>
          <w:szCs w:val="20"/>
          <w:color w:val="auto"/>
        </w:rPr>
      </w:pPr>
      <w:r>
        <w:rPr>
          <w:rFonts w:ascii="Arial" w:cs="Arial" w:eastAsia="Arial" w:hAnsi="Arial"/>
          <w:sz w:val="13"/>
          <w:szCs w:val="13"/>
          <w:color w:val="auto"/>
        </w:rPr>
        <w:t>•acquiring any material interests in businesses of third parties (except group companies) or disposing of material assets or shares of the Group (other than in relation to an internal reorganization);</w:t>
      </w:r>
    </w:p>
    <w:p>
      <w:pPr>
        <w:spacing w:after="0" w:line="1" w:lineRule="exact"/>
        <w:rPr>
          <w:sz w:val="20"/>
          <w:szCs w:val="20"/>
          <w:color w:val="auto"/>
        </w:rPr>
      </w:pPr>
    </w:p>
    <w:p>
      <w:pPr>
        <w:ind w:left="380" w:right="2660"/>
        <w:spacing w:after="0" w:line="210" w:lineRule="auto"/>
        <w:rPr>
          <w:sz w:val="20"/>
          <w:szCs w:val="20"/>
          <w:color w:val="auto"/>
        </w:rPr>
      </w:pPr>
      <w:r>
        <w:rPr>
          <w:rFonts w:ascii="Arial" w:cs="Arial" w:eastAsia="Arial" w:hAnsi="Arial"/>
          <w:sz w:val="13"/>
          <w:szCs w:val="13"/>
          <w:color w:val="auto"/>
        </w:rPr>
        <w:t>•issuing shares from authorized capital, unless the shares are issued pursuant to a redemption of stock appreciation rights; and</w:t>
      </w:r>
    </w:p>
    <w:p>
      <w:pPr>
        <w:ind w:left="380"/>
        <w:spacing w:after="0" w:line="212" w:lineRule="auto"/>
        <w:rPr>
          <w:sz w:val="20"/>
          <w:szCs w:val="20"/>
          <w:color w:val="auto"/>
        </w:rPr>
      </w:pPr>
      <w:r>
        <w:rPr>
          <w:rFonts w:ascii="Arial" w:cs="Arial" w:eastAsia="Arial" w:hAnsi="Arial"/>
          <w:sz w:val="13"/>
          <w:szCs w:val="13"/>
          <w:color w:val="auto"/>
        </w:rPr>
        <w:t>•acquiring treasury shares in return for valuable consideration.</w:t>
      </w:r>
    </w:p>
    <w:p>
      <w:pPr>
        <w:spacing w:after="0" w:line="1"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Each member of the Supervisory Board shall disclose any conflicts of interest to the Supervisory Board, especially those that may arise from providing advice or holding any offices or board positions at customers, suppliers, creditors or other third parties. Material conflicts of interest that are not merely temporary and that are specific to a particular Supervisory Board member shall result in this particular member leaving office. Our Supervisory Board also puts in place adequate measures to limit, prevent or resolve conflicts of interest in accordance with applicable legal requirements and the Company’s Conflicts of Interest Policy.</w:t>
      </w:r>
    </w:p>
    <w:p>
      <w:pPr>
        <w:spacing w:after="0" w:line="4" w:lineRule="exact"/>
        <w:rPr>
          <w:sz w:val="20"/>
          <w:szCs w:val="20"/>
          <w:color w:val="auto"/>
        </w:rPr>
      </w:pPr>
    </w:p>
    <w:p>
      <w:pPr>
        <w:ind w:left="380" w:right="2220"/>
        <w:spacing w:after="0" w:line="210" w:lineRule="auto"/>
        <w:rPr>
          <w:sz w:val="20"/>
          <w:szCs w:val="20"/>
          <w:color w:val="auto"/>
        </w:rPr>
      </w:pPr>
      <w:r>
        <w:rPr>
          <w:rFonts w:ascii="Arial" w:cs="Arial" w:eastAsia="Arial" w:hAnsi="Arial"/>
          <w:sz w:val="13"/>
          <w:szCs w:val="13"/>
          <w:color w:val="auto"/>
        </w:rPr>
        <w:t>Our Supervisory Board conducted a self-assessment for the year ended December 31, 2024. It covered all key aspects of the Supervisory Board’s work, including its committees, its composition, its competence profile, its main topics and its relationship with the Management Board. The results of the self-assessment have been evaluated and will subsequently be presented to the Supervisory Board. Based on the self -assessment, the Supervisory Board believes that it, its committees and the Management Board continue to operate at a professional and cooperative level. No fundamental need for change was identified.</w:t>
      </w:r>
    </w:p>
    <w:p>
      <w:pPr>
        <w:ind w:left="380"/>
        <w:spacing w:after="0" w:line="216" w:lineRule="auto"/>
        <w:rPr>
          <w:sz w:val="20"/>
          <w:szCs w:val="20"/>
          <w:color w:val="auto"/>
        </w:rPr>
      </w:pPr>
      <w:r>
        <w:rPr>
          <w:rFonts w:ascii="Arial" w:cs="Arial" w:eastAsia="Arial" w:hAnsi="Arial"/>
          <w:sz w:val="13"/>
          <w:szCs w:val="13"/>
          <w:color w:val="005A64"/>
        </w:rPr>
        <w:t>Supervisory Board Practices</w:t>
      </w:r>
    </w:p>
    <w:p>
      <w:pPr>
        <w:ind w:left="380" w:right="2140"/>
        <w:spacing w:after="0" w:line="210" w:lineRule="auto"/>
        <w:rPr>
          <w:sz w:val="20"/>
          <w:szCs w:val="20"/>
          <w:color w:val="auto"/>
        </w:rPr>
      </w:pPr>
      <w:r>
        <w:rPr>
          <w:rFonts w:ascii="Arial" w:cs="Arial" w:eastAsia="Arial" w:hAnsi="Arial"/>
          <w:sz w:val="13"/>
          <w:szCs w:val="13"/>
          <w:color w:val="auto"/>
        </w:rPr>
        <w:t>Decisions are generally made by our Supervisory Board as a whole, however decisions on certain matters may be delegated to committees of our Supervisory Board to the extent permitted by law. The chairperson, or if he or she is prevented from doing so, the deputy chairperson, chairs the meetings of the Supervisory Board and determines the order in which the agenda items are discussed, the method and order of voting, as well as any adjournment of the discussion and passing of resolutions on individual agenda items after a due assessment of the circumstances. Our Supervisory Board may designate further types of actions as requiring its approval.</w:t>
      </w:r>
    </w:p>
    <w:p>
      <w:pPr>
        <w:spacing w:after="0" w:line="4"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In addition, each member of the Supervisory Board is obliged to carry out his or her duties and responsibilities personally, and such duties and responsibilities cannot be generally and permanently delegated to third parties. However, the Supervisory Board and its committees have the right to appoint independent experts for the review and analysis of specific circumstances in accordance with its control and supervision duties under applicable European and German law. We would bear the costs of any such independent experts that are retained by the Supervisory Board or any of its committees.</w:t>
      </w:r>
    </w:p>
    <w:p>
      <w:pPr>
        <w:spacing w:after="0" w:line="4" w:lineRule="exact"/>
        <w:rPr>
          <w:sz w:val="20"/>
          <w:szCs w:val="20"/>
          <w:color w:val="auto"/>
        </w:rPr>
      </w:pPr>
    </w:p>
    <w:p>
      <w:pPr>
        <w:ind w:left="380" w:right="2220"/>
        <w:spacing w:after="0" w:line="210" w:lineRule="auto"/>
        <w:rPr>
          <w:sz w:val="20"/>
          <w:szCs w:val="20"/>
          <w:color w:val="auto"/>
        </w:rPr>
      </w:pPr>
      <w:r>
        <w:rPr>
          <w:rFonts w:ascii="Arial" w:cs="Arial" w:eastAsia="Arial" w:hAnsi="Arial"/>
          <w:sz w:val="13"/>
          <w:szCs w:val="13"/>
          <w:color w:val="auto"/>
        </w:rPr>
        <w:t>Pursuant to Section 107 para. 3 of the German Stock Corporation Act (</w:t>
      </w:r>
      <w:r>
        <w:rPr>
          <w:rFonts w:ascii="Arial" w:cs="Arial" w:eastAsia="Arial" w:hAnsi="Arial"/>
          <w:sz w:val="13"/>
          <w:szCs w:val="13"/>
          <w:i w:val="1"/>
          <w:iCs w:val="1"/>
          <w:color w:val="auto"/>
        </w:rPr>
        <w:t>Aktiengesetz</w:t>
      </w:r>
      <w:r>
        <w:rPr>
          <w:rFonts w:ascii="Arial" w:cs="Arial" w:eastAsia="Arial" w:hAnsi="Arial"/>
          <w:sz w:val="13"/>
          <w:szCs w:val="13"/>
          <w:color w:val="auto"/>
        </w:rPr>
        <w:t>), the Supervisory Board may form committees from among its members and charge them with the performance of specific tasks. The committees’ tasks, authorizations and processes are determined by the Supervisory Board. Where permissible by law, important powers of the Supervisory Board may also be transferred to committees.</w:t>
      </w:r>
    </w:p>
    <w:p>
      <w:pPr>
        <w:spacing w:after="0" w:line="2" w:lineRule="exact"/>
        <w:rPr>
          <w:sz w:val="20"/>
          <w:szCs w:val="20"/>
          <w:color w:val="auto"/>
        </w:rPr>
      </w:pPr>
    </w:p>
    <w:p>
      <w:pPr>
        <w:ind w:left="380" w:right="2300"/>
        <w:spacing w:after="0" w:line="226" w:lineRule="auto"/>
        <w:rPr>
          <w:sz w:val="20"/>
          <w:szCs w:val="20"/>
          <w:color w:val="auto"/>
        </w:rPr>
      </w:pPr>
      <w:r>
        <w:rPr>
          <w:rFonts w:ascii="Arial" w:cs="Arial" w:eastAsia="Arial" w:hAnsi="Arial"/>
          <w:sz w:val="13"/>
          <w:szCs w:val="13"/>
          <w:color w:val="auto"/>
        </w:rPr>
        <w:t>The Supervisory Board has established an Audit Committee, a Compensation, Nominating, Governance Committee, a Capital Markets Committee and a Product Committee by resolution. Set forth in the table below are the members of the respective committees during the year ended December 31, 2024.</w:t>
      </w:r>
    </w:p>
    <w:p>
      <w:pPr>
        <w:sectPr>
          <w:pgSz w:w="11900" w:h="16840" w:orient="portrait"/>
          <w:cols w:equalWidth="0" w:num="1">
            <w:col w:w="9020"/>
          </w:cols>
          <w:pgMar w:left="1440" w:top="560" w:right="1440" w:bottom="725"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214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29845</wp:posOffset>
            </wp:positionV>
            <wp:extent cx="5231130" cy="19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31130" cy="19050"/>
                    </a:xfrm>
                    <a:prstGeom prst="rect">
                      <a:avLst/>
                    </a:prstGeom>
                    <a:noFill/>
                  </pic:spPr>
                </pic:pic>
              </a:graphicData>
            </a:graphic>
          </wp:anchor>
        </w:drawing>
      </w:r>
    </w:p>
    <w:p>
      <w:pPr>
        <w:spacing w:after="0" w:line="168" w:lineRule="exact"/>
        <w:rPr>
          <w:sz w:val="20"/>
          <w:szCs w:val="20"/>
          <w:color w:val="auto"/>
        </w:rPr>
      </w:pPr>
    </w:p>
    <w:tbl>
      <w:tblPr>
        <w:tblLayout w:type="fixed"/>
        <w:tblInd w:w="380" w:type="dxa"/>
        <w:tblCellMar>
          <w:top w:w="0" w:type="dxa"/>
          <w:left w:w="0" w:type="dxa"/>
          <w:bottom w:w="0" w:type="dxa"/>
          <w:right w:w="0" w:type="dxa"/>
        </w:tblCellMar>
      </w:tblPr>
      <w:tr>
        <w:trPr>
          <w:trHeight w:val="166"/>
        </w:trPr>
        <w:tc>
          <w:tcPr>
            <w:tcW w:w="3300" w:type="dxa"/>
            <w:vAlign w:val="bottom"/>
          </w:tcPr>
          <w:p>
            <w:pPr>
              <w:ind w:left="20"/>
              <w:spacing w:after="0"/>
              <w:rPr>
                <w:sz w:val="20"/>
                <w:szCs w:val="20"/>
                <w:color w:val="auto"/>
              </w:rPr>
            </w:pPr>
            <w:r>
              <w:rPr>
                <w:rFonts w:ascii="Arial" w:cs="Arial" w:eastAsia="Arial" w:hAnsi="Arial"/>
                <w:sz w:val="12"/>
                <w:szCs w:val="12"/>
                <w:b w:val="1"/>
                <w:bCs w:val="1"/>
                <w:color w:val="005A64"/>
              </w:rPr>
              <w:t>Name of Committee</w:t>
            </w:r>
          </w:p>
        </w:tc>
        <w:tc>
          <w:tcPr>
            <w:tcW w:w="40" w:type="dxa"/>
            <w:vAlign w:val="bottom"/>
          </w:tcPr>
          <w:p>
            <w:pPr>
              <w:spacing w:after="0"/>
              <w:rPr>
                <w:sz w:val="14"/>
                <w:szCs w:val="14"/>
                <w:color w:val="auto"/>
              </w:rPr>
            </w:pPr>
          </w:p>
        </w:tc>
        <w:tc>
          <w:tcPr>
            <w:tcW w:w="3380" w:type="dxa"/>
            <w:vAlign w:val="bottom"/>
          </w:tcPr>
          <w:p>
            <w:pPr>
              <w:ind w:left="20"/>
              <w:spacing w:after="0"/>
              <w:rPr>
                <w:sz w:val="20"/>
                <w:szCs w:val="20"/>
                <w:color w:val="auto"/>
              </w:rPr>
            </w:pPr>
            <w:r>
              <w:rPr>
                <w:rFonts w:ascii="Arial" w:cs="Arial" w:eastAsia="Arial" w:hAnsi="Arial"/>
                <w:sz w:val="12"/>
                <w:szCs w:val="12"/>
                <w:b w:val="1"/>
                <w:bCs w:val="1"/>
                <w:color w:val="005A64"/>
              </w:rPr>
              <w:t>Members</w:t>
            </w:r>
          </w:p>
        </w:tc>
      </w:tr>
      <w:tr>
        <w:trPr>
          <w:trHeight w:val="47"/>
        </w:trPr>
        <w:tc>
          <w:tcPr>
            <w:tcW w:w="330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3380" w:type="dxa"/>
            <w:vAlign w:val="bottom"/>
            <w:tcBorders>
              <w:bottom w:val="single" w:sz="8" w:color="005A64"/>
            </w:tcBorders>
          </w:tcPr>
          <w:p>
            <w:pPr>
              <w:spacing w:after="0"/>
              <w:rPr>
                <w:sz w:val="4"/>
                <w:szCs w:val="4"/>
                <w:color w:val="auto"/>
              </w:rPr>
            </w:pPr>
          </w:p>
        </w:tc>
      </w:tr>
      <w:tr>
        <w:trPr>
          <w:trHeight w:val="132"/>
        </w:trPr>
        <w:tc>
          <w:tcPr>
            <w:tcW w:w="3300" w:type="dxa"/>
            <w:vAlign w:val="bottom"/>
          </w:tcPr>
          <w:p>
            <w:pPr>
              <w:ind w:left="20"/>
              <w:spacing w:after="0" w:line="132" w:lineRule="exact"/>
              <w:rPr>
                <w:sz w:val="20"/>
                <w:szCs w:val="20"/>
                <w:color w:val="auto"/>
              </w:rPr>
            </w:pPr>
            <w:r>
              <w:rPr>
                <w:rFonts w:ascii="Arial" w:cs="Arial" w:eastAsia="Arial" w:hAnsi="Arial"/>
                <w:sz w:val="12"/>
                <w:szCs w:val="12"/>
                <w:color w:val="005A64"/>
              </w:rPr>
              <w:t>Audit Committee</w:t>
            </w:r>
          </w:p>
        </w:tc>
        <w:tc>
          <w:tcPr>
            <w:tcW w:w="40" w:type="dxa"/>
            <w:vAlign w:val="bottom"/>
          </w:tcPr>
          <w:p>
            <w:pPr>
              <w:spacing w:after="0"/>
              <w:rPr>
                <w:sz w:val="11"/>
                <w:szCs w:val="11"/>
                <w:color w:val="auto"/>
              </w:rPr>
            </w:pPr>
          </w:p>
        </w:tc>
        <w:tc>
          <w:tcPr>
            <w:tcW w:w="3380" w:type="dxa"/>
            <w:vAlign w:val="bottom"/>
          </w:tcPr>
          <w:p>
            <w:pPr>
              <w:ind w:left="20"/>
              <w:spacing w:after="0" w:line="132" w:lineRule="exact"/>
              <w:rPr>
                <w:sz w:val="20"/>
                <w:szCs w:val="20"/>
                <w:color w:val="auto"/>
              </w:rPr>
            </w:pPr>
            <w:r>
              <w:rPr>
                <w:rFonts w:ascii="Arial" w:cs="Arial" w:eastAsia="Arial" w:hAnsi="Arial"/>
                <w:sz w:val="12"/>
                <w:szCs w:val="12"/>
                <w:color w:val="005A64"/>
              </w:rPr>
              <w:t>Prof. Anja Morawietz, Ph.D. (Chair), Prof. Rudolf Staudigl,</w:t>
            </w:r>
          </w:p>
        </w:tc>
      </w:tr>
      <w:tr>
        <w:trPr>
          <w:trHeight w:val="160"/>
        </w:trPr>
        <w:tc>
          <w:tcPr>
            <w:tcW w:w="3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80" w:type="dxa"/>
            <w:vAlign w:val="bottom"/>
          </w:tcPr>
          <w:p>
            <w:pPr>
              <w:ind w:left="20"/>
              <w:spacing w:after="0"/>
              <w:rPr>
                <w:sz w:val="20"/>
                <w:szCs w:val="20"/>
                <w:color w:val="auto"/>
              </w:rPr>
            </w:pPr>
            <w:r>
              <w:rPr>
                <w:rFonts w:ascii="Arial" w:cs="Arial" w:eastAsia="Arial" w:hAnsi="Arial"/>
                <w:sz w:val="12"/>
                <w:szCs w:val="12"/>
                <w:color w:val="005A64"/>
              </w:rPr>
              <w:t>Ph.D and Ulrich Wandschneider, Ph.D.</w:t>
            </w:r>
          </w:p>
        </w:tc>
      </w:tr>
      <w:tr>
        <w:trPr>
          <w:trHeight w:val="255"/>
        </w:trPr>
        <w:tc>
          <w:tcPr>
            <w:tcW w:w="3300" w:type="dxa"/>
            <w:vAlign w:val="bottom"/>
          </w:tcPr>
          <w:p>
            <w:pPr>
              <w:ind w:left="20"/>
              <w:spacing w:after="0"/>
              <w:rPr>
                <w:sz w:val="20"/>
                <w:szCs w:val="20"/>
                <w:color w:val="auto"/>
              </w:rPr>
            </w:pPr>
            <w:r>
              <w:rPr>
                <w:rFonts w:ascii="Arial" w:cs="Arial" w:eastAsia="Arial" w:hAnsi="Arial"/>
                <w:sz w:val="12"/>
                <w:szCs w:val="12"/>
                <w:color w:val="005A64"/>
              </w:rPr>
              <w:t>Compensation, Nominating and Corporate Governance</w:t>
            </w:r>
          </w:p>
        </w:tc>
        <w:tc>
          <w:tcPr>
            <w:tcW w:w="40" w:type="dxa"/>
            <w:vAlign w:val="bottom"/>
          </w:tcPr>
          <w:p>
            <w:pPr>
              <w:spacing w:after="0"/>
              <w:rPr>
                <w:sz w:val="22"/>
                <w:szCs w:val="22"/>
                <w:color w:val="auto"/>
              </w:rPr>
            </w:pPr>
          </w:p>
        </w:tc>
        <w:tc>
          <w:tcPr>
            <w:tcW w:w="3380" w:type="dxa"/>
            <w:vAlign w:val="bottom"/>
          </w:tcPr>
          <w:p>
            <w:pPr>
              <w:ind w:left="20"/>
              <w:spacing w:after="0"/>
              <w:rPr>
                <w:sz w:val="20"/>
                <w:szCs w:val="20"/>
                <w:color w:val="auto"/>
              </w:rPr>
            </w:pPr>
            <w:r>
              <w:rPr>
                <w:rFonts w:ascii="Arial" w:cs="Arial" w:eastAsia="Arial" w:hAnsi="Arial"/>
                <w:sz w:val="12"/>
                <w:szCs w:val="12"/>
                <w:color w:val="005A64"/>
              </w:rPr>
              <w:t>Prof. Rudolf Staudigl, Ph.D. (Chair), Baroness Nicola</w:t>
            </w:r>
          </w:p>
        </w:tc>
      </w:tr>
      <w:tr>
        <w:trPr>
          <w:trHeight w:val="160"/>
        </w:trPr>
        <w:tc>
          <w:tcPr>
            <w:tcW w:w="3300" w:type="dxa"/>
            <w:vAlign w:val="bottom"/>
          </w:tcPr>
          <w:p>
            <w:pPr>
              <w:ind w:left="20"/>
              <w:spacing w:after="0"/>
              <w:rPr>
                <w:sz w:val="20"/>
                <w:szCs w:val="20"/>
                <w:color w:val="auto"/>
              </w:rPr>
            </w:pPr>
            <w:r>
              <w:rPr>
                <w:rFonts w:ascii="Arial" w:cs="Arial" w:eastAsia="Arial" w:hAnsi="Arial"/>
                <w:sz w:val="12"/>
                <w:szCs w:val="12"/>
                <w:color w:val="005A64"/>
              </w:rPr>
              <w:t>Committee</w:t>
            </w:r>
          </w:p>
        </w:tc>
        <w:tc>
          <w:tcPr>
            <w:tcW w:w="40" w:type="dxa"/>
            <w:vAlign w:val="bottom"/>
          </w:tcPr>
          <w:p>
            <w:pPr>
              <w:spacing w:after="0"/>
              <w:rPr>
                <w:sz w:val="13"/>
                <w:szCs w:val="13"/>
                <w:color w:val="auto"/>
              </w:rPr>
            </w:pPr>
          </w:p>
        </w:tc>
        <w:tc>
          <w:tcPr>
            <w:tcW w:w="3380" w:type="dxa"/>
            <w:vAlign w:val="bottom"/>
          </w:tcPr>
          <w:p>
            <w:pPr>
              <w:ind w:left="20"/>
              <w:spacing w:after="0"/>
              <w:rPr>
                <w:sz w:val="20"/>
                <w:szCs w:val="20"/>
                <w:color w:val="auto"/>
              </w:rPr>
            </w:pPr>
            <w:r>
              <w:rPr>
                <w:rFonts w:ascii="Arial" w:cs="Arial" w:eastAsia="Arial" w:hAnsi="Arial"/>
                <w:sz w:val="12"/>
                <w:szCs w:val="12"/>
                <w:color w:val="005A64"/>
              </w:rPr>
              <w:t>Blackwood and Michael Motschmann.</w:t>
            </w:r>
          </w:p>
        </w:tc>
      </w:tr>
      <w:tr>
        <w:trPr>
          <w:trHeight w:val="255"/>
        </w:trPr>
        <w:tc>
          <w:tcPr>
            <w:tcW w:w="3300" w:type="dxa"/>
            <w:vAlign w:val="bottom"/>
          </w:tcPr>
          <w:p>
            <w:pPr>
              <w:ind w:left="20"/>
              <w:spacing w:after="0"/>
              <w:rPr>
                <w:sz w:val="20"/>
                <w:szCs w:val="20"/>
                <w:color w:val="auto"/>
              </w:rPr>
            </w:pPr>
            <w:r>
              <w:rPr>
                <w:rFonts w:ascii="Arial" w:cs="Arial" w:eastAsia="Arial" w:hAnsi="Arial"/>
                <w:sz w:val="12"/>
                <w:szCs w:val="12"/>
                <w:color w:val="005A64"/>
              </w:rPr>
              <w:t>Capital Markets Committee</w:t>
            </w:r>
          </w:p>
        </w:tc>
        <w:tc>
          <w:tcPr>
            <w:tcW w:w="40" w:type="dxa"/>
            <w:vAlign w:val="bottom"/>
          </w:tcPr>
          <w:p>
            <w:pPr>
              <w:spacing w:after="0"/>
              <w:rPr>
                <w:sz w:val="22"/>
                <w:szCs w:val="22"/>
                <w:color w:val="auto"/>
              </w:rPr>
            </w:pPr>
          </w:p>
        </w:tc>
        <w:tc>
          <w:tcPr>
            <w:tcW w:w="3380" w:type="dxa"/>
            <w:vAlign w:val="bottom"/>
          </w:tcPr>
          <w:p>
            <w:pPr>
              <w:ind w:left="20"/>
              <w:spacing w:after="0"/>
              <w:rPr>
                <w:sz w:val="20"/>
                <w:szCs w:val="20"/>
                <w:color w:val="auto"/>
              </w:rPr>
            </w:pPr>
            <w:r>
              <w:rPr>
                <w:rFonts w:ascii="Arial" w:cs="Arial" w:eastAsia="Arial" w:hAnsi="Arial"/>
                <w:sz w:val="12"/>
                <w:szCs w:val="12"/>
                <w:color w:val="005A64"/>
              </w:rPr>
              <w:t>Helmut Jeggle (Chair), Prof. Anja Morawietz, Ph.D. and</w:t>
            </w:r>
          </w:p>
        </w:tc>
      </w:tr>
      <w:tr>
        <w:trPr>
          <w:trHeight w:val="160"/>
        </w:trPr>
        <w:tc>
          <w:tcPr>
            <w:tcW w:w="3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80" w:type="dxa"/>
            <w:vAlign w:val="bottom"/>
          </w:tcPr>
          <w:p>
            <w:pPr>
              <w:ind w:left="20"/>
              <w:spacing w:after="0"/>
              <w:rPr>
                <w:sz w:val="20"/>
                <w:szCs w:val="20"/>
                <w:color w:val="auto"/>
              </w:rPr>
            </w:pPr>
            <w:r>
              <w:rPr>
                <w:rFonts w:ascii="Arial" w:cs="Arial" w:eastAsia="Arial" w:hAnsi="Arial"/>
                <w:sz w:val="12"/>
                <w:szCs w:val="12"/>
                <w:color w:val="005A64"/>
              </w:rPr>
              <w:t>Michael Motschmann</w:t>
            </w:r>
          </w:p>
        </w:tc>
      </w:tr>
      <w:tr>
        <w:trPr>
          <w:trHeight w:val="255"/>
        </w:trPr>
        <w:tc>
          <w:tcPr>
            <w:tcW w:w="3300" w:type="dxa"/>
            <w:vAlign w:val="bottom"/>
          </w:tcPr>
          <w:p>
            <w:pPr>
              <w:ind w:left="20"/>
              <w:spacing w:after="0"/>
              <w:rPr>
                <w:sz w:val="20"/>
                <w:szCs w:val="20"/>
                <w:color w:val="auto"/>
              </w:rPr>
            </w:pPr>
            <w:r>
              <w:rPr>
                <w:rFonts w:ascii="Arial" w:cs="Arial" w:eastAsia="Arial" w:hAnsi="Arial"/>
                <w:sz w:val="12"/>
                <w:szCs w:val="12"/>
                <w:color w:val="005A64"/>
              </w:rPr>
              <w:t>Product Committee</w:t>
            </w:r>
          </w:p>
        </w:tc>
        <w:tc>
          <w:tcPr>
            <w:tcW w:w="40" w:type="dxa"/>
            <w:vAlign w:val="bottom"/>
          </w:tcPr>
          <w:p>
            <w:pPr>
              <w:spacing w:after="0"/>
              <w:rPr>
                <w:sz w:val="22"/>
                <w:szCs w:val="22"/>
                <w:color w:val="auto"/>
              </w:rPr>
            </w:pPr>
          </w:p>
        </w:tc>
        <w:tc>
          <w:tcPr>
            <w:tcW w:w="3380" w:type="dxa"/>
            <w:vAlign w:val="bottom"/>
          </w:tcPr>
          <w:p>
            <w:pPr>
              <w:ind w:left="20"/>
              <w:spacing w:after="0"/>
              <w:rPr>
                <w:sz w:val="20"/>
                <w:szCs w:val="20"/>
                <w:color w:val="auto"/>
              </w:rPr>
            </w:pPr>
            <w:r>
              <w:rPr>
                <w:rFonts w:ascii="Arial" w:cs="Arial" w:eastAsia="Arial" w:hAnsi="Arial"/>
                <w:sz w:val="12"/>
                <w:szCs w:val="12"/>
                <w:color w:val="005A64"/>
              </w:rPr>
              <w:t>Ulrich Wandschneider, Ph.D. (Chair), Baroness Nicola</w:t>
            </w:r>
          </w:p>
        </w:tc>
      </w:tr>
      <w:tr>
        <w:trPr>
          <w:trHeight w:val="160"/>
        </w:trPr>
        <w:tc>
          <w:tcPr>
            <w:tcW w:w="3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80" w:type="dxa"/>
            <w:vAlign w:val="bottom"/>
          </w:tcPr>
          <w:p>
            <w:pPr>
              <w:ind w:left="20"/>
              <w:spacing w:after="0"/>
              <w:rPr>
                <w:sz w:val="20"/>
                <w:szCs w:val="20"/>
                <w:color w:val="auto"/>
              </w:rPr>
            </w:pPr>
            <w:r>
              <w:rPr>
                <w:rFonts w:ascii="Arial" w:cs="Arial" w:eastAsia="Arial" w:hAnsi="Arial"/>
                <w:sz w:val="12"/>
                <w:szCs w:val="12"/>
                <w:color w:val="005A64"/>
              </w:rPr>
              <w:t>Blackwood and Helmut Jeggle</w:t>
            </w:r>
          </w:p>
        </w:tc>
      </w:tr>
    </w:tbl>
    <w:p>
      <w:pPr>
        <w:spacing w:after="0" w:line="87"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4262120"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262120" cy="6350"/>
                    </a:xfrm>
                    <a:prstGeom prst="rect">
                      <a:avLst/>
                    </a:prstGeom>
                    <a:noFill/>
                  </pic:spPr>
                </pic:pic>
              </a:graphicData>
            </a:graphic>
          </wp:anchor>
        </w:drawing>
      </w:r>
    </w:p>
    <w:p>
      <w:pPr>
        <w:ind w:left="380" w:right="2100"/>
        <w:spacing w:after="0" w:line="237" w:lineRule="auto"/>
        <w:rPr>
          <w:sz w:val="20"/>
          <w:szCs w:val="20"/>
          <w:color w:val="auto"/>
        </w:rPr>
      </w:pPr>
      <w:r>
        <w:rPr>
          <w:rFonts w:ascii="Arial" w:cs="Arial" w:eastAsia="Arial" w:hAnsi="Arial"/>
          <w:sz w:val="13"/>
          <w:szCs w:val="13"/>
          <w:color w:val="auto"/>
        </w:rPr>
        <w:t>Our Audit Committee for the year ended December 31, 2024 consisted of Anja Morawietz. (Chair), Rudolf Staudigl and Ulrich Wandschneider. The Audit Committee assists the Supervisory Board in overseeing the accuracy and integrity of our financial statements, our accounting and financial reporting processes and audits of our financial statements, the effective functioning of our internal control system, our risk management system, our compliance with legal and regulatory requirements, our independent auditor’s qualifications and independence, the performance of the independent auditor and the effective functioning of our internal audit functions, and, subject to certain limitations, adopts and implements pertinent decisions on behalf of the Supervisory Board. The Audit Committee’s duties and responsibilities to carry out its purpose, include, among others:</w:t>
      </w:r>
    </w:p>
    <w:p>
      <w:pPr>
        <w:spacing w:after="0" w:line="2" w:lineRule="exact"/>
        <w:rPr>
          <w:sz w:val="20"/>
          <w:szCs w:val="20"/>
          <w:color w:val="auto"/>
        </w:rPr>
      </w:pPr>
    </w:p>
    <w:p>
      <w:pPr>
        <w:ind w:left="380" w:right="2600"/>
        <w:spacing w:after="0" w:line="210" w:lineRule="auto"/>
        <w:rPr>
          <w:sz w:val="20"/>
          <w:szCs w:val="20"/>
          <w:color w:val="auto"/>
        </w:rPr>
      </w:pPr>
      <w:r>
        <w:rPr>
          <w:rFonts w:ascii="Arial" w:cs="Arial" w:eastAsia="Arial" w:hAnsi="Arial"/>
          <w:sz w:val="13"/>
          <w:szCs w:val="13"/>
          <w:color w:val="242424"/>
        </w:rPr>
        <w:t>•oversight of the Company’s accounting, sustainability reporting, financial reporting processes, sustainability reporting processes and the audit of the annual financial statements and the consolidated financial statements and the (group) management reports and sustainability report and the effectiveness of the internal control system;</w:t>
      </w:r>
    </w:p>
    <w:p>
      <w:pPr>
        <w:spacing w:after="0" w:line="2" w:lineRule="exact"/>
        <w:rPr>
          <w:sz w:val="20"/>
          <w:szCs w:val="20"/>
          <w:color w:val="auto"/>
        </w:rPr>
      </w:pPr>
    </w:p>
    <w:p>
      <w:pPr>
        <w:ind w:left="380" w:right="2560"/>
        <w:spacing w:after="0" w:line="210" w:lineRule="auto"/>
        <w:rPr>
          <w:sz w:val="20"/>
          <w:szCs w:val="20"/>
          <w:color w:val="auto"/>
        </w:rPr>
      </w:pPr>
      <w:r>
        <w:rPr>
          <w:rFonts w:ascii="Arial" w:cs="Arial" w:eastAsia="Arial" w:hAnsi="Arial"/>
          <w:sz w:val="13"/>
          <w:szCs w:val="13"/>
          <w:color w:val="242424"/>
        </w:rPr>
        <w:t>•oversight of the effectiveness of the Risk Management System and the internal Audit System; •monitoring the independent audit, in particular the selection and independence of the auditor, the quality of the audit and the additional services provided by the auditor;</w:t>
      </w:r>
    </w:p>
    <w:p>
      <w:pPr>
        <w:spacing w:after="0" w:line="2" w:lineRule="exact"/>
        <w:rPr>
          <w:sz w:val="20"/>
          <w:szCs w:val="20"/>
          <w:color w:val="auto"/>
        </w:rPr>
      </w:pPr>
    </w:p>
    <w:p>
      <w:pPr>
        <w:ind w:left="380" w:right="2600"/>
        <w:spacing w:after="0" w:line="210" w:lineRule="auto"/>
        <w:rPr>
          <w:sz w:val="20"/>
          <w:szCs w:val="20"/>
          <w:color w:val="auto"/>
        </w:rPr>
      </w:pPr>
      <w:r>
        <w:rPr>
          <w:rFonts w:ascii="Arial" w:cs="Arial" w:eastAsia="Arial" w:hAnsi="Arial"/>
          <w:sz w:val="13"/>
          <w:szCs w:val="13"/>
          <w:color w:val="auto"/>
        </w:rPr>
        <w:t>•making a recommendation to the Supervisory Board with respect to the proposal for the appointment of the auditors;</w:t>
      </w:r>
    </w:p>
    <w:p>
      <w:pPr>
        <w:spacing w:after="0" w:line="1" w:lineRule="exact"/>
        <w:rPr>
          <w:sz w:val="20"/>
          <w:szCs w:val="20"/>
          <w:color w:val="auto"/>
        </w:rPr>
      </w:pPr>
    </w:p>
    <w:p>
      <w:pPr>
        <w:ind w:left="380" w:right="2780"/>
        <w:spacing w:after="0" w:line="210" w:lineRule="auto"/>
        <w:rPr>
          <w:sz w:val="20"/>
          <w:szCs w:val="20"/>
          <w:color w:val="auto"/>
        </w:rPr>
      </w:pPr>
      <w:r>
        <w:rPr>
          <w:rFonts w:ascii="Arial" w:cs="Arial" w:eastAsia="Arial" w:hAnsi="Arial"/>
          <w:sz w:val="13"/>
          <w:szCs w:val="13"/>
          <w:color w:val="auto"/>
        </w:rPr>
        <w:t>•considering the commissioning of the audit engagement, as well as the compensation, retention and oversight of the independent auditor;</w:t>
      </w:r>
    </w:p>
    <w:p>
      <w:pPr>
        <w:spacing w:after="0" w:line="1" w:lineRule="exact"/>
        <w:rPr>
          <w:sz w:val="20"/>
          <w:szCs w:val="20"/>
          <w:color w:val="auto"/>
        </w:rPr>
      </w:pPr>
    </w:p>
    <w:p>
      <w:pPr>
        <w:jc w:val="both"/>
        <w:ind w:left="380" w:right="2880"/>
        <w:spacing w:after="0" w:line="210" w:lineRule="auto"/>
        <w:rPr>
          <w:sz w:val="20"/>
          <w:szCs w:val="20"/>
          <w:color w:val="auto"/>
        </w:rPr>
      </w:pPr>
      <w:r>
        <w:rPr>
          <w:rFonts w:ascii="Arial" w:cs="Arial" w:eastAsia="Arial" w:hAnsi="Arial"/>
          <w:sz w:val="13"/>
          <w:szCs w:val="13"/>
          <w:color w:val="auto"/>
        </w:rPr>
        <w:t>•evaluating the qualifications, independence and quality of performance of the independent auditor; •reviewing and pre-approving the audit and non-audit services to be performed by the independent auditor;</w:t>
      </w:r>
    </w:p>
    <w:p>
      <w:pPr>
        <w:spacing w:after="0" w:line="2" w:lineRule="exact"/>
        <w:rPr>
          <w:sz w:val="20"/>
          <w:szCs w:val="20"/>
          <w:color w:val="auto"/>
        </w:rPr>
      </w:pPr>
    </w:p>
    <w:p>
      <w:pPr>
        <w:ind w:left="380" w:right="2760"/>
        <w:spacing w:after="0" w:line="210" w:lineRule="auto"/>
        <w:rPr>
          <w:sz w:val="20"/>
          <w:szCs w:val="20"/>
          <w:color w:val="auto"/>
        </w:rPr>
      </w:pPr>
      <w:r>
        <w:rPr>
          <w:rFonts w:ascii="Arial" w:cs="Arial" w:eastAsia="Arial" w:hAnsi="Arial"/>
          <w:sz w:val="13"/>
          <w:szCs w:val="13"/>
          <w:color w:val="auto"/>
        </w:rPr>
        <w:t>•reviewing and discussing with the independent auditor the annual audit plan and overall auditing strategy, the independent auditor's responsibilities and the management's responsibilities under the auditing process, and reviewing with the independent auditor and management the critical accounting policies and practices to be applied;</w:t>
      </w:r>
    </w:p>
    <w:p>
      <w:pPr>
        <w:spacing w:after="0" w:line="2" w:lineRule="exact"/>
        <w:rPr>
          <w:sz w:val="20"/>
          <w:szCs w:val="20"/>
          <w:color w:val="auto"/>
        </w:rPr>
      </w:pPr>
    </w:p>
    <w:p>
      <w:pPr>
        <w:ind w:left="380" w:right="2560"/>
        <w:spacing w:after="0" w:line="226" w:lineRule="auto"/>
        <w:rPr>
          <w:sz w:val="20"/>
          <w:szCs w:val="20"/>
          <w:color w:val="auto"/>
        </w:rPr>
      </w:pPr>
      <w:r>
        <w:rPr>
          <w:rFonts w:ascii="Arial" w:cs="Arial" w:eastAsia="Arial" w:hAnsi="Arial"/>
          <w:sz w:val="13"/>
          <w:szCs w:val="13"/>
          <w:color w:val="auto"/>
        </w:rPr>
        <w:t>•reviewing of alternative treatments of financial information discussed by the independent auditor and the board, the implications of using such alternative disclosures and treatments, and the independent auditor's preferred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215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ectPr>
          <w:pgSz w:w="11900" w:h="16840" w:orient="portrait"/>
          <w:cols w:equalWidth="0" w:num="1">
            <w:col w:w="9020"/>
          </w:cols>
          <w:pgMar w:left="1440" w:top="1440" w:right="1440" w:bottom="0" w:gutter="0" w:footer="0" w:header="0"/>
        </w:sectPr>
      </w:pPr>
    </w:p>
    <w:p>
      <w:pPr>
        <w:spacing w:after="0" w:line="38" w:lineRule="exact"/>
        <w:rPr>
          <w:sz w:val="20"/>
          <w:szCs w:val="20"/>
          <w:color w:val="auto"/>
        </w:rPr>
      </w:pPr>
    </w:p>
    <w:p>
      <w:pPr>
        <w:ind w:left="380" w:right="3300"/>
        <w:spacing w:after="0" w:line="248" w:lineRule="auto"/>
        <w:rPr>
          <w:sz w:val="20"/>
          <w:szCs w:val="20"/>
          <w:color w:val="auto"/>
        </w:rPr>
      </w:pPr>
      <w:r>
        <w:rPr>
          <w:rFonts w:ascii="Arial" w:cs="Arial" w:eastAsia="Arial" w:hAnsi="Arial"/>
          <w:sz w:val="13"/>
          <w:szCs w:val="13"/>
          <w:color w:val="auto"/>
        </w:rPr>
        <w:t>•reviewing and discussing with the independent auditor and management the adequacy and effectiveness of our internal accounting controls and critical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-189230</wp:posOffset>
            </wp:positionV>
            <wp:extent cx="5231130"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1440" w:right="1440" w:bottom="0" w:gutter="0" w:footer="0" w:header="0"/>
          <w:type w:val="continuous"/>
        </w:sectPr>
      </w:pPr>
    </w:p>
    <w:bookmarkStart w:id="149" w:name="page150"/>
    <w:bookmarkEnd w:id="149"/>
    <w:p>
      <w:pPr>
        <w:ind w:left="380" w:right="2580"/>
        <w:spacing w:after="0" w:line="220" w:lineRule="auto"/>
        <w:rPr>
          <w:sz w:val="20"/>
          <w:szCs w:val="20"/>
          <w:color w:val="auto"/>
        </w:rPr>
      </w:pPr>
      <w:r>
        <w:rPr>
          <w:rFonts w:ascii="Arial" w:cs="Arial" w:eastAsia="Arial" w:hAnsi="Arial"/>
          <w:sz w:val="13"/>
          <w:szCs w:val="13"/>
          <w:color w:val="auto"/>
        </w:rPr>
        <w:t>•reviewing and discussing with the independent auditor and management the results of our annual audit; •reviewing non-financial reporting;</w:t>
      </w:r>
    </w:p>
    <w:p>
      <w:pPr>
        <w:ind w:left="380"/>
        <w:spacing w:after="0" w:line="212" w:lineRule="auto"/>
        <w:rPr>
          <w:sz w:val="20"/>
          <w:szCs w:val="20"/>
          <w:color w:val="auto"/>
        </w:rPr>
      </w:pPr>
      <w:r>
        <w:rPr>
          <w:rFonts w:ascii="Arial" w:cs="Arial" w:eastAsia="Arial" w:hAnsi="Arial"/>
          <w:sz w:val="13"/>
          <w:szCs w:val="13"/>
          <w:color w:val="auto"/>
        </w:rPr>
        <w:t>•reviewing the effectiveness of the compliance management system;</w:t>
      </w:r>
    </w:p>
    <w:p>
      <w:pPr>
        <w:jc w:val="both"/>
        <w:ind w:left="380" w:right="2620"/>
        <w:spacing w:after="0" w:line="210" w:lineRule="auto"/>
        <w:rPr>
          <w:sz w:val="20"/>
          <w:szCs w:val="20"/>
          <w:color w:val="auto"/>
        </w:rPr>
      </w:pPr>
      <w:r>
        <w:rPr>
          <w:rFonts w:ascii="Arial" w:cs="Arial" w:eastAsia="Arial" w:hAnsi="Arial"/>
          <w:sz w:val="13"/>
          <w:szCs w:val="13"/>
          <w:color w:val="auto"/>
        </w:rPr>
        <w:t>•reviewing, approving and monitoring any related party transactions in accordance with SEC regulations or German law and reviewing and monitoring potential conflict of interest situations on an ongoing basis for compliance with our policies and procedures; and</w:t>
      </w:r>
    </w:p>
    <w:p>
      <w:pPr>
        <w:spacing w:after="0" w:line="2" w:lineRule="exact"/>
        <w:rPr>
          <w:sz w:val="20"/>
          <w:szCs w:val="20"/>
          <w:color w:val="auto"/>
        </w:rPr>
      </w:pPr>
    </w:p>
    <w:p>
      <w:pPr>
        <w:ind w:left="380" w:right="3040"/>
        <w:spacing w:after="0" w:line="210" w:lineRule="auto"/>
        <w:rPr>
          <w:sz w:val="20"/>
          <w:szCs w:val="20"/>
          <w:color w:val="auto"/>
        </w:rPr>
      </w:pPr>
      <w:r>
        <w:rPr>
          <w:rFonts w:ascii="Arial" w:cs="Arial" w:eastAsia="Arial" w:hAnsi="Arial"/>
          <w:sz w:val="13"/>
          <w:szCs w:val="13"/>
          <w:color w:val="auto"/>
        </w:rPr>
        <w:t>•overseeing procedures for the receipt, retention and treatment of complaints received regarding accounting, internal accounting controls or auditing matters or other matters of compliance.</w:t>
      </w:r>
    </w:p>
    <w:p>
      <w:pPr>
        <w:spacing w:after="0" w:line="1"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Within the limits of applicable European and German law, the Audit Committee shall have the resources and authority appropriate to discharge its duties and responsibilities, including the authority to select, retain, terminate, and approve the fees and other engagement terms of special or independent counsel, accountants or other experts and advisors, as it deems necessary or appropriate for so discharging its duties and responsibilities, without seeking approval of the Management Board or Supervisory Board.</w:t>
      </w:r>
    </w:p>
    <w:p>
      <w:pPr>
        <w:spacing w:after="0" w:line="3"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All members of the Audit Committee qualify as “independent directors” as such term is defined in Rule 10A-3 under the Exchange Act and Nasdaq Rule 5605. Additionally, our Supervisory Board has determined that Anja Morawietz, Rudolf Staudigl and Ulrich Wandschneider qualify as “audit committee financial expert” as that term is defined under the Exchange Act. In addition, Anja Morawietz as Chair of the Audit Committee, Rudolf Staudigl and Ulrich Wandschneider have the special knowledge and experience required by the German Corporate Governance Code in the field of accounting and expertise in the field of auditing.</w:t>
      </w:r>
    </w:p>
    <w:p>
      <w:pPr>
        <w:ind w:left="380"/>
        <w:spacing w:after="0" w:line="216" w:lineRule="auto"/>
        <w:rPr>
          <w:sz w:val="20"/>
          <w:szCs w:val="20"/>
          <w:color w:val="auto"/>
        </w:rPr>
      </w:pPr>
      <w:r>
        <w:rPr>
          <w:rFonts w:ascii="Arial" w:cs="Arial" w:eastAsia="Arial" w:hAnsi="Arial"/>
          <w:sz w:val="13"/>
          <w:szCs w:val="13"/>
          <w:b w:val="1"/>
          <w:bCs w:val="1"/>
          <w:color w:val="auto"/>
        </w:rPr>
        <w:t>Compensation, Nominating and Corporate Governance Committee</w:t>
      </w:r>
    </w:p>
    <w:p>
      <w:pPr>
        <w:ind w:left="380" w:right="2180"/>
        <w:spacing w:after="0" w:line="210" w:lineRule="auto"/>
        <w:rPr>
          <w:sz w:val="20"/>
          <w:szCs w:val="20"/>
          <w:color w:val="auto"/>
        </w:rPr>
      </w:pPr>
      <w:r>
        <w:rPr>
          <w:rFonts w:ascii="Arial" w:cs="Arial" w:eastAsia="Arial" w:hAnsi="Arial"/>
          <w:sz w:val="13"/>
          <w:szCs w:val="13"/>
          <w:color w:val="auto"/>
        </w:rPr>
        <w:t>Our Compensation, Nominating and Corporate Governance Committee for the year ended December 31, 2024 consisted of Rudolf Staudigl (Chair), Nicola Blackwood and Michael Motschmann. The Compensation, Nominating and Corporate Governance Committee’s duties and responsibilities to carry out its purpose include, among others:</w:t>
      </w:r>
    </w:p>
    <w:p>
      <w:pPr>
        <w:spacing w:after="0" w:line="2"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•preparing and discussing with management policies relating to the remuneration of the members of our Management Board;</w:t>
      </w:r>
    </w:p>
    <w:p>
      <w:pPr>
        <w:spacing w:after="0" w:line="1"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•reviewing and supervising corporate goals and objectives for the remuneration of the members of the Management Board, including evaluation of the performance of the members of the Management Board in light of these goals and proposals to the Supervisory Board for remuneration based on such evaluations;</w:t>
      </w:r>
    </w:p>
    <w:p>
      <w:pPr>
        <w:spacing w:after="0" w:line="2"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•reviewing all equity-based compensation plans and arrangements and making recommendations to the Supervisory Board regarding such plans;</w:t>
      </w:r>
    </w:p>
    <w:p>
      <w:pPr>
        <w:spacing w:after="0" w:line="1" w:lineRule="exact"/>
        <w:rPr>
          <w:sz w:val="20"/>
          <w:szCs w:val="20"/>
          <w:color w:val="auto"/>
        </w:rPr>
      </w:pPr>
    </w:p>
    <w:p>
      <w:pPr>
        <w:ind w:left="380" w:right="2760"/>
        <w:spacing w:after="0" w:line="210" w:lineRule="auto"/>
        <w:rPr>
          <w:sz w:val="20"/>
          <w:szCs w:val="20"/>
          <w:color w:val="auto"/>
        </w:rPr>
      </w:pPr>
      <w:r>
        <w:rPr>
          <w:rFonts w:ascii="Arial" w:cs="Arial" w:eastAsia="Arial" w:hAnsi="Arial"/>
          <w:sz w:val="13"/>
          <w:szCs w:val="13"/>
          <w:color w:val="auto"/>
        </w:rPr>
        <w:t>•assisting with identifying and recruiting candidates to fill positions on the Management Board and the Supervisory Board;</w:t>
      </w:r>
    </w:p>
    <w:p>
      <w:pPr>
        <w:spacing w:after="0" w:line="1" w:lineRule="exact"/>
        <w:rPr>
          <w:sz w:val="20"/>
          <w:szCs w:val="20"/>
          <w:color w:val="auto"/>
        </w:rPr>
      </w:pPr>
    </w:p>
    <w:p>
      <w:pPr>
        <w:ind w:left="380" w:right="2660"/>
        <w:spacing w:after="0" w:line="210" w:lineRule="auto"/>
        <w:rPr>
          <w:sz w:val="20"/>
          <w:szCs w:val="20"/>
          <w:color w:val="auto"/>
        </w:rPr>
      </w:pPr>
      <w:r>
        <w:rPr>
          <w:rFonts w:ascii="Arial" w:cs="Arial" w:eastAsia="Arial" w:hAnsi="Arial"/>
          <w:sz w:val="13"/>
          <w:szCs w:val="13"/>
          <w:color w:val="auto"/>
        </w:rPr>
        <w:t>•considering any corporate governance issue that arises and developing appropriate recommendations for the Supervisory Board; and</w:t>
      </w:r>
    </w:p>
    <w:p>
      <w:pPr>
        <w:ind w:left="380"/>
        <w:spacing w:after="0" w:line="212" w:lineRule="auto"/>
        <w:rPr>
          <w:sz w:val="20"/>
          <w:szCs w:val="20"/>
          <w:color w:val="auto"/>
        </w:rPr>
      </w:pPr>
      <w:r>
        <w:rPr>
          <w:rFonts w:ascii="Arial" w:cs="Arial" w:eastAsia="Arial" w:hAnsi="Arial"/>
          <w:sz w:val="13"/>
          <w:szCs w:val="13"/>
          <w:color w:val="auto"/>
        </w:rPr>
        <w:t>•overseeing the evaluation of the Supervisory Board and reporting on its performance and effectiveness.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auto"/>
        </w:rPr>
        <w:t>Capital Markets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216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line="215" w:lineRule="auto"/>
        <w:rPr>
          <w:sz w:val="20"/>
          <w:szCs w:val="20"/>
          <w:color w:val="auto"/>
        </w:rPr>
      </w:pPr>
      <w:r>
        <w:rPr>
          <w:rFonts w:ascii="Arial" w:cs="Arial" w:eastAsia="Arial" w:hAnsi="Arial"/>
          <w:sz w:val="13"/>
          <w:szCs w:val="13"/>
          <w:color w:val="auto"/>
        </w:rPr>
        <w:t>Our Capital Markets Committee for the year ended December 31, 2024 consisted of Helmut Jeggle (Chair), Anja Morawietz and Michael Motschmann. The Capital Markets Committee advises and makes recommendations to the Supervisory Board on issues in connection with capital measures and takeover, merger and acquisition activities. Its responsibilities include the following tasks: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800"/>
        <w:spacing w:after="0" w:line="210" w:lineRule="auto"/>
        <w:rPr>
          <w:sz w:val="20"/>
          <w:szCs w:val="20"/>
          <w:color w:val="auto"/>
        </w:rPr>
      </w:pPr>
      <w:r>
        <w:rPr>
          <w:rFonts w:ascii="Arial" w:cs="Arial" w:eastAsia="Arial" w:hAnsi="Arial"/>
          <w:sz w:val="13"/>
          <w:szCs w:val="13"/>
          <w:color w:val="auto"/>
        </w:rPr>
        <w:t>•overseeing the activities of the Company relating to its capital structure and capital raising, including preparation for and implementation of public offerings and share issuances; and</w:t>
      </w:r>
    </w:p>
    <w:p>
      <w:pPr>
        <w:ind w:left="380"/>
        <w:spacing w:after="0" w:line="212" w:lineRule="auto"/>
        <w:rPr>
          <w:sz w:val="20"/>
          <w:szCs w:val="20"/>
          <w:color w:val="auto"/>
        </w:rPr>
      </w:pPr>
      <w:r>
        <w:rPr>
          <w:rFonts w:ascii="Arial" w:cs="Arial" w:eastAsia="Arial" w:hAnsi="Arial"/>
          <w:sz w:val="13"/>
          <w:szCs w:val="13"/>
          <w:color w:val="auto"/>
        </w:rPr>
        <w:t>•overseeing the activities of the Company relating to takeovers, mergers and acquisitions activities.</w:t>
      </w:r>
    </w:p>
    <w:p>
      <w:pPr>
        <w:ind w:left="380"/>
        <w:spacing w:after="0" w:line="211" w:lineRule="auto"/>
        <w:rPr>
          <w:sz w:val="20"/>
          <w:szCs w:val="20"/>
          <w:color w:val="auto"/>
        </w:rPr>
      </w:pPr>
      <w:r>
        <w:rPr>
          <w:rFonts w:ascii="Arial" w:cs="Arial" w:eastAsia="Arial" w:hAnsi="Arial"/>
          <w:sz w:val="13"/>
          <w:szCs w:val="13"/>
          <w:b w:val="1"/>
          <w:bCs w:val="1"/>
          <w:color w:val="auto"/>
        </w:rPr>
        <w:t>Product Committee</w:t>
      </w:r>
    </w:p>
    <w:p>
      <w:pPr>
        <w:spacing w:after="0" w:line="1" w:lineRule="exact"/>
        <w:rPr>
          <w:sz w:val="20"/>
          <w:szCs w:val="20"/>
          <w:color w:val="auto"/>
        </w:rPr>
      </w:pPr>
    </w:p>
    <w:p>
      <w:pPr>
        <w:jc w:val="both"/>
        <w:ind w:left="380" w:right="2400"/>
        <w:spacing w:after="0" w:line="210" w:lineRule="auto"/>
        <w:rPr>
          <w:sz w:val="20"/>
          <w:szCs w:val="20"/>
          <w:color w:val="auto"/>
        </w:rPr>
      </w:pPr>
      <w:r>
        <w:rPr>
          <w:rFonts w:ascii="Arial" w:cs="Arial" w:eastAsia="Arial" w:hAnsi="Arial"/>
          <w:sz w:val="13"/>
          <w:szCs w:val="13"/>
          <w:color w:val="auto"/>
        </w:rPr>
        <w:t>Our Product Committee for the year ended December 31, 2024 consisted of Ulrich Wandschneider (Chair), Nicola Blackwood and Helmut Jeggle. The Product Committee advises and makes recommendations to the Supervisory Board with respect to our strategy and investment in research and development programs and product launch preparations including commercialization. Its responsibilities include the following tasks:</w:t>
      </w:r>
    </w:p>
    <w:p>
      <w:pPr>
        <w:spacing w:after="0" w:line="2" w:lineRule="exact"/>
        <w:rPr>
          <w:sz w:val="20"/>
          <w:szCs w:val="20"/>
          <w:color w:val="auto"/>
        </w:rPr>
      </w:pPr>
    </w:p>
    <w:p>
      <w:pPr>
        <w:ind w:left="380" w:right="2740"/>
        <w:spacing w:after="0" w:line="210" w:lineRule="auto"/>
        <w:rPr>
          <w:sz w:val="20"/>
          <w:szCs w:val="20"/>
          <w:color w:val="auto"/>
        </w:rPr>
      </w:pPr>
      <w:r>
        <w:rPr>
          <w:rFonts w:ascii="Arial" w:cs="Arial" w:eastAsia="Arial" w:hAnsi="Arial"/>
          <w:sz w:val="13"/>
          <w:szCs w:val="13"/>
          <w:color w:val="auto"/>
        </w:rPr>
        <w:t>•advising on strategy, execution and communication regarding relevant go-to-market efforts; •overseeing the activities relating to (a) product development, (b) launch plans and (c) their execution; and</w:t>
      </w:r>
    </w:p>
    <w:p>
      <w:pPr>
        <w:ind w:left="380"/>
        <w:spacing w:after="0" w:line="213" w:lineRule="auto"/>
        <w:rPr>
          <w:sz w:val="20"/>
          <w:szCs w:val="20"/>
          <w:color w:val="auto"/>
        </w:rPr>
      </w:pPr>
      <w:r>
        <w:rPr>
          <w:rFonts w:ascii="Arial" w:cs="Arial" w:eastAsia="Arial" w:hAnsi="Arial"/>
          <w:sz w:val="13"/>
          <w:szCs w:val="13"/>
          <w:color w:val="auto"/>
        </w:rPr>
        <w:t>•advising on market potential for products in clinical development.</w:t>
      </w:r>
    </w:p>
    <w:p>
      <w:pPr>
        <w:ind w:left="380"/>
        <w:spacing w:after="0" w:line="211" w:lineRule="auto"/>
        <w:rPr>
          <w:sz w:val="20"/>
          <w:szCs w:val="20"/>
          <w:color w:val="auto"/>
        </w:rPr>
      </w:pPr>
      <w:r>
        <w:rPr>
          <w:rFonts w:ascii="Arial" w:cs="Arial" w:eastAsia="Arial" w:hAnsi="Arial"/>
          <w:sz w:val="13"/>
          <w:szCs w:val="13"/>
          <w:color w:val="005A64"/>
        </w:rPr>
        <w:t>Management Board</w:t>
      </w:r>
    </w:p>
    <w:p>
      <w:pPr>
        <w:ind w:left="380" w:right="2100"/>
        <w:spacing w:after="0" w:line="210" w:lineRule="auto"/>
        <w:rPr>
          <w:sz w:val="20"/>
          <w:szCs w:val="20"/>
          <w:color w:val="auto"/>
        </w:rPr>
      </w:pPr>
      <w:r>
        <w:rPr>
          <w:rFonts w:ascii="Arial" w:cs="Arial" w:eastAsia="Arial" w:hAnsi="Arial"/>
          <w:sz w:val="13"/>
          <w:szCs w:val="13"/>
          <w:color w:val="auto"/>
        </w:rPr>
        <w:t>Our Supervisory Board determines the exact number of members of our Management Board, which must consist of at least two members. Pursuant to the Articles, the Supervisory Board may also appoint a chairperson or a spokesman of the Management Board. Ugur Sahin has been appointed the chair of the Management Board. The members of our Management Board are appointed by our Supervisory Board for a term of up to five years. They are eligible for reappointment or extension, including repeated re-appointment and extension, after the completion of their term in office, in each case again for up to an additional five years. Under certain circumstances, such as a serious breach of duty or a vote of no confidence by the shareholders in a shareholders’ meeting, a member of the Management Board may be removed from office by our Supervisory Board prior to the expiration of his or her term.</w:t>
      </w:r>
    </w:p>
    <w:p>
      <w:pPr>
        <w:spacing w:after="0" w:line="5"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The members of our Management Board conduct the daily business of the Company in accordance with applicable laws, our Articles of Association and the rules of procedure for the Management Board adopted by our Supervisory Board. They are generally responsible for the management of our company and for handling our daily business relations with third parties, the internal organization of our business and communications with our shareholders.</w:t>
      </w:r>
    </w:p>
    <w:p>
      <w:pPr>
        <w:spacing w:after="0" w:line="3" w:lineRule="exact"/>
        <w:rPr>
          <w:sz w:val="20"/>
          <w:szCs w:val="20"/>
          <w:color w:val="auto"/>
        </w:rPr>
      </w:pPr>
    </w:p>
    <w:p>
      <w:pPr>
        <w:ind w:left="380" w:right="2300"/>
        <w:spacing w:after="0" w:line="210" w:lineRule="auto"/>
        <w:rPr>
          <w:sz w:val="20"/>
          <w:szCs w:val="20"/>
          <w:color w:val="auto"/>
        </w:rPr>
      </w:pPr>
      <w:r>
        <w:rPr>
          <w:rFonts w:ascii="Arial" w:cs="Arial" w:eastAsia="Arial" w:hAnsi="Arial"/>
          <w:sz w:val="13"/>
          <w:szCs w:val="13"/>
          <w:color w:val="auto"/>
        </w:rPr>
        <w:t>A member of the management board of an SE governed by German law may not deal with or vote on matters relating to proposals, arrangements or contractual agreements between himself or herself and the Company, and a member of our Management Board may be liable to us if he or she has a material interest in any contractual agreement between the Company and a third party which is not disclosed to and approved by our Supervisory Board.</w:t>
      </w:r>
    </w:p>
    <w:p>
      <w:pPr>
        <w:spacing w:after="0" w:line="3" w:lineRule="exact"/>
        <w:rPr>
          <w:sz w:val="20"/>
          <w:szCs w:val="20"/>
          <w:color w:val="auto"/>
        </w:rPr>
      </w:pPr>
    </w:p>
    <w:p>
      <w:pPr>
        <w:jc w:val="both"/>
        <w:ind w:left="380" w:right="2180"/>
        <w:spacing w:after="0" w:line="226" w:lineRule="auto"/>
        <w:rPr>
          <w:sz w:val="20"/>
          <w:szCs w:val="20"/>
          <w:color w:val="auto"/>
        </w:rPr>
      </w:pPr>
      <w:r>
        <w:rPr>
          <w:rFonts w:ascii="Arial" w:cs="Arial" w:eastAsia="Arial" w:hAnsi="Arial"/>
          <w:sz w:val="13"/>
          <w:szCs w:val="13"/>
          <w:color w:val="auto"/>
        </w:rPr>
        <w:t>The rules of procedure for our Management Board provide that certain matters require a resolution of the entire Management Board, in addition to transactions for which a resolution adopted by the entire Management Board is required by law or required by our Articles of Association. In particular, the entire Management Board shall</w:t>
      </w:r>
    </w:p>
    <w:p>
      <w:pPr>
        <w:sectPr>
          <w:pgSz w:w="11900" w:h="16840" w:orient="portrait"/>
          <w:cols w:equalWidth="0" w:num="1">
            <w:col w:w="9020"/>
          </w:cols>
          <w:pgMar w:left="1440" w:top="560" w:right="1440" w:bottom="58" w:gutter="0" w:footer="0" w:header="0"/>
        </w:sectPr>
      </w:pPr>
    </w:p>
    <w:bookmarkStart w:id="150" w:name="page151"/>
    <w:bookmarkEnd w:id="150"/>
    <w:p>
      <w:pPr>
        <w:ind w:left="380"/>
        <w:spacing w:after="0"/>
        <w:rPr>
          <w:sz w:val="20"/>
          <w:szCs w:val="20"/>
          <w:color w:val="auto"/>
        </w:rPr>
      </w:pPr>
      <w:r>
        <w:rPr>
          <w:rFonts w:ascii="Arial" w:cs="Arial" w:eastAsia="Arial" w:hAnsi="Arial"/>
          <w:sz w:val="13"/>
          <w:szCs w:val="13"/>
          <w:color w:val="auto"/>
        </w:rPr>
        <w:t>decide on, among others:</w:t>
      </w:r>
    </w:p>
    <w:p>
      <w:pPr>
        <w:ind w:left="380" w:right="3000"/>
        <w:spacing w:after="0" w:line="234" w:lineRule="auto"/>
        <w:rPr>
          <w:sz w:val="20"/>
          <w:szCs w:val="20"/>
          <w:color w:val="auto"/>
        </w:rPr>
      </w:pPr>
      <w:r>
        <w:rPr>
          <w:rFonts w:ascii="Arial" w:cs="Arial" w:eastAsia="Arial" w:hAnsi="Arial"/>
          <w:sz w:val="13"/>
          <w:szCs w:val="13"/>
          <w:color w:val="auto"/>
        </w:rPr>
        <w:t>•the budget plan for the following year, which is to be presented by the Management Board to the Supervisory Board by December 10 of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217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•presentation of the Company’s financial statements and consolidated financial statements and reviews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0" w:lineRule="auto"/>
        <w:rPr>
          <w:sz w:val="20"/>
          <w:szCs w:val="20"/>
          <w:color w:val="auto"/>
        </w:rPr>
      </w:pPr>
      <w:r>
        <w:rPr>
          <w:rFonts w:ascii="Arial" w:cs="Arial" w:eastAsia="Arial" w:hAnsi="Arial"/>
          <w:sz w:val="13"/>
          <w:szCs w:val="13"/>
          <w:color w:val="auto"/>
        </w:rPr>
        <w:t>of operations of the Company and the Group;</w:t>
      </w:r>
    </w:p>
    <w:p>
      <w:pPr>
        <w:ind w:left="380"/>
        <w:spacing w:after="0" w:line="211" w:lineRule="auto"/>
        <w:rPr>
          <w:sz w:val="20"/>
          <w:szCs w:val="20"/>
          <w:color w:val="auto"/>
        </w:rPr>
      </w:pPr>
      <w:r>
        <w:rPr>
          <w:rFonts w:ascii="Arial" w:cs="Arial" w:eastAsia="Arial" w:hAnsi="Arial"/>
          <w:sz w:val="13"/>
          <w:szCs w:val="13"/>
          <w:color w:val="auto"/>
        </w:rPr>
        <w:t>•reporting to the Supervisory Board;</w:t>
      </w:r>
    </w:p>
    <w:p>
      <w:pPr>
        <w:ind w:left="380"/>
        <w:spacing w:after="0" w:line="211" w:lineRule="auto"/>
        <w:rPr>
          <w:sz w:val="20"/>
          <w:szCs w:val="20"/>
          <w:color w:val="auto"/>
        </w:rPr>
      </w:pPr>
      <w:r>
        <w:rPr>
          <w:rFonts w:ascii="Arial" w:cs="Arial" w:eastAsia="Arial" w:hAnsi="Arial"/>
          <w:sz w:val="13"/>
          <w:szCs w:val="13"/>
          <w:color w:val="auto"/>
        </w:rPr>
        <w:t>•all measures and transactions that require the Supervisory Board’s approval;</w:t>
      </w:r>
    </w:p>
    <w:p>
      <w:pPr>
        <w:spacing w:after="0" w:line="1" w:lineRule="exact"/>
        <w:rPr>
          <w:sz w:val="20"/>
          <w:szCs w:val="20"/>
          <w:color w:val="auto"/>
        </w:rPr>
      </w:pPr>
    </w:p>
    <w:p>
      <w:pPr>
        <w:ind w:left="380" w:right="2580"/>
        <w:spacing w:after="0" w:line="210" w:lineRule="auto"/>
        <w:rPr>
          <w:sz w:val="20"/>
          <w:szCs w:val="20"/>
          <w:color w:val="auto"/>
        </w:rPr>
      </w:pPr>
      <w:r>
        <w:rPr>
          <w:rFonts w:ascii="Arial" w:cs="Arial" w:eastAsia="Arial" w:hAnsi="Arial"/>
          <w:sz w:val="13"/>
          <w:szCs w:val="13"/>
          <w:color w:val="auto"/>
        </w:rPr>
        <w:t>•all measures and transactions that are of fundamental importance or involve an extraordinary economic risk to us, including without limitation, establishing new lines of business or discontinuing existing ones, acquisitions or sales of material business assets, material interests, holdings and investments and material contracts or transactions;</w:t>
      </w:r>
    </w:p>
    <w:p>
      <w:pPr>
        <w:spacing w:after="0" w:line="2" w:lineRule="exact"/>
        <w:rPr>
          <w:sz w:val="20"/>
          <w:szCs w:val="20"/>
          <w:color w:val="auto"/>
        </w:rPr>
      </w:pPr>
    </w:p>
    <w:p>
      <w:pPr>
        <w:ind w:left="380" w:right="2880"/>
        <w:spacing w:after="0" w:line="210" w:lineRule="auto"/>
        <w:rPr>
          <w:sz w:val="20"/>
          <w:szCs w:val="20"/>
          <w:color w:val="auto"/>
        </w:rPr>
      </w:pPr>
      <w:r>
        <w:rPr>
          <w:rFonts w:ascii="Arial" w:cs="Arial" w:eastAsia="Arial" w:hAnsi="Arial"/>
          <w:sz w:val="13"/>
          <w:szCs w:val="13"/>
          <w:color w:val="auto"/>
        </w:rPr>
        <w:t>•convening the Company’s shareholders’ meetings and proposals for resolutions by the Company’s shareholders’ general meetings; and</w:t>
      </w:r>
    </w:p>
    <w:p>
      <w:pPr>
        <w:ind w:left="380"/>
        <w:spacing w:after="0" w:line="212" w:lineRule="auto"/>
        <w:rPr>
          <w:sz w:val="20"/>
          <w:szCs w:val="20"/>
          <w:color w:val="auto"/>
        </w:rPr>
      </w:pPr>
      <w:r>
        <w:rPr>
          <w:rFonts w:ascii="Arial" w:cs="Arial" w:eastAsia="Arial" w:hAnsi="Arial"/>
          <w:sz w:val="13"/>
          <w:szCs w:val="13"/>
          <w:color w:val="auto"/>
        </w:rPr>
        <w:t>•appointment and termination of key managers in the Group.</w:t>
      </w:r>
    </w:p>
    <w:p>
      <w:pPr>
        <w:ind w:left="380"/>
        <w:spacing w:after="0" w:line="211" w:lineRule="auto"/>
        <w:rPr>
          <w:sz w:val="20"/>
          <w:szCs w:val="20"/>
          <w:color w:val="auto"/>
        </w:rPr>
      </w:pPr>
      <w:r>
        <w:rPr>
          <w:rFonts w:ascii="Arial" w:cs="Arial" w:eastAsia="Arial" w:hAnsi="Arial"/>
          <w:sz w:val="13"/>
          <w:szCs w:val="13"/>
          <w:color w:val="005A64"/>
        </w:rPr>
        <w:t>Code of Conduct and Conflicts of Interest Policy</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We have adopted a Code of Business Conduct &amp; Ethics, or Code of Conduct, which outlines the principles of legal and ethical business conduct under which we do business. The Code of Conduct applies to all of our Supervisory Board members, Management Board members, directors of our subsidiaries and employees. The full text of the Code of Conduct is available on our website at https://www.biontech.de. The information and other content appearing on our website are not incorporated by reference into this Annual Report and our website address is included in this report as an inactive textual reference only. Any amendments or waivers from the provisions of the Code of Conduct for members of our Supervisory or Management Boards will be made only after approval by our Supervisory Board and will be disclosed on our website promptly following the date of such amendment or waiver.</w:t>
      </w:r>
    </w:p>
    <w:p>
      <w:pPr>
        <w:spacing w:after="0" w:line="5" w:lineRule="exact"/>
        <w:rPr>
          <w:sz w:val="20"/>
          <w:szCs w:val="20"/>
          <w:color w:val="auto"/>
        </w:rPr>
      </w:pPr>
    </w:p>
    <w:p>
      <w:pPr>
        <w:ind w:left="380" w:right="2340"/>
        <w:spacing w:after="0" w:line="210" w:lineRule="auto"/>
        <w:rPr>
          <w:sz w:val="20"/>
          <w:szCs w:val="20"/>
          <w:color w:val="auto"/>
        </w:rPr>
      </w:pPr>
      <w:r>
        <w:rPr>
          <w:rFonts w:ascii="Arial" w:cs="Arial" w:eastAsia="Arial" w:hAnsi="Arial"/>
          <w:sz w:val="13"/>
          <w:szCs w:val="13"/>
          <w:color w:val="auto"/>
        </w:rPr>
        <w:t>We have also adopted a Conflicts of Interest Policy which sets forth the procedures by which we manage potential and actual conflicts of interest. Under the Conflicts of Interest Policy, which applies to all of our Supervisory Board members, Management Board members, directors of our subsidiaries and employees, an actual, potential or perceived conflict of interest must be disclosed when it first arises. If the conflict is transactional in nature and involves a member of the Management Board or the Supervisory Board, the Management or Supervisory Board, as the case may be, with the abstention of the conflicted member, shall decide whether to approve the transaction.</w:t>
      </w:r>
    </w:p>
    <w:p>
      <w:pPr>
        <w:spacing w:after="0" w:line="4"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In addition, we have implemented compliance policies that describe the compliance management systems that have been implemented for us and our subsidiaries. Our compliance policies are designed to ensure compliance with applicable legal requirements, while at the same time implementing high ethical standards that are mandatory for both management and each employee. The overall responsibility for the compliance management system lies with the Management Board. The Audit Committee will receive regular reports on the operation of the compliance management system.</w:t>
      </w:r>
    </w:p>
    <w:p>
      <w:pPr>
        <w:ind w:left="380"/>
        <w:spacing w:after="0" w:line="216" w:lineRule="auto"/>
        <w:rPr>
          <w:sz w:val="20"/>
          <w:szCs w:val="20"/>
          <w:color w:val="auto"/>
        </w:rPr>
      </w:pPr>
      <w:r>
        <w:rPr>
          <w:rFonts w:ascii="Arial" w:cs="Arial" w:eastAsia="Arial" w:hAnsi="Arial"/>
          <w:sz w:val="13"/>
          <w:szCs w:val="13"/>
          <w:b w:val="1"/>
          <w:bCs w:val="1"/>
          <w:color w:val="005A64"/>
        </w:rPr>
        <w:t>D. Employees</w:t>
      </w:r>
    </w:p>
    <w:p>
      <w:pPr>
        <w:jc w:val="both"/>
        <w:ind w:left="380" w:right="2300"/>
        <w:spacing w:after="0" w:line="226" w:lineRule="auto"/>
        <w:rPr>
          <w:sz w:val="20"/>
          <w:szCs w:val="20"/>
          <w:color w:val="auto"/>
        </w:rPr>
      </w:pPr>
      <w:r>
        <w:rPr>
          <w:rFonts w:ascii="Arial" w:cs="Arial" w:eastAsia="Arial" w:hAnsi="Arial"/>
          <w:sz w:val="13"/>
          <w:szCs w:val="13"/>
          <w:color w:val="auto"/>
        </w:rPr>
        <w:t>As of December 31, 2024, we had 6,772 full-time equivalent employees working for us, of whom 1,282 hold a doctoral degree or higher. The following tables provides an overview of employee full-time equivalent broken down by function and by the regions of Europe, North America, Asia and Australia and Africa.</w:t>
      </w:r>
    </w:p>
    <w:p>
      <w:pPr>
        <w:sectPr>
          <w:pgSz w:w="11900" w:h="16840" w:orient="portrait"/>
          <w:cols w:equalWidth="0" w:num="1">
            <w:col w:w="9020"/>
          </w:cols>
          <w:pgMar w:left="1440" w:top="554" w:right="1440" w:bottom="1440" w:gutter="0" w:footer="0" w:header="0"/>
        </w:sectPr>
      </w:pPr>
    </w:p>
    <w:bookmarkStart w:id="151" w:name="page152"/>
    <w:bookmarkEnd w:id="151"/>
    <w:p>
      <w:pPr>
        <w:ind w:left="380"/>
        <w:spacing w:after="0"/>
        <w:rPr>
          <w:sz w:val="20"/>
          <w:szCs w:val="20"/>
          <w:color w:val="auto"/>
        </w:rPr>
      </w:pPr>
      <w:r>
        <w:rPr>
          <w:rFonts w:ascii="Arial" w:cs="Arial" w:eastAsia="Arial" w:hAnsi="Arial"/>
          <w:sz w:val="13"/>
          <w:szCs w:val="13"/>
          <w:color w:val="auto"/>
        </w:rPr>
        <w:t>218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29845</wp:posOffset>
            </wp:positionV>
            <wp:extent cx="5231130" cy="19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31130" cy="19050"/>
                    </a:xfrm>
                    <a:prstGeom prst="rect">
                      <a:avLst/>
                    </a:prstGeom>
                    <a:noFill/>
                  </pic:spPr>
                </pic:pic>
              </a:graphicData>
            </a:graphic>
          </wp:anchor>
        </w:drawing>
      </w:r>
    </w:p>
    <w:p>
      <w:pPr>
        <w:spacing w:after="0" w:line="159" w:lineRule="exact"/>
        <w:rPr>
          <w:sz w:val="20"/>
          <w:szCs w:val="20"/>
          <w:color w:val="auto"/>
        </w:rPr>
      </w:pPr>
    </w:p>
    <w:tbl>
      <w:tblPr>
        <w:tblLayout w:type="fixed"/>
        <w:tblInd w:w="380" w:type="dxa"/>
        <w:tblCellMar>
          <w:top w:w="0" w:type="dxa"/>
          <w:left w:w="0" w:type="dxa"/>
          <w:bottom w:w="0" w:type="dxa"/>
          <w:right w:w="0" w:type="dxa"/>
        </w:tblCellMar>
      </w:tblPr>
      <w:tr>
        <w:trPr>
          <w:trHeight w:val="121"/>
        </w:trPr>
        <w:tc>
          <w:tcPr>
            <w:tcW w:w="1220" w:type="dxa"/>
            <w:vAlign w:val="bottom"/>
            <w:gridSpan w:val="2"/>
          </w:tcPr>
          <w:p>
            <w:pPr>
              <w:ind w:left="20"/>
              <w:spacing w:after="0" w:line="121" w:lineRule="exact"/>
              <w:rPr>
                <w:sz w:val="20"/>
                <w:szCs w:val="20"/>
                <w:color w:val="auto"/>
              </w:rPr>
            </w:pPr>
            <w:r>
              <w:rPr>
                <w:rFonts w:ascii="Arial" w:cs="Arial" w:eastAsia="Arial" w:hAnsi="Arial"/>
                <w:sz w:val="12"/>
                <w:szCs w:val="12"/>
                <w:i w:val="1"/>
                <w:iCs w:val="1"/>
                <w:color w:val="005A64"/>
              </w:rPr>
              <w:t>Full-time equivalents</w:t>
            </w:r>
          </w:p>
        </w:tc>
        <w:tc>
          <w:tcPr>
            <w:tcW w:w="40" w:type="dxa"/>
            <w:vAlign w:val="bottom"/>
            <w:tcBorders>
              <w:top w:val="single" w:sz="8" w:color="BECE33"/>
              <w:left w:val="single" w:sz="8" w:color="BECE33"/>
            </w:tcBorders>
          </w:tcPr>
          <w:p>
            <w:pPr>
              <w:spacing w:after="0"/>
              <w:rPr>
                <w:sz w:val="10"/>
                <w:szCs w:val="10"/>
                <w:color w:val="auto"/>
              </w:rPr>
            </w:pPr>
          </w:p>
        </w:tc>
        <w:tc>
          <w:tcPr>
            <w:tcW w:w="860" w:type="dxa"/>
            <w:vAlign w:val="bottom"/>
            <w:tcBorders>
              <w:top w:val="single" w:sz="8" w:color="BECE33"/>
            </w:tcBorders>
          </w:tcPr>
          <w:p>
            <w:pPr>
              <w:spacing w:after="0" w:line="121" w:lineRule="exact"/>
              <w:rPr>
                <w:sz w:val="20"/>
                <w:szCs w:val="20"/>
                <w:color w:val="auto"/>
              </w:rPr>
            </w:pPr>
            <w:r>
              <w:rPr>
                <w:rFonts w:ascii="Arial" w:cs="Arial" w:eastAsia="Arial" w:hAnsi="Arial"/>
                <w:sz w:val="12"/>
                <w:szCs w:val="12"/>
                <w:b w:val="1"/>
                <w:bCs w:val="1"/>
                <w:color w:val="005A64"/>
              </w:rPr>
              <w:t>Clinical</w:t>
            </w:r>
          </w:p>
        </w:tc>
        <w:tc>
          <w:tcPr>
            <w:tcW w:w="20" w:type="dxa"/>
            <w:vAlign w:val="bottom"/>
            <w:tcBorders>
              <w:top w:val="single" w:sz="8" w:color="BECE33"/>
            </w:tcBorders>
          </w:tcPr>
          <w:p>
            <w:pPr>
              <w:spacing w:after="0"/>
              <w:rPr>
                <w:sz w:val="10"/>
                <w:szCs w:val="10"/>
                <w:color w:val="auto"/>
              </w:rPr>
            </w:pPr>
          </w:p>
        </w:tc>
        <w:tc>
          <w:tcPr>
            <w:tcW w:w="860" w:type="dxa"/>
            <w:vAlign w:val="bottom"/>
            <w:tcBorders>
              <w:top w:val="single" w:sz="8" w:color="BECE33"/>
            </w:tcBorders>
          </w:tcPr>
          <w:p>
            <w:pPr>
              <w:spacing w:after="0" w:line="121" w:lineRule="exact"/>
              <w:rPr>
                <w:sz w:val="20"/>
                <w:szCs w:val="20"/>
                <w:color w:val="auto"/>
              </w:rPr>
            </w:pPr>
            <w:r>
              <w:rPr>
                <w:rFonts w:ascii="Arial" w:cs="Arial" w:eastAsia="Arial" w:hAnsi="Arial"/>
                <w:sz w:val="12"/>
                <w:szCs w:val="12"/>
                <w:b w:val="1"/>
                <w:bCs w:val="1"/>
                <w:color w:val="005A64"/>
              </w:rPr>
              <w:t>Scientific</w:t>
            </w:r>
          </w:p>
        </w:tc>
        <w:tc>
          <w:tcPr>
            <w:tcW w:w="20" w:type="dxa"/>
            <w:vAlign w:val="bottom"/>
            <w:tcBorders>
              <w:top w:val="single" w:sz="8" w:color="BECE33"/>
            </w:tcBorders>
          </w:tcPr>
          <w:p>
            <w:pPr>
              <w:spacing w:after="0"/>
              <w:rPr>
                <w:sz w:val="10"/>
                <w:szCs w:val="10"/>
                <w:color w:val="auto"/>
              </w:rPr>
            </w:pPr>
          </w:p>
        </w:tc>
        <w:tc>
          <w:tcPr>
            <w:tcW w:w="760" w:type="dxa"/>
            <w:vAlign w:val="bottom"/>
            <w:tcBorders>
              <w:top w:val="single" w:sz="8" w:color="BECE33"/>
            </w:tcBorders>
          </w:tcPr>
          <w:p>
            <w:pPr>
              <w:spacing w:after="0" w:line="121" w:lineRule="exact"/>
              <w:rPr>
                <w:sz w:val="20"/>
                <w:szCs w:val="20"/>
                <w:color w:val="auto"/>
              </w:rPr>
            </w:pPr>
            <w:r>
              <w:rPr>
                <w:rFonts w:ascii="Arial" w:cs="Arial" w:eastAsia="Arial" w:hAnsi="Arial"/>
                <w:sz w:val="12"/>
                <w:szCs w:val="12"/>
                <w:b w:val="1"/>
                <w:bCs w:val="1"/>
                <w:color w:val="005A64"/>
              </w:rPr>
              <w:t>Operations</w:t>
            </w:r>
          </w:p>
        </w:tc>
        <w:tc>
          <w:tcPr>
            <w:tcW w:w="20" w:type="dxa"/>
            <w:vAlign w:val="bottom"/>
            <w:tcBorders>
              <w:top w:val="single" w:sz="8" w:color="BECE33"/>
            </w:tcBorders>
          </w:tcPr>
          <w:p>
            <w:pPr>
              <w:spacing w:after="0"/>
              <w:rPr>
                <w:sz w:val="10"/>
                <w:szCs w:val="10"/>
                <w:color w:val="auto"/>
              </w:rPr>
            </w:pPr>
          </w:p>
        </w:tc>
        <w:tc>
          <w:tcPr>
            <w:tcW w:w="680" w:type="dxa"/>
            <w:vAlign w:val="bottom"/>
            <w:tcBorders>
              <w:top w:val="single" w:sz="8" w:color="BECE33"/>
            </w:tcBorders>
          </w:tcPr>
          <w:p>
            <w:pPr>
              <w:spacing w:after="0" w:line="121" w:lineRule="exact"/>
              <w:rPr>
                <w:sz w:val="20"/>
                <w:szCs w:val="20"/>
                <w:color w:val="auto"/>
              </w:rPr>
            </w:pPr>
            <w:r>
              <w:rPr>
                <w:rFonts w:ascii="Arial" w:cs="Arial" w:eastAsia="Arial" w:hAnsi="Arial"/>
                <w:sz w:val="12"/>
                <w:szCs w:val="12"/>
                <w:b w:val="1"/>
                <w:bCs w:val="1"/>
                <w:color w:val="005A64"/>
              </w:rPr>
              <w:t>Quality</w:t>
            </w:r>
          </w:p>
        </w:tc>
        <w:tc>
          <w:tcPr>
            <w:tcW w:w="20" w:type="dxa"/>
            <w:vAlign w:val="bottom"/>
            <w:tcBorders>
              <w:top w:val="single" w:sz="8" w:color="BECE33"/>
            </w:tcBorders>
          </w:tcPr>
          <w:p>
            <w:pPr>
              <w:spacing w:after="0"/>
              <w:rPr>
                <w:sz w:val="10"/>
                <w:szCs w:val="10"/>
                <w:color w:val="auto"/>
              </w:rPr>
            </w:pPr>
          </w:p>
        </w:tc>
        <w:tc>
          <w:tcPr>
            <w:tcW w:w="740" w:type="dxa"/>
            <w:vAlign w:val="bottom"/>
            <w:tcBorders>
              <w:top w:val="single" w:sz="8" w:color="BECE33"/>
            </w:tcBorders>
          </w:tcPr>
          <w:p>
            <w:pPr>
              <w:spacing w:after="0" w:line="121" w:lineRule="exact"/>
              <w:rPr>
                <w:sz w:val="20"/>
                <w:szCs w:val="20"/>
                <w:color w:val="auto"/>
              </w:rPr>
            </w:pPr>
            <w:r>
              <w:rPr>
                <w:rFonts w:ascii="Arial" w:cs="Arial" w:eastAsia="Arial" w:hAnsi="Arial"/>
                <w:sz w:val="12"/>
                <w:szCs w:val="12"/>
                <w:b w:val="1"/>
                <w:bCs w:val="1"/>
                <w:color w:val="005A64"/>
              </w:rPr>
              <w:t>Supporting</w:t>
            </w:r>
          </w:p>
        </w:tc>
        <w:tc>
          <w:tcPr>
            <w:tcW w:w="20" w:type="dxa"/>
            <w:vAlign w:val="bottom"/>
            <w:tcBorders>
              <w:top w:val="single" w:sz="8" w:color="BECE33"/>
            </w:tcBorders>
          </w:tcPr>
          <w:p>
            <w:pPr>
              <w:spacing w:after="0"/>
              <w:rPr>
                <w:sz w:val="10"/>
                <w:szCs w:val="10"/>
                <w:color w:val="auto"/>
              </w:rPr>
            </w:pPr>
          </w:p>
        </w:tc>
        <w:tc>
          <w:tcPr>
            <w:tcW w:w="860" w:type="dxa"/>
            <w:vAlign w:val="bottom"/>
            <w:tcBorders>
              <w:top w:val="single" w:sz="8" w:color="BECE33"/>
            </w:tcBorders>
          </w:tcPr>
          <w:p>
            <w:pPr>
              <w:ind w:left="20"/>
              <w:spacing w:after="0" w:line="121" w:lineRule="exact"/>
              <w:rPr>
                <w:sz w:val="20"/>
                <w:szCs w:val="20"/>
                <w:color w:val="auto"/>
              </w:rPr>
            </w:pPr>
            <w:r>
              <w:rPr>
                <w:rFonts w:ascii="Arial" w:cs="Arial" w:eastAsia="Arial" w:hAnsi="Arial"/>
                <w:sz w:val="12"/>
                <w:szCs w:val="12"/>
                <w:b w:val="1"/>
                <w:bCs w:val="1"/>
                <w:color w:val="005A64"/>
              </w:rPr>
              <w:t>Commercial</w:t>
            </w:r>
          </w:p>
        </w:tc>
        <w:tc>
          <w:tcPr>
            <w:tcW w:w="20" w:type="dxa"/>
            <w:vAlign w:val="bottom"/>
            <w:tcBorders>
              <w:top w:val="single" w:sz="8" w:color="BECE33"/>
            </w:tcBorders>
          </w:tcPr>
          <w:p>
            <w:pPr>
              <w:spacing w:after="0"/>
              <w:rPr>
                <w:sz w:val="10"/>
                <w:szCs w:val="10"/>
                <w:color w:val="auto"/>
              </w:rPr>
            </w:pPr>
          </w:p>
        </w:tc>
        <w:tc>
          <w:tcPr>
            <w:tcW w:w="600" w:type="dxa"/>
            <w:vAlign w:val="bottom"/>
            <w:tcBorders>
              <w:top w:val="single" w:sz="8" w:color="BECE33"/>
              <w:right w:val="single" w:sz="8" w:color="BECE33"/>
            </w:tcBorders>
            <w:gridSpan w:val="2"/>
          </w:tcPr>
          <w:p>
            <w:pPr>
              <w:ind w:left="20"/>
              <w:spacing w:after="0" w:line="121" w:lineRule="exact"/>
              <w:rPr>
                <w:sz w:val="20"/>
                <w:szCs w:val="20"/>
                <w:color w:val="auto"/>
              </w:rPr>
            </w:pPr>
            <w:r>
              <w:rPr>
                <w:rFonts w:ascii="Arial" w:cs="Arial" w:eastAsia="Arial" w:hAnsi="Arial"/>
                <w:sz w:val="12"/>
                <w:szCs w:val="12"/>
                <w:b w:val="1"/>
                <w:bCs w:val="1"/>
                <w:color w:val="005A64"/>
              </w:rPr>
              <w: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left w:val="single" w:sz="8" w:color="BECE33"/>
            </w:tcBorders>
          </w:tcPr>
          <w:p>
            <w:pPr>
              <w:spacing w:after="0"/>
              <w:rPr>
                <w:sz w:val="10"/>
                <w:szCs w:val="10"/>
                <w:color w:val="auto"/>
              </w:rPr>
            </w:pPr>
          </w:p>
        </w:tc>
        <w:tc>
          <w:tcPr>
            <w:tcW w:w="860" w:type="dxa"/>
            <w:vAlign w:val="bottom"/>
          </w:tcPr>
          <w:p>
            <w:pPr>
              <w:spacing w:after="0" w:line="121" w:lineRule="exact"/>
              <w:rPr>
                <w:sz w:val="20"/>
                <w:szCs w:val="20"/>
                <w:color w:val="auto"/>
              </w:rPr>
            </w:pPr>
            <w:r>
              <w:rPr>
                <w:rFonts w:ascii="Arial" w:cs="Arial" w:eastAsia="Arial" w:hAnsi="Arial"/>
                <w:sz w:val="12"/>
                <w:szCs w:val="12"/>
                <w:b w:val="1"/>
                <w:bCs w:val="1"/>
                <w:color w:val="005A64"/>
              </w:rPr>
              <w:t>Research &amp;</w:t>
            </w:r>
          </w:p>
        </w:tc>
        <w:tc>
          <w:tcPr>
            <w:tcW w:w="20" w:type="dxa"/>
            <w:vAlign w:val="bottom"/>
          </w:tcPr>
          <w:p>
            <w:pPr>
              <w:spacing w:after="0"/>
              <w:rPr>
                <w:sz w:val="10"/>
                <w:szCs w:val="10"/>
                <w:color w:val="auto"/>
              </w:rPr>
            </w:pPr>
          </w:p>
        </w:tc>
        <w:tc>
          <w:tcPr>
            <w:tcW w:w="860" w:type="dxa"/>
            <w:vAlign w:val="bottom"/>
          </w:tcPr>
          <w:p>
            <w:pPr>
              <w:spacing w:after="0" w:line="121" w:lineRule="exact"/>
              <w:rPr>
                <w:sz w:val="20"/>
                <w:szCs w:val="20"/>
                <w:color w:val="auto"/>
              </w:rPr>
            </w:pPr>
            <w:r>
              <w:rPr>
                <w:rFonts w:ascii="Arial" w:cs="Arial" w:eastAsia="Arial" w:hAnsi="Arial"/>
                <w:sz w:val="12"/>
                <w:szCs w:val="12"/>
                <w:b w:val="1"/>
                <w:bCs w:val="1"/>
                <w:color w:val="005A64"/>
              </w:rPr>
              <w:t>Research &amp;</w:t>
            </w: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005A64"/>
              </w:rPr>
              <w:t>Functions</w:t>
            </w:r>
          </w:p>
        </w:tc>
        <w:tc>
          <w:tcPr>
            <w:tcW w:w="20" w:type="dxa"/>
            <w:vAlign w:val="bottom"/>
          </w:tcPr>
          <w:p>
            <w:pPr>
              <w:spacing w:after="0"/>
              <w:rPr>
                <w:sz w:val="10"/>
                <w:szCs w:val="10"/>
                <w:color w:val="auto"/>
              </w:rPr>
            </w:pPr>
          </w:p>
        </w:tc>
        <w:tc>
          <w:tcPr>
            <w:tcW w:w="860" w:type="dxa"/>
            <w:vAlign w:val="bottom"/>
          </w:tcPr>
          <w:p>
            <w:pPr>
              <w:ind w:left="20"/>
              <w:spacing w:after="0" w:line="121" w:lineRule="exact"/>
              <w:rPr>
                <w:sz w:val="20"/>
                <w:szCs w:val="20"/>
                <w:color w:val="auto"/>
              </w:rPr>
            </w:pPr>
            <w:r>
              <w:rPr>
                <w:rFonts w:ascii="Arial" w:cs="Arial" w:eastAsia="Arial" w:hAnsi="Arial"/>
                <w:sz w:val="12"/>
                <w:szCs w:val="12"/>
                <w:b w:val="1"/>
                <w:bCs w:val="1"/>
                <w:color w:val="005A64"/>
              </w:rPr>
              <w:t>&amp; Business</w:t>
            </w: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Borders>
              <w:right w:val="single" w:sz="8" w:color="BECE33"/>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left w:val="single" w:sz="8" w:color="BECE33"/>
            </w:tcBorders>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005A64"/>
              </w:rPr>
              <w:t>Development</w:t>
            </w:r>
          </w:p>
        </w:tc>
        <w:tc>
          <w:tcPr>
            <w:tcW w:w="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005A64"/>
              </w:rPr>
              <w:t>Development</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2"/>
                <w:szCs w:val="12"/>
                <w:b w:val="1"/>
                <w:bCs w:val="1"/>
                <w:color w:val="005A64"/>
              </w:rPr>
              <w:t>Development</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Borders>
              <w:right w:val="single" w:sz="8" w:color="BECE33"/>
            </w:tcBorders>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1200" w:type="dxa"/>
            <w:vAlign w:val="bottom"/>
            <w:tcBorders>
              <w:bottom w:val="single" w:sz="8" w:color="005A64"/>
            </w:tcBorders>
          </w:tcPr>
          <w:p>
            <w:pPr>
              <w:spacing w:after="0"/>
              <w:rPr>
                <w:sz w:val="7"/>
                <w:szCs w:val="7"/>
                <w:color w:val="auto"/>
              </w:rPr>
            </w:pPr>
          </w:p>
        </w:tc>
        <w:tc>
          <w:tcPr>
            <w:tcW w:w="20" w:type="dxa"/>
            <w:vAlign w:val="bottom"/>
            <w:vMerge w:val="restart"/>
          </w:tcPr>
          <w:p>
            <w:pPr>
              <w:spacing w:after="0"/>
              <w:rPr>
                <w:sz w:val="7"/>
                <w:szCs w:val="7"/>
                <w:color w:val="auto"/>
              </w:rPr>
            </w:pPr>
          </w:p>
        </w:tc>
        <w:tc>
          <w:tcPr>
            <w:tcW w:w="40" w:type="dxa"/>
            <w:vAlign w:val="bottom"/>
            <w:tcBorders>
              <w:left w:val="single" w:sz="8" w:color="BECE33"/>
            </w:tcBorders>
            <w:vMerge w:val="restart"/>
          </w:tcPr>
          <w:p>
            <w:pPr>
              <w:spacing w:after="0"/>
              <w:rPr>
                <w:sz w:val="7"/>
                <w:szCs w:val="7"/>
                <w:color w:val="auto"/>
              </w:rPr>
            </w:pPr>
          </w:p>
        </w:tc>
        <w:tc>
          <w:tcPr>
            <w:tcW w:w="860" w:type="dxa"/>
            <w:vAlign w:val="bottom"/>
            <w:tcBorders>
              <w:bottom w:val="single" w:sz="8" w:color="005A64"/>
            </w:tcBorders>
          </w:tcPr>
          <w:p>
            <w:pPr>
              <w:spacing w:after="0"/>
              <w:rPr>
                <w:sz w:val="7"/>
                <w:szCs w:val="7"/>
                <w:color w:val="auto"/>
              </w:rPr>
            </w:pPr>
          </w:p>
        </w:tc>
        <w:tc>
          <w:tcPr>
            <w:tcW w:w="20" w:type="dxa"/>
            <w:vAlign w:val="bottom"/>
            <w:vMerge w:val="restart"/>
          </w:tcPr>
          <w:p>
            <w:pPr>
              <w:spacing w:after="0"/>
              <w:rPr>
                <w:sz w:val="7"/>
                <w:szCs w:val="7"/>
                <w:color w:val="auto"/>
              </w:rPr>
            </w:pPr>
          </w:p>
        </w:tc>
        <w:tc>
          <w:tcPr>
            <w:tcW w:w="860" w:type="dxa"/>
            <w:vAlign w:val="bottom"/>
            <w:tcBorders>
              <w:bottom w:val="single" w:sz="8" w:color="005A64"/>
            </w:tcBorders>
          </w:tcPr>
          <w:p>
            <w:pPr>
              <w:spacing w:after="0"/>
              <w:rPr>
                <w:sz w:val="7"/>
                <w:szCs w:val="7"/>
                <w:color w:val="auto"/>
              </w:rPr>
            </w:pPr>
          </w:p>
        </w:tc>
        <w:tc>
          <w:tcPr>
            <w:tcW w:w="20" w:type="dxa"/>
            <w:vAlign w:val="bottom"/>
            <w:vMerge w:val="restart"/>
          </w:tcPr>
          <w:p>
            <w:pPr>
              <w:spacing w:after="0"/>
              <w:rPr>
                <w:sz w:val="7"/>
                <w:szCs w:val="7"/>
                <w:color w:val="auto"/>
              </w:rPr>
            </w:pPr>
          </w:p>
        </w:tc>
        <w:tc>
          <w:tcPr>
            <w:tcW w:w="760" w:type="dxa"/>
            <w:vAlign w:val="bottom"/>
            <w:tcBorders>
              <w:bottom w:val="single" w:sz="8" w:color="005A64"/>
            </w:tcBorders>
          </w:tcPr>
          <w:p>
            <w:pPr>
              <w:spacing w:after="0"/>
              <w:rPr>
                <w:sz w:val="7"/>
                <w:szCs w:val="7"/>
                <w:color w:val="auto"/>
              </w:rPr>
            </w:pPr>
          </w:p>
        </w:tc>
        <w:tc>
          <w:tcPr>
            <w:tcW w:w="20" w:type="dxa"/>
            <w:vAlign w:val="bottom"/>
            <w:vMerge w:val="restart"/>
          </w:tcPr>
          <w:p>
            <w:pPr>
              <w:spacing w:after="0"/>
              <w:rPr>
                <w:sz w:val="7"/>
                <w:szCs w:val="7"/>
                <w:color w:val="auto"/>
              </w:rPr>
            </w:pPr>
          </w:p>
        </w:tc>
        <w:tc>
          <w:tcPr>
            <w:tcW w:w="680" w:type="dxa"/>
            <w:vAlign w:val="bottom"/>
            <w:tcBorders>
              <w:bottom w:val="single" w:sz="8" w:color="005A64"/>
            </w:tcBorders>
          </w:tcPr>
          <w:p>
            <w:pPr>
              <w:spacing w:after="0"/>
              <w:rPr>
                <w:sz w:val="7"/>
                <w:szCs w:val="7"/>
                <w:color w:val="auto"/>
              </w:rPr>
            </w:pPr>
          </w:p>
        </w:tc>
        <w:tc>
          <w:tcPr>
            <w:tcW w:w="20" w:type="dxa"/>
            <w:vAlign w:val="bottom"/>
            <w:vMerge w:val="restart"/>
          </w:tcPr>
          <w:p>
            <w:pPr>
              <w:spacing w:after="0"/>
              <w:rPr>
                <w:sz w:val="7"/>
                <w:szCs w:val="7"/>
                <w:color w:val="auto"/>
              </w:rPr>
            </w:pPr>
          </w:p>
        </w:tc>
        <w:tc>
          <w:tcPr>
            <w:tcW w:w="740" w:type="dxa"/>
            <w:vAlign w:val="bottom"/>
            <w:tcBorders>
              <w:bottom w:val="single" w:sz="8" w:color="005A64"/>
            </w:tcBorders>
          </w:tcPr>
          <w:p>
            <w:pPr>
              <w:spacing w:after="0"/>
              <w:rPr>
                <w:sz w:val="7"/>
                <w:szCs w:val="7"/>
                <w:color w:val="auto"/>
              </w:rPr>
            </w:pPr>
          </w:p>
        </w:tc>
        <w:tc>
          <w:tcPr>
            <w:tcW w:w="20" w:type="dxa"/>
            <w:vAlign w:val="bottom"/>
            <w:vMerge w:val="restart"/>
          </w:tcPr>
          <w:p>
            <w:pPr>
              <w:spacing w:after="0"/>
              <w:rPr>
                <w:sz w:val="7"/>
                <w:szCs w:val="7"/>
                <w:color w:val="auto"/>
              </w:rPr>
            </w:pPr>
          </w:p>
        </w:tc>
        <w:tc>
          <w:tcPr>
            <w:tcW w:w="860" w:type="dxa"/>
            <w:vAlign w:val="bottom"/>
            <w:tcBorders>
              <w:bottom w:val="single" w:sz="8" w:color="005A64"/>
            </w:tcBorders>
          </w:tcPr>
          <w:p>
            <w:pPr>
              <w:spacing w:after="0"/>
              <w:rPr>
                <w:sz w:val="7"/>
                <w:szCs w:val="7"/>
                <w:color w:val="auto"/>
              </w:rPr>
            </w:pPr>
          </w:p>
        </w:tc>
        <w:tc>
          <w:tcPr>
            <w:tcW w:w="20" w:type="dxa"/>
            <w:vAlign w:val="bottom"/>
            <w:vMerge w:val="restart"/>
          </w:tcPr>
          <w:p>
            <w:pPr>
              <w:spacing w:after="0"/>
              <w:rPr>
                <w:sz w:val="7"/>
                <w:szCs w:val="7"/>
                <w:color w:val="auto"/>
              </w:rPr>
            </w:pPr>
          </w:p>
        </w:tc>
        <w:tc>
          <w:tcPr>
            <w:tcW w:w="560" w:type="dxa"/>
            <w:vAlign w:val="bottom"/>
            <w:tcBorders>
              <w:bottom w:val="single" w:sz="8" w:color="005A64"/>
            </w:tcBorders>
          </w:tcPr>
          <w:p>
            <w:pPr>
              <w:spacing w:after="0"/>
              <w:rPr>
                <w:sz w:val="7"/>
                <w:szCs w:val="7"/>
                <w:color w:val="auto"/>
              </w:rPr>
            </w:pPr>
          </w:p>
        </w:tc>
        <w:tc>
          <w:tcPr>
            <w:tcW w:w="40" w:type="dxa"/>
            <w:vAlign w:val="bottom"/>
            <w:tcBorders>
              <w:right w:val="single" w:sz="8" w:color="BECE33"/>
            </w:tcBorders>
            <w:vMerge w:val="restart"/>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1200" w:type="dxa"/>
            <w:vAlign w:val="bottom"/>
          </w:tcPr>
          <w:p>
            <w:pPr>
              <w:ind w:left="20"/>
              <w:spacing w:after="0"/>
              <w:rPr>
                <w:sz w:val="20"/>
                <w:szCs w:val="20"/>
                <w:color w:val="auto"/>
              </w:rPr>
            </w:pPr>
            <w:r>
              <w:rPr>
                <w:rFonts w:ascii="Arial" w:cs="Arial" w:eastAsia="Arial" w:hAnsi="Arial"/>
                <w:sz w:val="12"/>
                <w:szCs w:val="12"/>
                <w:color w:val="005A64"/>
              </w:rPr>
              <w:t>Europe</w:t>
            </w:r>
          </w:p>
        </w:tc>
        <w:tc>
          <w:tcPr>
            <w:tcW w:w="20" w:type="dxa"/>
            <w:vAlign w:val="bottom"/>
            <w:vMerge w:val="continue"/>
          </w:tcPr>
          <w:p>
            <w:pPr>
              <w:spacing w:after="0"/>
              <w:rPr>
                <w:sz w:val="13"/>
                <w:szCs w:val="13"/>
                <w:color w:val="auto"/>
              </w:rPr>
            </w:pPr>
          </w:p>
        </w:tc>
        <w:tc>
          <w:tcPr>
            <w:tcW w:w="40" w:type="dxa"/>
            <w:vAlign w:val="bottom"/>
            <w:tcBorders>
              <w:left w:val="single" w:sz="8" w:color="BECE33"/>
            </w:tcBorders>
            <w:vMerge w:val="continue"/>
          </w:tcPr>
          <w:p>
            <w:pPr>
              <w:spacing w:after="0"/>
              <w:rPr>
                <w:sz w:val="13"/>
                <w:szCs w:val="13"/>
                <w:color w:val="auto"/>
              </w:rPr>
            </w:pPr>
          </w:p>
        </w:tc>
        <w:tc>
          <w:tcPr>
            <w:tcW w:w="860" w:type="dxa"/>
            <w:vAlign w:val="bottom"/>
          </w:tcPr>
          <w:p>
            <w:pPr>
              <w:spacing w:after="0"/>
              <w:rPr>
                <w:sz w:val="20"/>
                <w:szCs w:val="20"/>
                <w:color w:val="auto"/>
              </w:rPr>
            </w:pPr>
            <w:r>
              <w:rPr>
                <w:rFonts w:ascii="Arial" w:cs="Arial" w:eastAsia="Arial" w:hAnsi="Arial"/>
                <w:sz w:val="12"/>
                <w:szCs w:val="12"/>
                <w:color w:val="005A64"/>
              </w:rPr>
              <w:t>597</w:t>
            </w:r>
          </w:p>
        </w:tc>
        <w:tc>
          <w:tcPr>
            <w:tcW w:w="20" w:type="dxa"/>
            <w:vAlign w:val="bottom"/>
            <w:vMerge w:val="continue"/>
          </w:tcPr>
          <w:p>
            <w:pPr>
              <w:spacing w:after="0"/>
              <w:rPr>
                <w:sz w:val="13"/>
                <w:szCs w:val="13"/>
                <w:color w:val="auto"/>
              </w:rPr>
            </w:pPr>
          </w:p>
        </w:tc>
        <w:tc>
          <w:tcPr>
            <w:tcW w:w="860" w:type="dxa"/>
            <w:vAlign w:val="bottom"/>
          </w:tcPr>
          <w:p>
            <w:pPr>
              <w:spacing w:after="0"/>
              <w:rPr>
                <w:sz w:val="20"/>
                <w:szCs w:val="20"/>
                <w:color w:val="auto"/>
              </w:rPr>
            </w:pPr>
            <w:r>
              <w:rPr>
                <w:rFonts w:ascii="Arial" w:cs="Arial" w:eastAsia="Arial" w:hAnsi="Arial"/>
                <w:sz w:val="12"/>
                <w:szCs w:val="12"/>
                <w:color w:val="005A64"/>
              </w:rPr>
              <w:t>1,543</w:t>
            </w:r>
          </w:p>
        </w:tc>
        <w:tc>
          <w:tcPr>
            <w:tcW w:w="20" w:type="dxa"/>
            <w:vAlign w:val="bottom"/>
            <w:vMerge w:val="continue"/>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color w:val="005A64"/>
              </w:rPr>
              <w:t>1,075</w:t>
            </w:r>
          </w:p>
        </w:tc>
        <w:tc>
          <w:tcPr>
            <w:tcW w:w="20" w:type="dxa"/>
            <w:vAlign w:val="bottom"/>
            <w:vMerge w:val="continue"/>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2"/>
                <w:szCs w:val="12"/>
                <w:color w:val="005A64"/>
              </w:rPr>
              <w:t>419</w:t>
            </w:r>
          </w:p>
        </w:tc>
        <w:tc>
          <w:tcPr>
            <w:tcW w:w="2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1,856</w:t>
            </w:r>
          </w:p>
        </w:tc>
        <w:tc>
          <w:tcPr>
            <w:tcW w:w="20" w:type="dxa"/>
            <w:vAlign w:val="bottom"/>
            <w:vMerge w:val="continue"/>
          </w:tcPr>
          <w:p>
            <w:pPr>
              <w:spacing w:after="0"/>
              <w:rPr>
                <w:sz w:val="13"/>
                <w:szCs w:val="13"/>
                <w:color w:val="auto"/>
              </w:rPr>
            </w:pPr>
          </w:p>
        </w:tc>
        <w:tc>
          <w:tcPr>
            <w:tcW w:w="860" w:type="dxa"/>
            <w:vAlign w:val="bottom"/>
          </w:tcPr>
          <w:p>
            <w:pPr>
              <w:ind w:left="20"/>
              <w:spacing w:after="0"/>
              <w:rPr>
                <w:sz w:val="20"/>
                <w:szCs w:val="20"/>
                <w:color w:val="auto"/>
              </w:rPr>
            </w:pPr>
            <w:r>
              <w:rPr>
                <w:rFonts w:ascii="Arial" w:cs="Arial" w:eastAsia="Arial" w:hAnsi="Arial"/>
                <w:sz w:val="12"/>
                <w:szCs w:val="12"/>
                <w:color w:val="005A64"/>
              </w:rPr>
              <w:t>182</w:t>
            </w:r>
          </w:p>
        </w:tc>
        <w:tc>
          <w:tcPr>
            <w:tcW w:w="20" w:type="dxa"/>
            <w:vAlign w:val="bottom"/>
            <w:vMerge w:val="continue"/>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005A64"/>
              </w:rPr>
              <w:t>5,672</w:t>
            </w:r>
          </w:p>
        </w:tc>
        <w:tc>
          <w:tcPr>
            <w:tcW w:w="40" w:type="dxa"/>
            <w:vAlign w:val="bottom"/>
            <w:tcBorders>
              <w:right w:val="single" w:sz="8" w:color="BECE33"/>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220" w:type="dxa"/>
            <w:vAlign w:val="bottom"/>
            <w:gridSpan w:val="2"/>
          </w:tcPr>
          <w:p>
            <w:pPr>
              <w:ind w:left="20"/>
              <w:spacing w:after="0"/>
              <w:rPr>
                <w:sz w:val="20"/>
                <w:szCs w:val="20"/>
                <w:color w:val="auto"/>
              </w:rPr>
            </w:pPr>
            <w:r>
              <w:rPr>
                <w:rFonts w:ascii="Arial" w:cs="Arial" w:eastAsia="Arial" w:hAnsi="Arial"/>
                <w:sz w:val="12"/>
                <w:szCs w:val="12"/>
                <w:color w:val="005A64"/>
              </w:rPr>
              <w:t>North America</w:t>
            </w:r>
          </w:p>
        </w:tc>
        <w:tc>
          <w:tcPr>
            <w:tcW w:w="90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126</w:t>
            </w:r>
          </w:p>
        </w:tc>
        <w:tc>
          <w:tcPr>
            <w:tcW w:w="880" w:type="dxa"/>
            <w:vAlign w:val="bottom"/>
            <w:gridSpan w:val="2"/>
          </w:tcPr>
          <w:p>
            <w:pPr>
              <w:ind w:left="20"/>
              <w:spacing w:after="0"/>
              <w:rPr>
                <w:sz w:val="20"/>
                <w:szCs w:val="20"/>
                <w:color w:val="auto"/>
              </w:rPr>
            </w:pPr>
            <w:r>
              <w:rPr>
                <w:rFonts w:ascii="Arial" w:cs="Arial" w:eastAsia="Arial" w:hAnsi="Arial"/>
                <w:sz w:val="12"/>
                <w:szCs w:val="12"/>
                <w:color w:val="005A64"/>
              </w:rPr>
              <w:t>484</w:t>
            </w:r>
          </w:p>
        </w:tc>
        <w:tc>
          <w:tcPr>
            <w:tcW w:w="780" w:type="dxa"/>
            <w:vAlign w:val="bottom"/>
            <w:gridSpan w:val="2"/>
          </w:tcPr>
          <w:p>
            <w:pPr>
              <w:ind w:left="20"/>
              <w:spacing w:after="0"/>
              <w:rPr>
                <w:sz w:val="20"/>
                <w:szCs w:val="20"/>
                <w:color w:val="auto"/>
              </w:rPr>
            </w:pPr>
            <w:r>
              <w:rPr>
                <w:rFonts w:ascii="Arial" w:cs="Arial" w:eastAsia="Arial" w:hAnsi="Arial"/>
                <w:sz w:val="12"/>
                <w:szCs w:val="12"/>
                <w:color w:val="005A64"/>
              </w:rPr>
              <w:t>18</w:t>
            </w:r>
          </w:p>
        </w:tc>
        <w:tc>
          <w:tcPr>
            <w:tcW w:w="700" w:type="dxa"/>
            <w:vAlign w:val="bottom"/>
            <w:gridSpan w:val="2"/>
          </w:tcPr>
          <w:p>
            <w:pPr>
              <w:ind w:left="20"/>
              <w:spacing w:after="0"/>
              <w:rPr>
                <w:sz w:val="20"/>
                <w:szCs w:val="20"/>
                <w:color w:val="auto"/>
              </w:rPr>
            </w:pPr>
            <w:r>
              <w:rPr>
                <w:rFonts w:ascii="Arial" w:cs="Arial" w:eastAsia="Arial" w:hAnsi="Arial"/>
                <w:sz w:val="12"/>
                <w:szCs w:val="12"/>
                <w:color w:val="005A64"/>
              </w:rPr>
              <w:t>21</w:t>
            </w: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139</w:t>
            </w:r>
          </w:p>
        </w:tc>
        <w:tc>
          <w:tcPr>
            <w:tcW w:w="880" w:type="dxa"/>
            <w:vAlign w:val="bottom"/>
            <w:gridSpan w:val="2"/>
          </w:tcPr>
          <w:p>
            <w:pPr>
              <w:ind w:left="40"/>
              <w:spacing w:after="0"/>
              <w:rPr>
                <w:sz w:val="20"/>
                <w:szCs w:val="20"/>
                <w:color w:val="auto"/>
              </w:rPr>
            </w:pPr>
            <w:r>
              <w:rPr>
                <w:rFonts w:ascii="Arial" w:cs="Arial" w:eastAsia="Arial" w:hAnsi="Arial"/>
                <w:sz w:val="12"/>
                <w:szCs w:val="12"/>
                <w:color w:val="005A64"/>
              </w:rPr>
              <w:t>24</w:t>
            </w:r>
          </w:p>
        </w:tc>
        <w:tc>
          <w:tcPr>
            <w:tcW w:w="580" w:type="dxa"/>
            <w:vAlign w:val="bottom"/>
            <w:gridSpan w:val="2"/>
          </w:tcPr>
          <w:p>
            <w:pPr>
              <w:ind w:left="40"/>
              <w:spacing w:after="0"/>
              <w:rPr>
                <w:sz w:val="20"/>
                <w:szCs w:val="20"/>
                <w:color w:val="auto"/>
              </w:rPr>
            </w:pPr>
            <w:r>
              <w:rPr>
                <w:rFonts w:ascii="Arial" w:cs="Arial" w:eastAsia="Arial" w:hAnsi="Arial"/>
                <w:sz w:val="12"/>
                <w:szCs w:val="12"/>
                <w:color w:val="005A64"/>
              </w:rPr>
              <w:t>811</w:t>
            </w:r>
          </w:p>
        </w:tc>
        <w:tc>
          <w:tcPr>
            <w:tcW w:w="40" w:type="dxa"/>
            <w:vAlign w:val="bottom"/>
            <w:tcBorders>
              <w:right w:val="single" w:sz="8" w:color="BECE33"/>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20" w:type="dxa"/>
            <w:vAlign w:val="bottom"/>
            <w:gridSpan w:val="2"/>
          </w:tcPr>
          <w:p>
            <w:pPr>
              <w:ind w:left="20"/>
              <w:spacing w:after="0"/>
              <w:rPr>
                <w:sz w:val="20"/>
                <w:szCs w:val="20"/>
                <w:color w:val="auto"/>
              </w:rPr>
            </w:pPr>
            <w:r>
              <w:rPr>
                <w:rFonts w:ascii="Arial" w:cs="Arial" w:eastAsia="Arial" w:hAnsi="Arial"/>
                <w:sz w:val="12"/>
                <w:szCs w:val="12"/>
                <w:color w:val="005A64"/>
              </w:rPr>
              <w:t>Asia and Australia</w:t>
            </w:r>
          </w:p>
        </w:tc>
        <w:tc>
          <w:tcPr>
            <w:tcW w:w="90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12</w:t>
            </w:r>
          </w:p>
        </w:tc>
        <w:tc>
          <w:tcPr>
            <w:tcW w:w="880" w:type="dxa"/>
            <w:vAlign w:val="bottom"/>
            <w:gridSpan w:val="2"/>
          </w:tcPr>
          <w:p>
            <w:pPr>
              <w:ind w:left="20"/>
              <w:spacing w:after="0"/>
              <w:rPr>
                <w:sz w:val="20"/>
                <w:szCs w:val="20"/>
                <w:color w:val="auto"/>
              </w:rPr>
            </w:pPr>
            <w:r>
              <w:rPr>
                <w:rFonts w:ascii="Arial" w:cs="Arial" w:eastAsia="Arial" w:hAnsi="Arial"/>
                <w:sz w:val="12"/>
                <w:szCs w:val="12"/>
                <w:color w:val="005A64"/>
              </w:rPr>
              <w:t>3</w:t>
            </w:r>
          </w:p>
        </w:tc>
        <w:tc>
          <w:tcPr>
            <w:tcW w:w="780" w:type="dxa"/>
            <w:vAlign w:val="bottom"/>
            <w:gridSpan w:val="2"/>
          </w:tcPr>
          <w:p>
            <w:pPr>
              <w:ind w:left="20"/>
              <w:spacing w:after="0"/>
              <w:rPr>
                <w:sz w:val="20"/>
                <w:szCs w:val="20"/>
                <w:color w:val="auto"/>
              </w:rPr>
            </w:pPr>
            <w:r>
              <w:rPr>
                <w:rFonts w:ascii="Arial" w:cs="Arial" w:eastAsia="Arial" w:hAnsi="Arial"/>
                <w:sz w:val="12"/>
                <w:szCs w:val="12"/>
                <w:color w:val="005A64"/>
              </w:rPr>
              <w:t>11</w:t>
            </w:r>
          </w:p>
        </w:tc>
        <w:tc>
          <w:tcPr>
            <w:tcW w:w="700" w:type="dxa"/>
            <w:vAlign w:val="bottom"/>
            <w:gridSpan w:val="2"/>
          </w:tcPr>
          <w:p>
            <w:pPr>
              <w:ind w:left="20"/>
              <w:spacing w:after="0"/>
              <w:rPr>
                <w:sz w:val="20"/>
                <w:szCs w:val="20"/>
                <w:color w:val="auto"/>
              </w:rPr>
            </w:pPr>
            <w:r>
              <w:rPr>
                <w:rFonts w:ascii="Arial" w:cs="Arial" w:eastAsia="Arial" w:hAnsi="Arial"/>
                <w:sz w:val="12"/>
                <w:szCs w:val="12"/>
                <w:color w:val="005A64"/>
              </w:rPr>
              <w:t>5</w:t>
            </w: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68</w:t>
            </w:r>
          </w:p>
        </w:tc>
        <w:tc>
          <w:tcPr>
            <w:tcW w:w="880" w:type="dxa"/>
            <w:vAlign w:val="bottom"/>
            <w:gridSpan w:val="2"/>
          </w:tcPr>
          <w:p>
            <w:pPr>
              <w:ind w:left="40"/>
              <w:spacing w:after="0"/>
              <w:rPr>
                <w:sz w:val="20"/>
                <w:szCs w:val="20"/>
                <w:color w:val="auto"/>
              </w:rPr>
            </w:pPr>
            <w:r>
              <w:rPr>
                <w:rFonts w:ascii="Arial" w:cs="Arial" w:eastAsia="Arial" w:hAnsi="Arial"/>
                <w:sz w:val="12"/>
                <w:szCs w:val="12"/>
                <w:color w:val="005A64"/>
              </w:rPr>
              <w:t>1</w:t>
            </w:r>
          </w:p>
        </w:tc>
        <w:tc>
          <w:tcPr>
            <w:tcW w:w="580" w:type="dxa"/>
            <w:vAlign w:val="bottom"/>
            <w:gridSpan w:val="2"/>
          </w:tcPr>
          <w:p>
            <w:pPr>
              <w:ind w:left="40"/>
              <w:spacing w:after="0"/>
              <w:rPr>
                <w:sz w:val="20"/>
                <w:szCs w:val="20"/>
                <w:color w:val="auto"/>
              </w:rPr>
            </w:pPr>
            <w:r>
              <w:rPr>
                <w:rFonts w:ascii="Arial" w:cs="Arial" w:eastAsia="Arial" w:hAnsi="Arial"/>
                <w:sz w:val="12"/>
                <w:szCs w:val="12"/>
                <w:color w:val="005A64"/>
              </w:rPr>
              <w:t>100</w:t>
            </w:r>
          </w:p>
        </w:tc>
        <w:tc>
          <w:tcPr>
            <w:tcW w:w="4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20" w:type="dxa"/>
            <w:vAlign w:val="bottom"/>
            <w:gridSpan w:val="2"/>
          </w:tcPr>
          <w:p>
            <w:pPr>
              <w:ind w:left="20"/>
              <w:spacing w:after="0"/>
              <w:rPr>
                <w:sz w:val="20"/>
                <w:szCs w:val="20"/>
                <w:color w:val="auto"/>
              </w:rPr>
            </w:pPr>
            <w:r>
              <w:rPr>
                <w:rFonts w:ascii="Arial" w:cs="Arial" w:eastAsia="Arial" w:hAnsi="Arial"/>
                <w:sz w:val="12"/>
                <w:szCs w:val="12"/>
                <w:color w:val="005A64"/>
              </w:rPr>
              <w:t>Africa</w:t>
            </w:r>
          </w:p>
        </w:tc>
        <w:tc>
          <w:tcPr>
            <w:tcW w:w="40" w:type="dxa"/>
            <w:vAlign w:val="bottom"/>
            <w:tcBorders>
              <w:left w:val="single" w:sz="8" w:color="BECE33"/>
            </w:tcBorders>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2"/>
                <w:szCs w:val="12"/>
                <w:color w:val="005A64"/>
              </w:rPr>
              <w:t>—</w:t>
            </w:r>
          </w:p>
        </w:tc>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2"/>
                <w:szCs w:val="12"/>
                <w:color w:val="005A64"/>
              </w:rPr>
              <w:t>—</w:t>
            </w:r>
          </w:p>
        </w:tc>
        <w:tc>
          <w:tcPr>
            <w:tcW w:w="780" w:type="dxa"/>
            <w:vAlign w:val="bottom"/>
            <w:gridSpan w:val="2"/>
          </w:tcPr>
          <w:p>
            <w:pPr>
              <w:ind w:left="20"/>
              <w:spacing w:after="0"/>
              <w:rPr>
                <w:sz w:val="20"/>
                <w:szCs w:val="20"/>
                <w:color w:val="auto"/>
              </w:rPr>
            </w:pPr>
            <w:r>
              <w:rPr>
                <w:rFonts w:ascii="Arial" w:cs="Arial" w:eastAsia="Arial" w:hAnsi="Arial"/>
                <w:sz w:val="12"/>
                <w:szCs w:val="12"/>
                <w:color w:val="005A64"/>
              </w:rPr>
              <w:t>145</w:t>
            </w:r>
          </w:p>
        </w:tc>
        <w:tc>
          <w:tcPr>
            <w:tcW w:w="700" w:type="dxa"/>
            <w:vAlign w:val="bottom"/>
            <w:gridSpan w:val="2"/>
          </w:tcPr>
          <w:p>
            <w:pPr>
              <w:ind w:left="20"/>
              <w:spacing w:after="0"/>
              <w:rPr>
                <w:sz w:val="20"/>
                <w:szCs w:val="20"/>
                <w:color w:val="auto"/>
              </w:rPr>
            </w:pPr>
            <w:r>
              <w:rPr>
                <w:rFonts w:ascii="Arial" w:cs="Arial" w:eastAsia="Arial" w:hAnsi="Arial"/>
                <w:sz w:val="12"/>
                <w:szCs w:val="12"/>
                <w:color w:val="005A64"/>
              </w:rPr>
              <w:t>7</w:t>
            </w: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37</w:t>
            </w:r>
          </w:p>
        </w:tc>
        <w:tc>
          <w:tcPr>
            <w:tcW w:w="20" w:type="dxa"/>
            <w:vAlign w:val="bottom"/>
          </w:tcPr>
          <w:p>
            <w:pPr>
              <w:spacing w:after="0"/>
              <w:rPr>
                <w:sz w:val="17"/>
                <w:szCs w:val="17"/>
                <w:color w:val="auto"/>
              </w:rPr>
            </w:pPr>
          </w:p>
        </w:tc>
        <w:tc>
          <w:tcPr>
            <w:tcW w:w="860" w:type="dxa"/>
            <w:vAlign w:val="bottom"/>
          </w:tcPr>
          <w:p>
            <w:pPr>
              <w:ind w:left="20"/>
              <w:spacing w:after="0"/>
              <w:rPr>
                <w:sz w:val="20"/>
                <w:szCs w:val="20"/>
                <w:color w:val="auto"/>
              </w:rPr>
            </w:pPr>
            <w:r>
              <w:rPr>
                <w:rFonts w:ascii="Arial" w:cs="Arial" w:eastAsia="Arial" w:hAnsi="Arial"/>
                <w:sz w:val="12"/>
                <w:szCs w:val="12"/>
                <w:color w:val="005A64"/>
              </w:rPr>
              <w:t>—</w:t>
            </w:r>
          </w:p>
        </w:tc>
        <w:tc>
          <w:tcPr>
            <w:tcW w:w="580" w:type="dxa"/>
            <w:vAlign w:val="bottom"/>
            <w:gridSpan w:val="2"/>
          </w:tcPr>
          <w:p>
            <w:pPr>
              <w:ind w:left="40"/>
              <w:spacing w:after="0"/>
              <w:rPr>
                <w:sz w:val="20"/>
                <w:szCs w:val="20"/>
                <w:color w:val="auto"/>
              </w:rPr>
            </w:pPr>
            <w:r>
              <w:rPr>
                <w:rFonts w:ascii="Arial" w:cs="Arial" w:eastAsia="Arial" w:hAnsi="Arial"/>
                <w:sz w:val="12"/>
                <w:szCs w:val="12"/>
                <w:color w:val="005A64"/>
              </w:rPr>
              <w:t>189</w:t>
            </w:r>
          </w:p>
        </w:tc>
        <w:tc>
          <w:tcPr>
            <w:tcW w:w="4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 as of</w:t>
            </w:r>
          </w:p>
        </w:tc>
        <w:tc>
          <w:tcPr>
            <w:tcW w:w="90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b w:val="1"/>
                <w:bCs w:val="1"/>
                <w:color w:val="005A64"/>
              </w:rPr>
              <w:t>735</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005A64"/>
              </w:rPr>
              <w:t>2,030</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005A64"/>
              </w:rPr>
              <w:t>1,249</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005A64"/>
              </w:rPr>
              <w:t>452</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005A64"/>
              </w:rPr>
              <w:t>2,100</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005A64"/>
              </w:rPr>
              <w:t>207</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005A64"/>
              </w:rPr>
              <w:t>6,772</w:t>
            </w:r>
          </w:p>
        </w:tc>
        <w:tc>
          <w:tcPr>
            <w:tcW w:w="40" w:type="dxa"/>
            <w:vAlign w:val="bottom"/>
            <w:tcBorders>
              <w:right w:val="single" w:sz="8" w:color="BECE33"/>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005A64"/>
              </w:rPr>
              <w:t>December 31, 2024</w:t>
            </w:r>
          </w:p>
        </w:tc>
        <w:tc>
          <w:tcPr>
            <w:tcW w:w="40" w:type="dxa"/>
            <w:vAlign w:val="bottom"/>
            <w:tcBorders>
              <w:left w:val="single" w:sz="8" w:color="BECE33"/>
            </w:tcBorders>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Borders>
              <w:right w:val="single" w:sz="8" w:color="BECE33"/>
            </w:tcBorders>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120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tcBorders>
              <w:left w:val="single" w:sz="8" w:color="BECE33"/>
              <w:bottom w:val="single" w:sz="8" w:color="BECE33"/>
            </w:tcBorders>
          </w:tcPr>
          <w:p>
            <w:pPr>
              <w:spacing w:after="0"/>
              <w:rPr>
                <w:sz w:val="4"/>
                <w:szCs w:val="4"/>
                <w:color w:val="auto"/>
              </w:rPr>
            </w:pPr>
          </w:p>
        </w:tc>
        <w:tc>
          <w:tcPr>
            <w:tcW w:w="86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86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76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68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74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86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560" w:type="dxa"/>
            <w:vAlign w:val="bottom"/>
            <w:tcBorders>
              <w:bottom w:val="single" w:sz="8" w:color="BECE33"/>
            </w:tcBorders>
          </w:tcPr>
          <w:p>
            <w:pPr>
              <w:spacing w:after="0"/>
              <w:rPr>
                <w:sz w:val="4"/>
                <w:szCs w:val="4"/>
                <w:color w:val="auto"/>
              </w:rPr>
            </w:pPr>
          </w:p>
        </w:tc>
        <w:tc>
          <w:tcPr>
            <w:tcW w:w="40" w:type="dxa"/>
            <w:vAlign w:val="bottom"/>
            <w:tcBorders>
              <w:bottom w:val="single" w:sz="8" w:color="BECE33"/>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1200" w:type="dxa"/>
            <w:vAlign w:val="bottom"/>
          </w:tcPr>
          <w:p>
            <w:pPr>
              <w:ind w:left="20"/>
              <w:spacing w:after="0"/>
              <w:rPr>
                <w:sz w:val="20"/>
                <w:szCs w:val="20"/>
                <w:color w:val="auto"/>
              </w:rPr>
            </w:pPr>
            <w:r>
              <w:rPr>
                <w:rFonts w:ascii="Arial" w:cs="Arial" w:eastAsia="Arial" w:hAnsi="Arial"/>
                <w:sz w:val="12"/>
                <w:szCs w:val="12"/>
                <w:color w:val="005A64"/>
              </w:rPr>
              <w:t>Europe</w:t>
            </w:r>
          </w:p>
        </w:tc>
        <w:tc>
          <w:tcPr>
            <w:tcW w:w="20" w:type="dxa"/>
            <w:vAlign w:val="bottom"/>
            <w:vMerge w:val="continue"/>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2"/>
                <w:szCs w:val="12"/>
                <w:color w:val="005A64"/>
              </w:rPr>
              <w:t>486</w:t>
            </w:r>
          </w:p>
        </w:tc>
        <w:tc>
          <w:tcPr>
            <w:tcW w:w="880" w:type="dxa"/>
            <w:vAlign w:val="bottom"/>
            <w:gridSpan w:val="2"/>
          </w:tcPr>
          <w:p>
            <w:pPr>
              <w:ind w:left="20"/>
              <w:spacing w:after="0"/>
              <w:rPr>
                <w:sz w:val="20"/>
                <w:szCs w:val="20"/>
                <w:color w:val="auto"/>
              </w:rPr>
            </w:pPr>
            <w:r>
              <w:rPr>
                <w:rFonts w:ascii="Arial" w:cs="Arial" w:eastAsia="Arial" w:hAnsi="Arial"/>
                <w:sz w:val="12"/>
                <w:szCs w:val="12"/>
                <w:color w:val="005A64"/>
              </w:rPr>
              <w:t>1,555</w:t>
            </w:r>
          </w:p>
        </w:tc>
        <w:tc>
          <w:tcPr>
            <w:tcW w:w="780" w:type="dxa"/>
            <w:vAlign w:val="bottom"/>
            <w:gridSpan w:val="2"/>
          </w:tcPr>
          <w:p>
            <w:pPr>
              <w:ind w:left="20"/>
              <w:spacing w:after="0"/>
              <w:rPr>
                <w:sz w:val="20"/>
                <w:szCs w:val="20"/>
                <w:color w:val="auto"/>
              </w:rPr>
            </w:pPr>
            <w:r>
              <w:rPr>
                <w:rFonts w:ascii="Arial" w:cs="Arial" w:eastAsia="Arial" w:hAnsi="Arial"/>
                <w:sz w:val="12"/>
                <w:szCs w:val="12"/>
                <w:color w:val="005A64"/>
              </w:rPr>
              <w:t>1,440</w:t>
            </w:r>
          </w:p>
        </w:tc>
        <w:tc>
          <w:tcPr>
            <w:tcW w:w="700" w:type="dxa"/>
            <w:vAlign w:val="bottom"/>
            <w:gridSpan w:val="2"/>
          </w:tcPr>
          <w:p>
            <w:pPr>
              <w:ind w:left="20"/>
              <w:spacing w:after="0"/>
              <w:rPr>
                <w:sz w:val="20"/>
                <w:szCs w:val="20"/>
                <w:color w:val="auto"/>
              </w:rPr>
            </w:pPr>
            <w:r>
              <w:rPr>
                <w:rFonts w:ascii="Arial" w:cs="Arial" w:eastAsia="Arial" w:hAnsi="Arial"/>
                <w:sz w:val="12"/>
                <w:szCs w:val="12"/>
                <w:color w:val="005A64"/>
              </w:rPr>
              <w:t>450</w:t>
            </w: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1,184</w:t>
            </w:r>
          </w:p>
        </w:tc>
        <w:tc>
          <w:tcPr>
            <w:tcW w:w="880" w:type="dxa"/>
            <w:vAlign w:val="bottom"/>
            <w:gridSpan w:val="2"/>
          </w:tcPr>
          <w:p>
            <w:pPr>
              <w:ind w:left="40"/>
              <w:spacing w:after="0"/>
              <w:rPr>
                <w:sz w:val="20"/>
                <w:szCs w:val="20"/>
                <w:color w:val="auto"/>
              </w:rPr>
            </w:pPr>
            <w:r>
              <w:rPr>
                <w:rFonts w:ascii="Arial" w:cs="Arial" w:eastAsia="Arial" w:hAnsi="Arial"/>
                <w:sz w:val="12"/>
                <w:szCs w:val="12"/>
                <w:color w:val="005A64"/>
              </w:rPr>
              <w:t>185</w:t>
            </w:r>
          </w:p>
        </w:tc>
        <w:tc>
          <w:tcPr>
            <w:tcW w:w="580" w:type="dxa"/>
            <w:vAlign w:val="bottom"/>
            <w:gridSpan w:val="2"/>
          </w:tcPr>
          <w:p>
            <w:pPr>
              <w:ind w:left="40"/>
              <w:spacing w:after="0"/>
              <w:rPr>
                <w:sz w:val="20"/>
                <w:szCs w:val="20"/>
                <w:color w:val="auto"/>
              </w:rPr>
            </w:pPr>
            <w:r>
              <w:rPr>
                <w:rFonts w:ascii="Arial" w:cs="Arial" w:eastAsia="Arial" w:hAnsi="Arial"/>
                <w:sz w:val="12"/>
                <w:szCs w:val="12"/>
                <w:color w:val="005A64"/>
              </w:rPr>
              <w:t>5,299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220" w:type="dxa"/>
            <w:vAlign w:val="bottom"/>
            <w:gridSpan w:val="2"/>
          </w:tcPr>
          <w:p>
            <w:pPr>
              <w:ind w:left="20"/>
              <w:spacing w:after="0"/>
              <w:rPr>
                <w:sz w:val="20"/>
                <w:szCs w:val="20"/>
                <w:color w:val="auto"/>
              </w:rPr>
            </w:pPr>
            <w:r>
              <w:rPr>
                <w:rFonts w:ascii="Arial" w:cs="Arial" w:eastAsia="Arial" w:hAnsi="Arial"/>
                <w:sz w:val="12"/>
                <w:szCs w:val="12"/>
                <w:color w:val="005A64"/>
              </w:rPr>
              <w:t>North America</w:t>
            </w:r>
          </w:p>
        </w:tc>
        <w:tc>
          <w:tcPr>
            <w:tcW w:w="900" w:type="dxa"/>
            <w:vAlign w:val="bottom"/>
            <w:gridSpan w:val="2"/>
          </w:tcPr>
          <w:p>
            <w:pPr>
              <w:ind w:left="40"/>
              <w:spacing w:after="0"/>
              <w:rPr>
                <w:sz w:val="20"/>
                <w:szCs w:val="20"/>
                <w:color w:val="auto"/>
              </w:rPr>
            </w:pPr>
            <w:r>
              <w:rPr>
                <w:rFonts w:ascii="Arial" w:cs="Arial" w:eastAsia="Arial" w:hAnsi="Arial"/>
                <w:sz w:val="12"/>
                <w:szCs w:val="12"/>
                <w:color w:val="005A64"/>
              </w:rPr>
              <w:t>90</w:t>
            </w:r>
          </w:p>
        </w:tc>
        <w:tc>
          <w:tcPr>
            <w:tcW w:w="880" w:type="dxa"/>
            <w:vAlign w:val="bottom"/>
            <w:gridSpan w:val="2"/>
          </w:tcPr>
          <w:p>
            <w:pPr>
              <w:ind w:left="20"/>
              <w:spacing w:after="0"/>
              <w:rPr>
                <w:sz w:val="20"/>
                <w:szCs w:val="20"/>
                <w:color w:val="auto"/>
              </w:rPr>
            </w:pPr>
            <w:r>
              <w:rPr>
                <w:rFonts w:ascii="Arial" w:cs="Arial" w:eastAsia="Arial" w:hAnsi="Arial"/>
                <w:sz w:val="12"/>
                <w:szCs w:val="12"/>
                <w:color w:val="005A64"/>
              </w:rPr>
              <w:t>440</w:t>
            </w:r>
          </w:p>
        </w:tc>
        <w:tc>
          <w:tcPr>
            <w:tcW w:w="780" w:type="dxa"/>
            <w:vAlign w:val="bottom"/>
            <w:gridSpan w:val="2"/>
          </w:tcPr>
          <w:p>
            <w:pPr>
              <w:ind w:left="20"/>
              <w:spacing w:after="0"/>
              <w:rPr>
                <w:sz w:val="20"/>
                <w:szCs w:val="20"/>
                <w:color w:val="auto"/>
              </w:rPr>
            </w:pPr>
            <w:r>
              <w:rPr>
                <w:rFonts w:ascii="Arial" w:cs="Arial" w:eastAsia="Arial" w:hAnsi="Arial"/>
                <w:sz w:val="12"/>
                <w:szCs w:val="12"/>
                <w:color w:val="005A64"/>
              </w:rPr>
              <w:t>7</w:t>
            </w:r>
          </w:p>
        </w:tc>
        <w:tc>
          <w:tcPr>
            <w:tcW w:w="700" w:type="dxa"/>
            <w:vAlign w:val="bottom"/>
            <w:gridSpan w:val="2"/>
          </w:tcPr>
          <w:p>
            <w:pPr>
              <w:ind w:left="20"/>
              <w:spacing w:after="0"/>
              <w:rPr>
                <w:sz w:val="20"/>
                <w:szCs w:val="20"/>
                <w:color w:val="auto"/>
              </w:rPr>
            </w:pPr>
            <w:r>
              <w:rPr>
                <w:rFonts w:ascii="Arial" w:cs="Arial" w:eastAsia="Arial" w:hAnsi="Arial"/>
                <w:sz w:val="12"/>
                <w:szCs w:val="12"/>
                <w:color w:val="005A64"/>
              </w:rPr>
              <w:t>7</w:t>
            </w: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109</w:t>
            </w:r>
          </w:p>
        </w:tc>
        <w:tc>
          <w:tcPr>
            <w:tcW w:w="880" w:type="dxa"/>
            <w:vAlign w:val="bottom"/>
            <w:gridSpan w:val="2"/>
          </w:tcPr>
          <w:p>
            <w:pPr>
              <w:ind w:left="40"/>
              <w:spacing w:after="0"/>
              <w:rPr>
                <w:sz w:val="20"/>
                <w:szCs w:val="20"/>
                <w:color w:val="auto"/>
              </w:rPr>
            </w:pPr>
            <w:r>
              <w:rPr>
                <w:rFonts w:ascii="Arial" w:cs="Arial" w:eastAsia="Arial" w:hAnsi="Arial"/>
                <w:sz w:val="12"/>
                <w:szCs w:val="12"/>
                <w:color w:val="005A64"/>
              </w:rPr>
              <w:t>7</w:t>
            </w:r>
          </w:p>
        </w:tc>
        <w:tc>
          <w:tcPr>
            <w:tcW w:w="580" w:type="dxa"/>
            <w:vAlign w:val="bottom"/>
            <w:gridSpan w:val="2"/>
          </w:tcPr>
          <w:p>
            <w:pPr>
              <w:ind w:left="40"/>
              <w:spacing w:after="0"/>
              <w:rPr>
                <w:sz w:val="20"/>
                <w:szCs w:val="20"/>
                <w:color w:val="auto"/>
              </w:rPr>
            </w:pPr>
            <w:r>
              <w:rPr>
                <w:rFonts w:ascii="Arial" w:cs="Arial" w:eastAsia="Arial" w:hAnsi="Arial"/>
                <w:sz w:val="12"/>
                <w:szCs w:val="12"/>
                <w:color w:val="005A64"/>
              </w:rPr>
              <w:t>660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20" w:type="dxa"/>
            <w:vAlign w:val="bottom"/>
            <w:gridSpan w:val="2"/>
          </w:tcPr>
          <w:p>
            <w:pPr>
              <w:ind w:left="20"/>
              <w:spacing w:after="0"/>
              <w:rPr>
                <w:sz w:val="20"/>
                <w:szCs w:val="20"/>
                <w:color w:val="auto"/>
              </w:rPr>
            </w:pPr>
            <w:r>
              <w:rPr>
                <w:rFonts w:ascii="Arial" w:cs="Arial" w:eastAsia="Arial" w:hAnsi="Arial"/>
                <w:sz w:val="12"/>
                <w:szCs w:val="12"/>
                <w:color w:val="005A64"/>
              </w:rPr>
              <w:t>Asia</w:t>
            </w:r>
          </w:p>
        </w:tc>
        <w:tc>
          <w:tcPr>
            <w:tcW w:w="4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2"/>
                <w:szCs w:val="12"/>
                <w:color w:val="005A64"/>
              </w:rPr>
              <w:t>—</w:t>
            </w:r>
          </w:p>
        </w:tc>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2"/>
                <w:szCs w:val="12"/>
                <w:color w:val="005A64"/>
              </w:rPr>
              <w:t>—</w:t>
            </w:r>
          </w:p>
        </w:tc>
        <w:tc>
          <w:tcPr>
            <w:tcW w:w="780" w:type="dxa"/>
            <w:vAlign w:val="bottom"/>
            <w:gridSpan w:val="2"/>
          </w:tcPr>
          <w:p>
            <w:pPr>
              <w:ind w:left="20"/>
              <w:spacing w:after="0"/>
              <w:rPr>
                <w:sz w:val="20"/>
                <w:szCs w:val="20"/>
                <w:color w:val="auto"/>
              </w:rPr>
            </w:pPr>
            <w:r>
              <w:rPr>
                <w:rFonts w:ascii="Arial" w:cs="Arial" w:eastAsia="Arial" w:hAnsi="Arial"/>
                <w:sz w:val="12"/>
                <w:szCs w:val="12"/>
                <w:color w:val="005A64"/>
              </w:rPr>
              <w:t>24</w:t>
            </w:r>
          </w:p>
        </w:tc>
        <w:tc>
          <w:tcPr>
            <w:tcW w:w="20" w:type="dxa"/>
            <w:vAlign w:val="bottom"/>
          </w:tcPr>
          <w:p>
            <w:pPr>
              <w:spacing w:after="0"/>
              <w:rPr>
                <w:sz w:val="17"/>
                <w:szCs w:val="17"/>
                <w:color w:val="auto"/>
              </w:rPr>
            </w:pPr>
          </w:p>
        </w:tc>
        <w:tc>
          <w:tcPr>
            <w:tcW w:w="680" w:type="dxa"/>
            <w:vAlign w:val="bottom"/>
          </w:tcPr>
          <w:p>
            <w:pPr>
              <w:spacing w:after="0"/>
              <w:rPr>
                <w:sz w:val="20"/>
                <w:szCs w:val="20"/>
                <w:color w:val="auto"/>
              </w:rPr>
            </w:pPr>
            <w:r>
              <w:rPr>
                <w:rFonts w:ascii="Arial" w:cs="Arial" w:eastAsia="Arial" w:hAnsi="Arial"/>
                <w:sz w:val="12"/>
                <w:szCs w:val="12"/>
                <w:color w:val="005A64"/>
              </w:rPr>
              <w:t>—</w:t>
            </w: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4</w:t>
            </w:r>
          </w:p>
        </w:tc>
        <w:tc>
          <w:tcPr>
            <w:tcW w:w="20" w:type="dxa"/>
            <w:vAlign w:val="bottom"/>
          </w:tcPr>
          <w:p>
            <w:pPr>
              <w:spacing w:after="0"/>
              <w:rPr>
                <w:sz w:val="17"/>
                <w:szCs w:val="17"/>
                <w:color w:val="auto"/>
              </w:rPr>
            </w:pPr>
          </w:p>
        </w:tc>
        <w:tc>
          <w:tcPr>
            <w:tcW w:w="860" w:type="dxa"/>
            <w:vAlign w:val="bottom"/>
          </w:tcPr>
          <w:p>
            <w:pPr>
              <w:ind w:left="20"/>
              <w:spacing w:after="0"/>
              <w:rPr>
                <w:sz w:val="20"/>
                <w:szCs w:val="20"/>
                <w:color w:val="auto"/>
              </w:rPr>
            </w:pPr>
            <w:r>
              <w:rPr>
                <w:rFonts w:ascii="Arial" w:cs="Arial" w:eastAsia="Arial" w:hAnsi="Arial"/>
                <w:sz w:val="12"/>
                <w:szCs w:val="12"/>
                <w:color w:val="005A64"/>
              </w:rPr>
              <w:t>—</w:t>
            </w:r>
          </w:p>
        </w:tc>
        <w:tc>
          <w:tcPr>
            <w:tcW w:w="580" w:type="dxa"/>
            <w:vAlign w:val="bottom"/>
            <w:gridSpan w:val="2"/>
          </w:tcPr>
          <w:p>
            <w:pPr>
              <w:ind w:left="40"/>
              <w:spacing w:after="0"/>
              <w:rPr>
                <w:sz w:val="20"/>
                <w:szCs w:val="20"/>
                <w:color w:val="auto"/>
              </w:rPr>
            </w:pPr>
            <w:r>
              <w:rPr>
                <w:rFonts w:ascii="Arial" w:cs="Arial" w:eastAsia="Arial" w:hAnsi="Arial"/>
                <w:sz w:val="12"/>
                <w:szCs w:val="12"/>
                <w:color w:val="005A64"/>
              </w:rPr>
              <w:t>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20" w:type="dxa"/>
            <w:vAlign w:val="bottom"/>
            <w:gridSpan w:val="2"/>
          </w:tcPr>
          <w:p>
            <w:pPr>
              <w:ind w:left="20"/>
              <w:spacing w:after="0"/>
              <w:rPr>
                <w:sz w:val="20"/>
                <w:szCs w:val="20"/>
                <w:color w:val="auto"/>
              </w:rPr>
            </w:pPr>
            <w:r>
              <w:rPr>
                <w:rFonts w:ascii="Arial" w:cs="Arial" w:eastAsia="Arial" w:hAnsi="Arial"/>
                <w:sz w:val="12"/>
                <w:szCs w:val="12"/>
                <w:color w:val="005A64"/>
              </w:rPr>
              <w:t>Africa</w:t>
            </w:r>
          </w:p>
        </w:tc>
        <w:tc>
          <w:tcPr>
            <w:tcW w:w="4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2"/>
                <w:szCs w:val="12"/>
                <w:color w:val="005A64"/>
              </w:rPr>
              <w:t>—</w:t>
            </w:r>
          </w:p>
        </w:tc>
        <w:tc>
          <w:tcPr>
            <w:tcW w:w="880" w:type="dxa"/>
            <w:vAlign w:val="bottom"/>
            <w:gridSpan w:val="2"/>
          </w:tcPr>
          <w:p>
            <w:pPr>
              <w:ind w:left="20"/>
              <w:spacing w:after="0"/>
              <w:rPr>
                <w:sz w:val="20"/>
                <w:szCs w:val="20"/>
                <w:color w:val="auto"/>
              </w:rPr>
            </w:pPr>
            <w:r>
              <w:rPr>
                <w:rFonts w:ascii="Arial" w:cs="Arial" w:eastAsia="Arial" w:hAnsi="Arial"/>
                <w:sz w:val="12"/>
                <w:szCs w:val="12"/>
                <w:color w:val="005A64"/>
              </w:rPr>
              <w:t>19</w:t>
            </w:r>
          </w:p>
        </w:tc>
        <w:tc>
          <w:tcPr>
            <w:tcW w:w="780" w:type="dxa"/>
            <w:vAlign w:val="bottom"/>
            <w:gridSpan w:val="2"/>
          </w:tcPr>
          <w:p>
            <w:pPr>
              <w:ind w:left="20"/>
              <w:spacing w:after="0"/>
              <w:rPr>
                <w:sz w:val="20"/>
                <w:szCs w:val="20"/>
                <w:color w:val="auto"/>
              </w:rPr>
            </w:pPr>
            <w:r>
              <w:rPr>
                <w:rFonts w:ascii="Arial" w:cs="Arial" w:eastAsia="Arial" w:hAnsi="Arial"/>
                <w:sz w:val="12"/>
                <w:szCs w:val="12"/>
                <w:color w:val="005A64"/>
              </w:rPr>
              <w:t>59</w:t>
            </w:r>
          </w:p>
        </w:tc>
        <w:tc>
          <w:tcPr>
            <w:tcW w:w="20" w:type="dxa"/>
            <w:vAlign w:val="bottom"/>
          </w:tcPr>
          <w:p>
            <w:pPr>
              <w:spacing w:after="0"/>
              <w:rPr>
                <w:sz w:val="17"/>
                <w:szCs w:val="17"/>
                <w:color w:val="auto"/>
              </w:rPr>
            </w:pPr>
          </w:p>
        </w:tc>
        <w:tc>
          <w:tcPr>
            <w:tcW w:w="680" w:type="dxa"/>
            <w:vAlign w:val="bottom"/>
          </w:tcPr>
          <w:p>
            <w:pPr>
              <w:spacing w:after="0"/>
              <w:rPr>
                <w:sz w:val="20"/>
                <w:szCs w:val="20"/>
                <w:color w:val="auto"/>
              </w:rPr>
            </w:pPr>
            <w:r>
              <w:rPr>
                <w:rFonts w:ascii="Arial" w:cs="Arial" w:eastAsia="Arial" w:hAnsi="Arial"/>
                <w:sz w:val="12"/>
                <w:szCs w:val="12"/>
                <w:color w:val="005A64"/>
              </w:rPr>
              <w:t>—</w:t>
            </w: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68</w:t>
            </w:r>
          </w:p>
        </w:tc>
        <w:tc>
          <w:tcPr>
            <w:tcW w:w="20" w:type="dxa"/>
            <w:vAlign w:val="bottom"/>
          </w:tcPr>
          <w:p>
            <w:pPr>
              <w:spacing w:after="0"/>
              <w:rPr>
                <w:sz w:val="17"/>
                <w:szCs w:val="17"/>
                <w:color w:val="auto"/>
              </w:rPr>
            </w:pPr>
          </w:p>
        </w:tc>
        <w:tc>
          <w:tcPr>
            <w:tcW w:w="860" w:type="dxa"/>
            <w:vAlign w:val="bottom"/>
          </w:tcPr>
          <w:p>
            <w:pPr>
              <w:ind w:left="20"/>
              <w:spacing w:after="0"/>
              <w:rPr>
                <w:sz w:val="20"/>
                <w:szCs w:val="20"/>
                <w:color w:val="auto"/>
              </w:rPr>
            </w:pPr>
            <w:r>
              <w:rPr>
                <w:rFonts w:ascii="Arial" w:cs="Arial" w:eastAsia="Arial" w:hAnsi="Arial"/>
                <w:sz w:val="12"/>
                <w:szCs w:val="12"/>
                <w:color w:val="005A64"/>
              </w:rPr>
              <w:t>—</w:t>
            </w:r>
          </w:p>
        </w:tc>
        <w:tc>
          <w:tcPr>
            <w:tcW w:w="580" w:type="dxa"/>
            <w:vAlign w:val="bottom"/>
            <w:gridSpan w:val="2"/>
          </w:tcPr>
          <w:p>
            <w:pPr>
              <w:ind w:left="40"/>
              <w:spacing w:after="0"/>
              <w:rPr>
                <w:sz w:val="20"/>
                <w:szCs w:val="20"/>
                <w:color w:val="auto"/>
              </w:rPr>
            </w:pPr>
            <w:r>
              <w:rPr>
                <w:rFonts w:ascii="Arial" w:cs="Arial" w:eastAsia="Arial" w:hAnsi="Arial"/>
                <w:sz w:val="12"/>
                <w:szCs w:val="12"/>
                <w:color w:val="005A64"/>
              </w:rPr>
              <w:t>146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 as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005A64"/>
              </w:rPr>
              <w:t>576</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005A64"/>
              </w:rPr>
              <w:t>2,014</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005A64"/>
              </w:rPr>
              <w:t>1,530</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005A64"/>
              </w:rPr>
              <w:t>457</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005A64"/>
              </w:rPr>
              <w:t>1,365</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005A64"/>
              </w:rPr>
              <w:t>192</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005A64"/>
              </w:rPr>
              <w:t>6,133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005A64"/>
              </w:rPr>
              <w:t>December 31, 2023</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120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86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86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68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86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1200" w:type="dxa"/>
            <w:vAlign w:val="bottom"/>
          </w:tcPr>
          <w:p>
            <w:pPr>
              <w:ind w:left="20"/>
              <w:spacing w:after="0"/>
              <w:rPr>
                <w:sz w:val="20"/>
                <w:szCs w:val="20"/>
                <w:color w:val="auto"/>
              </w:rPr>
            </w:pPr>
            <w:r>
              <w:rPr>
                <w:rFonts w:ascii="Arial" w:cs="Arial" w:eastAsia="Arial" w:hAnsi="Arial"/>
                <w:sz w:val="12"/>
                <w:szCs w:val="12"/>
                <w:color w:val="005A64"/>
              </w:rPr>
              <w:t>Europe</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60" w:type="dxa"/>
            <w:vAlign w:val="bottom"/>
          </w:tcPr>
          <w:p>
            <w:pPr>
              <w:spacing w:after="0"/>
              <w:rPr>
                <w:sz w:val="20"/>
                <w:szCs w:val="20"/>
                <w:color w:val="auto"/>
              </w:rPr>
            </w:pPr>
            <w:r>
              <w:rPr>
                <w:rFonts w:ascii="Arial" w:cs="Arial" w:eastAsia="Arial" w:hAnsi="Arial"/>
                <w:sz w:val="12"/>
                <w:szCs w:val="12"/>
                <w:color w:val="005A64"/>
              </w:rPr>
              <w:t>243</w:t>
            </w:r>
          </w:p>
        </w:tc>
        <w:tc>
          <w:tcPr>
            <w:tcW w:w="20" w:type="dxa"/>
            <w:vAlign w:val="bottom"/>
            <w:vMerge w:val="continue"/>
          </w:tcPr>
          <w:p>
            <w:pPr>
              <w:spacing w:after="0"/>
              <w:rPr>
                <w:sz w:val="13"/>
                <w:szCs w:val="13"/>
                <w:color w:val="auto"/>
              </w:rPr>
            </w:pPr>
          </w:p>
        </w:tc>
        <w:tc>
          <w:tcPr>
            <w:tcW w:w="860" w:type="dxa"/>
            <w:vAlign w:val="bottom"/>
          </w:tcPr>
          <w:p>
            <w:pPr>
              <w:spacing w:after="0"/>
              <w:rPr>
                <w:sz w:val="20"/>
                <w:szCs w:val="20"/>
                <w:color w:val="auto"/>
              </w:rPr>
            </w:pPr>
            <w:r>
              <w:rPr>
                <w:rFonts w:ascii="Arial" w:cs="Arial" w:eastAsia="Arial" w:hAnsi="Arial"/>
                <w:sz w:val="12"/>
                <w:szCs w:val="12"/>
                <w:color w:val="005A64"/>
              </w:rPr>
              <w:t>1,102</w:t>
            </w:r>
          </w:p>
        </w:tc>
        <w:tc>
          <w:tcPr>
            <w:tcW w:w="20" w:type="dxa"/>
            <w:vAlign w:val="bottom"/>
            <w:vMerge w:val="continue"/>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color w:val="005A64"/>
              </w:rPr>
              <w:t>1,300</w:t>
            </w:r>
          </w:p>
        </w:tc>
        <w:tc>
          <w:tcPr>
            <w:tcW w:w="20" w:type="dxa"/>
            <w:vAlign w:val="bottom"/>
            <w:vMerge w:val="continue"/>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2"/>
                <w:szCs w:val="12"/>
                <w:color w:val="005A64"/>
              </w:rPr>
              <w:t>384</w:t>
            </w:r>
          </w:p>
        </w:tc>
        <w:tc>
          <w:tcPr>
            <w:tcW w:w="2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924</w:t>
            </w:r>
          </w:p>
        </w:tc>
        <w:tc>
          <w:tcPr>
            <w:tcW w:w="20" w:type="dxa"/>
            <w:vAlign w:val="bottom"/>
            <w:vMerge w:val="continue"/>
          </w:tcPr>
          <w:p>
            <w:pPr>
              <w:spacing w:after="0"/>
              <w:rPr>
                <w:sz w:val="13"/>
                <w:szCs w:val="13"/>
                <w:color w:val="auto"/>
              </w:rPr>
            </w:pPr>
          </w:p>
        </w:tc>
        <w:tc>
          <w:tcPr>
            <w:tcW w:w="860" w:type="dxa"/>
            <w:vAlign w:val="bottom"/>
          </w:tcPr>
          <w:p>
            <w:pPr>
              <w:ind w:left="20"/>
              <w:spacing w:after="0"/>
              <w:rPr>
                <w:sz w:val="20"/>
                <w:szCs w:val="20"/>
                <w:color w:val="auto"/>
              </w:rPr>
            </w:pPr>
            <w:r>
              <w:rPr>
                <w:rFonts w:ascii="Arial" w:cs="Arial" w:eastAsia="Arial" w:hAnsi="Arial"/>
                <w:sz w:val="12"/>
                <w:szCs w:val="12"/>
                <w:color w:val="005A64"/>
              </w:rPr>
              <w:t>140</w:t>
            </w:r>
          </w:p>
        </w:tc>
        <w:tc>
          <w:tcPr>
            <w:tcW w:w="20" w:type="dxa"/>
            <w:vAlign w:val="bottom"/>
            <w:vMerge w:val="continue"/>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005A64"/>
              </w:rPr>
              <w:t>4,093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220" w:type="dxa"/>
            <w:vAlign w:val="bottom"/>
            <w:gridSpan w:val="2"/>
          </w:tcPr>
          <w:p>
            <w:pPr>
              <w:ind w:left="20"/>
              <w:spacing w:after="0"/>
              <w:rPr>
                <w:sz w:val="20"/>
                <w:szCs w:val="20"/>
                <w:color w:val="auto"/>
              </w:rPr>
            </w:pPr>
            <w:r>
              <w:rPr>
                <w:rFonts w:ascii="Arial" w:cs="Arial" w:eastAsia="Arial" w:hAnsi="Arial"/>
                <w:sz w:val="12"/>
                <w:szCs w:val="12"/>
                <w:color w:val="005A64"/>
              </w:rPr>
              <w:t>North America</w:t>
            </w:r>
          </w:p>
        </w:tc>
        <w:tc>
          <w:tcPr>
            <w:tcW w:w="4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2"/>
                <w:szCs w:val="12"/>
                <w:color w:val="005A64"/>
              </w:rPr>
              <w:t>—</w:t>
            </w:r>
          </w:p>
        </w:tc>
        <w:tc>
          <w:tcPr>
            <w:tcW w:w="880" w:type="dxa"/>
            <w:vAlign w:val="bottom"/>
            <w:gridSpan w:val="2"/>
          </w:tcPr>
          <w:p>
            <w:pPr>
              <w:ind w:left="20"/>
              <w:spacing w:after="0"/>
              <w:rPr>
                <w:sz w:val="20"/>
                <w:szCs w:val="20"/>
                <w:color w:val="auto"/>
              </w:rPr>
            </w:pPr>
            <w:r>
              <w:rPr>
                <w:rFonts w:ascii="Arial" w:cs="Arial" w:eastAsia="Arial" w:hAnsi="Arial"/>
                <w:sz w:val="12"/>
                <w:szCs w:val="12"/>
                <w:color w:val="005A64"/>
              </w:rPr>
              <w:t>356</w:t>
            </w:r>
          </w:p>
        </w:tc>
        <w:tc>
          <w:tcPr>
            <w:tcW w:w="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color w:val="005A64"/>
              </w:rPr>
              <w:t>—</w:t>
            </w:r>
          </w:p>
        </w:tc>
        <w:tc>
          <w:tcPr>
            <w:tcW w:w="2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Arial" w:cs="Arial" w:eastAsia="Arial" w:hAnsi="Arial"/>
                <w:sz w:val="12"/>
                <w:szCs w:val="12"/>
                <w:color w:val="005A64"/>
              </w:rPr>
              <w:t>—</w:t>
            </w: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76</w:t>
            </w:r>
          </w:p>
        </w:tc>
        <w:tc>
          <w:tcPr>
            <w:tcW w:w="20" w:type="dxa"/>
            <w:vAlign w:val="bottom"/>
          </w:tcPr>
          <w:p>
            <w:pPr>
              <w:spacing w:after="0"/>
              <w:rPr>
                <w:sz w:val="15"/>
                <w:szCs w:val="15"/>
                <w:color w:val="auto"/>
              </w:rPr>
            </w:pPr>
          </w:p>
        </w:tc>
        <w:tc>
          <w:tcPr>
            <w:tcW w:w="860" w:type="dxa"/>
            <w:vAlign w:val="bottom"/>
          </w:tcPr>
          <w:p>
            <w:pPr>
              <w:ind w:left="20"/>
              <w:spacing w:after="0"/>
              <w:rPr>
                <w:sz w:val="20"/>
                <w:szCs w:val="20"/>
                <w:color w:val="auto"/>
              </w:rPr>
            </w:pPr>
            <w:r>
              <w:rPr>
                <w:rFonts w:ascii="Arial" w:cs="Arial" w:eastAsia="Arial" w:hAnsi="Arial"/>
                <w:sz w:val="12"/>
                <w:szCs w:val="12"/>
                <w:color w:val="005A64"/>
              </w:rPr>
              <w:t>—</w:t>
            </w:r>
          </w:p>
        </w:tc>
        <w:tc>
          <w:tcPr>
            <w:tcW w:w="580" w:type="dxa"/>
            <w:vAlign w:val="bottom"/>
            <w:gridSpan w:val="2"/>
          </w:tcPr>
          <w:p>
            <w:pPr>
              <w:ind w:left="40"/>
              <w:spacing w:after="0"/>
              <w:rPr>
                <w:sz w:val="20"/>
                <w:szCs w:val="20"/>
                <w:color w:val="auto"/>
              </w:rPr>
            </w:pPr>
            <w:r>
              <w:rPr>
                <w:rFonts w:ascii="Arial" w:cs="Arial" w:eastAsia="Arial" w:hAnsi="Arial"/>
                <w:sz w:val="12"/>
                <w:szCs w:val="12"/>
                <w:color w:val="005A64"/>
              </w:rPr>
              <w:t>432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20" w:type="dxa"/>
            <w:vAlign w:val="bottom"/>
            <w:gridSpan w:val="2"/>
          </w:tcPr>
          <w:p>
            <w:pPr>
              <w:ind w:left="20"/>
              <w:spacing w:after="0"/>
              <w:rPr>
                <w:sz w:val="20"/>
                <w:szCs w:val="20"/>
                <w:color w:val="auto"/>
              </w:rPr>
            </w:pPr>
            <w:r>
              <w:rPr>
                <w:rFonts w:ascii="Arial" w:cs="Arial" w:eastAsia="Arial" w:hAnsi="Arial"/>
                <w:sz w:val="12"/>
                <w:szCs w:val="12"/>
                <w:color w:val="005A64"/>
              </w:rPr>
              <w:t>Asia</w:t>
            </w:r>
          </w:p>
        </w:tc>
        <w:tc>
          <w:tcPr>
            <w:tcW w:w="900" w:type="dxa"/>
            <w:vAlign w:val="bottom"/>
            <w:gridSpan w:val="2"/>
          </w:tcPr>
          <w:p>
            <w:pPr>
              <w:ind w:left="40"/>
              <w:spacing w:after="0"/>
              <w:rPr>
                <w:sz w:val="20"/>
                <w:szCs w:val="20"/>
                <w:color w:val="auto"/>
              </w:rPr>
            </w:pPr>
            <w:r>
              <w:rPr>
                <w:rFonts w:ascii="Arial" w:cs="Arial" w:eastAsia="Arial" w:hAnsi="Arial"/>
                <w:sz w:val="12"/>
                <w:szCs w:val="12"/>
                <w:color w:val="005A64"/>
              </w:rPr>
              <w:t>2</w:t>
            </w:r>
          </w:p>
        </w:tc>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2"/>
                <w:szCs w:val="12"/>
                <w:color w:val="005A64"/>
              </w:rPr>
              <w:t>—</w:t>
            </w:r>
          </w:p>
        </w:tc>
        <w:tc>
          <w:tcPr>
            <w:tcW w:w="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Arial" w:cs="Arial" w:eastAsia="Arial" w:hAnsi="Arial"/>
                <w:sz w:val="12"/>
                <w:szCs w:val="12"/>
                <w:color w:val="005A64"/>
              </w:rPr>
              <w:t>—</w:t>
            </w:r>
          </w:p>
        </w:tc>
        <w:tc>
          <w:tcPr>
            <w:tcW w:w="20" w:type="dxa"/>
            <w:vAlign w:val="bottom"/>
          </w:tcPr>
          <w:p>
            <w:pPr>
              <w:spacing w:after="0"/>
              <w:rPr>
                <w:sz w:val="17"/>
                <w:szCs w:val="17"/>
                <w:color w:val="auto"/>
              </w:rPr>
            </w:pPr>
          </w:p>
        </w:tc>
        <w:tc>
          <w:tcPr>
            <w:tcW w:w="680" w:type="dxa"/>
            <w:vAlign w:val="bottom"/>
          </w:tcPr>
          <w:p>
            <w:pPr>
              <w:spacing w:after="0"/>
              <w:rPr>
                <w:sz w:val="20"/>
                <w:szCs w:val="20"/>
                <w:color w:val="auto"/>
              </w:rPr>
            </w:pPr>
            <w:r>
              <w:rPr>
                <w:rFonts w:ascii="Arial" w:cs="Arial" w:eastAsia="Arial" w:hAnsi="Arial"/>
                <w:sz w:val="12"/>
                <w:szCs w:val="12"/>
                <w:color w:val="005A64"/>
              </w:rPr>
              <w:t>—</w:t>
            </w: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3</w:t>
            </w:r>
          </w:p>
        </w:tc>
        <w:tc>
          <w:tcPr>
            <w:tcW w:w="20" w:type="dxa"/>
            <w:vAlign w:val="bottom"/>
          </w:tcPr>
          <w:p>
            <w:pPr>
              <w:spacing w:after="0"/>
              <w:rPr>
                <w:sz w:val="17"/>
                <w:szCs w:val="17"/>
                <w:color w:val="auto"/>
              </w:rPr>
            </w:pPr>
          </w:p>
        </w:tc>
        <w:tc>
          <w:tcPr>
            <w:tcW w:w="860" w:type="dxa"/>
            <w:vAlign w:val="bottom"/>
          </w:tcPr>
          <w:p>
            <w:pPr>
              <w:ind w:left="20"/>
              <w:spacing w:after="0"/>
              <w:rPr>
                <w:sz w:val="20"/>
                <w:szCs w:val="20"/>
                <w:color w:val="auto"/>
              </w:rPr>
            </w:pPr>
            <w:r>
              <w:rPr>
                <w:rFonts w:ascii="Arial" w:cs="Arial" w:eastAsia="Arial" w:hAnsi="Arial"/>
                <w:sz w:val="12"/>
                <w:szCs w:val="12"/>
                <w:color w:val="005A64"/>
              </w:rPr>
              <w:t>—</w:t>
            </w:r>
          </w:p>
        </w:tc>
        <w:tc>
          <w:tcPr>
            <w:tcW w:w="580" w:type="dxa"/>
            <w:vAlign w:val="bottom"/>
            <w:gridSpan w:val="2"/>
          </w:tcPr>
          <w:p>
            <w:pPr>
              <w:ind w:left="40"/>
              <w:spacing w:after="0"/>
              <w:rPr>
                <w:sz w:val="20"/>
                <w:szCs w:val="20"/>
                <w:color w:val="auto"/>
              </w:rPr>
            </w:pPr>
            <w:r>
              <w:rPr>
                <w:rFonts w:ascii="Arial" w:cs="Arial" w:eastAsia="Arial" w:hAnsi="Arial"/>
                <w:sz w:val="12"/>
                <w:szCs w:val="12"/>
                <w:color w:val="005A64"/>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 as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005A64"/>
              </w:rPr>
              <w:t>245</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005A64"/>
              </w:rPr>
              <w:t>1,458</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005A64"/>
              </w:rPr>
              <w:t>1,300</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005A64"/>
              </w:rPr>
              <w:t>384</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005A64"/>
              </w:rPr>
              <w:t>1,003</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005A64"/>
              </w:rPr>
              <w:t>140</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005A64"/>
              </w:rPr>
              <w:t>4,530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005A64"/>
              </w:rPr>
              <w:t>December 31, 2022</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380" w:right="2160"/>
        <w:spacing w:after="0" w:line="213" w:lineRule="auto"/>
        <w:rPr>
          <w:sz w:val="20"/>
          <w:szCs w:val="20"/>
          <w:color w:val="auto"/>
        </w:rPr>
      </w:pPr>
      <w:r>
        <w:rPr>
          <w:rFonts w:ascii="Arial" w:cs="Arial" w:eastAsia="Arial" w:hAnsi="Arial"/>
          <w:sz w:val="13"/>
          <w:szCs w:val="13"/>
          <w:color w:val="auto"/>
        </w:rPr>
        <w:t>None of our employees has engaged in any labor strikes. We apply the collective labor agreements of the chemical industry and related industries at our Marburg site. We have works councils at our Idar-Oberstein, Mainz, Marburg, Munich, Vienna and Berlin (JPT Peptide Technologies GmbH) sites as well as a group works council (</w:t>
      </w:r>
      <w:r>
        <w:rPr>
          <w:rFonts w:ascii="Arial" w:cs="Arial" w:eastAsia="Arial" w:hAnsi="Arial"/>
          <w:sz w:val="13"/>
          <w:szCs w:val="13"/>
          <w:i w:val="1"/>
          <w:iCs w:val="1"/>
          <w:color w:val="auto"/>
        </w:rPr>
        <w:t>Konzernbetriebsrat</w:t>
      </w:r>
      <w:r>
        <w:rPr>
          <w:rFonts w:ascii="Arial" w:cs="Arial" w:eastAsia="Arial" w:hAnsi="Arial"/>
          <w:sz w:val="13"/>
          <w:szCs w:val="13"/>
          <w:color w:val="auto"/>
        </w:rPr>
        <w:t xml:space="preserve">). Further, we maintain a couple of works agreements ( </w:t>
      </w:r>
      <w:r>
        <w:rPr>
          <w:rFonts w:ascii="Arial" w:cs="Arial" w:eastAsia="Arial" w:hAnsi="Arial"/>
          <w:sz w:val="13"/>
          <w:szCs w:val="13"/>
          <w:i w:val="1"/>
          <w:iCs w:val="1"/>
          <w:color w:val="auto"/>
        </w:rPr>
        <w:t>Betriebsvereinbarungen</w:t>
      </w:r>
      <w:r>
        <w:rPr>
          <w:rFonts w:ascii="Arial" w:cs="Arial" w:eastAsia="Arial" w:hAnsi="Arial"/>
          <w:sz w:val="13"/>
          <w:szCs w:val="13"/>
          <w:color w:val="auto"/>
        </w:rPr>
        <w:t>) and group works agreements (</w:t>
      </w:r>
      <w:r>
        <w:rPr>
          <w:rFonts w:ascii="Arial" w:cs="Arial" w:eastAsia="Arial" w:hAnsi="Arial"/>
          <w:sz w:val="13"/>
          <w:szCs w:val="13"/>
          <w:i w:val="1"/>
          <w:iCs w:val="1"/>
          <w:color w:val="auto"/>
        </w:rPr>
        <w:t>Konzernbetriebsvereinbarungen</w:t>
      </w:r>
      <w:r>
        <w:rPr>
          <w:rFonts w:ascii="Arial" w:cs="Arial" w:eastAsia="Arial" w:hAnsi="Arial"/>
          <w:sz w:val="13"/>
          <w:szCs w:val="13"/>
          <w:color w:val="auto"/>
        </w:rPr>
        <w:t>) with respect to certain topics at our Idar-Oberstein, Mainz, Marburg and Berlin (JPT Peptide Technologies GmbH) sites or the group. We consider our relationship with our employees to be positive and have not experienced any major labor disputes.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-582930</wp:posOffset>
            </wp:positionV>
            <wp:extent cx="4268470"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268470" cy="6350"/>
                    </a:xfrm>
                    <a:prstGeom prst="rect">
                      <a:avLst/>
                    </a:prstGeom>
                    <a:noFill/>
                  </pic:spPr>
                </pic:pic>
              </a:graphicData>
            </a:graphic>
          </wp:anchor>
        </w:drawing>
      </w:r>
    </w:p>
    <w:p>
      <w:pPr>
        <w:ind w:left="380"/>
        <w:spacing w:after="0" w:line="215" w:lineRule="auto"/>
        <w:rPr>
          <w:sz w:val="20"/>
          <w:szCs w:val="20"/>
          <w:color w:val="auto"/>
        </w:rPr>
      </w:pPr>
      <w:r>
        <w:rPr>
          <w:rFonts w:ascii="Arial" w:cs="Arial" w:eastAsia="Arial" w:hAnsi="Arial"/>
          <w:sz w:val="13"/>
          <w:szCs w:val="13"/>
          <w:b w:val="1"/>
          <w:bCs w:val="1"/>
          <w:color w:val="005A64"/>
        </w:rPr>
        <w:t>E. Share Ownership</w:t>
      </w:r>
    </w:p>
    <w:p>
      <w:pPr>
        <w:spacing w:after="0" w:line="1" w:lineRule="exact"/>
        <w:rPr>
          <w:sz w:val="20"/>
          <w:szCs w:val="20"/>
          <w:color w:val="auto"/>
        </w:rPr>
      </w:pPr>
    </w:p>
    <w:p>
      <w:pPr>
        <w:ind w:left="380" w:right="2560"/>
        <w:spacing w:after="0" w:line="210" w:lineRule="auto"/>
        <w:rPr>
          <w:sz w:val="20"/>
          <w:szCs w:val="20"/>
          <w:color w:val="auto"/>
        </w:rPr>
      </w:pPr>
      <w:r>
        <w:rPr>
          <w:rFonts w:ascii="Arial" w:cs="Arial" w:eastAsia="Arial" w:hAnsi="Arial"/>
          <w:sz w:val="13"/>
          <w:szCs w:val="13"/>
          <w:color w:val="auto"/>
        </w:rPr>
        <w:t>The share ownership information with respect to Management Board and Supervisory Board members is presented in Item 7 below.</w:t>
      </w:r>
    </w:p>
    <w:p>
      <w:pPr>
        <w:ind w:left="380"/>
        <w:spacing w:after="0" w:line="212" w:lineRule="auto"/>
        <w:rPr>
          <w:sz w:val="20"/>
          <w:szCs w:val="20"/>
          <w:color w:val="auto"/>
        </w:rPr>
      </w:pPr>
      <w:r>
        <w:rPr>
          <w:rFonts w:ascii="Arial" w:cs="Arial" w:eastAsia="Arial" w:hAnsi="Arial"/>
          <w:sz w:val="13"/>
          <w:szCs w:val="13"/>
          <w:b w:val="1"/>
          <w:bCs w:val="1"/>
          <w:color w:val="005A64"/>
        </w:rPr>
        <w:t>F. Disclosure of a Registrant’s Action to Recover Erroneously Awarded Compensation</w:t>
      </w:r>
    </w:p>
    <w:p>
      <w:pPr>
        <w:ind w:left="380"/>
        <w:spacing w:after="0" w:line="216" w:lineRule="auto"/>
        <w:rPr>
          <w:sz w:val="20"/>
          <w:szCs w:val="20"/>
          <w:color w:val="auto"/>
        </w:rPr>
      </w:pPr>
      <w:r>
        <w:rPr>
          <w:rFonts w:ascii="Arial" w:cs="Arial" w:eastAsia="Arial" w:hAnsi="Arial"/>
          <w:sz w:val="13"/>
          <w:szCs w:val="13"/>
          <w:color w:val="auto"/>
        </w:rPr>
        <w:t>Not applicable.</w:t>
      </w:r>
    </w:p>
    <w:p>
      <w:pPr>
        <w:ind w:left="380"/>
        <w:spacing w:after="0" w:line="207" w:lineRule="auto"/>
        <w:rPr>
          <w:sz w:val="20"/>
          <w:szCs w:val="20"/>
          <w:color w:val="auto"/>
        </w:rPr>
      </w:pPr>
      <w:r>
        <w:rPr>
          <w:rFonts w:ascii="Arial" w:cs="Arial" w:eastAsia="Arial" w:hAnsi="Arial"/>
          <w:sz w:val="16"/>
          <w:szCs w:val="16"/>
          <w:b w:val="1"/>
          <w:bCs w:val="1"/>
          <w:color w:val="005A64"/>
        </w:rPr>
        <w:t>Item 7. Major Shareholders and Related Party Transactions</w:t>
      </w:r>
    </w:p>
    <w:p>
      <w:pPr>
        <w:ind w:left="380"/>
        <w:spacing w:after="0" w:line="211" w:lineRule="auto"/>
        <w:rPr>
          <w:sz w:val="20"/>
          <w:szCs w:val="20"/>
          <w:color w:val="auto"/>
        </w:rPr>
      </w:pPr>
      <w:r>
        <w:rPr>
          <w:rFonts w:ascii="Arial" w:cs="Arial" w:eastAsia="Arial" w:hAnsi="Arial"/>
          <w:sz w:val="13"/>
          <w:szCs w:val="13"/>
          <w:b w:val="1"/>
          <w:bCs w:val="1"/>
          <w:color w:val="005A64"/>
        </w:rPr>
        <w:t>A. Major Shareholders</w:t>
      </w:r>
    </w:p>
    <w:p>
      <w:pPr>
        <w:ind w:left="380" w:right="2320"/>
        <w:spacing w:after="0" w:line="210" w:lineRule="auto"/>
        <w:rPr>
          <w:sz w:val="20"/>
          <w:szCs w:val="20"/>
          <w:color w:val="auto"/>
        </w:rPr>
      </w:pPr>
      <w:r>
        <w:rPr>
          <w:rFonts w:ascii="Arial" w:cs="Arial" w:eastAsia="Arial" w:hAnsi="Arial"/>
          <w:sz w:val="13"/>
          <w:szCs w:val="13"/>
          <w:color w:val="auto"/>
        </w:rPr>
        <w:t>The following table presents information, as of December 31, 2024, regarding the beneficial ownership of our ordinary shares for:</w:t>
      </w:r>
    </w:p>
    <w:p>
      <w:pPr>
        <w:spacing w:after="0" w:line="1" w:lineRule="exact"/>
        <w:rPr>
          <w:sz w:val="20"/>
          <w:szCs w:val="20"/>
          <w:color w:val="auto"/>
        </w:rPr>
      </w:pPr>
    </w:p>
    <w:p>
      <w:pPr>
        <w:ind w:left="380" w:right="3120"/>
        <w:spacing w:after="0" w:line="210" w:lineRule="auto"/>
        <w:rPr>
          <w:sz w:val="20"/>
          <w:szCs w:val="20"/>
          <w:color w:val="auto"/>
        </w:rPr>
      </w:pPr>
      <w:r>
        <w:rPr>
          <w:rFonts w:ascii="Arial" w:cs="Arial" w:eastAsia="Arial" w:hAnsi="Arial"/>
          <w:sz w:val="13"/>
          <w:szCs w:val="13"/>
          <w:color w:val="auto"/>
        </w:rPr>
        <w:t>•each person, or group of affiliated persons, known by us to own beneficially 5% or more of our outstanding shares;</w:t>
      </w:r>
    </w:p>
    <w:p>
      <w:pPr>
        <w:ind w:left="380"/>
        <w:spacing w:after="0" w:line="212" w:lineRule="auto"/>
        <w:rPr>
          <w:sz w:val="20"/>
          <w:szCs w:val="20"/>
          <w:color w:val="auto"/>
        </w:rPr>
      </w:pPr>
      <w:r>
        <w:rPr>
          <w:rFonts w:ascii="Arial" w:cs="Arial" w:eastAsia="Arial" w:hAnsi="Arial"/>
          <w:sz w:val="13"/>
          <w:szCs w:val="13"/>
          <w:color w:val="auto"/>
        </w:rPr>
        <w:t>•each member of our Supervisory Board;</w:t>
      </w:r>
    </w:p>
    <w:p>
      <w:pPr>
        <w:ind w:left="380"/>
        <w:spacing w:after="0" w:line="211" w:lineRule="auto"/>
        <w:rPr>
          <w:sz w:val="20"/>
          <w:szCs w:val="20"/>
          <w:color w:val="auto"/>
        </w:rPr>
      </w:pPr>
      <w:r>
        <w:rPr>
          <w:rFonts w:ascii="Arial" w:cs="Arial" w:eastAsia="Arial" w:hAnsi="Arial"/>
          <w:sz w:val="13"/>
          <w:szCs w:val="13"/>
          <w:color w:val="auto"/>
        </w:rPr>
        <w:t>•each member of our Management Board; and</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•all members of our Supervisory Board and Management Board as a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219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3" w:lineRule="auto"/>
        <w:rPr>
          <w:sz w:val="20"/>
          <w:szCs w:val="20"/>
          <w:color w:val="auto"/>
        </w:rPr>
      </w:pPr>
      <w:r>
        <w:rPr>
          <w:rFonts w:ascii="Arial" w:cs="Arial" w:eastAsia="Arial" w:hAnsi="Arial"/>
          <w:sz w:val="13"/>
          <w:szCs w:val="13"/>
          <w:color w:val="auto"/>
        </w:rPr>
        <w:t>The number of ordinary shares beneficially owned by each entity, person, and member of our Supervisory Board and our Management Board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December 31, 2024, through the exercise of any option, warrant or other right. Except as otherwise indicated, and subject to applicable community property laws, the persons named in the table have sole voting and investment power with respect to all ordinary shares held by that person. All of our ordinary shares and ADSs representing our ordinary shares vote on an equal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-751205</wp:posOffset>
            </wp:positionV>
            <wp:extent cx="5231130"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jc w:val="both"/>
        <w:ind w:left="380" w:right="2480"/>
        <w:spacing w:after="0" w:line="222" w:lineRule="auto"/>
        <w:rPr>
          <w:sz w:val="20"/>
          <w:szCs w:val="20"/>
          <w:color w:val="auto"/>
        </w:rPr>
      </w:pPr>
      <w:r>
        <w:rPr>
          <w:rFonts w:ascii="Arial" w:cs="Arial" w:eastAsia="Arial" w:hAnsi="Arial"/>
          <w:sz w:val="13"/>
          <w:szCs w:val="13"/>
          <w:color w:val="auto"/>
        </w:rPr>
        <w:t>The percentage of outstanding ordinary shares is computed on the basis of 239,970,804 ordinary shares outstanding as of December 31, 2024. This amount excludes 8,581,396 shares held in treasury. Amounts presented in this section include ordinary shares held in the form of ADSs. Unless otherwise indicated, the address for each beneficial owner is An der Goldgrube 12, 55131 Mainz, Germany.</w:t>
      </w:r>
    </w:p>
    <w:p>
      <w:pPr>
        <w:sectPr>
          <w:pgSz w:w="11900" w:h="16840" w:orient="portrait"/>
          <w:cols w:equalWidth="0" w:num="1">
            <w:col w:w="9020"/>
          </w:cols>
          <w:pgMar w:left="1440" w:top="775" w:right="1440" w:bottom="1440" w:gutter="0" w:footer="0" w:header="0"/>
        </w:sectPr>
      </w:pPr>
    </w:p>
    <w:bookmarkStart w:id="152" w:name="page153"/>
    <w:bookmarkEnd w:id="152"/>
    <w:tbl>
      <w:tblPr>
        <w:tblLayout w:type="fixed"/>
        <w:tblInd w:w="380" w:type="dxa"/>
        <w:tblCellMar>
          <w:top w:w="0" w:type="dxa"/>
          <w:left w:w="0" w:type="dxa"/>
          <w:bottom w:w="0" w:type="dxa"/>
          <w:right w:w="0" w:type="dxa"/>
        </w:tblCellMar>
      </w:tblPr>
      <w:tr>
        <w:trPr>
          <w:trHeight w:val="138"/>
        </w:trPr>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005A64"/>
              </w:rPr>
              <w:t>Name of Beneficial Owner</w:t>
            </w:r>
          </w:p>
        </w:tc>
        <w:tc>
          <w:tcPr>
            <w:tcW w:w="2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20"/>
                <w:szCs w:val="20"/>
                <w:color w:val="auto"/>
              </w:rPr>
            </w:pPr>
            <w:r>
              <w:rPr>
                <w:rFonts w:ascii="Arial" w:cs="Arial" w:eastAsia="Arial" w:hAnsi="Arial"/>
                <w:sz w:val="12"/>
                <w:szCs w:val="12"/>
                <w:b w:val="1"/>
                <w:bCs w:val="1"/>
                <w:color w:val="005A64"/>
              </w:rPr>
              <w:t>Number of</w:t>
            </w:r>
          </w:p>
        </w:tc>
        <w:tc>
          <w:tcPr>
            <w:tcW w:w="40" w:type="dxa"/>
            <w:vAlign w:val="bottom"/>
          </w:tcPr>
          <w:p>
            <w:pPr>
              <w:spacing w:after="0"/>
              <w:rPr>
                <w:sz w:val="12"/>
                <w:szCs w:val="12"/>
                <w:color w:val="auto"/>
              </w:rPr>
            </w:pPr>
          </w:p>
        </w:tc>
        <w:tc>
          <w:tcPr>
            <w:tcW w:w="1100" w:type="dxa"/>
            <w:vAlign w:val="bottom"/>
          </w:tcPr>
          <w:p>
            <w:pPr>
              <w:ind w:left="20"/>
              <w:spacing w:after="0"/>
              <w:rPr>
                <w:sz w:val="20"/>
                <w:szCs w:val="20"/>
                <w:color w:val="auto"/>
              </w:rPr>
            </w:pPr>
            <w:r>
              <w:rPr>
                <w:rFonts w:ascii="Arial" w:cs="Arial" w:eastAsia="Arial" w:hAnsi="Arial"/>
                <w:sz w:val="12"/>
                <w:szCs w:val="12"/>
                <w:b w:val="1"/>
                <w:bCs w:val="1"/>
                <w:color w:val="005A64"/>
              </w:rPr>
              <w:t>Percentage</w:t>
            </w: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line="121" w:lineRule="exact"/>
              <w:rPr>
                <w:sz w:val="20"/>
                <w:szCs w:val="20"/>
                <w:color w:val="auto"/>
              </w:rPr>
            </w:pPr>
            <w:r>
              <w:rPr>
                <w:rFonts w:ascii="Arial" w:cs="Arial" w:eastAsia="Arial" w:hAnsi="Arial"/>
                <w:sz w:val="12"/>
                <w:szCs w:val="12"/>
                <w:b w:val="1"/>
                <w:bCs w:val="1"/>
                <w:color w:val="005A64"/>
              </w:rPr>
              <w:t>Shares</w:t>
            </w:r>
          </w:p>
        </w:tc>
        <w:tc>
          <w:tcPr>
            <w:tcW w:w="40" w:type="dxa"/>
            <w:vAlign w:val="bottom"/>
          </w:tcPr>
          <w:p>
            <w:pPr>
              <w:spacing w:after="0"/>
              <w:rPr>
                <w:sz w:val="10"/>
                <w:szCs w:val="10"/>
                <w:color w:val="auto"/>
              </w:rPr>
            </w:pPr>
          </w:p>
        </w:tc>
        <w:tc>
          <w:tcPr>
            <w:tcW w:w="1100" w:type="dxa"/>
            <w:vAlign w:val="bottom"/>
          </w:tcPr>
          <w:p>
            <w:pPr>
              <w:ind w:left="20"/>
              <w:spacing w:after="0" w:line="121" w:lineRule="exact"/>
              <w:rPr>
                <w:sz w:val="20"/>
                <w:szCs w:val="20"/>
                <w:color w:val="auto"/>
              </w:rPr>
            </w:pPr>
            <w:r>
              <w:rPr>
                <w:rFonts w:ascii="Arial" w:cs="Arial" w:eastAsia="Arial" w:hAnsi="Arial"/>
                <w:sz w:val="12"/>
                <w:szCs w:val="12"/>
                <w:b w:val="1"/>
                <w:bCs w:val="1"/>
                <w:color w:val="005A64"/>
              </w:rPr>
              <w:t>Beneficially</w:t>
            </w: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line="121" w:lineRule="exact"/>
              <w:rPr>
                <w:sz w:val="20"/>
                <w:szCs w:val="20"/>
                <w:color w:val="auto"/>
              </w:rPr>
            </w:pPr>
            <w:r>
              <w:rPr>
                <w:rFonts w:ascii="Arial" w:cs="Arial" w:eastAsia="Arial" w:hAnsi="Arial"/>
                <w:sz w:val="12"/>
                <w:szCs w:val="12"/>
                <w:b w:val="1"/>
                <w:bCs w:val="1"/>
                <w:color w:val="005A64"/>
              </w:rPr>
              <w:t>Beneficially</w:t>
            </w:r>
          </w:p>
        </w:tc>
        <w:tc>
          <w:tcPr>
            <w:tcW w:w="40" w:type="dxa"/>
            <w:vAlign w:val="bottom"/>
          </w:tcPr>
          <w:p>
            <w:pPr>
              <w:spacing w:after="0"/>
              <w:rPr>
                <w:sz w:val="10"/>
                <w:szCs w:val="10"/>
                <w:color w:val="auto"/>
              </w:rPr>
            </w:pPr>
          </w:p>
        </w:tc>
        <w:tc>
          <w:tcPr>
            <w:tcW w:w="1100" w:type="dxa"/>
            <w:vAlign w:val="bottom"/>
          </w:tcPr>
          <w:p>
            <w:pPr>
              <w:ind w:left="20"/>
              <w:spacing w:after="0" w:line="121" w:lineRule="exact"/>
              <w:rPr>
                <w:sz w:val="20"/>
                <w:szCs w:val="20"/>
                <w:color w:val="auto"/>
              </w:rPr>
            </w:pPr>
            <w:r>
              <w:rPr>
                <w:rFonts w:ascii="Arial" w:cs="Arial" w:eastAsia="Arial" w:hAnsi="Arial"/>
                <w:sz w:val="12"/>
                <w:szCs w:val="12"/>
                <w:b w:val="1"/>
                <w:bCs w:val="1"/>
                <w:color w:val="005A64"/>
              </w:rPr>
              <w:t>Owned</w:t>
            </w:r>
          </w:p>
        </w:tc>
        <w:tc>
          <w:tcPr>
            <w:tcW w:w="0" w:type="dxa"/>
            <w:vAlign w:val="bottom"/>
          </w:tcPr>
          <w:p>
            <w:pPr>
              <w:spacing w:after="0"/>
              <w:rPr>
                <w:sz w:val="1"/>
                <w:szCs w:val="1"/>
                <w:color w:val="auto"/>
              </w:rPr>
            </w:pPr>
          </w:p>
        </w:tc>
      </w:tr>
      <w:tr>
        <w:trPr>
          <w:trHeight w:val="166"/>
        </w:trPr>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2"/>
                <w:szCs w:val="12"/>
                <w:b w:val="1"/>
                <w:bCs w:val="1"/>
                <w:color w:val="005A64"/>
              </w:rPr>
              <w:t>Owned</w:t>
            </w: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1260" w:type="dxa"/>
            <w:vAlign w:val="bottom"/>
            <w:tcBorders>
              <w:bottom w:val="single" w:sz="8" w:color="005A64"/>
            </w:tcBorders>
            <w:gridSpan w:val="2"/>
          </w:tcPr>
          <w:p>
            <w:pPr>
              <w:spacing w:after="0"/>
              <w:rPr>
                <w:sz w:val="7"/>
                <w:szCs w:val="7"/>
                <w:color w:val="auto"/>
              </w:rPr>
            </w:pPr>
          </w:p>
        </w:tc>
        <w:tc>
          <w:tcPr>
            <w:tcW w:w="300" w:type="dxa"/>
            <w:vAlign w:val="bottom"/>
            <w:tcBorders>
              <w:bottom w:val="single" w:sz="8" w:color="005A64"/>
            </w:tcBorders>
          </w:tcPr>
          <w:p>
            <w:pPr>
              <w:spacing w:after="0"/>
              <w:rPr>
                <w:sz w:val="7"/>
                <w:szCs w:val="7"/>
                <w:color w:val="auto"/>
              </w:rPr>
            </w:pPr>
          </w:p>
        </w:tc>
        <w:tc>
          <w:tcPr>
            <w:tcW w:w="2860" w:type="dxa"/>
            <w:vAlign w:val="bottom"/>
            <w:tcBorders>
              <w:bottom w:val="single" w:sz="8" w:color="005A64"/>
            </w:tcBorders>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Borders>
              <w:bottom w:val="single" w:sz="8" w:color="005A64"/>
            </w:tcBorders>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tcBorders>
              <w:bottom w:val="single" w:sz="8" w:color="005A64"/>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260" w:type="dxa"/>
            <w:vAlign w:val="bottom"/>
            <w:gridSpan w:val="2"/>
          </w:tcPr>
          <w:p>
            <w:pPr>
              <w:ind w:left="20"/>
              <w:spacing w:after="0"/>
              <w:rPr>
                <w:sz w:val="20"/>
                <w:szCs w:val="20"/>
                <w:color w:val="auto"/>
              </w:rPr>
            </w:pPr>
            <w:r>
              <w:rPr>
                <w:rFonts w:ascii="Arial" w:cs="Arial" w:eastAsia="Arial" w:hAnsi="Arial"/>
                <w:sz w:val="12"/>
                <w:szCs w:val="12"/>
                <w:b w:val="1"/>
                <w:bCs w:val="1"/>
                <w:color w:val="3C9673"/>
              </w:rPr>
              <w:t>5% shareholders</w:t>
            </w:r>
          </w:p>
        </w:tc>
        <w:tc>
          <w:tcPr>
            <w:tcW w:w="3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20" w:type="dxa"/>
            <w:vAlign w:val="bottom"/>
            <w:vMerge w:val="restart"/>
          </w:tcPr>
          <w:p>
            <w:pPr>
              <w:ind w:left="20"/>
              <w:spacing w:after="0"/>
              <w:rPr>
                <w:sz w:val="20"/>
                <w:szCs w:val="20"/>
                <w:color w:val="auto"/>
              </w:rPr>
            </w:pPr>
            <w:r>
              <w:rPr>
                <w:rFonts w:ascii="Arial" w:cs="Arial" w:eastAsia="Arial" w:hAnsi="Arial"/>
                <w:sz w:val="12"/>
                <w:szCs w:val="12"/>
                <w:color w:val="005A64"/>
                <w:w w:val="97"/>
              </w:rPr>
              <w:t>AT Impf GmbH</w:t>
            </w:r>
          </w:p>
        </w:tc>
        <w:tc>
          <w:tcPr>
            <w:tcW w:w="440" w:type="dxa"/>
            <w:vAlign w:val="bottom"/>
          </w:tcPr>
          <w:p>
            <w:pPr>
              <w:jc w:val="right"/>
              <w:ind w:right="300"/>
              <w:spacing w:after="0"/>
              <w:rPr>
                <w:sz w:val="20"/>
                <w:szCs w:val="20"/>
                <w:color w:val="auto"/>
              </w:rPr>
            </w:pPr>
            <w:r>
              <w:rPr>
                <w:rFonts w:ascii="Arial" w:cs="Arial" w:eastAsia="Arial" w:hAnsi="Arial"/>
                <w:sz w:val="8"/>
                <w:szCs w:val="8"/>
                <w:color w:val="005A64"/>
                <w:w w:val="81"/>
              </w:rPr>
              <w:t>(1)</w:t>
            </w:r>
          </w:p>
        </w:tc>
        <w:tc>
          <w:tcPr>
            <w:tcW w:w="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color w:val="005A64"/>
              </w:rPr>
              <w:t>101,852,563</w:t>
            </w:r>
          </w:p>
        </w:tc>
        <w:tc>
          <w:tcPr>
            <w:tcW w:w="1140" w:type="dxa"/>
            <w:vAlign w:val="bottom"/>
            <w:gridSpan w:val="2"/>
          </w:tcPr>
          <w:p>
            <w:pPr>
              <w:ind w:left="60"/>
              <w:spacing w:after="0"/>
              <w:rPr>
                <w:sz w:val="20"/>
                <w:szCs w:val="20"/>
                <w:color w:val="auto"/>
              </w:rPr>
            </w:pPr>
            <w:r>
              <w:rPr>
                <w:rFonts w:ascii="Arial" w:cs="Arial" w:eastAsia="Arial" w:hAnsi="Arial"/>
                <w:sz w:val="12"/>
                <w:szCs w:val="12"/>
                <w:color w:val="005A64"/>
              </w:rPr>
              <w:t>42.4%</w:t>
            </w:r>
          </w:p>
        </w:tc>
        <w:tc>
          <w:tcPr>
            <w:tcW w:w="0" w:type="dxa"/>
            <w:vAlign w:val="bottom"/>
          </w:tcPr>
          <w:p>
            <w:pPr>
              <w:spacing w:after="0"/>
              <w:rPr>
                <w:sz w:val="1"/>
                <w:szCs w:val="1"/>
                <w:color w:val="auto"/>
              </w:rPr>
            </w:pPr>
          </w:p>
        </w:tc>
      </w:tr>
      <w:tr>
        <w:trPr>
          <w:trHeight w:val="51"/>
        </w:trPr>
        <w:tc>
          <w:tcPr>
            <w:tcW w:w="8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color w:val="005A64"/>
              </w:rPr>
              <w:t>40,432,177</w:t>
            </w:r>
          </w:p>
        </w:tc>
        <w:tc>
          <w:tcPr>
            <w:tcW w:w="1140" w:type="dxa"/>
            <w:vAlign w:val="bottom"/>
            <w:gridSpan w:val="2"/>
            <w:vMerge w:val="restart"/>
          </w:tcPr>
          <w:p>
            <w:pPr>
              <w:ind w:left="60"/>
              <w:spacing w:after="0"/>
              <w:rPr>
                <w:sz w:val="20"/>
                <w:szCs w:val="20"/>
                <w:color w:val="auto"/>
              </w:rPr>
            </w:pPr>
            <w:r>
              <w:rPr>
                <w:rFonts w:ascii="Arial" w:cs="Arial" w:eastAsia="Arial" w:hAnsi="Arial"/>
                <w:sz w:val="12"/>
                <w:szCs w:val="12"/>
                <w:color w:val="005A64"/>
              </w:rPr>
              <w:t>16.9%</w:t>
            </w:r>
          </w:p>
        </w:tc>
        <w:tc>
          <w:tcPr>
            <w:tcW w:w="0" w:type="dxa"/>
            <w:vAlign w:val="bottom"/>
          </w:tcPr>
          <w:p>
            <w:pPr>
              <w:spacing w:after="0"/>
              <w:rPr>
                <w:sz w:val="1"/>
                <w:szCs w:val="1"/>
                <w:color w:val="auto"/>
              </w:rPr>
            </w:pPr>
          </w:p>
        </w:tc>
      </w:tr>
      <w:tr>
        <w:trPr>
          <w:trHeight w:val="152"/>
        </w:trPr>
        <w:tc>
          <w:tcPr>
            <w:tcW w:w="820" w:type="dxa"/>
            <w:vAlign w:val="bottom"/>
            <w:vMerge w:val="restart"/>
          </w:tcPr>
          <w:p>
            <w:pPr>
              <w:ind w:left="20"/>
              <w:spacing w:after="0"/>
              <w:rPr>
                <w:sz w:val="20"/>
                <w:szCs w:val="20"/>
                <w:color w:val="auto"/>
              </w:rPr>
            </w:pPr>
            <w:r>
              <w:rPr>
                <w:rFonts w:ascii="Arial" w:cs="Arial" w:eastAsia="Arial" w:hAnsi="Arial"/>
                <w:sz w:val="12"/>
                <w:szCs w:val="12"/>
                <w:color w:val="005A64"/>
              </w:rPr>
              <w:t>Medine GmbH</w:t>
            </w:r>
          </w:p>
        </w:tc>
        <w:tc>
          <w:tcPr>
            <w:tcW w:w="440" w:type="dxa"/>
            <w:vAlign w:val="bottom"/>
          </w:tcPr>
          <w:p>
            <w:pPr>
              <w:jc w:val="right"/>
              <w:ind w:right="280"/>
              <w:spacing w:after="0"/>
              <w:rPr>
                <w:sz w:val="20"/>
                <w:szCs w:val="20"/>
                <w:color w:val="auto"/>
              </w:rPr>
            </w:pPr>
            <w:r>
              <w:rPr>
                <w:rFonts w:ascii="Arial" w:cs="Arial" w:eastAsia="Arial" w:hAnsi="Arial"/>
                <w:sz w:val="8"/>
                <w:szCs w:val="8"/>
                <w:color w:val="005A64"/>
              </w:rPr>
              <w:t>(2)</w:t>
            </w:r>
          </w:p>
        </w:tc>
        <w:tc>
          <w:tcPr>
            <w:tcW w:w="3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82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4420" w:type="dxa"/>
            <w:vAlign w:val="bottom"/>
            <w:gridSpan w:val="4"/>
          </w:tcPr>
          <w:p>
            <w:pPr>
              <w:ind w:left="20"/>
              <w:spacing w:after="0"/>
              <w:rPr>
                <w:sz w:val="20"/>
                <w:szCs w:val="20"/>
                <w:color w:val="auto"/>
              </w:rPr>
            </w:pPr>
            <w:r>
              <w:rPr>
                <w:rFonts w:ascii="Arial" w:cs="Arial" w:eastAsia="Arial" w:hAnsi="Arial"/>
                <w:sz w:val="12"/>
                <w:szCs w:val="12"/>
                <w:b w:val="1"/>
                <w:bCs w:val="1"/>
                <w:color w:val="005A64"/>
              </w:rPr>
              <w:t>All 5% shareholders, as a group</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005A64"/>
              </w:rPr>
              <w:t>142,284,740</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005A64"/>
              </w:rPr>
              <w:t>59.3%</w:t>
            </w:r>
          </w:p>
        </w:tc>
        <w:tc>
          <w:tcPr>
            <w:tcW w:w="0" w:type="dxa"/>
            <w:vAlign w:val="bottom"/>
          </w:tcPr>
          <w:p>
            <w:pPr>
              <w:spacing w:after="0"/>
              <w:rPr>
                <w:sz w:val="1"/>
                <w:szCs w:val="1"/>
                <w:color w:val="auto"/>
              </w:rPr>
            </w:pPr>
          </w:p>
        </w:tc>
      </w:tr>
      <w:tr>
        <w:trPr>
          <w:trHeight w:val="47"/>
        </w:trPr>
        <w:tc>
          <w:tcPr>
            <w:tcW w:w="4420" w:type="dxa"/>
            <w:vAlign w:val="bottom"/>
            <w:tcBorders>
              <w:bottom w:val="single" w:sz="8" w:color="005A64"/>
            </w:tcBorders>
            <w:gridSpan w:val="4"/>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420" w:type="dxa"/>
            <w:vAlign w:val="bottom"/>
            <w:gridSpan w:val="4"/>
          </w:tcPr>
          <w:p>
            <w:pPr>
              <w:ind w:left="20"/>
              <w:spacing w:after="0"/>
              <w:rPr>
                <w:sz w:val="20"/>
                <w:szCs w:val="20"/>
                <w:color w:val="auto"/>
              </w:rPr>
            </w:pPr>
            <w:r>
              <w:rPr>
                <w:rFonts w:ascii="Arial" w:cs="Arial" w:eastAsia="Arial" w:hAnsi="Arial"/>
                <w:sz w:val="12"/>
                <w:szCs w:val="12"/>
                <w:b w:val="1"/>
                <w:bCs w:val="1"/>
                <w:color w:val="3C9673"/>
              </w:rPr>
              <w:t>Members of the Supervisory Board and the Management Board</w:t>
            </w: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60" w:type="dxa"/>
            <w:vAlign w:val="bottom"/>
            <w:gridSpan w:val="2"/>
            <w:vMerge w:val="restart"/>
          </w:tcPr>
          <w:p>
            <w:pPr>
              <w:ind w:left="20"/>
              <w:spacing w:after="0"/>
              <w:rPr>
                <w:sz w:val="20"/>
                <w:szCs w:val="20"/>
                <w:color w:val="auto"/>
              </w:rPr>
            </w:pPr>
            <w:r>
              <w:rPr>
                <w:rFonts w:ascii="Arial" w:cs="Arial" w:eastAsia="Arial" w:hAnsi="Arial"/>
                <w:sz w:val="12"/>
                <w:szCs w:val="12"/>
                <w:color w:val="005A64"/>
              </w:rPr>
              <w:t>Prof. Ugur Sahin, M.D.</w:t>
            </w:r>
          </w:p>
        </w:tc>
        <w:tc>
          <w:tcPr>
            <w:tcW w:w="300" w:type="dxa"/>
            <w:vAlign w:val="bottom"/>
          </w:tcPr>
          <w:p>
            <w:pPr>
              <w:jc w:val="right"/>
              <w:ind w:right="160"/>
              <w:spacing w:after="0"/>
              <w:rPr>
                <w:sz w:val="20"/>
                <w:szCs w:val="20"/>
                <w:color w:val="auto"/>
              </w:rPr>
            </w:pPr>
            <w:r>
              <w:rPr>
                <w:rFonts w:ascii="Arial" w:cs="Arial" w:eastAsia="Arial" w:hAnsi="Arial"/>
                <w:sz w:val="8"/>
                <w:szCs w:val="8"/>
                <w:color w:val="005A64"/>
                <w:w w:val="81"/>
              </w:rPr>
              <w:t>(3)</w:t>
            </w:r>
          </w:p>
        </w:tc>
        <w:tc>
          <w:tcPr>
            <w:tcW w:w="286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color w:val="005A64"/>
              </w:rPr>
              <w:t>43,207,014</w:t>
            </w:r>
          </w:p>
        </w:tc>
        <w:tc>
          <w:tcPr>
            <w:tcW w:w="1140" w:type="dxa"/>
            <w:vAlign w:val="bottom"/>
            <w:gridSpan w:val="2"/>
          </w:tcPr>
          <w:p>
            <w:pPr>
              <w:ind w:left="60"/>
              <w:spacing w:after="0"/>
              <w:rPr>
                <w:sz w:val="20"/>
                <w:szCs w:val="20"/>
                <w:color w:val="auto"/>
              </w:rPr>
            </w:pPr>
            <w:r>
              <w:rPr>
                <w:rFonts w:ascii="Arial" w:cs="Arial" w:eastAsia="Arial" w:hAnsi="Arial"/>
                <w:sz w:val="12"/>
                <w:szCs w:val="12"/>
                <w:color w:val="005A64"/>
              </w:rPr>
              <w:t>18.0%</w:t>
            </w:r>
          </w:p>
        </w:tc>
        <w:tc>
          <w:tcPr>
            <w:tcW w:w="0" w:type="dxa"/>
            <w:vAlign w:val="bottom"/>
          </w:tcPr>
          <w:p>
            <w:pPr>
              <w:spacing w:after="0"/>
              <w:rPr>
                <w:sz w:val="1"/>
                <w:szCs w:val="1"/>
                <w:color w:val="auto"/>
              </w:rPr>
            </w:pPr>
          </w:p>
        </w:tc>
      </w:tr>
      <w:tr>
        <w:trPr>
          <w:trHeight w:val="42"/>
        </w:trPr>
        <w:tc>
          <w:tcPr>
            <w:tcW w:w="12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260" w:type="dxa"/>
            <w:vAlign w:val="bottom"/>
            <w:gridSpan w:val="2"/>
          </w:tcPr>
          <w:p>
            <w:pPr>
              <w:ind w:left="20"/>
              <w:spacing w:after="0"/>
              <w:rPr>
                <w:sz w:val="20"/>
                <w:szCs w:val="20"/>
                <w:color w:val="auto"/>
              </w:rPr>
            </w:pPr>
            <w:r>
              <w:rPr>
                <w:rFonts w:ascii="Arial" w:cs="Arial" w:eastAsia="Arial" w:hAnsi="Arial"/>
                <w:sz w:val="12"/>
                <w:szCs w:val="12"/>
                <w:color w:val="005A64"/>
              </w:rPr>
              <w:t>Annemarie Hanekamp</w:t>
            </w:r>
          </w:p>
        </w:tc>
        <w:tc>
          <w:tcPr>
            <w:tcW w:w="3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20"/>
                <w:szCs w:val="20"/>
                <w:color w:val="auto"/>
              </w:rPr>
            </w:pPr>
            <w:r>
              <w:rPr>
                <w:rFonts w:ascii="Arial" w:cs="Arial" w:eastAsia="Arial" w:hAnsi="Arial"/>
                <w:sz w:val="12"/>
                <w:szCs w:val="12"/>
                <w:color w:val="005A64"/>
              </w:rPr>
              <w:t>—</w:t>
            </w:r>
          </w:p>
        </w:tc>
        <w:tc>
          <w:tcPr>
            <w:tcW w:w="40" w:type="dxa"/>
            <w:vAlign w:val="bottom"/>
          </w:tcPr>
          <w:p>
            <w:pPr>
              <w:spacing w:after="0"/>
              <w:rPr>
                <w:sz w:val="13"/>
                <w:szCs w:val="13"/>
                <w:color w:val="auto"/>
              </w:rPr>
            </w:pPr>
          </w:p>
        </w:tc>
        <w:tc>
          <w:tcPr>
            <w:tcW w:w="1100" w:type="dxa"/>
            <w:vAlign w:val="bottom"/>
          </w:tcPr>
          <w:p>
            <w:pPr>
              <w:ind w:left="20"/>
              <w:spacing w:after="0"/>
              <w:rPr>
                <w:sz w:val="20"/>
                <w:szCs w:val="20"/>
                <w:color w:val="auto"/>
              </w:rPr>
            </w:pPr>
            <w:r>
              <w:rPr>
                <w:rFonts w:ascii="Arial" w:cs="Arial" w:eastAsia="Arial" w:hAnsi="Arial"/>
                <w:sz w:val="12"/>
                <w:szCs w:val="12"/>
                <w:color w:val="005A64"/>
              </w:rPr>
              <w:t>—</w:t>
            </w:r>
          </w:p>
        </w:tc>
        <w:tc>
          <w:tcPr>
            <w:tcW w:w="0" w:type="dxa"/>
            <w:vAlign w:val="bottom"/>
          </w:tcPr>
          <w:p>
            <w:pPr>
              <w:spacing w:after="0"/>
              <w:rPr>
                <w:sz w:val="1"/>
                <w:szCs w:val="1"/>
                <w:color w:val="auto"/>
              </w:rPr>
            </w:pPr>
          </w:p>
        </w:tc>
      </w:tr>
      <w:tr>
        <w:trPr>
          <w:trHeight w:val="202"/>
        </w:trPr>
        <w:tc>
          <w:tcPr>
            <w:tcW w:w="820" w:type="dxa"/>
            <w:vAlign w:val="bottom"/>
          </w:tcPr>
          <w:p>
            <w:pPr>
              <w:ind w:left="20"/>
              <w:spacing w:after="0"/>
              <w:rPr>
                <w:sz w:val="20"/>
                <w:szCs w:val="20"/>
                <w:color w:val="auto"/>
              </w:rPr>
            </w:pPr>
            <w:r>
              <w:rPr>
                <w:rFonts w:ascii="Arial" w:cs="Arial" w:eastAsia="Arial" w:hAnsi="Arial"/>
                <w:sz w:val="12"/>
                <w:szCs w:val="12"/>
                <w:color w:val="005A64"/>
              </w:rPr>
              <w:t>Jens Holstein</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color w:val="005A64"/>
              </w:rPr>
              <w:t>1,620</w:t>
            </w:r>
          </w:p>
        </w:tc>
        <w:tc>
          <w:tcPr>
            <w:tcW w:w="1140" w:type="dxa"/>
            <w:vAlign w:val="bottom"/>
            <w:gridSpan w:val="2"/>
          </w:tcPr>
          <w:p>
            <w:pPr>
              <w:ind w:left="60"/>
              <w:spacing w:after="0"/>
              <w:rPr>
                <w:sz w:val="20"/>
                <w:szCs w:val="20"/>
                <w:color w:val="auto"/>
              </w:rPr>
            </w:pPr>
            <w:r>
              <w:rPr>
                <w:rFonts w:ascii="Arial" w:cs="Arial" w:eastAsia="Arial" w:hAnsi="Arial"/>
                <w:sz w:val="8"/>
                <w:szCs w:val="8"/>
                <w:color w:val="005A64"/>
              </w:rPr>
              <w:t>(8)</w:t>
            </w:r>
          </w:p>
        </w:tc>
        <w:tc>
          <w:tcPr>
            <w:tcW w:w="0" w:type="dxa"/>
            <w:vAlign w:val="bottom"/>
          </w:tcPr>
          <w:p>
            <w:pPr>
              <w:spacing w:after="0"/>
              <w:rPr>
                <w:sz w:val="1"/>
                <w:szCs w:val="1"/>
                <w:color w:val="auto"/>
              </w:rPr>
            </w:pPr>
          </w:p>
        </w:tc>
      </w:tr>
      <w:tr>
        <w:trPr>
          <w:trHeight w:val="164"/>
        </w:trPr>
        <w:tc>
          <w:tcPr>
            <w:tcW w:w="8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005A64"/>
              </w:rPr>
              <w:t>(4)</w:t>
            </w:r>
          </w:p>
        </w:tc>
        <w:tc>
          <w:tcPr>
            <w:tcW w:w="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color w:val="005A64"/>
              </w:rPr>
              <w:t>767,539</w:t>
            </w:r>
          </w:p>
        </w:tc>
        <w:tc>
          <w:tcPr>
            <w:tcW w:w="1140" w:type="dxa"/>
            <w:vAlign w:val="bottom"/>
            <w:gridSpan w:val="2"/>
          </w:tcPr>
          <w:p>
            <w:pPr>
              <w:ind w:left="60"/>
              <w:spacing w:after="0"/>
              <w:rPr>
                <w:sz w:val="20"/>
                <w:szCs w:val="20"/>
                <w:color w:val="auto"/>
              </w:rPr>
            </w:pPr>
            <w:r>
              <w:rPr>
                <w:rFonts w:ascii="Arial" w:cs="Arial" w:eastAsia="Arial" w:hAnsi="Arial"/>
                <w:sz w:val="8"/>
                <w:szCs w:val="8"/>
                <w:color w:val="005A64"/>
              </w:rPr>
              <w:t>(8)</w:t>
            </w:r>
          </w:p>
        </w:tc>
        <w:tc>
          <w:tcPr>
            <w:tcW w:w="0" w:type="dxa"/>
            <w:vAlign w:val="bottom"/>
          </w:tcPr>
          <w:p>
            <w:pPr>
              <w:spacing w:after="0"/>
              <w:rPr>
                <w:sz w:val="1"/>
                <w:szCs w:val="1"/>
                <w:color w:val="auto"/>
              </w:rPr>
            </w:pPr>
          </w:p>
        </w:tc>
      </w:tr>
      <w:tr>
        <w:trPr>
          <w:trHeight w:val="80"/>
        </w:trPr>
        <w:tc>
          <w:tcPr>
            <w:tcW w:w="1260" w:type="dxa"/>
            <w:vAlign w:val="bottom"/>
            <w:gridSpan w:val="2"/>
          </w:tcPr>
          <w:p>
            <w:pPr>
              <w:ind w:left="20"/>
              <w:spacing w:after="0" w:line="81" w:lineRule="exact"/>
              <w:rPr>
                <w:sz w:val="20"/>
                <w:szCs w:val="20"/>
                <w:color w:val="auto"/>
              </w:rPr>
            </w:pPr>
            <w:r>
              <w:rPr>
                <w:rFonts w:ascii="Arial" w:cs="Arial" w:eastAsia="Arial" w:hAnsi="Arial"/>
                <w:sz w:val="9"/>
                <w:szCs w:val="9"/>
                <w:color w:val="005A64"/>
              </w:rPr>
              <w:t>Sierk Poetting, Ph.D.</w:t>
            </w:r>
          </w:p>
        </w:tc>
        <w:tc>
          <w:tcPr>
            <w:tcW w:w="300" w:type="dxa"/>
            <w:vAlign w:val="bottom"/>
          </w:tcPr>
          <w:p>
            <w:pPr>
              <w:spacing w:after="0"/>
              <w:rPr>
                <w:sz w:val="6"/>
                <w:szCs w:val="6"/>
                <w:color w:val="auto"/>
              </w:rPr>
            </w:pPr>
          </w:p>
        </w:tc>
        <w:tc>
          <w:tcPr>
            <w:tcW w:w="2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1260" w:type="dxa"/>
            <w:vAlign w:val="bottom"/>
            <w:gridSpan w:val="2"/>
          </w:tcPr>
          <w:p>
            <w:pPr>
              <w:ind w:left="20"/>
              <w:spacing w:after="0"/>
              <w:rPr>
                <w:sz w:val="20"/>
                <w:szCs w:val="20"/>
                <w:color w:val="auto"/>
              </w:rPr>
            </w:pPr>
            <w:r>
              <w:rPr>
                <w:rFonts w:ascii="Arial" w:cs="Arial" w:eastAsia="Arial" w:hAnsi="Arial"/>
                <w:sz w:val="12"/>
                <w:szCs w:val="12"/>
                <w:color w:val="005A64"/>
              </w:rPr>
              <w:t>Ryan Richardson</w:t>
            </w:r>
          </w:p>
        </w:tc>
        <w:tc>
          <w:tcPr>
            <w:tcW w:w="3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color w:val="005A64"/>
              </w:rPr>
              <w:t>26,548</w:t>
            </w:r>
          </w:p>
        </w:tc>
        <w:tc>
          <w:tcPr>
            <w:tcW w:w="1140" w:type="dxa"/>
            <w:vAlign w:val="bottom"/>
            <w:gridSpan w:val="2"/>
          </w:tcPr>
          <w:p>
            <w:pPr>
              <w:ind w:left="60"/>
              <w:spacing w:after="0"/>
              <w:rPr>
                <w:sz w:val="20"/>
                <w:szCs w:val="20"/>
                <w:color w:val="auto"/>
              </w:rPr>
            </w:pPr>
            <w:r>
              <w:rPr>
                <w:rFonts w:ascii="Arial" w:cs="Arial" w:eastAsia="Arial" w:hAnsi="Arial"/>
                <w:sz w:val="8"/>
                <w:szCs w:val="8"/>
                <w:color w:val="005A64"/>
              </w:rPr>
              <w:t>(8)</w:t>
            </w:r>
          </w:p>
        </w:tc>
        <w:tc>
          <w:tcPr>
            <w:tcW w:w="0" w:type="dxa"/>
            <w:vAlign w:val="bottom"/>
          </w:tcPr>
          <w:p>
            <w:pPr>
              <w:spacing w:after="0"/>
              <w:rPr>
                <w:sz w:val="1"/>
                <w:szCs w:val="1"/>
                <w:color w:val="auto"/>
              </w:rPr>
            </w:pPr>
          </w:p>
        </w:tc>
      </w:tr>
      <w:tr>
        <w:trPr>
          <w:trHeight w:val="222"/>
        </w:trPr>
        <w:tc>
          <w:tcPr>
            <w:tcW w:w="1260" w:type="dxa"/>
            <w:vAlign w:val="bottom"/>
            <w:gridSpan w:val="2"/>
          </w:tcPr>
          <w:p>
            <w:pPr>
              <w:ind w:left="20"/>
              <w:spacing w:after="0"/>
              <w:rPr>
                <w:sz w:val="20"/>
                <w:szCs w:val="20"/>
                <w:color w:val="auto"/>
              </w:rPr>
            </w:pPr>
            <w:r>
              <w:rPr>
                <w:rFonts w:ascii="Arial" w:cs="Arial" w:eastAsia="Arial" w:hAnsi="Arial"/>
                <w:sz w:val="12"/>
                <w:szCs w:val="12"/>
                <w:color w:val="005A64"/>
              </w:rPr>
              <w:t>James Ryan, Ph.D.</w:t>
            </w:r>
          </w:p>
        </w:tc>
        <w:tc>
          <w:tcPr>
            <w:tcW w:w="3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color w:val="005A64"/>
              </w:rPr>
              <w:t>790</w:t>
            </w:r>
          </w:p>
        </w:tc>
        <w:tc>
          <w:tcPr>
            <w:tcW w:w="4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2"/>
                <w:szCs w:val="12"/>
                <w:color w:val="005A64"/>
              </w:rPr>
              <w:t>—</w:t>
            </w:r>
          </w:p>
        </w:tc>
        <w:tc>
          <w:tcPr>
            <w:tcW w:w="0" w:type="dxa"/>
            <w:vAlign w:val="bottom"/>
          </w:tcPr>
          <w:p>
            <w:pPr>
              <w:spacing w:after="0"/>
              <w:rPr>
                <w:sz w:val="1"/>
                <w:szCs w:val="1"/>
                <w:color w:val="auto"/>
              </w:rPr>
            </w:pPr>
          </w:p>
        </w:tc>
      </w:tr>
      <w:tr>
        <w:trPr>
          <w:trHeight w:val="202"/>
        </w:trPr>
        <w:tc>
          <w:tcPr>
            <w:tcW w:w="1560" w:type="dxa"/>
            <w:vAlign w:val="bottom"/>
            <w:gridSpan w:val="3"/>
          </w:tcPr>
          <w:p>
            <w:pPr>
              <w:ind w:left="20"/>
              <w:spacing w:after="0"/>
              <w:rPr>
                <w:sz w:val="20"/>
                <w:szCs w:val="20"/>
                <w:color w:val="auto"/>
              </w:rPr>
            </w:pPr>
            <w:r>
              <w:rPr>
                <w:rFonts w:ascii="Arial" w:cs="Arial" w:eastAsia="Arial" w:hAnsi="Arial"/>
                <w:sz w:val="12"/>
                <w:szCs w:val="12"/>
                <w:color w:val="005A64"/>
              </w:rPr>
              <w:t>Prof. Özlem Türeci, M.D.</w:t>
            </w:r>
          </w:p>
        </w:tc>
        <w:tc>
          <w:tcPr>
            <w:tcW w:w="286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color w:val="005A64"/>
              </w:rPr>
              <w:t>786,999</w:t>
            </w:r>
          </w:p>
        </w:tc>
        <w:tc>
          <w:tcPr>
            <w:tcW w:w="1140" w:type="dxa"/>
            <w:vAlign w:val="bottom"/>
            <w:gridSpan w:val="2"/>
          </w:tcPr>
          <w:p>
            <w:pPr>
              <w:ind w:left="60"/>
              <w:spacing w:after="0"/>
              <w:rPr>
                <w:sz w:val="20"/>
                <w:szCs w:val="20"/>
                <w:color w:val="auto"/>
              </w:rPr>
            </w:pPr>
            <w:r>
              <w:rPr>
                <w:rFonts w:ascii="Arial" w:cs="Arial" w:eastAsia="Arial" w:hAnsi="Arial"/>
                <w:sz w:val="8"/>
                <w:szCs w:val="8"/>
                <w:color w:val="005A64"/>
              </w:rPr>
              <w:t>(8)</w:t>
            </w:r>
          </w:p>
        </w:tc>
        <w:tc>
          <w:tcPr>
            <w:tcW w:w="0" w:type="dxa"/>
            <w:vAlign w:val="bottom"/>
          </w:tcPr>
          <w:p>
            <w:pPr>
              <w:spacing w:after="0"/>
              <w:rPr>
                <w:sz w:val="1"/>
                <w:szCs w:val="1"/>
                <w:color w:val="auto"/>
              </w:rPr>
            </w:pPr>
          </w:p>
        </w:tc>
      </w:tr>
      <w:tr>
        <w:trPr>
          <w:trHeight w:val="222"/>
        </w:trPr>
        <w:tc>
          <w:tcPr>
            <w:tcW w:w="820" w:type="dxa"/>
            <w:vAlign w:val="bottom"/>
            <w:vMerge w:val="restart"/>
          </w:tcPr>
          <w:p>
            <w:pPr>
              <w:ind w:left="20"/>
              <w:spacing w:after="0"/>
              <w:rPr>
                <w:sz w:val="20"/>
                <w:szCs w:val="20"/>
                <w:color w:val="auto"/>
              </w:rPr>
            </w:pPr>
            <w:r>
              <w:rPr>
                <w:rFonts w:ascii="Arial" w:cs="Arial" w:eastAsia="Arial" w:hAnsi="Arial"/>
                <w:sz w:val="12"/>
                <w:szCs w:val="12"/>
                <w:color w:val="005A64"/>
              </w:rPr>
              <w:t>Helmut Jeggle</w:t>
            </w:r>
          </w:p>
        </w:tc>
        <w:tc>
          <w:tcPr>
            <w:tcW w:w="440" w:type="dxa"/>
            <w:vAlign w:val="bottom"/>
          </w:tcPr>
          <w:p>
            <w:pPr>
              <w:jc w:val="right"/>
              <w:ind w:right="300"/>
              <w:spacing w:after="0"/>
              <w:rPr>
                <w:sz w:val="20"/>
                <w:szCs w:val="20"/>
                <w:color w:val="auto"/>
              </w:rPr>
            </w:pPr>
            <w:r>
              <w:rPr>
                <w:rFonts w:ascii="Arial" w:cs="Arial" w:eastAsia="Arial" w:hAnsi="Arial"/>
                <w:sz w:val="8"/>
                <w:szCs w:val="8"/>
                <w:color w:val="005A64"/>
                <w:w w:val="81"/>
              </w:rPr>
              <w:t>(5)</w:t>
            </w:r>
          </w:p>
        </w:tc>
        <w:tc>
          <w:tcPr>
            <w:tcW w:w="3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color w:val="005A64"/>
              </w:rPr>
              <w:t>1,425,967</w:t>
            </w:r>
          </w:p>
        </w:tc>
        <w:tc>
          <w:tcPr>
            <w:tcW w:w="1140" w:type="dxa"/>
            <w:vAlign w:val="bottom"/>
            <w:gridSpan w:val="2"/>
          </w:tcPr>
          <w:p>
            <w:pPr>
              <w:ind w:left="60"/>
              <w:spacing w:after="0"/>
              <w:rPr>
                <w:sz w:val="20"/>
                <w:szCs w:val="20"/>
                <w:color w:val="auto"/>
              </w:rPr>
            </w:pPr>
            <w:r>
              <w:rPr>
                <w:rFonts w:ascii="Arial" w:cs="Arial" w:eastAsia="Arial" w:hAnsi="Arial"/>
                <w:sz w:val="8"/>
                <w:szCs w:val="8"/>
                <w:color w:val="005A64"/>
              </w:rPr>
              <w:t>(8)</w:t>
            </w:r>
          </w:p>
        </w:tc>
        <w:tc>
          <w:tcPr>
            <w:tcW w:w="0" w:type="dxa"/>
            <w:vAlign w:val="bottom"/>
          </w:tcPr>
          <w:p>
            <w:pPr>
              <w:spacing w:after="0"/>
              <w:rPr>
                <w:sz w:val="1"/>
                <w:szCs w:val="1"/>
                <w:color w:val="auto"/>
              </w:rPr>
            </w:pPr>
          </w:p>
        </w:tc>
      </w:tr>
      <w:tr>
        <w:trPr>
          <w:trHeight w:val="51"/>
        </w:trPr>
        <w:tc>
          <w:tcPr>
            <w:tcW w:w="8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color w:val="005A64"/>
              </w:rPr>
              <w:t>1,480</w:t>
            </w: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1560" w:type="dxa"/>
            <w:vAlign w:val="bottom"/>
            <w:gridSpan w:val="3"/>
            <w:vMerge w:val="restart"/>
          </w:tcPr>
          <w:p>
            <w:pPr>
              <w:ind w:left="20"/>
              <w:spacing w:after="0"/>
              <w:rPr>
                <w:sz w:val="20"/>
                <w:szCs w:val="20"/>
                <w:color w:val="auto"/>
              </w:rPr>
            </w:pPr>
            <w:r>
              <w:rPr>
                <w:rFonts w:ascii="Arial" w:cs="Arial" w:eastAsia="Arial" w:hAnsi="Arial"/>
                <w:sz w:val="12"/>
                <w:szCs w:val="12"/>
                <w:color w:val="005A64"/>
                <w:w w:val="98"/>
              </w:rPr>
              <w:t>Ulrich Wandschneider, Ph.D.</w:t>
            </w:r>
          </w:p>
        </w:tc>
        <w:tc>
          <w:tcPr>
            <w:tcW w:w="2860" w:type="dxa"/>
            <w:vAlign w:val="bottom"/>
          </w:tcPr>
          <w:p>
            <w:pPr>
              <w:jc w:val="right"/>
              <w:ind w:right="2720"/>
              <w:spacing w:after="0"/>
              <w:rPr>
                <w:sz w:val="20"/>
                <w:szCs w:val="20"/>
                <w:color w:val="auto"/>
              </w:rPr>
            </w:pPr>
            <w:r>
              <w:rPr>
                <w:rFonts w:ascii="Arial" w:cs="Arial" w:eastAsia="Arial" w:hAnsi="Arial"/>
                <w:sz w:val="8"/>
                <w:szCs w:val="8"/>
                <w:color w:val="005A64"/>
                <w:w w:val="81"/>
              </w:rPr>
              <w:t>(6)</w:t>
            </w:r>
          </w:p>
        </w:tc>
        <w:tc>
          <w:tcPr>
            <w:tcW w:w="1160" w:type="dxa"/>
            <w:vAlign w:val="bottom"/>
            <w:gridSpan w:val="2"/>
            <w:vMerge w:val="continue"/>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8"/>
                <w:szCs w:val="8"/>
                <w:color w:val="005A64"/>
              </w:rPr>
              <w:t>(8)</w:t>
            </w:r>
          </w:p>
        </w:tc>
        <w:tc>
          <w:tcPr>
            <w:tcW w:w="0" w:type="dxa"/>
            <w:vAlign w:val="bottom"/>
          </w:tcPr>
          <w:p>
            <w:pPr>
              <w:spacing w:after="0"/>
              <w:rPr>
                <w:sz w:val="1"/>
                <w:szCs w:val="1"/>
                <w:color w:val="auto"/>
              </w:rPr>
            </w:pPr>
          </w:p>
        </w:tc>
      </w:tr>
      <w:tr>
        <w:trPr>
          <w:trHeight w:val="51"/>
        </w:trPr>
        <w:tc>
          <w:tcPr>
            <w:tcW w:w="1560" w:type="dxa"/>
            <w:vAlign w:val="bottom"/>
            <w:gridSpan w:val="3"/>
            <w:vMerge w:val="continue"/>
          </w:tcPr>
          <w:p>
            <w:pPr>
              <w:spacing w:after="0"/>
              <w:rPr>
                <w:sz w:val="4"/>
                <w:szCs w:val="4"/>
                <w:color w:val="auto"/>
              </w:rPr>
            </w:pPr>
          </w:p>
        </w:tc>
        <w:tc>
          <w:tcPr>
            <w:tcW w:w="2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1560" w:type="dxa"/>
            <w:vAlign w:val="bottom"/>
            <w:gridSpan w:val="3"/>
          </w:tcPr>
          <w:p>
            <w:pPr>
              <w:ind w:left="20"/>
              <w:spacing w:after="0"/>
              <w:rPr>
                <w:sz w:val="20"/>
                <w:szCs w:val="20"/>
                <w:color w:val="auto"/>
              </w:rPr>
            </w:pPr>
            <w:r>
              <w:rPr>
                <w:rFonts w:ascii="Arial" w:cs="Arial" w:eastAsia="Arial" w:hAnsi="Arial"/>
                <w:sz w:val="12"/>
                <w:szCs w:val="12"/>
                <w:color w:val="005A64"/>
              </w:rPr>
              <w:t>Baroness Nicola Blackwood</w:t>
            </w:r>
          </w:p>
        </w:tc>
        <w:tc>
          <w:tcPr>
            <w:tcW w:w="2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2"/>
                <w:szCs w:val="12"/>
                <w:color w:val="005A64"/>
              </w:rPr>
              <w:t>—</w:t>
            </w:r>
          </w:p>
        </w:tc>
        <w:tc>
          <w:tcPr>
            <w:tcW w:w="4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2"/>
                <w:szCs w:val="12"/>
                <w:color w:val="005A64"/>
              </w:rPr>
              <w:t>—</w:t>
            </w:r>
          </w:p>
        </w:tc>
        <w:tc>
          <w:tcPr>
            <w:tcW w:w="0" w:type="dxa"/>
            <w:vAlign w:val="bottom"/>
          </w:tcPr>
          <w:p>
            <w:pPr>
              <w:spacing w:after="0"/>
              <w:rPr>
                <w:sz w:val="1"/>
                <w:szCs w:val="1"/>
                <w:color w:val="auto"/>
              </w:rPr>
            </w:pPr>
          </w:p>
        </w:tc>
      </w:tr>
      <w:tr>
        <w:trPr>
          <w:trHeight w:val="164"/>
        </w:trPr>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60" w:type="dxa"/>
            <w:vAlign w:val="bottom"/>
            <w:gridSpan w:val="2"/>
          </w:tcPr>
          <w:p>
            <w:pPr>
              <w:jc w:val="right"/>
              <w:ind w:right="2780"/>
              <w:spacing w:after="0"/>
              <w:rPr>
                <w:sz w:val="20"/>
                <w:szCs w:val="20"/>
                <w:color w:val="auto"/>
              </w:rPr>
            </w:pPr>
            <w:r>
              <w:rPr>
                <w:rFonts w:ascii="Arial" w:cs="Arial" w:eastAsia="Arial" w:hAnsi="Arial"/>
                <w:sz w:val="8"/>
                <w:szCs w:val="8"/>
                <w:color w:val="005A64"/>
              </w:rPr>
              <w:t>(7)</w:t>
            </w:r>
          </w:p>
        </w:tc>
        <w:tc>
          <w:tcPr>
            <w:tcW w:w="1160" w:type="dxa"/>
            <w:vAlign w:val="bottom"/>
            <w:gridSpan w:val="2"/>
          </w:tcPr>
          <w:p>
            <w:pPr>
              <w:ind w:left="60"/>
              <w:spacing w:after="0"/>
              <w:rPr>
                <w:sz w:val="20"/>
                <w:szCs w:val="20"/>
                <w:color w:val="auto"/>
              </w:rPr>
            </w:pPr>
            <w:r>
              <w:rPr>
                <w:rFonts w:ascii="Arial" w:cs="Arial" w:eastAsia="Arial" w:hAnsi="Arial"/>
                <w:sz w:val="12"/>
                <w:szCs w:val="12"/>
                <w:color w:val="005A64"/>
              </w:rPr>
              <w:t>240</w:t>
            </w:r>
          </w:p>
        </w:tc>
        <w:tc>
          <w:tcPr>
            <w:tcW w:w="1140" w:type="dxa"/>
            <w:vAlign w:val="bottom"/>
            <w:gridSpan w:val="2"/>
          </w:tcPr>
          <w:p>
            <w:pPr>
              <w:ind w:left="60"/>
              <w:spacing w:after="0"/>
              <w:rPr>
                <w:sz w:val="20"/>
                <w:szCs w:val="20"/>
                <w:color w:val="auto"/>
              </w:rPr>
            </w:pPr>
            <w:r>
              <w:rPr>
                <w:rFonts w:ascii="Arial" w:cs="Arial" w:eastAsia="Arial" w:hAnsi="Arial"/>
                <w:sz w:val="8"/>
                <w:szCs w:val="8"/>
                <w:color w:val="005A64"/>
              </w:rPr>
              <w:t>(8)</w:t>
            </w:r>
          </w:p>
        </w:tc>
        <w:tc>
          <w:tcPr>
            <w:tcW w:w="0" w:type="dxa"/>
            <w:vAlign w:val="bottom"/>
          </w:tcPr>
          <w:p>
            <w:pPr>
              <w:spacing w:after="0"/>
              <w:rPr>
                <w:sz w:val="1"/>
                <w:szCs w:val="1"/>
                <w:color w:val="auto"/>
              </w:rPr>
            </w:pPr>
          </w:p>
        </w:tc>
      </w:tr>
      <w:tr>
        <w:trPr>
          <w:trHeight w:val="80"/>
        </w:trPr>
        <w:tc>
          <w:tcPr>
            <w:tcW w:w="1560" w:type="dxa"/>
            <w:vAlign w:val="bottom"/>
            <w:gridSpan w:val="3"/>
          </w:tcPr>
          <w:p>
            <w:pPr>
              <w:ind w:left="20"/>
              <w:spacing w:after="0" w:line="81" w:lineRule="exact"/>
              <w:rPr>
                <w:sz w:val="20"/>
                <w:szCs w:val="20"/>
                <w:color w:val="auto"/>
              </w:rPr>
            </w:pPr>
            <w:r>
              <w:rPr>
                <w:rFonts w:ascii="Arial" w:cs="Arial" w:eastAsia="Arial" w:hAnsi="Arial"/>
                <w:sz w:val="9"/>
                <w:szCs w:val="9"/>
                <w:color w:val="005A64"/>
              </w:rPr>
              <w:t>Prof. Anja Morawietz, Ph.D.</w:t>
            </w:r>
          </w:p>
        </w:tc>
        <w:tc>
          <w:tcPr>
            <w:tcW w:w="2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1260" w:type="dxa"/>
            <w:vAlign w:val="bottom"/>
            <w:gridSpan w:val="2"/>
          </w:tcPr>
          <w:p>
            <w:pPr>
              <w:ind w:left="20"/>
              <w:spacing w:after="0"/>
              <w:rPr>
                <w:sz w:val="20"/>
                <w:szCs w:val="20"/>
                <w:color w:val="auto"/>
              </w:rPr>
            </w:pPr>
            <w:r>
              <w:rPr>
                <w:rFonts w:ascii="Arial" w:cs="Arial" w:eastAsia="Arial" w:hAnsi="Arial"/>
                <w:sz w:val="12"/>
                <w:szCs w:val="12"/>
                <w:color w:val="005A64"/>
              </w:rPr>
              <w:t>Michael Motschmann</w:t>
            </w:r>
          </w:p>
        </w:tc>
        <w:tc>
          <w:tcPr>
            <w:tcW w:w="3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20"/>
                <w:szCs w:val="20"/>
                <w:color w:val="auto"/>
              </w:rPr>
            </w:pPr>
            <w:r>
              <w:rPr>
                <w:rFonts w:ascii="Arial" w:cs="Arial" w:eastAsia="Arial" w:hAnsi="Arial"/>
                <w:sz w:val="12"/>
                <w:szCs w:val="12"/>
                <w:color w:val="005A64"/>
              </w:rPr>
              <w:t>—</w:t>
            </w:r>
          </w:p>
        </w:tc>
        <w:tc>
          <w:tcPr>
            <w:tcW w:w="40" w:type="dxa"/>
            <w:vAlign w:val="bottom"/>
          </w:tcPr>
          <w:p>
            <w:pPr>
              <w:spacing w:after="0"/>
              <w:rPr>
                <w:sz w:val="13"/>
                <w:szCs w:val="13"/>
                <w:color w:val="auto"/>
              </w:rPr>
            </w:pPr>
          </w:p>
        </w:tc>
        <w:tc>
          <w:tcPr>
            <w:tcW w:w="1100" w:type="dxa"/>
            <w:vAlign w:val="bottom"/>
          </w:tcPr>
          <w:p>
            <w:pPr>
              <w:ind w:left="20"/>
              <w:spacing w:after="0"/>
              <w:rPr>
                <w:sz w:val="20"/>
                <w:szCs w:val="20"/>
                <w:color w:val="auto"/>
              </w:rPr>
            </w:pPr>
            <w:r>
              <w:rPr>
                <w:rFonts w:ascii="Arial" w:cs="Arial" w:eastAsia="Arial" w:hAnsi="Arial"/>
                <w:sz w:val="12"/>
                <w:szCs w:val="12"/>
                <w:color w:val="005A64"/>
              </w:rPr>
              <w:t>—</w:t>
            </w:r>
          </w:p>
        </w:tc>
        <w:tc>
          <w:tcPr>
            <w:tcW w:w="0" w:type="dxa"/>
            <w:vAlign w:val="bottom"/>
          </w:tcPr>
          <w:p>
            <w:pPr>
              <w:spacing w:after="0"/>
              <w:rPr>
                <w:sz w:val="1"/>
                <w:szCs w:val="1"/>
                <w:color w:val="auto"/>
              </w:rPr>
            </w:pPr>
          </w:p>
        </w:tc>
      </w:tr>
      <w:tr>
        <w:trPr>
          <w:trHeight w:val="202"/>
        </w:trPr>
        <w:tc>
          <w:tcPr>
            <w:tcW w:w="1560" w:type="dxa"/>
            <w:vAlign w:val="bottom"/>
            <w:gridSpan w:val="3"/>
          </w:tcPr>
          <w:p>
            <w:pPr>
              <w:ind w:left="20"/>
              <w:spacing w:after="0"/>
              <w:rPr>
                <w:sz w:val="20"/>
                <w:szCs w:val="20"/>
                <w:color w:val="auto"/>
              </w:rPr>
            </w:pPr>
            <w:r>
              <w:rPr>
                <w:rFonts w:ascii="Arial" w:cs="Arial" w:eastAsia="Arial" w:hAnsi="Arial"/>
                <w:sz w:val="12"/>
                <w:szCs w:val="12"/>
                <w:color w:val="005A64"/>
              </w:rPr>
              <w:t>Prof. Rudolf Staudigl, Ph.D.</w:t>
            </w:r>
          </w:p>
        </w:tc>
        <w:tc>
          <w:tcPr>
            <w:tcW w:w="286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color w:val="005A64"/>
              </w:rPr>
              <w:t>400</w:t>
            </w:r>
          </w:p>
        </w:tc>
        <w:tc>
          <w:tcPr>
            <w:tcW w:w="1140" w:type="dxa"/>
            <w:vAlign w:val="bottom"/>
            <w:gridSpan w:val="2"/>
          </w:tcPr>
          <w:p>
            <w:pPr>
              <w:ind w:left="60"/>
              <w:spacing w:after="0"/>
              <w:rPr>
                <w:sz w:val="20"/>
                <w:szCs w:val="20"/>
                <w:color w:val="auto"/>
              </w:rPr>
            </w:pPr>
            <w:r>
              <w:rPr>
                <w:rFonts w:ascii="Arial" w:cs="Arial" w:eastAsia="Arial" w:hAnsi="Arial"/>
                <w:sz w:val="8"/>
                <w:szCs w:val="8"/>
                <w:color w:val="005A64"/>
              </w:rPr>
              <w:t>(8)</w:t>
            </w:r>
          </w:p>
        </w:tc>
        <w:tc>
          <w:tcPr>
            <w:tcW w:w="0" w:type="dxa"/>
            <w:vAlign w:val="bottom"/>
          </w:tcPr>
          <w:p>
            <w:pPr>
              <w:spacing w:after="0"/>
              <w:rPr>
                <w:sz w:val="1"/>
                <w:szCs w:val="1"/>
                <w:color w:val="auto"/>
              </w:rPr>
            </w:pPr>
          </w:p>
        </w:tc>
      </w:tr>
      <w:tr>
        <w:trPr>
          <w:trHeight w:val="228"/>
        </w:trPr>
        <w:tc>
          <w:tcPr>
            <w:tcW w:w="4420" w:type="dxa"/>
            <w:vAlign w:val="bottom"/>
            <w:gridSpan w:val="4"/>
          </w:tcPr>
          <w:p>
            <w:pPr>
              <w:ind w:left="20"/>
              <w:spacing w:after="0"/>
              <w:rPr>
                <w:sz w:val="20"/>
                <w:szCs w:val="20"/>
                <w:color w:val="auto"/>
              </w:rPr>
            </w:pPr>
            <w:r>
              <w:rPr>
                <w:rFonts w:ascii="Arial" w:cs="Arial" w:eastAsia="Arial" w:hAnsi="Arial"/>
                <w:sz w:val="12"/>
                <w:szCs w:val="12"/>
                <w:b w:val="1"/>
                <w:bCs w:val="1"/>
                <w:color w:val="005A64"/>
              </w:rPr>
              <w:t>All members of our Supervisory Board and Management Board, as a group</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005A64"/>
              </w:rPr>
              <w:t>46,218,597</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005A64"/>
              </w:rPr>
              <w:t>19.3%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1157605</wp:posOffset>
            </wp:positionH>
            <wp:positionV relativeFrom="page">
              <wp:posOffset>361950</wp:posOffset>
            </wp:positionV>
            <wp:extent cx="4268470" cy="12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268470" cy="1270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29845</wp:posOffset>
            </wp:positionV>
            <wp:extent cx="4268470"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268470" cy="6350"/>
                    </a:xfrm>
                    <a:prstGeom prst="rect">
                      <a:avLst/>
                    </a:prstGeom>
                    <a:noFill/>
                  </pic:spPr>
                </pic:pic>
              </a:graphicData>
            </a:graphic>
          </wp:anchor>
        </w:drawing>
      </w:r>
    </w:p>
    <w:p>
      <w:pPr>
        <w:spacing w:after="0" w:line="67" w:lineRule="exact"/>
        <w:rPr>
          <w:sz w:val="20"/>
          <w:szCs w:val="20"/>
          <w:color w:val="auto"/>
        </w:rPr>
      </w:pPr>
    </w:p>
    <w:p>
      <w:pPr>
        <w:ind w:left="380" w:right="1920" w:firstLine="3"/>
        <w:spacing w:after="0" w:line="199" w:lineRule="auto"/>
        <w:tabs>
          <w:tab w:leader="none" w:pos="582" w:val="left"/>
        </w:tabs>
        <w:numPr>
          <w:ilvl w:val="0"/>
          <w:numId w:val="33"/>
        </w:numPr>
        <w:rPr>
          <w:rFonts w:ascii="Arial" w:cs="Arial" w:eastAsia="Arial" w:hAnsi="Arial"/>
          <w:sz w:val="16"/>
          <w:szCs w:val="16"/>
          <w:color w:val="005A64"/>
          <w:vertAlign w:val="superscript"/>
        </w:rPr>
      </w:pPr>
      <w:r>
        <w:rPr>
          <w:rFonts w:ascii="Arial" w:cs="Arial" w:eastAsia="Arial" w:hAnsi="Arial"/>
          <w:sz w:val="12"/>
          <w:szCs w:val="12"/>
          <w:color w:val="005A64"/>
        </w:rPr>
        <w:t>Consists of 101,852,563 ordinary shares held by AT Impf GmbH. The sole member of AT Impf GmbH is ATHOS KG, and, as a result, ATHOS KG is deemed to be the beneficial owner of the securities held by AT Impf GmbH. ATHOS KG via AT Impf GmbH has de facto control over BioNTech based on its substantial shareholding, which practically enables it to exercise the majority of voting rights to pass resolutions at our Annual General Meeting, or AGM. As of December 31,</w:t>
      </w:r>
    </w:p>
    <w:p>
      <w:pPr>
        <w:spacing w:after="0" w:line="1" w:lineRule="exact"/>
        <w:rPr>
          <w:rFonts w:ascii="Arial" w:cs="Arial" w:eastAsia="Arial" w:hAnsi="Arial"/>
          <w:sz w:val="16"/>
          <w:szCs w:val="16"/>
          <w:color w:val="005A64"/>
          <w:vertAlign w:val="superscript"/>
        </w:rPr>
      </w:pPr>
    </w:p>
    <w:p>
      <w:pPr>
        <w:jc w:val="both"/>
        <w:ind w:left="380" w:right="2240"/>
        <w:spacing w:after="0" w:line="226" w:lineRule="auto"/>
        <w:rPr>
          <w:rFonts w:ascii="Arial" w:cs="Arial" w:eastAsia="Arial" w:hAnsi="Arial"/>
          <w:sz w:val="16"/>
          <w:szCs w:val="16"/>
          <w:color w:val="005A64"/>
          <w:vertAlign w:val="superscript"/>
        </w:rPr>
      </w:pPr>
      <w:r>
        <w:rPr>
          <w:rFonts w:ascii="Arial" w:cs="Arial" w:eastAsia="Arial" w:hAnsi="Arial"/>
          <w:sz w:val="12"/>
          <w:szCs w:val="12"/>
          <w:color w:val="005A64"/>
        </w:rPr>
        <w:t>2024 Thomas Maier is a general partner (</w:t>
      </w:r>
      <w:r>
        <w:rPr>
          <w:rFonts w:ascii="Arial" w:cs="Arial" w:eastAsia="Arial" w:hAnsi="Arial"/>
          <w:sz w:val="12"/>
          <w:szCs w:val="12"/>
          <w:i w:val="1"/>
          <w:iCs w:val="1"/>
          <w:color w:val="005A64"/>
        </w:rPr>
        <w:t>Komplementär</w:t>
      </w:r>
      <w:r>
        <w:rPr>
          <w:rFonts w:ascii="Arial" w:cs="Arial" w:eastAsia="Arial" w:hAnsi="Arial"/>
          <w:sz w:val="12"/>
          <w:szCs w:val="12"/>
          <w:color w:val="005A64"/>
        </w:rPr>
        <w:t>) of ATHOS KG and may be deemed to be beneficial owners of the securities held by AT Impf KG. Mr. Maier disclaims beneficial ownership of such shares except to the extent of their pecuniary interest therein.</w:t>
      </w:r>
    </w:p>
    <w:p>
      <w:pPr>
        <w:spacing w:after="0" w:line="12" w:lineRule="exact"/>
        <w:rPr>
          <w:rFonts w:ascii="Arial" w:cs="Arial" w:eastAsia="Arial" w:hAnsi="Arial"/>
          <w:sz w:val="16"/>
          <w:szCs w:val="16"/>
          <w:color w:val="005A64"/>
          <w:vertAlign w:val="superscript"/>
        </w:rPr>
      </w:pPr>
    </w:p>
    <w:p>
      <w:pPr>
        <w:ind w:left="380" w:right="2000" w:firstLine="3"/>
        <w:spacing w:after="0" w:line="209" w:lineRule="auto"/>
        <w:tabs>
          <w:tab w:leader="none" w:pos="582" w:val="left"/>
        </w:tabs>
        <w:numPr>
          <w:ilvl w:val="0"/>
          <w:numId w:val="33"/>
        </w:numPr>
        <w:rPr>
          <w:rFonts w:ascii="Arial" w:cs="Arial" w:eastAsia="Arial" w:hAnsi="Arial"/>
          <w:sz w:val="16"/>
          <w:szCs w:val="16"/>
          <w:color w:val="005A64"/>
          <w:vertAlign w:val="superscript"/>
        </w:rPr>
      </w:pPr>
      <w:r>
        <w:rPr>
          <w:rFonts w:ascii="Arial" w:cs="Arial" w:eastAsia="Arial" w:hAnsi="Arial"/>
          <w:sz w:val="12"/>
          <w:szCs w:val="12"/>
          <w:color w:val="005A64"/>
        </w:rPr>
        <w:t>The sole shareholder of Medine GmbH is Ugur Sahin, and, as a result, Ugur Sahin is deemed to be the beneficial owner of the securities held by Medine GmbH. Consists of 40,432,177 ordinary shares held by Medine GmbH, 1,320,787 of which are held for the benefit of a former colleague pursuant to a trust arrangement. Pursuant to this arrangement,</w:t>
      </w:r>
    </w:p>
    <w:p>
      <w:pPr>
        <w:spacing w:after="0" w:line="4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220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29845</wp:posOffset>
            </wp:positionV>
            <wp:extent cx="5231130"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pacing w:after="0" w:line="67" w:lineRule="exact"/>
        <w:rPr>
          <w:sz w:val="20"/>
          <w:szCs w:val="20"/>
          <w:color w:val="auto"/>
        </w:rPr>
      </w:pPr>
    </w:p>
    <w:p>
      <w:pPr>
        <w:ind w:left="380" w:right="2040" w:firstLine="3"/>
        <w:spacing w:after="0" w:line="209" w:lineRule="auto"/>
        <w:tabs>
          <w:tab w:leader="none" w:pos="582" w:val="left"/>
        </w:tabs>
        <w:numPr>
          <w:ilvl w:val="0"/>
          <w:numId w:val="34"/>
        </w:numPr>
        <w:rPr>
          <w:rFonts w:ascii="Arial" w:cs="Arial" w:eastAsia="Arial" w:hAnsi="Arial"/>
          <w:sz w:val="16"/>
          <w:szCs w:val="16"/>
          <w:color w:val="005A64"/>
          <w:vertAlign w:val="superscript"/>
        </w:rPr>
      </w:pPr>
      <w:r>
        <w:rPr>
          <w:rFonts w:ascii="Arial" w:cs="Arial" w:eastAsia="Arial" w:hAnsi="Arial"/>
          <w:sz w:val="12"/>
          <w:szCs w:val="12"/>
          <w:color w:val="005A64"/>
        </w:rPr>
        <w:t>Consists of the shares described in note 2 above, plus 2,774,837 ordinary shares held directly by Ugur Sahin. He is the sole shareholder of Medine GmbH.</w:t>
      </w:r>
    </w:p>
    <w:p>
      <w:pPr>
        <w:spacing w:after="0" w:line="12" w:lineRule="exact"/>
        <w:rPr>
          <w:rFonts w:ascii="Arial" w:cs="Arial" w:eastAsia="Arial" w:hAnsi="Arial"/>
          <w:sz w:val="16"/>
          <w:szCs w:val="16"/>
          <w:color w:val="005A64"/>
          <w:vertAlign w:val="superscript"/>
        </w:rPr>
      </w:pPr>
    </w:p>
    <w:p>
      <w:pPr>
        <w:ind w:left="380" w:right="2100" w:firstLine="3"/>
        <w:spacing w:after="0" w:line="210" w:lineRule="auto"/>
        <w:tabs>
          <w:tab w:leader="none" w:pos="582" w:val="left"/>
        </w:tabs>
        <w:numPr>
          <w:ilvl w:val="0"/>
          <w:numId w:val="34"/>
        </w:numPr>
        <w:rPr>
          <w:rFonts w:ascii="Arial" w:cs="Arial" w:eastAsia="Arial" w:hAnsi="Arial"/>
          <w:sz w:val="16"/>
          <w:szCs w:val="16"/>
          <w:color w:val="005A64"/>
          <w:vertAlign w:val="superscript"/>
        </w:rPr>
      </w:pPr>
      <w:r>
        <w:rPr>
          <w:rFonts w:ascii="Arial" w:cs="Arial" w:eastAsia="Arial" w:hAnsi="Arial"/>
          <w:sz w:val="12"/>
          <w:szCs w:val="12"/>
          <w:color w:val="005A64"/>
        </w:rPr>
        <w:t>Consists of (a) 604,387 ordinary shares held by Tofino GmbH (Sierk Poetting is sole shareholder of Tofino GmbH), (b) 163,152 ordinary shares held directly by Sierk Poetting and (c) 1,638 ordinary shares held by his immediate family. Mr. Poetting disclaims beneficial ownership of the 1,638 ordinary shares held by his immediate family except to the extent of his pecuniary interest therein.</w:t>
      </w:r>
    </w:p>
    <w:p>
      <w:pPr>
        <w:spacing w:after="0" w:line="12" w:lineRule="exact"/>
        <w:rPr>
          <w:rFonts w:ascii="Arial" w:cs="Arial" w:eastAsia="Arial" w:hAnsi="Arial"/>
          <w:sz w:val="16"/>
          <w:szCs w:val="16"/>
          <w:color w:val="005A64"/>
          <w:vertAlign w:val="superscript"/>
        </w:rPr>
      </w:pPr>
    </w:p>
    <w:p>
      <w:pPr>
        <w:ind w:left="380" w:right="2020" w:firstLine="3"/>
        <w:spacing w:after="0" w:line="209" w:lineRule="auto"/>
        <w:tabs>
          <w:tab w:leader="none" w:pos="582" w:val="left"/>
        </w:tabs>
        <w:numPr>
          <w:ilvl w:val="0"/>
          <w:numId w:val="34"/>
        </w:numPr>
        <w:rPr>
          <w:rFonts w:ascii="Arial" w:cs="Arial" w:eastAsia="Arial" w:hAnsi="Arial"/>
          <w:sz w:val="16"/>
          <w:szCs w:val="16"/>
          <w:color w:val="005A64"/>
          <w:vertAlign w:val="superscript"/>
        </w:rPr>
      </w:pPr>
      <w:r>
        <w:rPr>
          <w:rFonts w:ascii="Arial" w:cs="Arial" w:eastAsia="Arial" w:hAnsi="Arial"/>
          <w:sz w:val="12"/>
          <w:szCs w:val="12"/>
          <w:color w:val="005A64"/>
        </w:rPr>
        <w:t>Consists of (a) 332,316 ordinary shares held directly by Helmut Jeggle and (b) 1,093,651 ordinary shares held by Salvia GmbH.</w:t>
      </w:r>
    </w:p>
    <w:p>
      <w:pPr>
        <w:spacing w:after="0" w:line="12" w:lineRule="exact"/>
        <w:rPr>
          <w:rFonts w:ascii="Arial" w:cs="Arial" w:eastAsia="Arial" w:hAnsi="Arial"/>
          <w:sz w:val="16"/>
          <w:szCs w:val="16"/>
          <w:color w:val="005A64"/>
          <w:vertAlign w:val="superscript"/>
        </w:rPr>
      </w:pPr>
    </w:p>
    <w:p>
      <w:pPr>
        <w:ind w:left="380" w:right="1980" w:firstLine="3"/>
        <w:spacing w:after="0" w:line="209" w:lineRule="auto"/>
        <w:tabs>
          <w:tab w:leader="none" w:pos="582" w:val="left"/>
        </w:tabs>
        <w:numPr>
          <w:ilvl w:val="0"/>
          <w:numId w:val="34"/>
        </w:numPr>
        <w:rPr>
          <w:rFonts w:ascii="Arial" w:cs="Arial" w:eastAsia="Arial" w:hAnsi="Arial"/>
          <w:sz w:val="16"/>
          <w:szCs w:val="16"/>
          <w:color w:val="005A64"/>
          <w:vertAlign w:val="superscript"/>
        </w:rPr>
      </w:pPr>
      <w:r>
        <w:rPr>
          <w:rFonts w:ascii="Arial" w:cs="Arial" w:eastAsia="Arial" w:hAnsi="Arial"/>
          <w:sz w:val="12"/>
          <w:szCs w:val="12"/>
          <w:color w:val="005A64"/>
        </w:rPr>
        <w:t>Consists of 1,480 ordinary shares held by beebusy Capital GmbH. Ulrich Wandschneider is sole shareholder of beebusy Capital GmbH.</w:t>
      </w:r>
    </w:p>
    <w:p>
      <w:pPr>
        <w:spacing w:after="0" w:line="12" w:lineRule="exact"/>
        <w:rPr>
          <w:rFonts w:ascii="Arial" w:cs="Arial" w:eastAsia="Arial" w:hAnsi="Arial"/>
          <w:sz w:val="16"/>
          <w:szCs w:val="16"/>
          <w:color w:val="005A64"/>
          <w:vertAlign w:val="superscript"/>
        </w:rPr>
      </w:pPr>
    </w:p>
    <w:p>
      <w:pPr>
        <w:ind w:left="380" w:right="2160" w:firstLine="3"/>
        <w:spacing w:after="0" w:line="209" w:lineRule="auto"/>
        <w:tabs>
          <w:tab w:leader="none" w:pos="582" w:val="left"/>
        </w:tabs>
        <w:numPr>
          <w:ilvl w:val="0"/>
          <w:numId w:val="34"/>
        </w:numPr>
        <w:rPr>
          <w:rFonts w:ascii="Arial" w:cs="Arial" w:eastAsia="Arial" w:hAnsi="Arial"/>
          <w:sz w:val="16"/>
          <w:szCs w:val="16"/>
          <w:color w:val="005A64"/>
          <w:vertAlign w:val="superscript"/>
        </w:rPr>
      </w:pPr>
      <w:r>
        <w:rPr>
          <w:rFonts w:ascii="Arial" w:cs="Arial" w:eastAsia="Arial" w:hAnsi="Arial"/>
          <w:sz w:val="12"/>
          <w:szCs w:val="12"/>
          <w:color w:val="005A64"/>
        </w:rPr>
        <w:t>Consists of (a) 200 ordinary shares held directly by Anja Morawietz and (b) 40 ordinary shares held by her immediate family.</w:t>
      </w:r>
    </w:p>
    <w:p>
      <w:pPr>
        <w:ind w:left="580" w:hanging="197"/>
        <w:spacing w:after="0" w:line="190" w:lineRule="auto"/>
        <w:tabs>
          <w:tab w:leader="none" w:pos="580" w:val="left"/>
        </w:tabs>
        <w:numPr>
          <w:ilvl w:val="0"/>
          <w:numId w:val="34"/>
        </w:numPr>
        <w:rPr>
          <w:rFonts w:ascii="Arial" w:cs="Arial" w:eastAsia="Arial" w:hAnsi="Arial"/>
          <w:sz w:val="16"/>
          <w:szCs w:val="16"/>
          <w:color w:val="005A64"/>
          <w:vertAlign w:val="superscript"/>
        </w:rPr>
      </w:pPr>
      <w:r>
        <w:rPr>
          <w:rFonts w:ascii="Arial" w:cs="Arial" w:eastAsia="Arial" w:hAnsi="Arial"/>
          <w:sz w:val="12"/>
          <w:szCs w:val="12"/>
          <w:color w:val="005A64"/>
        </w:rPr>
        <w:t>Less than one percent.</w:t>
      </w:r>
    </w:p>
    <w:p>
      <w:pPr>
        <w:ind w:left="380"/>
        <w:spacing w:after="0" w:line="212" w:lineRule="auto"/>
        <w:rPr>
          <w:sz w:val="20"/>
          <w:szCs w:val="20"/>
          <w:color w:val="auto"/>
        </w:rPr>
      </w:pPr>
      <w:r>
        <w:rPr>
          <w:rFonts w:ascii="Arial" w:cs="Arial" w:eastAsia="Arial" w:hAnsi="Arial"/>
          <w:sz w:val="13"/>
          <w:szCs w:val="13"/>
          <w:color w:val="005A64"/>
        </w:rPr>
        <w:t>Holdings by U.S. Shareholders</w:t>
      </w:r>
    </w:p>
    <w:p>
      <w:pPr>
        <w:ind w:left="380" w:right="2120"/>
        <w:spacing w:after="0" w:line="210" w:lineRule="auto"/>
        <w:rPr>
          <w:sz w:val="20"/>
          <w:szCs w:val="20"/>
          <w:color w:val="auto"/>
        </w:rPr>
      </w:pPr>
      <w:r>
        <w:rPr>
          <w:rFonts w:ascii="Arial" w:cs="Arial" w:eastAsia="Arial" w:hAnsi="Arial"/>
          <w:sz w:val="13"/>
          <w:szCs w:val="13"/>
          <w:color w:val="auto"/>
        </w:rPr>
        <w:t>Our share capital consists of ordinary shares, some of which are traded in the United States by means of American Depositary Shares (ADSs), each representing one ordinary share. Our depositary, The Bank of New York Mellon, is the holder of the ordinary shares underlying the ADSs. Based on the limited information available to us and the depositary, we generally cannot determine with certainty the number of U.S. shareholders or how many shares such shareholders own.</w:t>
      </w:r>
    </w:p>
    <w:p>
      <w:pPr>
        <w:ind w:left="380"/>
        <w:spacing w:after="0" w:line="215" w:lineRule="auto"/>
        <w:rPr>
          <w:sz w:val="20"/>
          <w:szCs w:val="20"/>
          <w:color w:val="auto"/>
        </w:rPr>
      </w:pPr>
      <w:r>
        <w:rPr>
          <w:rFonts w:ascii="Arial" w:cs="Arial" w:eastAsia="Arial" w:hAnsi="Arial"/>
          <w:sz w:val="13"/>
          <w:szCs w:val="13"/>
          <w:b w:val="1"/>
          <w:bCs w:val="1"/>
          <w:color w:val="005A64"/>
        </w:rPr>
        <w:t>B. Related Party Transactions</w:t>
      </w:r>
    </w:p>
    <w:p>
      <w:pPr>
        <w:ind w:left="380"/>
        <w:spacing w:after="0" w:line="211" w:lineRule="auto"/>
        <w:rPr>
          <w:sz w:val="20"/>
          <w:szCs w:val="20"/>
          <w:color w:val="auto"/>
        </w:rPr>
      </w:pPr>
      <w:r>
        <w:rPr>
          <w:rFonts w:ascii="Arial" w:cs="Arial" w:eastAsia="Arial" w:hAnsi="Arial"/>
          <w:sz w:val="13"/>
          <w:szCs w:val="13"/>
          <w:color w:val="auto"/>
        </w:rPr>
        <w:t>See Item 18.</w:t>
      </w:r>
    </w:p>
    <w:p>
      <w:pPr>
        <w:ind w:left="380"/>
        <w:spacing w:after="0" w:line="211" w:lineRule="auto"/>
        <w:rPr>
          <w:sz w:val="20"/>
          <w:szCs w:val="20"/>
          <w:color w:val="auto"/>
        </w:rPr>
      </w:pPr>
      <w:r>
        <w:rPr>
          <w:rFonts w:ascii="Arial" w:cs="Arial" w:eastAsia="Arial" w:hAnsi="Arial"/>
          <w:sz w:val="13"/>
          <w:szCs w:val="13"/>
          <w:b w:val="1"/>
          <w:bCs w:val="1"/>
          <w:color w:val="005A64"/>
        </w:rPr>
        <w:t>C. Interests of Experts and Counsel</w:t>
      </w:r>
    </w:p>
    <w:p>
      <w:pPr>
        <w:ind w:left="380"/>
        <w:spacing w:after="0" w:line="216" w:lineRule="auto"/>
        <w:rPr>
          <w:sz w:val="20"/>
          <w:szCs w:val="20"/>
          <w:color w:val="auto"/>
        </w:rPr>
      </w:pPr>
      <w:r>
        <w:rPr>
          <w:rFonts w:ascii="Arial" w:cs="Arial" w:eastAsia="Arial" w:hAnsi="Arial"/>
          <w:sz w:val="13"/>
          <w:szCs w:val="13"/>
          <w:color w:val="auto"/>
        </w:rPr>
        <w:t>Not applicable.</w:t>
      </w:r>
    </w:p>
    <w:p>
      <w:pPr>
        <w:ind w:left="380"/>
        <w:spacing w:after="0" w:line="207" w:lineRule="auto"/>
        <w:rPr>
          <w:sz w:val="20"/>
          <w:szCs w:val="20"/>
          <w:color w:val="auto"/>
        </w:rPr>
      </w:pPr>
      <w:r>
        <w:rPr>
          <w:rFonts w:ascii="Arial" w:cs="Arial" w:eastAsia="Arial" w:hAnsi="Arial"/>
          <w:sz w:val="16"/>
          <w:szCs w:val="16"/>
          <w:b w:val="1"/>
          <w:bCs w:val="1"/>
          <w:color w:val="005A64"/>
        </w:rPr>
        <w:t>Item 8. Financial Information</w:t>
      </w:r>
    </w:p>
    <w:p>
      <w:pPr>
        <w:ind w:left="380"/>
        <w:spacing w:after="0" w:line="211" w:lineRule="auto"/>
        <w:rPr>
          <w:sz w:val="20"/>
          <w:szCs w:val="20"/>
          <w:color w:val="auto"/>
        </w:rPr>
      </w:pPr>
      <w:r>
        <w:rPr>
          <w:rFonts w:ascii="Arial" w:cs="Arial" w:eastAsia="Arial" w:hAnsi="Arial"/>
          <w:sz w:val="13"/>
          <w:szCs w:val="13"/>
          <w:b w:val="1"/>
          <w:bCs w:val="1"/>
          <w:color w:val="005A64"/>
        </w:rPr>
        <w:t>A. Consolidated Statements and Other Financial Information</w:t>
      </w:r>
    </w:p>
    <w:p>
      <w:pPr>
        <w:ind w:left="380"/>
        <w:spacing w:after="0" w:line="211" w:lineRule="auto"/>
        <w:rPr>
          <w:sz w:val="20"/>
          <w:szCs w:val="20"/>
          <w:color w:val="auto"/>
        </w:rPr>
      </w:pPr>
      <w:r>
        <w:rPr>
          <w:rFonts w:ascii="Arial" w:cs="Arial" w:eastAsia="Arial" w:hAnsi="Arial"/>
          <w:sz w:val="13"/>
          <w:szCs w:val="13"/>
          <w:color w:val="auto"/>
        </w:rPr>
        <w:t>See Item 18.</w:t>
      </w:r>
    </w:p>
    <w:p>
      <w:pPr>
        <w:ind w:left="380"/>
        <w:spacing w:after="0" w:line="211" w:lineRule="auto"/>
        <w:rPr>
          <w:sz w:val="20"/>
          <w:szCs w:val="20"/>
          <w:color w:val="auto"/>
        </w:rPr>
      </w:pPr>
      <w:r>
        <w:rPr>
          <w:rFonts w:ascii="Arial" w:cs="Arial" w:eastAsia="Arial" w:hAnsi="Arial"/>
          <w:sz w:val="13"/>
          <w:szCs w:val="13"/>
          <w:b w:val="1"/>
          <w:bCs w:val="1"/>
          <w:color w:val="005A64"/>
        </w:rPr>
        <w:t>B. Significant Changes</w:t>
      </w:r>
    </w:p>
    <w:p>
      <w:pPr>
        <w:ind w:left="380"/>
        <w:spacing w:after="0" w:line="215" w:lineRule="auto"/>
        <w:rPr>
          <w:sz w:val="20"/>
          <w:szCs w:val="20"/>
          <w:color w:val="auto"/>
        </w:rPr>
      </w:pPr>
      <w:r>
        <w:rPr>
          <w:rFonts w:ascii="Arial" w:cs="Arial" w:eastAsia="Arial" w:hAnsi="Arial"/>
          <w:sz w:val="13"/>
          <w:szCs w:val="13"/>
          <w:color w:val="auto"/>
        </w:rPr>
        <w:t>Not applicable.</w:t>
      </w:r>
    </w:p>
    <w:p>
      <w:pPr>
        <w:ind w:left="380"/>
        <w:spacing w:after="0" w:line="208" w:lineRule="auto"/>
        <w:rPr>
          <w:sz w:val="20"/>
          <w:szCs w:val="20"/>
          <w:color w:val="auto"/>
        </w:rPr>
      </w:pPr>
      <w:r>
        <w:rPr>
          <w:rFonts w:ascii="Arial" w:cs="Arial" w:eastAsia="Arial" w:hAnsi="Arial"/>
          <w:sz w:val="16"/>
          <w:szCs w:val="16"/>
          <w:b w:val="1"/>
          <w:bCs w:val="1"/>
          <w:color w:val="005A64"/>
        </w:rPr>
        <w:t>Item 9. The Offer and Listing</w:t>
      </w:r>
    </w:p>
    <w:p>
      <w:pPr>
        <w:ind w:left="380"/>
        <w:spacing w:after="0" w:line="210" w:lineRule="auto"/>
        <w:rPr>
          <w:sz w:val="20"/>
          <w:szCs w:val="20"/>
          <w:color w:val="auto"/>
        </w:rPr>
      </w:pPr>
      <w:r>
        <w:rPr>
          <w:rFonts w:ascii="Arial" w:cs="Arial" w:eastAsia="Arial" w:hAnsi="Arial"/>
          <w:sz w:val="13"/>
          <w:szCs w:val="13"/>
          <w:b w:val="1"/>
          <w:bCs w:val="1"/>
          <w:color w:val="005A64"/>
        </w:rPr>
        <w:t>A. Offer and Listing Details</w:t>
      </w:r>
    </w:p>
    <w:p>
      <w:pPr>
        <w:spacing w:after="0" w:line="1"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ADSs representing our ordinary shares have been listed on the Nasdaq Global Select Market under the symbol “BNTX” since October 10, 2019. Prior to that date, there was no public trading market for our ADSs.</w:t>
      </w:r>
    </w:p>
    <w:p>
      <w:pPr>
        <w:ind w:left="380"/>
        <w:spacing w:after="0" w:line="212" w:lineRule="auto"/>
        <w:rPr>
          <w:sz w:val="20"/>
          <w:szCs w:val="20"/>
          <w:color w:val="auto"/>
        </w:rPr>
      </w:pPr>
      <w:r>
        <w:rPr>
          <w:rFonts w:ascii="Arial" w:cs="Arial" w:eastAsia="Arial" w:hAnsi="Arial"/>
          <w:sz w:val="13"/>
          <w:szCs w:val="13"/>
          <w:b w:val="1"/>
          <w:bCs w:val="1"/>
          <w:color w:val="005A64"/>
        </w:rPr>
        <w:t>B. Plan of Distribution</w:t>
      </w:r>
    </w:p>
    <w:p>
      <w:pPr>
        <w:ind w:left="380"/>
        <w:spacing w:after="0" w:line="211" w:lineRule="auto"/>
        <w:rPr>
          <w:sz w:val="20"/>
          <w:szCs w:val="20"/>
          <w:color w:val="auto"/>
        </w:rPr>
      </w:pPr>
      <w:r>
        <w:rPr>
          <w:rFonts w:ascii="Arial" w:cs="Arial" w:eastAsia="Arial" w:hAnsi="Arial"/>
          <w:sz w:val="13"/>
          <w:szCs w:val="13"/>
          <w:color w:val="auto"/>
        </w:rPr>
        <w:t>Not applicable.</w:t>
      </w:r>
    </w:p>
    <w:p>
      <w:pPr>
        <w:ind w:left="380"/>
        <w:spacing w:after="0" w:line="211" w:lineRule="auto"/>
        <w:rPr>
          <w:sz w:val="20"/>
          <w:szCs w:val="20"/>
          <w:color w:val="auto"/>
        </w:rPr>
      </w:pPr>
      <w:r>
        <w:rPr>
          <w:rFonts w:ascii="Arial" w:cs="Arial" w:eastAsia="Arial" w:hAnsi="Arial"/>
          <w:sz w:val="13"/>
          <w:szCs w:val="13"/>
          <w:b w:val="1"/>
          <w:bCs w:val="1"/>
          <w:color w:val="005A64"/>
        </w:rPr>
        <w:t>C. Markets</w:t>
      </w:r>
    </w:p>
    <w:p>
      <w:pPr>
        <w:ind w:left="380" w:right="2180"/>
        <w:spacing w:after="0" w:line="210" w:lineRule="auto"/>
        <w:rPr>
          <w:sz w:val="20"/>
          <w:szCs w:val="20"/>
          <w:color w:val="auto"/>
        </w:rPr>
      </w:pPr>
      <w:r>
        <w:rPr>
          <w:rFonts w:ascii="Arial" w:cs="Arial" w:eastAsia="Arial" w:hAnsi="Arial"/>
          <w:sz w:val="13"/>
          <w:szCs w:val="13"/>
          <w:color w:val="auto"/>
        </w:rPr>
        <w:t>ADSs representing our ordinary shares have been listed on the Nasdaq Global Select Market under the symbol “BNTX” since October 10, 2019.</w:t>
      </w:r>
    </w:p>
    <w:p>
      <w:pPr>
        <w:ind w:left="380"/>
        <w:spacing w:after="0" w:line="212" w:lineRule="auto"/>
        <w:rPr>
          <w:sz w:val="20"/>
          <w:szCs w:val="20"/>
          <w:color w:val="auto"/>
        </w:rPr>
      </w:pPr>
      <w:r>
        <w:rPr>
          <w:rFonts w:ascii="Arial" w:cs="Arial" w:eastAsia="Arial" w:hAnsi="Arial"/>
          <w:sz w:val="13"/>
          <w:szCs w:val="13"/>
          <w:b w:val="1"/>
          <w:bCs w:val="1"/>
          <w:color w:val="005A64"/>
        </w:rPr>
        <w:t>D. Selling Shareholders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Not applicable.</w:t>
      </w:r>
    </w:p>
    <w:p>
      <w:pPr>
        <w:sectPr>
          <w:pgSz w:w="11900" w:h="16840" w:orient="portrait"/>
          <w:cols w:equalWidth="0" w:num="1">
            <w:col w:w="9020"/>
          </w:cols>
          <w:pgMar w:left="1440" w:top="684" w:right="1440" w:bottom="1440" w:gutter="0" w:footer="0" w:header="0"/>
        </w:sectPr>
      </w:pPr>
    </w:p>
    <w:bookmarkStart w:id="153" w:name="page154"/>
    <w:bookmarkEnd w:id="153"/>
    <w:p>
      <w:pPr>
        <w:spacing w:after="0" w:line="26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221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7760" w:firstLine="3"/>
        <w:spacing w:after="0" w:line="220" w:lineRule="auto"/>
        <w:tabs>
          <w:tab w:leader="none" w:pos="540" w:val="left"/>
        </w:tabs>
        <w:numPr>
          <w:ilvl w:val="0"/>
          <w:numId w:val="35"/>
        </w:numPr>
        <w:rPr>
          <w:rFonts w:ascii="Arial" w:cs="Arial" w:eastAsia="Arial" w:hAnsi="Arial"/>
          <w:sz w:val="13"/>
          <w:szCs w:val="13"/>
          <w:b w:val="1"/>
          <w:bCs w:val="1"/>
          <w:color w:val="005A64"/>
        </w:rPr>
      </w:pPr>
      <w:r>
        <w:rPr>
          <w:rFonts w:ascii="Arial" w:cs="Arial" w:eastAsia="Arial" w:hAnsi="Arial"/>
          <w:sz w:val="13"/>
          <w:szCs w:val="13"/>
          <w:b w:val="1"/>
          <w:bCs w:val="1"/>
          <w:color w:val="005A64"/>
        </w:rPr>
        <w:t xml:space="preserve">Dilution </w:t>
      </w:r>
      <w:r>
        <w:rPr>
          <w:rFonts w:ascii="Arial" w:cs="Arial" w:eastAsia="Arial" w:hAnsi="Arial"/>
          <w:sz w:val="13"/>
          <w:szCs w:val="13"/>
          <w:color w:val="000000"/>
        </w:rPr>
        <w:t>Not applicable.</w:t>
      </w:r>
    </w:p>
    <w:p>
      <w:pPr>
        <w:ind w:left="380" w:right="7100" w:firstLine="3"/>
        <w:spacing w:after="0" w:line="213" w:lineRule="auto"/>
        <w:tabs>
          <w:tab w:leader="none" w:pos="533" w:val="left"/>
        </w:tabs>
        <w:numPr>
          <w:ilvl w:val="0"/>
          <w:numId w:val="35"/>
        </w:numPr>
        <w:rPr>
          <w:rFonts w:ascii="Arial" w:cs="Arial" w:eastAsia="Arial" w:hAnsi="Arial"/>
          <w:sz w:val="13"/>
          <w:szCs w:val="13"/>
          <w:b w:val="1"/>
          <w:bCs w:val="1"/>
          <w:color w:val="005A64"/>
        </w:rPr>
      </w:pPr>
      <w:r>
        <w:rPr>
          <w:rFonts w:ascii="Arial" w:cs="Arial" w:eastAsia="Arial" w:hAnsi="Arial"/>
          <w:sz w:val="13"/>
          <w:szCs w:val="13"/>
          <w:b w:val="1"/>
          <w:bCs w:val="1"/>
          <w:color w:val="005A64"/>
        </w:rPr>
        <w:t xml:space="preserve">Expenses of the Issue </w:t>
      </w:r>
      <w:r>
        <w:rPr>
          <w:rFonts w:ascii="Arial" w:cs="Arial" w:eastAsia="Arial" w:hAnsi="Arial"/>
          <w:sz w:val="13"/>
          <w:szCs w:val="13"/>
          <w:color w:val="000000"/>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-336550</wp:posOffset>
            </wp:positionV>
            <wp:extent cx="5231130"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07" w:lineRule="auto"/>
        <w:rPr>
          <w:sz w:val="20"/>
          <w:szCs w:val="20"/>
          <w:color w:val="auto"/>
        </w:rPr>
      </w:pPr>
      <w:r>
        <w:rPr>
          <w:rFonts w:ascii="Arial" w:cs="Arial" w:eastAsia="Arial" w:hAnsi="Arial"/>
          <w:sz w:val="16"/>
          <w:szCs w:val="16"/>
          <w:b w:val="1"/>
          <w:bCs w:val="1"/>
          <w:color w:val="005A64"/>
        </w:rPr>
        <w:t>Item 10. Additional Information</w:t>
      </w:r>
    </w:p>
    <w:p>
      <w:pPr>
        <w:ind w:left="380"/>
        <w:spacing w:after="0" w:line="211" w:lineRule="auto"/>
        <w:rPr>
          <w:sz w:val="20"/>
          <w:szCs w:val="20"/>
          <w:color w:val="auto"/>
        </w:rPr>
      </w:pPr>
      <w:r>
        <w:rPr>
          <w:rFonts w:ascii="Arial" w:cs="Arial" w:eastAsia="Arial" w:hAnsi="Arial"/>
          <w:sz w:val="13"/>
          <w:szCs w:val="13"/>
          <w:b w:val="1"/>
          <w:bCs w:val="1"/>
          <w:color w:val="005A64"/>
        </w:rPr>
        <w:t>A. Share Capital</w:t>
      </w:r>
    </w:p>
    <w:p>
      <w:pPr>
        <w:ind w:left="380"/>
        <w:spacing w:after="0" w:line="211" w:lineRule="auto"/>
        <w:rPr>
          <w:sz w:val="20"/>
          <w:szCs w:val="20"/>
          <w:color w:val="auto"/>
        </w:rPr>
      </w:pPr>
      <w:r>
        <w:rPr>
          <w:rFonts w:ascii="Arial" w:cs="Arial" w:eastAsia="Arial" w:hAnsi="Arial"/>
          <w:sz w:val="13"/>
          <w:szCs w:val="13"/>
          <w:color w:val="auto"/>
        </w:rPr>
        <w:t>Not applicable.</w:t>
      </w:r>
    </w:p>
    <w:p>
      <w:pPr>
        <w:ind w:left="380"/>
        <w:spacing w:after="0" w:line="211" w:lineRule="auto"/>
        <w:rPr>
          <w:sz w:val="20"/>
          <w:szCs w:val="20"/>
          <w:color w:val="auto"/>
        </w:rPr>
      </w:pPr>
      <w:r>
        <w:rPr>
          <w:rFonts w:ascii="Arial" w:cs="Arial" w:eastAsia="Arial" w:hAnsi="Arial"/>
          <w:sz w:val="13"/>
          <w:szCs w:val="13"/>
          <w:b w:val="1"/>
          <w:bCs w:val="1"/>
          <w:color w:val="005A64"/>
        </w:rPr>
        <w:t>B. Memorandum and Articles of Association</w:t>
      </w:r>
    </w:p>
    <w:p>
      <w:pPr>
        <w:ind w:left="380"/>
        <w:spacing w:after="0" w:line="211" w:lineRule="auto"/>
        <w:rPr>
          <w:sz w:val="20"/>
          <w:szCs w:val="20"/>
          <w:color w:val="auto"/>
        </w:rPr>
      </w:pPr>
      <w:r>
        <w:rPr>
          <w:rFonts w:ascii="Arial" w:cs="Arial" w:eastAsia="Arial" w:hAnsi="Arial"/>
          <w:sz w:val="13"/>
          <w:szCs w:val="13"/>
          <w:color w:val="005A64"/>
        </w:rPr>
        <w:t>General</w:t>
      </w:r>
    </w:p>
    <w:p>
      <w:pPr>
        <w:ind w:left="380" w:right="2080"/>
        <w:spacing w:after="0" w:line="210" w:lineRule="auto"/>
        <w:rPr>
          <w:sz w:val="20"/>
          <w:szCs w:val="20"/>
          <w:color w:val="auto"/>
        </w:rPr>
      </w:pPr>
      <w:r>
        <w:rPr>
          <w:rFonts w:ascii="Arial" w:cs="Arial" w:eastAsia="Arial" w:hAnsi="Arial"/>
          <w:sz w:val="13"/>
          <w:szCs w:val="13"/>
          <w:color w:val="auto"/>
        </w:rPr>
        <w:t>We were incorporated as a German stock corporation (Aktiengesellschaft) with the legal name Petersberg 91. V AG under the laws of the Federal Republic of Germany on June 2, 2008. We changed our name to BioNTech AG on December 11, 2008. Effective as of March 8, 2019, the date on which the change of legal form and company was registered with the commercial register (</w:t>
      </w:r>
      <w:r>
        <w:rPr>
          <w:rFonts w:ascii="Arial" w:cs="Arial" w:eastAsia="Arial" w:hAnsi="Arial"/>
          <w:sz w:val="13"/>
          <w:szCs w:val="13"/>
          <w:i w:val="1"/>
          <w:iCs w:val="1"/>
          <w:color w:val="auto"/>
        </w:rPr>
        <w:t>Handelsregister</w:t>
      </w:r>
      <w:r>
        <w:rPr>
          <w:rFonts w:ascii="Arial" w:cs="Arial" w:eastAsia="Arial" w:hAnsi="Arial"/>
          <w:sz w:val="13"/>
          <w:szCs w:val="13"/>
          <w:color w:val="auto"/>
        </w:rPr>
        <w:t>) of the local court (</w:t>
      </w:r>
      <w:r>
        <w:rPr>
          <w:rFonts w:ascii="Arial" w:cs="Arial" w:eastAsia="Arial" w:hAnsi="Arial"/>
          <w:sz w:val="13"/>
          <w:szCs w:val="13"/>
          <w:i w:val="1"/>
          <w:iCs w:val="1"/>
          <w:color w:val="auto"/>
        </w:rPr>
        <w:t>Amtsgericht</w:t>
      </w:r>
      <w:r>
        <w:rPr>
          <w:rFonts w:ascii="Arial" w:cs="Arial" w:eastAsia="Arial" w:hAnsi="Arial"/>
          <w:sz w:val="13"/>
          <w:szCs w:val="13"/>
          <w:color w:val="auto"/>
        </w:rPr>
        <w:t>) of Mainz, Germany, we converted to a Societas Europaea with the legal name BioNTech SE. We completed our initial public offering in October 2019. The principal legislation under which we operate and our shares are issued are the Council Regulation (EC) No 2157/2001 of October 8, 2001 on the Statute for a European company (SE), the German Law on the Implementation of Council Regulation (EC) No 2157/2001 of October 8, 2001 on the Statute for a European company (SE) (</w:t>
      </w:r>
      <w:r>
        <w:rPr>
          <w:rFonts w:ascii="Arial" w:cs="Arial" w:eastAsia="Arial" w:hAnsi="Arial"/>
          <w:sz w:val="13"/>
          <w:szCs w:val="13"/>
          <w:i w:val="1"/>
          <w:iCs w:val="1"/>
          <w:color w:val="auto"/>
        </w:rPr>
        <w:t>Gesetz zur Ausführung der Verordnung (EG) NR. 2157/2001 des Rates vom 8.</w:t>
      </w:r>
      <w:r>
        <w:rPr>
          <w:rFonts w:ascii="Arial" w:cs="Arial" w:eastAsia="Arial" w:hAnsi="Arial"/>
          <w:sz w:val="13"/>
          <w:szCs w:val="13"/>
          <w:color w:val="auto"/>
        </w:rPr>
        <w:t xml:space="preserve"> </w:t>
      </w:r>
      <w:r>
        <w:rPr>
          <w:rFonts w:ascii="Arial" w:cs="Arial" w:eastAsia="Arial" w:hAnsi="Arial"/>
          <w:sz w:val="13"/>
          <w:szCs w:val="13"/>
          <w:i w:val="1"/>
          <w:iCs w:val="1"/>
          <w:color w:val="auto"/>
        </w:rPr>
        <w:t>Oktober 2001 über das Statut der Europäischen Gesellschaft (SE) (SE-Ausführungsgesetz—SEAG)</w:t>
      </w:r>
      <w:r>
        <w:rPr>
          <w:rFonts w:ascii="Arial" w:cs="Arial" w:eastAsia="Arial" w:hAnsi="Arial"/>
          <w:sz w:val="13"/>
          <w:szCs w:val="13"/>
          <w:color w:val="auto"/>
        </w:rPr>
        <w:t>) and the</w:t>
      </w:r>
      <w:r>
        <w:rPr>
          <w:rFonts w:ascii="Arial" w:cs="Arial" w:eastAsia="Arial" w:hAnsi="Arial"/>
          <w:sz w:val="13"/>
          <w:szCs w:val="13"/>
          <w:i w:val="1"/>
          <w:iCs w:val="1"/>
          <w:color w:val="auto"/>
        </w:rPr>
        <w:t xml:space="preserve"> </w:t>
      </w:r>
      <w:r>
        <w:rPr>
          <w:rFonts w:ascii="Arial" w:cs="Arial" w:eastAsia="Arial" w:hAnsi="Arial"/>
          <w:sz w:val="13"/>
          <w:szCs w:val="13"/>
          <w:color w:val="auto"/>
        </w:rPr>
        <w:t>German Stock Corporation Act (Aktiengesetz), in each case as amended.</w:t>
      </w:r>
    </w:p>
    <w:p>
      <w:pPr>
        <w:spacing w:after="0" w:line="7" w:lineRule="exact"/>
        <w:rPr>
          <w:sz w:val="20"/>
          <w:szCs w:val="20"/>
          <w:color w:val="auto"/>
        </w:rPr>
      </w:pPr>
    </w:p>
    <w:p>
      <w:pPr>
        <w:ind w:left="380" w:right="2060"/>
        <w:spacing w:after="0" w:line="210" w:lineRule="auto"/>
        <w:rPr>
          <w:sz w:val="20"/>
          <w:szCs w:val="20"/>
          <w:color w:val="auto"/>
        </w:rPr>
      </w:pPr>
      <w:r>
        <w:rPr>
          <w:rFonts w:ascii="Arial" w:cs="Arial" w:eastAsia="Arial" w:hAnsi="Arial"/>
          <w:sz w:val="13"/>
          <w:szCs w:val="13"/>
          <w:color w:val="auto"/>
        </w:rPr>
        <w:t>We are registered with the commercial register (</w:t>
      </w:r>
      <w:r>
        <w:rPr>
          <w:rFonts w:ascii="Arial" w:cs="Arial" w:eastAsia="Arial" w:hAnsi="Arial"/>
          <w:sz w:val="13"/>
          <w:szCs w:val="13"/>
          <w:i w:val="1"/>
          <w:iCs w:val="1"/>
          <w:color w:val="auto"/>
        </w:rPr>
        <w:t>Handelsregister</w:t>
      </w:r>
      <w:r>
        <w:rPr>
          <w:rFonts w:ascii="Arial" w:cs="Arial" w:eastAsia="Arial" w:hAnsi="Arial"/>
          <w:sz w:val="13"/>
          <w:szCs w:val="13"/>
          <w:color w:val="auto"/>
        </w:rPr>
        <w:t>) of the local court (</w:t>
      </w:r>
      <w:r>
        <w:rPr>
          <w:rFonts w:ascii="Arial" w:cs="Arial" w:eastAsia="Arial" w:hAnsi="Arial"/>
          <w:sz w:val="13"/>
          <w:szCs w:val="13"/>
          <w:i w:val="1"/>
          <w:iCs w:val="1"/>
          <w:color w:val="auto"/>
        </w:rPr>
        <w:t>Amtsgericht</w:t>
      </w:r>
      <w:r>
        <w:rPr>
          <w:rFonts w:ascii="Arial" w:cs="Arial" w:eastAsia="Arial" w:hAnsi="Arial"/>
          <w:sz w:val="13"/>
          <w:szCs w:val="13"/>
          <w:color w:val="auto"/>
        </w:rPr>
        <w:t>) in Mainz, Germany, under number HRB 48720. Our statutory seat is in Mainz, Germany, and our registered office is An der Goldgrube 12, 55131 Mainz, Germany. Copies of our Articles of Association (</w:t>
      </w:r>
      <w:r>
        <w:rPr>
          <w:rFonts w:ascii="Arial" w:cs="Arial" w:eastAsia="Arial" w:hAnsi="Arial"/>
          <w:sz w:val="13"/>
          <w:szCs w:val="13"/>
          <w:i w:val="1"/>
          <w:iCs w:val="1"/>
          <w:color w:val="auto"/>
        </w:rPr>
        <w:t>Satzung</w:t>
      </w:r>
      <w:r>
        <w:rPr>
          <w:rFonts w:ascii="Arial" w:cs="Arial" w:eastAsia="Arial" w:hAnsi="Arial"/>
          <w:sz w:val="13"/>
          <w:szCs w:val="13"/>
          <w:color w:val="auto"/>
        </w:rPr>
        <w:t>) are publicly available from the commercial register (</w:t>
      </w:r>
      <w:r>
        <w:rPr>
          <w:rFonts w:ascii="Arial" w:cs="Arial" w:eastAsia="Arial" w:hAnsi="Arial"/>
          <w:sz w:val="13"/>
          <w:szCs w:val="13"/>
          <w:i w:val="1"/>
          <w:iCs w:val="1"/>
          <w:color w:val="auto"/>
        </w:rPr>
        <w:t>Handelsregister</w:t>
      </w:r>
      <w:r>
        <w:rPr>
          <w:rFonts w:ascii="Arial" w:cs="Arial" w:eastAsia="Arial" w:hAnsi="Arial"/>
          <w:sz w:val="13"/>
          <w:szCs w:val="13"/>
          <w:color w:val="auto"/>
        </w:rPr>
        <w:t>) at the local court of Mainz, Germany, electronically at www.unternehmensregister.de and as an exhibit to this Annual Report.</w:t>
      </w:r>
    </w:p>
    <w:p>
      <w:pPr>
        <w:ind w:left="380"/>
        <w:spacing w:after="0" w:line="215" w:lineRule="auto"/>
        <w:rPr>
          <w:sz w:val="20"/>
          <w:szCs w:val="20"/>
          <w:color w:val="auto"/>
        </w:rPr>
      </w:pPr>
      <w:r>
        <w:rPr>
          <w:rFonts w:ascii="Arial" w:cs="Arial" w:eastAsia="Arial" w:hAnsi="Arial"/>
          <w:sz w:val="13"/>
          <w:szCs w:val="13"/>
          <w:color w:val="005A64"/>
        </w:rPr>
        <w:t>Share Capital</w:t>
      </w:r>
    </w:p>
    <w:p>
      <w:pPr>
        <w:ind w:left="380"/>
        <w:spacing w:after="0" w:line="211" w:lineRule="auto"/>
        <w:rPr>
          <w:sz w:val="20"/>
          <w:szCs w:val="20"/>
          <w:color w:val="auto"/>
        </w:rPr>
      </w:pPr>
      <w:r>
        <w:rPr>
          <w:rFonts w:ascii="Arial" w:cs="Arial" w:eastAsia="Arial" w:hAnsi="Arial"/>
          <w:sz w:val="13"/>
          <w:szCs w:val="13"/>
          <w:color w:val="auto"/>
        </w:rPr>
        <w:t>We have share capital registered in the commercial register (</w:t>
      </w:r>
      <w:r>
        <w:rPr>
          <w:rFonts w:ascii="Arial" w:cs="Arial" w:eastAsia="Arial" w:hAnsi="Arial"/>
          <w:sz w:val="13"/>
          <w:szCs w:val="13"/>
          <w:i w:val="1"/>
          <w:iCs w:val="1"/>
          <w:color w:val="auto"/>
        </w:rPr>
        <w:t>Handelsregister</w:t>
      </w:r>
      <w:r>
        <w:rPr>
          <w:rFonts w:ascii="Arial" w:cs="Arial" w:eastAsia="Arial" w:hAnsi="Arial"/>
          <w:sz w:val="13"/>
          <w:szCs w:val="13"/>
          <w:color w:val="auto"/>
        </w:rPr>
        <w:t>) in the amount of €248,552,200,</w:t>
      </w:r>
    </w:p>
    <w:p>
      <w:pPr>
        <w:ind w:left="380"/>
        <w:spacing w:after="0" w:line="211" w:lineRule="auto"/>
        <w:rPr>
          <w:sz w:val="20"/>
          <w:szCs w:val="20"/>
          <w:color w:val="auto"/>
        </w:rPr>
      </w:pPr>
      <w:r>
        <w:rPr>
          <w:rFonts w:ascii="Arial" w:cs="Arial" w:eastAsia="Arial" w:hAnsi="Arial"/>
          <w:sz w:val="13"/>
          <w:szCs w:val="13"/>
          <w:color w:val="auto"/>
        </w:rPr>
        <w:t>which is divided into 248,552,200 registered shares (</w:t>
      </w:r>
      <w:r>
        <w:rPr>
          <w:rFonts w:ascii="Arial" w:cs="Arial" w:eastAsia="Arial" w:hAnsi="Arial"/>
          <w:sz w:val="13"/>
          <w:szCs w:val="13"/>
          <w:i w:val="1"/>
          <w:iCs w:val="1"/>
          <w:color w:val="auto"/>
        </w:rPr>
        <w:t>Namensaktien</w:t>
      </w:r>
      <w:r>
        <w:rPr>
          <w:rFonts w:ascii="Arial" w:cs="Arial" w:eastAsia="Arial" w:hAnsi="Arial"/>
          <w:sz w:val="13"/>
          <w:szCs w:val="13"/>
          <w:color w:val="auto"/>
        </w:rPr>
        <w:t>). All shares are shares with no par value</w:t>
      </w:r>
    </w:p>
    <w:p>
      <w:pPr>
        <w:ind w:left="380"/>
        <w:spacing w:after="0" w:line="21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Stückaktien ohne Nennbetrag</w:t>
      </w:r>
      <w:r>
        <w:rPr>
          <w:rFonts w:ascii="Arial" w:cs="Arial" w:eastAsia="Arial" w:hAnsi="Arial"/>
          <w:sz w:val="13"/>
          <w:szCs w:val="13"/>
          <w:color w:val="auto"/>
        </w:rPr>
        <w:t>) with a notional amount attributable to each ordinary share of €1.00. Each issued</w:t>
      </w:r>
    </w:p>
    <w:p>
      <w:pPr>
        <w:ind w:left="380"/>
        <w:spacing w:after="0" w:line="211" w:lineRule="auto"/>
        <w:rPr>
          <w:sz w:val="20"/>
          <w:szCs w:val="20"/>
          <w:color w:val="auto"/>
        </w:rPr>
      </w:pPr>
      <w:r>
        <w:rPr>
          <w:rFonts w:ascii="Arial" w:cs="Arial" w:eastAsia="Arial" w:hAnsi="Arial"/>
          <w:sz w:val="13"/>
          <w:szCs w:val="13"/>
          <w:color w:val="auto"/>
        </w:rPr>
        <w:t>ordinary share is fully paid.</w:t>
      </w:r>
    </w:p>
    <w:p>
      <w:pPr>
        <w:ind w:left="380"/>
        <w:spacing w:after="0" w:line="211" w:lineRule="auto"/>
        <w:rPr>
          <w:sz w:val="20"/>
          <w:szCs w:val="20"/>
          <w:color w:val="auto"/>
        </w:rPr>
      </w:pPr>
      <w:r>
        <w:rPr>
          <w:rFonts w:ascii="Arial" w:cs="Arial" w:eastAsia="Arial" w:hAnsi="Arial"/>
          <w:sz w:val="13"/>
          <w:szCs w:val="13"/>
          <w:color w:val="005A64"/>
        </w:rPr>
        <w:t>Form, Certification and Transferability of Shares</w:t>
      </w:r>
    </w:p>
    <w:p>
      <w:pPr>
        <w:ind w:left="380" w:right="2320"/>
        <w:spacing w:after="0" w:line="218" w:lineRule="auto"/>
        <w:rPr>
          <w:sz w:val="20"/>
          <w:szCs w:val="20"/>
          <w:color w:val="auto"/>
        </w:rPr>
      </w:pPr>
      <w:r>
        <w:rPr>
          <w:rFonts w:ascii="Arial" w:cs="Arial" w:eastAsia="Arial" w:hAnsi="Arial"/>
          <w:sz w:val="13"/>
          <w:szCs w:val="13"/>
          <w:color w:val="auto"/>
        </w:rPr>
        <w:t>The form and contents of our share certificates, collective share certificates and global share certificates are determined by our Management Board. A shareholder’s right to certification of its shares is excluded, to the extent permitted by law and to the extent that certification is not required by the stock exchange on which the shares or rights or certificates representing them are admitted to trading. We are permitted to issue collective share certificates and global share certificates that represent multiple or all of our shares. Our shares are freely transferable under German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222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005A64"/>
        </w:rPr>
        <w:t>Changes in Our Share Capital During the Last Three Financial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340"/>
        <w:spacing w:after="0" w:line="210" w:lineRule="auto"/>
        <w:rPr>
          <w:sz w:val="20"/>
          <w:szCs w:val="20"/>
          <w:color w:val="auto"/>
        </w:rPr>
      </w:pPr>
      <w:r>
        <w:rPr>
          <w:rFonts w:ascii="Arial" w:cs="Arial" w:eastAsia="Arial" w:hAnsi="Arial"/>
          <w:sz w:val="13"/>
          <w:szCs w:val="13"/>
          <w:color w:val="auto"/>
        </w:rPr>
        <w:t>Our share capital as registered with the commercial register (</w:t>
      </w:r>
      <w:r>
        <w:rPr>
          <w:rFonts w:ascii="Arial" w:cs="Arial" w:eastAsia="Arial" w:hAnsi="Arial"/>
          <w:sz w:val="13"/>
          <w:szCs w:val="13"/>
          <w:i w:val="1"/>
          <w:iCs w:val="1"/>
          <w:color w:val="auto"/>
        </w:rPr>
        <w:t>Handelsregister</w:t>
      </w:r>
      <w:r>
        <w:rPr>
          <w:rFonts w:ascii="Arial" w:cs="Arial" w:eastAsia="Arial" w:hAnsi="Arial"/>
          <w:sz w:val="13"/>
          <w:szCs w:val="13"/>
          <w:color w:val="auto"/>
        </w:rPr>
        <w:t>) amounts to € 248,552,200, including an amount of €8,581,396 relating to 8,581,396 ordinary shares held in treasury as of December 31, 2024. Since January 1, 2022, our share capital has changed as follows:</w:t>
      </w:r>
    </w:p>
    <w:p>
      <w:pPr>
        <w:spacing w:after="0" w:line="2" w:lineRule="exact"/>
        <w:rPr>
          <w:sz w:val="20"/>
          <w:szCs w:val="20"/>
          <w:color w:val="auto"/>
        </w:rPr>
      </w:pPr>
    </w:p>
    <w:p>
      <w:pPr>
        <w:ind w:left="380" w:right="2640"/>
        <w:spacing w:after="0" w:line="210" w:lineRule="auto"/>
        <w:rPr>
          <w:sz w:val="20"/>
          <w:szCs w:val="20"/>
          <w:color w:val="auto"/>
        </w:rPr>
      </w:pPr>
      <w:r>
        <w:rPr>
          <w:rFonts w:ascii="Arial" w:cs="Arial" w:eastAsia="Arial" w:hAnsi="Arial"/>
          <w:sz w:val="13"/>
          <w:szCs w:val="13"/>
          <w:color w:val="auto"/>
        </w:rPr>
        <w:t>•On March 24, 2022, our share capital as registered with the commercial register (</w:t>
      </w:r>
      <w:r>
        <w:rPr>
          <w:rFonts w:ascii="Arial" w:cs="Arial" w:eastAsia="Arial" w:hAnsi="Arial"/>
          <w:sz w:val="13"/>
          <w:szCs w:val="13"/>
          <w:i w:val="1"/>
          <w:iCs w:val="1"/>
          <w:color w:val="auto"/>
        </w:rPr>
        <w:t>Handelsregister</w:t>
      </w:r>
      <w:r>
        <w:rPr>
          <w:rFonts w:ascii="Arial" w:cs="Arial" w:eastAsia="Arial" w:hAnsi="Arial"/>
          <w:sz w:val="13"/>
          <w:szCs w:val="13"/>
          <w:color w:val="auto"/>
        </w:rPr>
        <w:t>) was increased by issuing 497,727 shares; and</w:t>
      </w:r>
    </w:p>
    <w:p>
      <w:pPr>
        <w:spacing w:after="0" w:line="1" w:lineRule="exact"/>
        <w:rPr>
          <w:sz w:val="20"/>
          <w:szCs w:val="20"/>
          <w:color w:val="auto"/>
        </w:rPr>
      </w:pPr>
    </w:p>
    <w:p>
      <w:pPr>
        <w:ind w:left="380" w:right="2760"/>
        <w:spacing w:after="0" w:line="210" w:lineRule="auto"/>
        <w:rPr>
          <w:sz w:val="20"/>
          <w:szCs w:val="20"/>
          <w:color w:val="auto"/>
        </w:rPr>
      </w:pPr>
      <w:r>
        <w:rPr>
          <w:rFonts w:ascii="Arial" w:cs="Arial" w:eastAsia="Arial" w:hAnsi="Arial"/>
          <w:sz w:val="13"/>
          <w:szCs w:val="13"/>
          <w:color w:val="auto"/>
        </w:rPr>
        <w:t>•On May 20, 2022, our share capital as registered with the commercial register (</w:t>
      </w:r>
      <w:r>
        <w:rPr>
          <w:rFonts w:ascii="Arial" w:cs="Arial" w:eastAsia="Arial" w:hAnsi="Arial"/>
          <w:sz w:val="13"/>
          <w:szCs w:val="13"/>
          <w:i w:val="1"/>
          <w:iCs w:val="1"/>
          <w:color w:val="auto"/>
        </w:rPr>
        <w:t>Handelsregister</w:t>
      </w:r>
      <w:r>
        <w:rPr>
          <w:rFonts w:ascii="Arial" w:cs="Arial" w:eastAsia="Arial" w:hAnsi="Arial"/>
          <w:sz w:val="13"/>
          <w:szCs w:val="13"/>
          <w:color w:val="auto"/>
        </w:rPr>
        <w:t>) was increased by issuing 1,744,392 shares.</w:t>
      </w:r>
    </w:p>
    <w:p>
      <w:pPr>
        <w:ind w:left="380"/>
        <w:spacing w:after="0" w:line="212" w:lineRule="auto"/>
        <w:rPr>
          <w:sz w:val="20"/>
          <w:szCs w:val="20"/>
          <w:color w:val="auto"/>
        </w:rPr>
      </w:pPr>
      <w:r>
        <w:rPr>
          <w:rFonts w:ascii="Arial" w:cs="Arial" w:eastAsia="Arial" w:hAnsi="Arial"/>
          <w:sz w:val="13"/>
          <w:szCs w:val="13"/>
          <w:color w:val="005A64"/>
        </w:rPr>
        <w:t>Anti-takeover Provisions of Our Charter Documents</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Our Articles of Association (</w:t>
      </w:r>
      <w:r>
        <w:rPr>
          <w:rFonts w:ascii="Arial" w:cs="Arial" w:eastAsia="Arial" w:hAnsi="Arial"/>
          <w:sz w:val="13"/>
          <w:szCs w:val="13"/>
          <w:i w:val="1"/>
          <w:iCs w:val="1"/>
          <w:color w:val="auto"/>
        </w:rPr>
        <w:t>Satzung</w:t>
      </w:r>
      <w:r>
        <w:rPr>
          <w:rFonts w:ascii="Arial" w:cs="Arial" w:eastAsia="Arial" w:hAnsi="Arial"/>
          <w:sz w:val="13"/>
          <w:szCs w:val="13"/>
          <w:color w:val="auto"/>
        </w:rPr>
        <w:t>) do not include any provisions that would have a direct effect of delaying, deferring or preventing a change of control. However, in the event of a hostile takeover, we could use our authorized capital to increase our share capital to issue new shares to an investor at a premium. An increase in the number of shares outstanding could have a negative effect on a party’s ability to carry out a hostile takeover. The provisions of German law relating to public bids and takeovers that require any such bids to be carried out in a manner designed to safeguard equal and fair treatment to all shareholders and give them a right to be bought out at an adequate compensation where a party acquires “control” (as such term is defined in such provisions) over the relevant company do not apply.</w:t>
      </w:r>
    </w:p>
    <w:p>
      <w:pPr>
        <w:ind w:left="380"/>
        <w:spacing w:after="0" w:line="218" w:lineRule="auto"/>
        <w:rPr>
          <w:sz w:val="20"/>
          <w:szCs w:val="20"/>
          <w:color w:val="auto"/>
        </w:rPr>
      </w:pPr>
      <w:r>
        <w:rPr>
          <w:rFonts w:ascii="Arial" w:cs="Arial" w:eastAsia="Arial" w:hAnsi="Arial"/>
          <w:sz w:val="13"/>
          <w:szCs w:val="13"/>
          <w:color w:val="005A64"/>
        </w:rPr>
        <w:t>Future Changes to the Share Capital</w:t>
      </w:r>
    </w:p>
    <w:p>
      <w:pPr>
        <w:ind w:left="380"/>
        <w:spacing w:after="0" w:line="211" w:lineRule="auto"/>
        <w:rPr>
          <w:sz w:val="20"/>
          <w:szCs w:val="20"/>
          <w:color w:val="auto"/>
        </w:rPr>
      </w:pPr>
      <w:r>
        <w:rPr>
          <w:rFonts w:ascii="Arial" w:cs="Arial" w:eastAsia="Arial" w:hAnsi="Arial"/>
          <w:sz w:val="13"/>
          <w:szCs w:val="13"/>
          <w:b w:val="1"/>
          <w:bCs w:val="1"/>
          <w:color w:val="auto"/>
        </w:rPr>
        <w:t>Authorized Capital</w:t>
      </w:r>
    </w:p>
    <w:p>
      <w:pPr>
        <w:ind w:left="380" w:right="2100"/>
        <w:spacing w:after="0" w:line="218" w:lineRule="auto"/>
        <w:rPr>
          <w:sz w:val="20"/>
          <w:szCs w:val="20"/>
          <w:color w:val="auto"/>
        </w:rPr>
      </w:pPr>
      <w:r>
        <w:rPr>
          <w:rFonts w:ascii="Arial" w:cs="Arial" w:eastAsia="Arial" w:hAnsi="Arial"/>
          <w:sz w:val="13"/>
          <w:szCs w:val="13"/>
          <w:color w:val="auto"/>
        </w:rPr>
        <w:t>Under the relevant law, the general meeting of a European stock corporation (Societas Europaea) governed by German law can authorize the Management Board, with the consent of the Supervisory Board, to issue shares in a specified aggregate nominal amount of up to 50% of the issued share capital of such company at the time the resolution becomes effective. The shareholders’ authorization becomes effective upon registration in the commercial register (</w:t>
      </w:r>
      <w:r>
        <w:rPr>
          <w:rFonts w:ascii="Arial" w:cs="Arial" w:eastAsia="Arial" w:hAnsi="Arial"/>
          <w:sz w:val="13"/>
          <w:szCs w:val="13"/>
          <w:i w:val="1"/>
          <w:iCs w:val="1"/>
          <w:color w:val="auto"/>
        </w:rPr>
        <w:t>Handelsregister</w:t>
      </w:r>
      <w:r>
        <w:rPr>
          <w:rFonts w:ascii="Arial" w:cs="Arial" w:eastAsia="Arial" w:hAnsi="Arial"/>
          <w:sz w:val="13"/>
          <w:szCs w:val="13"/>
          <w:color w:val="auto"/>
        </w:rPr>
        <w:t>) and is valid for a maximum period of five years. Under § 4(5) of our Articles of Association (</w:t>
      </w:r>
      <w:r>
        <w:rPr>
          <w:rFonts w:ascii="Arial" w:cs="Arial" w:eastAsia="Arial" w:hAnsi="Arial"/>
          <w:sz w:val="13"/>
          <w:szCs w:val="13"/>
          <w:i w:val="1"/>
          <w:iCs w:val="1"/>
          <w:color w:val="auto"/>
        </w:rPr>
        <w:t>Satzung</w:t>
      </w:r>
      <w:r>
        <w:rPr>
          <w:rFonts w:ascii="Arial" w:cs="Arial" w:eastAsia="Arial" w:hAnsi="Arial"/>
          <w:sz w:val="13"/>
          <w:szCs w:val="13"/>
          <w:color w:val="auto"/>
        </w:rPr>
        <w:t>), the Management Board is authorized to increase our share capital, on one or</w:t>
      </w:r>
    </w:p>
    <w:p>
      <w:pPr>
        <w:sectPr>
          <w:pgSz w:w="11900" w:h="16840" w:orient="portrait"/>
          <w:cols w:equalWidth="0" w:num="1">
            <w:col w:w="9020"/>
          </w:cols>
          <w:pgMar w:left="1440" w:top="1440" w:right="1440" w:bottom="40" w:gutter="0" w:footer="0" w:header="0"/>
        </w:sectPr>
      </w:pPr>
    </w:p>
    <w:bookmarkStart w:id="154" w:name="page155"/>
    <w:bookmarkEnd w:id="154"/>
    <w:p>
      <w:pPr>
        <w:ind w:left="380" w:right="2160"/>
        <w:spacing w:after="0" w:line="217" w:lineRule="auto"/>
        <w:rPr>
          <w:sz w:val="20"/>
          <w:szCs w:val="20"/>
          <w:color w:val="auto"/>
        </w:rPr>
      </w:pPr>
      <w:r>
        <w:rPr>
          <w:rFonts w:ascii="Arial" w:cs="Arial" w:eastAsia="Arial" w:hAnsi="Arial"/>
          <w:sz w:val="13"/>
          <w:szCs w:val="13"/>
          <w:color w:val="auto"/>
        </w:rPr>
        <w:t>more occasions, by a total of up to €122,657,313 by issuing, on one or more occasions, up to 122,657,313 new, registered shares with no par value (</w:t>
      </w:r>
      <w:r>
        <w:rPr>
          <w:rFonts w:ascii="Arial" w:cs="Arial" w:eastAsia="Arial" w:hAnsi="Arial"/>
          <w:sz w:val="13"/>
          <w:szCs w:val="13"/>
          <w:i w:val="1"/>
          <w:iCs w:val="1"/>
          <w:color w:val="auto"/>
        </w:rPr>
        <w:t>Genehmigtes Kapital</w:t>
      </w:r>
      <w:r>
        <w:rPr>
          <w:rFonts w:ascii="Arial" w:cs="Arial" w:eastAsia="Arial" w:hAnsi="Arial"/>
          <w:sz w:val="13"/>
          <w:szCs w:val="13"/>
          <w:color w:val="auto"/>
        </w:rPr>
        <w:t xml:space="preserve"> ) in return for cash contributions or contributions in kind, in each case with consent of the Supervisory Board. This authorization expires on June 21, 2026.</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Any new shares issued from the authorized capital will participate in the profits starting with the financial year for which the annual financial statements have not yet been submitted to the general meeting at the time of registration of the implementation of the capital increase. Further details of a capital increase from the authorized capital may be specified by the Management Board.</w:t>
      </w:r>
    </w:p>
    <w:p>
      <w:pPr>
        <w:ind w:left="380"/>
        <w:spacing w:after="0" w:line="214" w:lineRule="auto"/>
        <w:rPr>
          <w:sz w:val="20"/>
          <w:szCs w:val="20"/>
          <w:color w:val="auto"/>
        </w:rPr>
      </w:pPr>
      <w:r>
        <w:rPr>
          <w:rFonts w:ascii="Arial" w:cs="Arial" w:eastAsia="Arial" w:hAnsi="Arial"/>
          <w:sz w:val="13"/>
          <w:szCs w:val="13"/>
          <w:b w:val="1"/>
          <w:bCs w:val="1"/>
          <w:color w:val="auto"/>
        </w:rPr>
        <w:t>Conditional Capital</w:t>
      </w:r>
    </w:p>
    <w:p>
      <w:pPr>
        <w:ind w:left="380" w:right="2100"/>
        <w:spacing w:after="0" w:line="210" w:lineRule="auto"/>
        <w:rPr>
          <w:sz w:val="20"/>
          <w:szCs w:val="20"/>
          <w:color w:val="auto"/>
        </w:rPr>
      </w:pPr>
      <w:r>
        <w:rPr>
          <w:rFonts w:ascii="Arial" w:cs="Arial" w:eastAsia="Arial" w:hAnsi="Arial"/>
          <w:sz w:val="13"/>
          <w:szCs w:val="13"/>
          <w:color w:val="auto"/>
        </w:rPr>
        <w:t>Pursuant to § 4(6) of our Articles of Association (</w:t>
      </w:r>
      <w:r>
        <w:rPr>
          <w:rFonts w:ascii="Arial" w:cs="Arial" w:eastAsia="Arial" w:hAnsi="Arial"/>
          <w:sz w:val="13"/>
          <w:szCs w:val="13"/>
          <w:i w:val="1"/>
          <w:iCs w:val="1"/>
          <w:color w:val="auto"/>
        </w:rPr>
        <w:t>Satzung</w:t>
      </w:r>
      <w:r>
        <w:rPr>
          <w:rFonts w:ascii="Arial" w:cs="Arial" w:eastAsia="Arial" w:hAnsi="Arial"/>
          <w:sz w:val="13"/>
          <w:szCs w:val="13"/>
          <w:color w:val="auto"/>
        </w:rPr>
        <w:t>), our share capital is conditionally increased by €4,943,452 through issuance of new registered shares with no par value, or Conditional Capital ESOP 2027/2019 (</w:t>
      </w:r>
      <w:r>
        <w:rPr>
          <w:rFonts w:ascii="Arial" w:cs="Arial" w:eastAsia="Arial" w:hAnsi="Arial"/>
          <w:sz w:val="13"/>
          <w:szCs w:val="13"/>
          <w:i w:val="1"/>
          <w:iCs w:val="1"/>
          <w:color w:val="auto"/>
        </w:rPr>
        <w:t>Bedingtes Kapital ESOP 2017/2019</w:t>
      </w:r>
      <w:r>
        <w:rPr>
          <w:rFonts w:ascii="Arial" w:cs="Arial" w:eastAsia="Arial" w:hAnsi="Arial"/>
          <w:sz w:val="13"/>
          <w:szCs w:val="13"/>
          <w:color w:val="auto"/>
        </w:rPr>
        <w:t>). The Conditional Capital ESOP 2017/2019 may only be used to issue shares to the holders of option rights granted under the authorization for the Conditional Capital ESOP 2017/2019, or the Authorization 2017/2019.</w:t>
      </w:r>
    </w:p>
    <w:p>
      <w:pPr>
        <w:spacing w:after="0" w:line="3" w:lineRule="exact"/>
        <w:rPr>
          <w:sz w:val="20"/>
          <w:szCs w:val="20"/>
          <w:color w:val="auto"/>
        </w:rPr>
      </w:pPr>
    </w:p>
    <w:p>
      <w:pPr>
        <w:ind w:left="380" w:right="2080"/>
        <w:spacing w:after="0" w:line="217" w:lineRule="auto"/>
        <w:rPr>
          <w:sz w:val="20"/>
          <w:szCs w:val="20"/>
          <w:color w:val="auto"/>
        </w:rPr>
      </w:pPr>
      <w:r>
        <w:rPr>
          <w:rFonts w:ascii="Arial" w:cs="Arial" w:eastAsia="Arial" w:hAnsi="Arial"/>
          <w:sz w:val="13"/>
          <w:szCs w:val="13"/>
          <w:color w:val="auto"/>
        </w:rPr>
        <w:t>The conditional capital increase will only be implemented to the extent that stock options under the Authorization 2017/2019 are exercised and such stock options are not serviced by our providing treasury shares or through cash payments. Any new shares issued under the Conditional Capital ESOP 2017/2019 pursuant to § 4(6) of our Articles of Association (</w:t>
      </w:r>
      <w:r>
        <w:rPr>
          <w:rFonts w:ascii="Arial" w:cs="Arial" w:eastAsia="Arial" w:hAnsi="Arial"/>
          <w:sz w:val="13"/>
          <w:szCs w:val="13"/>
          <w:i w:val="1"/>
          <w:iCs w:val="1"/>
          <w:color w:val="auto"/>
        </w:rPr>
        <w:t>Satzung</w:t>
      </w:r>
      <w:r>
        <w:rPr>
          <w:rFonts w:ascii="Arial" w:cs="Arial" w:eastAsia="Arial" w:hAnsi="Arial"/>
          <w:sz w:val="13"/>
          <w:szCs w:val="13"/>
          <w:color w:val="auto"/>
        </w:rPr>
        <w:t>) shall be entitled to dividends from the beginning of the previous financial year in case they are created by the exercise of subscription rights until the start of the Annual General Meeting of the Company and otherwise from the beginning of the financial year in which they are created as a result of the exercise of the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223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Pursuant to § 4(7) of our Articles of Association (</w:t>
      </w:r>
      <w:r>
        <w:rPr>
          <w:rFonts w:ascii="Arial" w:cs="Arial" w:eastAsia="Arial" w:hAnsi="Arial"/>
          <w:sz w:val="13"/>
          <w:szCs w:val="13"/>
          <w:i w:val="1"/>
          <w:iCs w:val="1"/>
          <w:color w:val="auto"/>
        </w:rPr>
        <w:t>Satzung</w:t>
      </w:r>
      <w:r>
        <w:rPr>
          <w:rFonts w:ascii="Arial" w:cs="Arial" w:eastAsia="Arial" w:hAnsi="Arial"/>
          <w:sz w:val="13"/>
          <w:szCs w:val="13"/>
          <w:color w:val="auto"/>
        </w:rPr>
        <w:t>), our share capital is conditionally increased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20"/>
        <w:spacing w:after="0" w:line="210" w:lineRule="auto"/>
        <w:rPr>
          <w:sz w:val="20"/>
          <w:szCs w:val="20"/>
          <w:color w:val="auto"/>
        </w:rPr>
      </w:pPr>
      <w:r>
        <w:rPr>
          <w:rFonts w:ascii="Arial" w:cs="Arial" w:eastAsia="Arial" w:hAnsi="Arial"/>
          <w:sz w:val="13"/>
          <w:szCs w:val="13"/>
          <w:color w:val="auto"/>
        </w:rPr>
        <w:t>€24,855,220 through issuance of new registered shares with no par value, or Conditional Capital WSV 2024 (</w:t>
      </w:r>
      <w:r>
        <w:rPr>
          <w:rFonts w:ascii="Arial" w:cs="Arial" w:eastAsia="Arial" w:hAnsi="Arial"/>
          <w:sz w:val="13"/>
          <w:szCs w:val="13"/>
          <w:i w:val="1"/>
          <w:iCs w:val="1"/>
          <w:color w:val="auto"/>
        </w:rPr>
        <w:t>Bedingtes Kapital WSV 2024</w:t>
      </w:r>
      <w:r>
        <w:rPr>
          <w:rFonts w:ascii="Arial" w:cs="Arial" w:eastAsia="Arial" w:hAnsi="Arial"/>
          <w:sz w:val="13"/>
          <w:szCs w:val="13"/>
          <w:color w:val="auto"/>
        </w:rPr>
        <w:t>). The conditional capital may only be used to issue shares to the holders or creditors of option rights or conversion rights or those under an obligation to convert under warrant-linked or convertible bonds avail of their option rights or conversion rights or where they are under an obligation to convert, to the extent they satisfy their obligation to convert, or to the extent that we exercise a right to choose to grant our shares, in whole or in part instead of paying a monetary amount due, and to the extent cash compensation is not granted in each relevant case or treasury shares or shares of another stock-listed company are not utilized for servicing.</w:t>
      </w:r>
    </w:p>
    <w:p>
      <w:pPr>
        <w:spacing w:after="0" w:line="5"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Any new shares issued under the said Conditional Capital WSV 2024 pursuant to § 4(7) of our Articles of Association (</w:t>
      </w:r>
      <w:r>
        <w:rPr>
          <w:rFonts w:ascii="Arial" w:cs="Arial" w:eastAsia="Arial" w:hAnsi="Arial"/>
          <w:sz w:val="13"/>
          <w:szCs w:val="13"/>
          <w:i w:val="1"/>
          <w:iCs w:val="1"/>
          <w:color w:val="auto"/>
        </w:rPr>
        <w:t>Satzung</w:t>
      </w:r>
      <w:r>
        <w:rPr>
          <w:rFonts w:ascii="Arial" w:cs="Arial" w:eastAsia="Arial" w:hAnsi="Arial"/>
          <w:sz w:val="13"/>
          <w:szCs w:val="13"/>
          <w:color w:val="auto"/>
        </w:rPr>
        <w:t>) shall carry an entitlement to dividends from the beginning of the financial year in which they are created; however, as far as the law permits, the Management Board can confer dividend rights for new shares in derogation of the foregoing.</w:t>
      </w:r>
    </w:p>
    <w:p>
      <w:pPr>
        <w:ind w:left="380"/>
        <w:spacing w:after="0" w:line="214" w:lineRule="auto"/>
        <w:rPr>
          <w:sz w:val="20"/>
          <w:szCs w:val="20"/>
          <w:color w:val="auto"/>
        </w:rPr>
      </w:pPr>
      <w:r>
        <w:rPr>
          <w:rFonts w:ascii="Arial" w:cs="Arial" w:eastAsia="Arial" w:hAnsi="Arial"/>
          <w:sz w:val="13"/>
          <w:szCs w:val="13"/>
          <w:color w:val="auto"/>
        </w:rPr>
        <w:t>Pursuant to § 4(8) of our Articles of Association (</w:t>
      </w:r>
      <w:r>
        <w:rPr>
          <w:rFonts w:ascii="Arial" w:cs="Arial" w:eastAsia="Arial" w:hAnsi="Arial"/>
          <w:sz w:val="13"/>
          <w:szCs w:val="13"/>
          <w:i w:val="1"/>
          <w:iCs w:val="1"/>
          <w:color w:val="auto"/>
        </w:rPr>
        <w:t>Satzung</w:t>
      </w:r>
      <w:r>
        <w:rPr>
          <w:rFonts w:ascii="Arial" w:cs="Arial" w:eastAsia="Arial" w:hAnsi="Arial"/>
          <w:sz w:val="13"/>
          <w:szCs w:val="13"/>
          <w:color w:val="auto"/>
        </w:rPr>
        <w:t>), our share capital is conditionally increased by</w:t>
      </w:r>
    </w:p>
    <w:p>
      <w:pPr>
        <w:ind w:left="380" w:right="2340"/>
        <w:spacing w:after="0" w:line="210" w:lineRule="auto"/>
        <w:rPr>
          <w:sz w:val="20"/>
          <w:szCs w:val="20"/>
          <w:color w:val="auto"/>
        </w:rPr>
      </w:pPr>
      <w:r>
        <w:rPr>
          <w:rFonts w:ascii="Arial" w:cs="Arial" w:eastAsia="Arial" w:hAnsi="Arial"/>
          <w:sz w:val="13"/>
          <w:szCs w:val="13"/>
          <w:color w:val="auto"/>
        </w:rPr>
        <w:t>€1,300,000 through issuance of new, registered shares with no par value, or Conditional Capital ESOP 2021 (</w:t>
      </w:r>
      <w:r>
        <w:rPr>
          <w:rFonts w:ascii="Arial" w:cs="Arial" w:eastAsia="Arial" w:hAnsi="Arial"/>
          <w:sz w:val="13"/>
          <w:szCs w:val="13"/>
          <w:i w:val="1"/>
          <w:iCs w:val="1"/>
          <w:color w:val="auto"/>
        </w:rPr>
        <w:t>Bedingtes Kapital ESOP 2021</w:t>
      </w:r>
      <w:r>
        <w:rPr>
          <w:rFonts w:ascii="Arial" w:cs="Arial" w:eastAsia="Arial" w:hAnsi="Arial"/>
          <w:sz w:val="13"/>
          <w:szCs w:val="13"/>
          <w:color w:val="auto"/>
        </w:rPr>
        <w:t>). The Conditional Capital ESOP 2021 serves exclusively to grant rights to the holders of stock options issued by the Company in accordance with the authorization granted by the Annual General Meeting on June 22, 2021 under agenda item 6 letter d) also as amended by the resolution of the Annual General Meeting on May 17, 2024 under agenda items 12 and 13, or the Authorization 2021.</w:t>
      </w:r>
    </w:p>
    <w:p>
      <w:pPr>
        <w:ind w:left="380"/>
        <w:spacing w:after="0" w:line="215" w:lineRule="auto"/>
        <w:rPr>
          <w:sz w:val="20"/>
          <w:szCs w:val="20"/>
          <w:color w:val="auto"/>
        </w:rPr>
      </w:pPr>
      <w:r>
        <w:rPr>
          <w:rFonts w:ascii="Arial" w:cs="Arial" w:eastAsia="Arial" w:hAnsi="Arial"/>
          <w:sz w:val="13"/>
          <w:szCs w:val="13"/>
          <w:color w:val="auto"/>
        </w:rPr>
        <w:t>The conditional capital increase will only be implemented to the extent that stock options under our ESOP are</w:t>
      </w:r>
    </w:p>
    <w:p>
      <w:pPr>
        <w:ind w:left="380"/>
        <w:spacing w:after="0" w:line="211" w:lineRule="auto"/>
        <w:rPr>
          <w:sz w:val="20"/>
          <w:szCs w:val="20"/>
          <w:color w:val="auto"/>
        </w:rPr>
      </w:pPr>
      <w:r>
        <w:rPr>
          <w:rFonts w:ascii="Arial" w:cs="Arial" w:eastAsia="Arial" w:hAnsi="Arial"/>
          <w:sz w:val="13"/>
          <w:szCs w:val="13"/>
          <w:color w:val="auto"/>
        </w:rPr>
        <w:t>exercised by the holders of the stock options issued by the Company on the basis of Authorization 2021 and</w:t>
      </w:r>
    </w:p>
    <w:p>
      <w:pPr>
        <w:ind w:left="380"/>
        <w:spacing w:after="0" w:line="211" w:lineRule="auto"/>
        <w:rPr>
          <w:sz w:val="20"/>
          <w:szCs w:val="20"/>
          <w:color w:val="auto"/>
        </w:rPr>
      </w:pPr>
      <w:r>
        <w:rPr>
          <w:rFonts w:ascii="Arial" w:cs="Arial" w:eastAsia="Arial" w:hAnsi="Arial"/>
          <w:sz w:val="13"/>
          <w:szCs w:val="13"/>
          <w:color w:val="auto"/>
        </w:rPr>
        <w:t>such stock options are not settled by the Company with treasury shares or through cash payments. Any new</w:t>
      </w:r>
    </w:p>
    <w:p>
      <w:pPr>
        <w:ind w:left="380"/>
        <w:spacing w:after="0" w:line="211" w:lineRule="auto"/>
        <w:rPr>
          <w:sz w:val="20"/>
          <w:szCs w:val="20"/>
          <w:color w:val="auto"/>
        </w:rPr>
      </w:pPr>
      <w:r>
        <w:rPr>
          <w:rFonts w:ascii="Arial" w:cs="Arial" w:eastAsia="Arial" w:hAnsi="Arial"/>
          <w:sz w:val="13"/>
          <w:szCs w:val="13"/>
          <w:color w:val="auto"/>
        </w:rPr>
        <w:t>shares issued under the Conditional Capital ESOP 2021 pursuant to § 4(8) of our Articles of Association</w:t>
      </w:r>
    </w:p>
    <w:p>
      <w:pPr>
        <w:ind w:left="380"/>
        <w:spacing w:after="0" w:line="21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Satzung</w:t>
      </w:r>
      <w:r>
        <w:rPr>
          <w:rFonts w:ascii="Arial" w:cs="Arial" w:eastAsia="Arial" w:hAnsi="Arial"/>
          <w:sz w:val="13"/>
          <w:szCs w:val="13"/>
          <w:color w:val="auto"/>
        </w:rPr>
        <w:t>) shall participate in profits from the beginning of the preceding financial year in case they are created</w:t>
      </w:r>
    </w:p>
    <w:p>
      <w:pPr>
        <w:ind w:left="380"/>
        <w:spacing w:after="0" w:line="211" w:lineRule="auto"/>
        <w:rPr>
          <w:sz w:val="20"/>
          <w:szCs w:val="20"/>
          <w:color w:val="auto"/>
        </w:rPr>
      </w:pPr>
      <w:r>
        <w:rPr>
          <w:rFonts w:ascii="Arial" w:cs="Arial" w:eastAsia="Arial" w:hAnsi="Arial"/>
          <w:sz w:val="13"/>
          <w:szCs w:val="13"/>
          <w:color w:val="auto"/>
        </w:rPr>
        <w:t>by the exercise of subscription rights until the start of the annual general meeting of the Company and otherwise</w:t>
      </w:r>
    </w:p>
    <w:p>
      <w:pPr>
        <w:ind w:left="380"/>
        <w:spacing w:after="0" w:line="211" w:lineRule="auto"/>
        <w:rPr>
          <w:sz w:val="20"/>
          <w:szCs w:val="20"/>
          <w:color w:val="auto"/>
        </w:rPr>
      </w:pPr>
      <w:r>
        <w:rPr>
          <w:rFonts w:ascii="Arial" w:cs="Arial" w:eastAsia="Arial" w:hAnsi="Arial"/>
          <w:sz w:val="13"/>
          <w:szCs w:val="13"/>
          <w:color w:val="auto"/>
        </w:rPr>
        <w:t>from the beginning of the financial year in which they are created as a result of the exercise of the stock options.</w:t>
      </w:r>
    </w:p>
    <w:p>
      <w:pPr>
        <w:ind w:left="380"/>
        <w:spacing w:after="0" w:line="211" w:lineRule="auto"/>
        <w:rPr>
          <w:sz w:val="20"/>
          <w:szCs w:val="20"/>
          <w:color w:val="auto"/>
        </w:rPr>
      </w:pPr>
      <w:r>
        <w:rPr>
          <w:rFonts w:ascii="Arial" w:cs="Arial" w:eastAsia="Arial" w:hAnsi="Arial"/>
          <w:sz w:val="13"/>
          <w:szCs w:val="13"/>
          <w:b w:val="1"/>
          <w:bCs w:val="1"/>
          <w:color w:val="auto"/>
        </w:rPr>
        <w:t>Preemptive Rights</w:t>
      </w:r>
    </w:p>
    <w:p>
      <w:pPr>
        <w:ind w:left="380" w:right="2120"/>
        <w:spacing w:after="0" w:line="210" w:lineRule="auto"/>
        <w:rPr>
          <w:sz w:val="20"/>
          <w:szCs w:val="20"/>
          <w:color w:val="auto"/>
        </w:rPr>
      </w:pPr>
      <w:r>
        <w:rPr>
          <w:rFonts w:ascii="Arial" w:cs="Arial" w:eastAsia="Arial" w:hAnsi="Arial"/>
          <w:sz w:val="13"/>
          <w:szCs w:val="13"/>
          <w:color w:val="auto"/>
        </w:rPr>
        <w:t>German law generally provides shareholders with preemptive rights when new shares convertible bonds, bonds with warrants, profit participation rights or participating bonds are issued. This requirement, however, may also be satisfied by way of a credit institution subscribing for the securities and then offering them to the shareholders for purchase (</w:t>
      </w:r>
      <w:r>
        <w:rPr>
          <w:rFonts w:ascii="Arial" w:cs="Arial" w:eastAsia="Arial" w:hAnsi="Arial"/>
          <w:sz w:val="13"/>
          <w:szCs w:val="13"/>
          <w:i w:val="1"/>
          <w:iCs w:val="1"/>
          <w:color w:val="auto"/>
        </w:rPr>
        <w:t>mittelbares Bezugsrecht</w:t>
      </w:r>
      <w:r>
        <w:rPr>
          <w:rFonts w:ascii="Arial" w:cs="Arial" w:eastAsia="Arial" w:hAnsi="Arial"/>
          <w:sz w:val="13"/>
          <w:szCs w:val="13"/>
          <w:color w:val="auto"/>
        </w:rPr>
        <w:t>).</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Further, it is possible for a shareholder resolution approved by three-quarters of the share capital voting on the resolution to exclude preemptive rights both where the general meeting itself resolves that the new securities are to be issued and in relation to the authorized capital, i.e., an authorization for the Management Board, with the consent of the Supervisory Board, to resolve on the issuance of new securities; provided, however, that in each case, the exclusion or the authorization to exclude preemptive rights, respectively, must be justified by specific facts, in accordance with established case law of the German Federal Court of Justice (</w:t>
      </w:r>
      <w:r>
        <w:rPr>
          <w:rFonts w:ascii="Arial" w:cs="Arial" w:eastAsia="Arial" w:hAnsi="Arial"/>
          <w:sz w:val="13"/>
          <w:szCs w:val="13"/>
          <w:i w:val="1"/>
          <w:iCs w:val="1"/>
          <w:color w:val="auto"/>
        </w:rPr>
        <w:t>BGH</w:t>
      </w:r>
      <w:r>
        <w:rPr>
          <w:rFonts w:ascii="Arial" w:cs="Arial" w:eastAsia="Arial" w:hAnsi="Arial"/>
          <w:sz w:val="13"/>
          <w:szCs w:val="13"/>
          <w:color w:val="auto"/>
        </w:rPr>
        <w:t>). The German Federal Court of Justice (</w:t>
      </w:r>
      <w:r>
        <w:rPr>
          <w:rFonts w:ascii="Arial" w:cs="Arial" w:eastAsia="Arial" w:hAnsi="Arial"/>
          <w:sz w:val="13"/>
          <w:szCs w:val="13"/>
          <w:i w:val="1"/>
          <w:iCs w:val="1"/>
          <w:color w:val="auto"/>
        </w:rPr>
        <w:t>BGH</w:t>
      </w:r>
      <w:r>
        <w:rPr>
          <w:rFonts w:ascii="Arial" w:cs="Arial" w:eastAsia="Arial" w:hAnsi="Arial"/>
          <w:sz w:val="13"/>
          <w:szCs w:val="13"/>
          <w:color w:val="auto"/>
        </w:rPr>
        <w:t>) considers the exclusion of subscription rights justified if it (i) serves a purpose in the company’s interests, (ii) is suitable for attaining such purpose, and (iii) is necessary and appropriate. Additionally, the Management Board must submit a written report to the shareholders’ meeting in which it presents the reasons for the exclusion of the subscription rights.</w:t>
      </w:r>
    </w:p>
    <w:p>
      <w:pPr>
        <w:spacing w:after="0" w:line="6" w:lineRule="exact"/>
        <w:rPr>
          <w:sz w:val="20"/>
          <w:szCs w:val="20"/>
          <w:color w:val="auto"/>
        </w:rPr>
      </w:pPr>
    </w:p>
    <w:p>
      <w:pPr>
        <w:ind w:left="380" w:right="2280"/>
        <w:spacing w:after="0" w:line="210" w:lineRule="auto"/>
        <w:rPr>
          <w:sz w:val="20"/>
          <w:szCs w:val="20"/>
          <w:color w:val="auto"/>
        </w:rPr>
      </w:pPr>
      <w:r>
        <w:rPr>
          <w:rFonts w:ascii="Arial" w:cs="Arial" w:eastAsia="Arial" w:hAnsi="Arial"/>
          <w:sz w:val="13"/>
          <w:szCs w:val="13"/>
          <w:color w:val="auto"/>
        </w:rPr>
        <w:t>Accordingly, under our Articles of Association (</w:t>
      </w:r>
      <w:r>
        <w:rPr>
          <w:rFonts w:ascii="Arial" w:cs="Arial" w:eastAsia="Arial" w:hAnsi="Arial"/>
          <w:sz w:val="13"/>
          <w:szCs w:val="13"/>
          <w:i w:val="1"/>
          <w:iCs w:val="1"/>
          <w:color w:val="auto"/>
        </w:rPr>
        <w:t>Satzung</w:t>
      </w:r>
      <w:r>
        <w:rPr>
          <w:rFonts w:ascii="Arial" w:cs="Arial" w:eastAsia="Arial" w:hAnsi="Arial"/>
          <w:sz w:val="13"/>
          <w:szCs w:val="13"/>
          <w:color w:val="auto"/>
        </w:rPr>
        <w:t>), the Management Board may, with the consent of the Supervisory Board, exclude such preemptive rights in a capital increase from the authorized capital in the following circumstances:</w:t>
      </w:r>
    </w:p>
    <w:p>
      <w:pPr>
        <w:ind w:left="380"/>
        <w:spacing w:after="0" w:line="213" w:lineRule="auto"/>
        <w:rPr>
          <w:sz w:val="20"/>
          <w:szCs w:val="20"/>
          <w:color w:val="auto"/>
        </w:rPr>
      </w:pPr>
      <w:r>
        <w:rPr>
          <w:rFonts w:ascii="Arial" w:cs="Arial" w:eastAsia="Arial" w:hAnsi="Arial"/>
          <w:sz w:val="13"/>
          <w:szCs w:val="13"/>
          <w:color w:val="auto"/>
        </w:rPr>
        <w:t>•to exclude fractional amounts from the subscription right;</w:t>
      </w:r>
    </w:p>
    <w:p>
      <w:pPr>
        <w:spacing w:after="0" w:line="1" w:lineRule="exact"/>
        <w:rPr>
          <w:sz w:val="20"/>
          <w:szCs w:val="20"/>
          <w:color w:val="auto"/>
        </w:rPr>
      </w:pPr>
    </w:p>
    <w:p>
      <w:pPr>
        <w:ind w:left="380" w:right="2580"/>
        <w:spacing w:after="0" w:line="234" w:lineRule="auto"/>
        <w:rPr>
          <w:sz w:val="20"/>
          <w:szCs w:val="20"/>
          <w:color w:val="auto"/>
        </w:rPr>
      </w:pPr>
      <w:r>
        <w:rPr>
          <w:rFonts w:ascii="Arial" w:cs="Arial" w:eastAsia="Arial" w:hAnsi="Arial"/>
          <w:sz w:val="13"/>
          <w:szCs w:val="13"/>
          <w:color w:val="auto"/>
        </w:rPr>
        <w:t>•in the case of a capital increase against cash contributions, if the issue price of the new shares is not significantly lower than the market price of the company’s shares already listed on the stock exchange at</w:t>
      </w:r>
    </w:p>
    <w:p>
      <w:pPr>
        <w:sectPr>
          <w:pgSz w:w="11900" w:h="16840" w:orient="portrait"/>
          <w:cols w:equalWidth="0" w:num="1">
            <w:col w:w="9020"/>
          </w:cols>
          <w:pgMar w:left="1440" w:top="560" w:right="1440" w:bottom="1440" w:gutter="0" w:footer="0" w:header="0"/>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224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560"/>
        <w:spacing w:after="0" w:line="212" w:lineRule="auto"/>
        <w:rPr>
          <w:sz w:val="20"/>
          <w:szCs w:val="20"/>
          <w:color w:val="auto"/>
        </w:rPr>
      </w:pPr>
      <w:r>
        <w:rPr>
          <w:rFonts w:ascii="Arial" w:cs="Arial" w:eastAsia="Arial" w:hAnsi="Arial"/>
          <w:sz w:val="13"/>
          <w:szCs w:val="13"/>
          <w:color w:val="auto"/>
        </w:rPr>
        <w:t>the time the issue price is finally determined. However, this authorization shall only apply subject to the provision that the shares issued excluding subscription rights in accordance with Section 186(3) Sentence 4 AktG may not exceed a total of 10% of the share capital either at the time this authorization takes effect or, if this amount is lower, at the time this authorization is exercised. This limit of 10% of the share capital includes shares which are issued or disposed of during the term of this authorization until the date of its exercise in direct or equivalent application of Section 186(3) Sentence 4 AktG. Shares which are used to service bonds with convertible or option rights or convertible obligations are to be offset against the 10% limit if these bonds were issued during the authorization period under exclusion of shareholder subscription rights in accordance with Section 186(3) Sentence 4 AktG during the entitlement period. Treasury shares are to be offset against the 10% limit, where they were disposed of by the company during the term of this authorization with the exclusion of subscription rights pursuant to or in analogous application of Section 186(3) Sentence 4 AktG;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-999490</wp:posOffset>
            </wp:positionV>
            <wp:extent cx="5231130"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680"/>
        <w:spacing w:after="0" w:line="210" w:lineRule="auto"/>
        <w:rPr>
          <w:sz w:val="20"/>
          <w:szCs w:val="20"/>
          <w:color w:val="auto"/>
        </w:rPr>
      </w:pPr>
      <w:r>
        <w:rPr>
          <w:rFonts w:ascii="Arial" w:cs="Arial" w:eastAsia="Arial" w:hAnsi="Arial"/>
          <w:sz w:val="13"/>
          <w:szCs w:val="13"/>
          <w:color w:val="auto"/>
        </w:rPr>
        <w:t>•in the case of capital increases in exchange for contributions in kind, in particular in order to be able to offer the shares to third parties when purchasing companies, parts of companies or interests in companies as well as licenses or industrial property rights;</w:t>
      </w:r>
    </w:p>
    <w:p>
      <w:pPr>
        <w:spacing w:after="0" w:line="2" w:lineRule="exact"/>
        <w:rPr>
          <w:sz w:val="20"/>
          <w:szCs w:val="20"/>
          <w:color w:val="auto"/>
        </w:rPr>
      </w:pPr>
    </w:p>
    <w:p>
      <w:pPr>
        <w:jc w:val="both"/>
        <w:ind w:left="380" w:right="2620"/>
        <w:spacing w:after="0" w:line="210" w:lineRule="auto"/>
        <w:rPr>
          <w:sz w:val="20"/>
          <w:szCs w:val="20"/>
          <w:color w:val="auto"/>
        </w:rPr>
      </w:pPr>
      <w:r>
        <w:rPr>
          <w:rFonts w:ascii="Arial" w:cs="Arial" w:eastAsia="Arial" w:hAnsi="Arial"/>
          <w:sz w:val="13"/>
          <w:szCs w:val="13"/>
          <w:color w:val="auto"/>
        </w:rPr>
        <w:t>•in order to grant subscription rights to new shares to holders of conversion or option rights in respect of bonds issued by the company or its subordinated domestic or foreign Group companies, to the extent to which they would be entitled after exercising their conversion or option rights or after fulfilling an agreed conversion obligation;</w:t>
      </w:r>
    </w:p>
    <w:p>
      <w:pPr>
        <w:spacing w:after="0" w:line="2" w:lineRule="exact"/>
        <w:rPr>
          <w:sz w:val="20"/>
          <w:szCs w:val="20"/>
          <w:color w:val="auto"/>
        </w:rPr>
      </w:pPr>
    </w:p>
    <w:p>
      <w:pPr>
        <w:ind w:left="380" w:right="2740"/>
        <w:spacing w:after="0" w:line="210" w:lineRule="auto"/>
        <w:rPr>
          <w:sz w:val="20"/>
          <w:szCs w:val="20"/>
          <w:color w:val="auto"/>
        </w:rPr>
      </w:pPr>
      <w:r>
        <w:rPr>
          <w:rFonts w:ascii="Arial" w:cs="Arial" w:eastAsia="Arial" w:hAnsi="Arial"/>
          <w:sz w:val="13"/>
          <w:szCs w:val="13"/>
          <w:color w:val="auto"/>
        </w:rPr>
        <w:t>•to implement a scrip dividend by which shareholders are given the option to contribute their dividend entitlements (either in whole or part) as a contribution in kind against issuance of our new shares; •in case shares are to be issued to a member of our Management Board or to another person who is employed by us or one of our affiliates. Additional restrictions with regard to the shares issued may be agreed upon; and</w:t>
      </w:r>
    </w:p>
    <w:p>
      <w:pPr>
        <w:spacing w:after="0" w:line="3" w:lineRule="exact"/>
        <w:rPr>
          <w:sz w:val="20"/>
          <w:szCs w:val="20"/>
          <w:color w:val="auto"/>
        </w:rPr>
      </w:pPr>
    </w:p>
    <w:p>
      <w:pPr>
        <w:ind w:left="380" w:right="2640"/>
        <w:spacing w:after="0" w:line="210" w:lineRule="auto"/>
        <w:rPr>
          <w:sz w:val="20"/>
          <w:szCs w:val="20"/>
          <w:color w:val="auto"/>
        </w:rPr>
      </w:pPr>
      <w:r>
        <w:rPr>
          <w:rFonts w:ascii="Arial" w:cs="Arial" w:eastAsia="Arial" w:hAnsi="Arial"/>
          <w:sz w:val="13"/>
          <w:szCs w:val="13"/>
          <w:color w:val="auto"/>
        </w:rPr>
        <w:t>•in order to be able to satisfy an option to acquire additional ordinary shares or American Depositary Shares that has been agreed with the issuing banks in connection with a public offering of our shares in the form of American Depositary Shares.</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The total number of new shares issued from the authorized capital and under exclusion of subscription rights pursuant to bullets one through three above may not exceed 20% of the share capital, either at the time that the amendment to the Articles of Association (</w:t>
      </w:r>
      <w:r>
        <w:rPr>
          <w:rFonts w:ascii="Arial" w:cs="Arial" w:eastAsia="Arial" w:hAnsi="Arial"/>
          <w:sz w:val="13"/>
          <w:szCs w:val="13"/>
          <w:i w:val="1"/>
          <w:iCs w:val="1"/>
          <w:color w:val="auto"/>
        </w:rPr>
        <w:t>Satzung</w:t>
      </w:r>
      <w:r>
        <w:rPr>
          <w:rFonts w:ascii="Arial" w:cs="Arial" w:eastAsia="Arial" w:hAnsi="Arial"/>
          <w:sz w:val="13"/>
          <w:szCs w:val="13"/>
          <w:color w:val="auto"/>
        </w:rPr>
        <w:t>), resolved upon by the general meeting of June 21, 2021, came into effect or, if lower, at the time of utilization of the authorization. To be counted against the aforementioned 20% limit are: (i) those shares issued or to be issued to service conversion or option rights or conversion or option obligations or tender rights of the issuer under bonds, if the bonds have been issued during the term of this authorization up to the time of its exercise, excluding the subscription rights of shareholders, as well as, to a certain extent (ii) treasury shares that have been disposed under exclusion of subscription rights during the term of this authorization (except in the case of certain exceptions of the resolution to item no. 8 of the general meeting of August 19, 2019).</w:t>
      </w:r>
    </w:p>
    <w:p>
      <w:pPr>
        <w:ind w:left="380"/>
        <w:spacing w:after="0" w:line="220" w:lineRule="auto"/>
        <w:rPr>
          <w:sz w:val="20"/>
          <w:szCs w:val="20"/>
          <w:color w:val="auto"/>
        </w:rPr>
      </w:pPr>
      <w:r>
        <w:rPr>
          <w:rFonts w:ascii="Arial" w:cs="Arial" w:eastAsia="Arial" w:hAnsi="Arial"/>
          <w:sz w:val="13"/>
          <w:szCs w:val="13"/>
          <w:color w:val="005A64"/>
        </w:rPr>
        <w:t>Corporate Purpose of our Company</w:t>
      </w:r>
    </w:p>
    <w:p>
      <w:pPr>
        <w:ind w:left="380" w:right="2180"/>
        <w:spacing w:after="0" w:line="210" w:lineRule="auto"/>
        <w:rPr>
          <w:sz w:val="20"/>
          <w:szCs w:val="20"/>
          <w:color w:val="auto"/>
        </w:rPr>
      </w:pPr>
      <w:r>
        <w:rPr>
          <w:rFonts w:ascii="Arial" w:cs="Arial" w:eastAsia="Arial" w:hAnsi="Arial"/>
          <w:sz w:val="13"/>
          <w:szCs w:val="13"/>
          <w:color w:val="auto"/>
        </w:rPr>
        <w:t>Our business objective, as described in § 2 of our Articles of Association (</w:t>
      </w:r>
      <w:r>
        <w:rPr>
          <w:rFonts w:ascii="Arial" w:cs="Arial" w:eastAsia="Arial" w:hAnsi="Arial"/>
          <w:sz w:val="13"/>
          <w:szCs w:val="13"/>
          <w:i w:val="1"/>
          <w:iCs w:val="1"/>
          <w:color w:val="auto"/>
        </w:rPr>
        <w:t>Satzung</w:t>
      </w:r>
      <w:r>
        <w:rPr>
          <w:rFonts w:ascii="Arial" w:cs="Arial" w:eastAsia="Arial" w:hAnsi="Arial"/>
          <w:sz w:val="13"/>
          <w:szCs w:val="13"/>
          <w:color w:val="auto"/>
        </w:rPr>
        <w:t>), is to research and develop, as well as the manufacture and marketing of immunological and RNA-based drugs and test methods for the diagnosis, prevention and treatment of cancer, infectious diseases and other serious diseases.</w:t>
      </w:r>
    </w:p>
    <w:p>
      <w:pPr>
        <w:ind w:left="380"/>
        <w:spacing w:after="0" w:line="213" w:lineRule="auto"/>
        <w:rPr>
          <w:sz w:val="20"/>
          <w:szCs w:val="20"/>
          <w:color w:val="auto"/>
        </w:rPr>
      </w:pPr>
      <w:r>
        <w:rPr>
          <w:rFonts w:ascii="Arial" w:cs="Arial" w:eastAsia="Arial" w:hAnsi="Arial"/>
          <w:sz w:val="13"/>
          <w:szCs w:val="13"/>
          <w:color w:val="005A64"/>
        </w:rPr>
        <w:t>Shareholders’ Meetings and Voting Rights</w:t>
      </w:r>
    </w:p>
    <w:p>
      <w:pPr>
        <w:spacing w:after="0" w:line="1" w:lineRule="exact"/>
        <w:rPr>
          <w:sz w:val="20"/>
          <w:szCs w:val="20"/>
          <w:color w:val="auto"/>
        </w:rPr>
      </w:pPr>
    </w:p>
    <w:p>
      <w:pPr>
        <w:ind w:left="380" w:right="2140"/>
        <w:spacing w:after="0" w:line="220" w:lineRule="auto"/>
        <w:rPr>
          <w:sz w:val="20"/>
          <w:szCs w:val="20"/>
          <w:color w:val="auto"/>
        </w:rPr>
      </w:pPr>
      <w:r>
        <w:rPr>
          <w:rFonts w:ascii="Arial" w:cs="Arial" w:eastAsia="Arial" w:hAnsi="Arial"/>
          <w:sz w:val="13"/>
          <w:szCs w:val="13"/>
          <w:color w:val="auto"/>
        </w:rPr>
        <w:t>Pursuant to our Articles of Association (</w:t>
      </w:r>
      <w:r>
        <w:rPr>
          <w:rFonts w:ascii="Arial" w:cs="Arial" w:eastAsia="Arial" w:hAnsi="Arial"/>
          <w:sz w:val="13"/>
          <w:szCs w:val="13"/>
          <w:i w:val="1"/>
          <w:iCs w:val="1"/>
          <w:color w:val="auto"/>
        </w:rPr>
        <w:t>Satzung</w:t>
      </w:r>
      <w:r>
        <w:rPr>
          <w:rFonts w:ascii="Arial" w:cs="Arial" w:eastAsia="Arial" w:hAnsi="Arial"/>
          <w:sz w:val="13"/>
          <w:szCs w:val="13"/>
          <w:color w:val="auto"/>
        </w:rPr>
        <w:t>), shareholders’ meetings may be held in person or virtually at our seat or in any municipality in Germany with more than 500,000 inhabitants. Generally, shareholders’ meetings are convened by our Management Board, or our Supervisory Board. Shareholders representing in the aggregate at least five percent of our ordinary shares may, subject to certain formal prerequisites, request that a shareholders’ meeting be convened. Shareholders representing in the aggregate at least five percent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225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5" w:lineRule="auto"/>
        <w:rPr>
          <w:sz w:val="20"/>
          <w:szCs w:val="20"/>
          <w:color w:val="auto"/>
        </w:rPr>
      </w:pPr>
      <w:r>
        <w:rPr>
          <w:rFonts w:ascii="Arial" w:cs="Arial" w:eastAsia="Arial" w:hAnsi="Arial"/>
          <w:sz w:val="13"/>
          <w:szCs w:val="13"/>
          <w:color w:val="auto"/>
        </w:rPr>
        <w:t>ordinary shares or owning shares with an aggregate nominal value of at least €500,000 may request the addition of one or several items to the agenda of any shareholders’ meeting. Shareholders’ meetings may be summoned either via publication in the German Federal Gazette (</w:t>
      </w:r>
      <w:r>
        <w:rPr>
          <w:rFonts w:ascii="Arial" w:cs="Arial" w:eastAsia="Arial" w:hAnsi="Arial"/>
          <w:sz w:val="13"/>
          <w:szCs w:val="13"/>
          <w:i w:val="1"/>
          <w:iCs w:val="1"/>
          <w:color w:val="auto"/>
        </w:rPr>
        <w:t>Bundesanzeiger</w:t>
      </w:r>
      <w:r>
        <w:rPr>
          <w:rFonts w:ascii="Arial" w:cs="Arial" w:eastAsia="Arial" w:hAnsi="Arial"/>
          <w:sz w:val="13"/>
          <w:szCs w:val="13"/>
          <w:color w:val="auto"/>
        </w:rPr>
        <w:t>) or via mail or email, in each case generally at least 30 days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80"/>
        <w:spacing w:after="0" w:line="210" w:lineRule="auto"/>
        <w:rPr>
          <w:sz w:val="20"/>
          <w:szCs w:val="20"/>
          <w:color w:val="auto"/>
        </w:rPr>
      </w:pPr>
      <w:r>
        <w:rPr>
          <w:rFonts w:ascii="Arial" w:cs="Arial" w:eastAsia="Arial" w:hAnsi="Arial"/>
          <w:sz w:val="13"/>
          <w:szCs w:val="13"/>
          <w:color w:val="auto"/>
        </w:rPr>
        <w:t>Shareholders may participate and vote in the shareholders’ meeting if they are registered as a shareholder with the Company’s share register. A shareholder who wishes to attend the shareholders’ meeting—either in person or by proxy, which may also be appointed by us (</w:t>
      </w:r>
      <w:r>
        <w:rPr>
          <w:rFonts w:ascii="Arial" w:cs="Arial" w:eastAsia="Arial" w:hAnsi="Arial"/>
          <w:sz w:val="13"/>
          <w:szCs w:val="13"/>
          <w:i w:val="1"/>
          <w:iCs w:val="1"/>
          <w:color w:val="auto"/>
        </w:rPr>
        <w:t>Stimmrechtsvertreter</w:t>
      </w:r>
      <w:r>
        <w:rPr>
          <w:rFonts w:ascii="Arial" w:cs="Arial" w:eastAsia="Arial" w:hAnsi="Arial"/>
          <w:sz w:val="13"/>
          <w:szCs w:val="13"/>
          <w:color w:val="auto"/>
        </w:rPr>
        <w:t>)—must register for the meeting, which registration must occur no later than six days before the meeting (or at a later date, if so determined by our Management Board).</w:t>
      </w:r>
    </w:p>
    <w:p>
      <w:pPr>
        <w:spacing w:after="0" w:line="3"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Each share carries one vote at a shareholders’ meeting. Resolutions are, in accordance with our Articles of Association (</w:t>
      </w:r>
      <w:r>
        <w:rPr>
          <w:rFonts w:ascii="Arial" w:cs="Arial" w:eastAsia="Arial" w:hAnsi="Arial"/>
          <w:sz w:val="13"/>
          <w:szCs w:val="13"/>
          <w:i w:val="1"/>
          <w:iCs w:val="1"/>
          <w:color w:val="auto"/>
        </w:rPr>
        <w:t>Satzung</w:t>
      </w:r>
      <w:r>
        <w:rPr>
          <w:rFonts w:ascii="Arial" w:cs="Arial" w:eastAsia="Arial" w:hAnsi="Arial"/>
          <w:sz w:val="13"/>
          <w:szCs w:val="13"/>
          <w:color w:val="auto"/>
        </w:rPr>
        <w:t xml:space="preserve"> ), generally taken by simple majority of the votes cast. However, under applicable German and European law, a number of resolutions must be passed by either a three-quarter majority of the votes cast or a three-quarter majority of the share capital represented at the meeting. The fact that in these cases the quorum is determined in relation to the share capital or shares present (as opposed to, for example, all shares eligible to vote) means that holders of a minority of our shares could potentially control the outcome of resolutions.</w:t>
      </w:r>
    </w:p>
    <w:p>
      <w:pPr>
        <w:ind w:left="380"/>
        <w:spacing w:after="0" w:line="216" w:lineRule="auto"/>
        <w:rPr>
          <w:sz w:val="20"/>
          <w:szCs w:val="20"/>
          <w:color w:val="auto"/>
        </w:rPr>
      </w:pPr>
      <w:r>
        <w:rPr>
          <w:rFonts w:ascii="Arial" w:cs="Arial" w:eastAsia="Arial" w:hAnsi="Arial"/>
          <w:sz w:val="13"/>
          <w:szCs w:val="13"/>
          <w:color w:val="005A64"/>
        </w:rPr>
        <w:t>Claims against Directors and Shareholders’ Derivative Actions</w:t>
      </w:r>
    </w:p>
    <w:p>
      <w:pPr>
        <w:ind w:left="380" w:right="2120"/>
        <w:spacing w:after="0" w:line="234" w:lineRule="auto"/>
        <w:rPr>
          <w:sz w:val="20"/>
          <w:szCs w:val="20"/>
          <w:color w:val="auto"/>
        </w:rPr>
      </w:pPr>
      <w:r>
        <w:rPr>
          <w:rFonts w:ascii="Arial" w:cs="Arial" w:eastAsia="Arial" w:hAnsi="Arial"/>
          <w:sz w:val="13"/>
          <w:szCs w:val="13"/>
          <w:color w:val="auto"/>
        </w:rPr>
        <w:t>Under German law, generally, the company, rather than its shareholders, is the proper claimant in an action with respect to a wrong committed against the company, or in cases where there is an irregularity in the company’s</w:t>
      </w:r>
    </w:p>
    <w:p>
      <w:pPr>
        <w:sectPr>
          <w:pgSz w:w="11900" w:h="16840" w:orient="portrait"/>
          <w:cols w:equalWidth="0" w:num="1">
            <w:col w:w="9020"/>
          </w:cols>
          <w:pgMar w:left="1440" w:top="1440" w:right="1440" w:bottom="27" w:gutter="0" w:footer="0" w:header="0"/>
        </w:sectPr>
      </w:pPr>
    </w:p>
    <w:bookmarkStart w:id="156" w:name="page157"/>
    <w:bookmarkEnd w:id="156"/>
    <w:p>
      <w:pPr>
        <w:ind w:left="380" w:right="2140"/>
        <w:spacing w:after="0" w:line="215" w:lineRule="auto"/>
        <w:rPr>
          <w:sz w:val="20"/>
          <w:szCs w:val="20"/>
          <w:color w:val="auto"/>
        </w:rPr>
      </w:pPr>
      <w:r>
        <w:rPr>
          <w:rFonts w:ascii="Arial" w:cs="Arial" w:eastAsia="Arial" w:hAnsi="Arial"/>
          <w:sz w:val="13"/>
          <w:szCs w:val="13"/>
          <w:color w:val="auto"/>
        </w:rPr>
        <w:t>internal management or supervision. Therefore, such claims may only be raised by the company represented by its management board, or, in the case of a wrong committed by a member of the management board, by the supervisory board. This concerns, in particular, claims against members of the management board or the supervisory board.</w:t>
      </w:r>
    </w:p>
    <w:p>
      <w:pPr>
        <w:spacing w:after="0" w:line="2"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However, pursuant to German case law, the supervisory board is obliged to pursue the company’s claims against the management board, unless the interest of the company keeps them from doing so. Further, 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also request that a representative pursue the claim on behalf of the company. The court may appoint such a representative upon the request of shareholders holding at least 10% of the company’s share capital or a participation of at least €1,000,000 in the share capital.</w:t>
      </w:r>
    </w:p>
    <w:p>
      <w:pPr>
        <w:spacing w:after="0" w:line="5"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If the company is unable to fulfill its third -party obligations, the company’s creditors may pursue the company’s damage claims against members of the management board for certain wrongdoings.</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Under certain circumstances, shareholders can bring forward damage claims of the company against its management on their own behalf. In order to bring forward such a claim one shareholder alone or together with other shareholders needs to hold at least 1% of the company’s share capital or a participation of €100,000 in the share capital. Additionally, the claimant(s) must comply with special claim approval procedures conducted before a competent court which will allow the pertinent request only if there are circumstances justifying the assumption that damage has been afflicted on the company by improper conduct or a gross breach of the law or the articles of association.</w:t>
      </w:r>
    </w:p>
    <w:p>
      <w:pPr>
        <w:ind w:left="380"/>
        <w:spacing w:after="0" w:line="217" w:lineRule="auto"/>
        <w:rPr>
          <w:sz w:val="20"/>
          <w:szCs w:val="20"/>
          <w:color w:val="auto"/>
        </w:rPr>
      </w:pPr>
      <w:r>
        <w:rPr>
          <w:rFonts w:ascii="Arial" w:cs="Arial" w:eastAsia="Arial" w:hAnsi="Arial"/>
          <w:sz w:val="13"/>
          <w:szCs w:val="13"/>
          <w:color w:val="005A64"/>
        </w:rPr>
        <w:t>Dividend Rights</w:t>
      </w:r>
    </w:p>
    <w:p>
      <w:pPr>
        <w:ind w:left="380" w:right="2180"/>
        <w:spacing w:after="0" w:line="210" w:lineRule="auto"/>
        <w:rPr>
          <w:sz w:val="20"/>
          <w:szCs w:val="20"/>
          <w:color w:val="auto"/>
        </w:rPr>
      </w:pPr>
      <w:r>
        <w:rPr>
          <w:rFonts w:ascii="Arial" w:cs="Arial" w:eastAsia="Arial" w:hAnsi="Arial"/>
          <w:sz w:val="13"/>
          <w:szCs w:val="13"/>
          <w:color w:val="auto"/>
        </w:rPr>
        <w:t>Under German law, distributions of dividends on shares for a given financial year are generally determined by a process in which the management board and supervisory board submit a proposal to the company’s annual general shareholders’ meeting held in the subsequent financial year and such annual general shareholders’ meeting adopts a resolution.</w:t>
      </w:r>
    </w:p>
    <w:p>
      <w:pPr>
        <w:spacing w:after="0" w:line="2" w:lineRule="exact"/>
        <w:rPr>
          <w:sz w:val="20"/>
          <w:szCs w:val="20"/>
          <w:color w:val="auto"/>
        </w:rPr>
      </w:pPr>
    </w:p>
    <w:p>
      <w:pPr>
        <w:ind w:left="380" w:right="2200"/>
        <w:spacing w:after="0" w:line="226" w:lineRule="auto"/>
        <w:rPr>
          <w:sz w:val="20"/>
          <w:szCs w:val="20"/>
          <w:color w:val="auto"/>
        </w:rPr>
      </w:pPr>
      <w:r>
        <w:rPr>
          <w:rFonts w:ascii="Arial" w:cs="Arial" w:eastAsia="Arial" w:hAnsi="Arial"/>
          <w:sz w:val="13"/>
          <w:szCs w:val="13"/>
          <w:color w:val="auto"/>
        </w:rPr>
        <w:t>German law provides that a resolution concerning dividends and distribution thereof may be adopted only if the company’s unconsolidated financial statements prepared in accordance with German law show net retained profits. In determining the profit available for distribution, the result for the relevant year must be adjusted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226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80"/>
        <w:spacing w:after="0" w:line="214" w:lineRule="auto"/>
        <w:rPr>
          <w:sz w:val="20"/>
          <w:szCs w:val="20"/>
          <w:color w:val="auto"/>
        </w:rPr>
      </w:pPr>
      <w:r>
        <w:rPr>
          <w:rFonts w:ascii="Arial" w:cs="Arial" w:eastAsia="Arial" w:hAnsi="Arial"/>
          <w:sz w:val="13"/>
          <w:szCs w:val="13"/>
          <w:color w:val="auto"/>
        </w:rPr>
        <w:t>profits and losses brought forward from the previous year and for withdrawals from or transfers to reserves. Certain reserves are required by law and must be deducted when calculating the profit available for distribution. Shareholders generally participate in profit distributions in proportion to the number of shares they hold. Dividends on shares resolved by the general shareholders’ meeting are paid annually, shortly after the general shareholders’ meeting, in compliance with the rules of the respective clearing system. Dividend payment claims are subject to a three-year statute of limitation in the company’s favor.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-501015</wp:posOffset>
            </wp:positionV>
            <wp:extent cx="5231130"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1" w:lineRule="auto"/>
        <w:rPr>
          <w:sz w:val="20"/>
          <w:szCs w:val="20"/>
          <w:color w:val="auto"/>
        </w:rPr>
      </w:pPr>
      <w:r>
        <w:rPr>
          <w:rFonts w:ascii="Arial" w:cs="Arial" w:eastAsia="Arial" w:hAnsi="Arial"/>
          <w:sz w:val="13"/>
          <w:szCs w:val="13"/>
          <w:color w:val="005A64"/>
        </w:rPr>
        <w:t>Authorization to Purchase and Sell Our Own Shares</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 xml:space="preserve">We may not purchase our own shares unless authorized by the shareholders’ meeting or in other very limited circumstances as set out in the AktG. The Company’s shareholders’ meeting held on May 17, 2024 authorized the Management Board until May 16, 2029, provided it complies with the legal requirement of equal treatment, to acquire treasury shares up to a total of 10% of the Company’s share capital at the time of the relevant resolution or at the time the authorization is exercised. These shares held by the Company (including shares attributable to it pursuant to the AktG) must never exceed 10% of the share capital. The shares may be purchased (i) through the stock exchange, (ii) by means of a public offer directed to all shareholders of the Company, (iii) by means of a public invitation to the shareholders to make a sales offer or (iv) from the Bill &amp; Melinda Gates Foundation under very limited circumstances as specified in the authorization. Such shares may not be purchased for trading purposes. The Management Board is authorized to use the shares only as specified in the authorization. </w:t>
      </w:r>
      <w:r>
        <w:rPr>
          <w:rFonts w:ascii="Arial" w:cs="Arial" w:eastAsia="Arial" w:hAnsi="Arial"/>
          <w:sz w:val="13"/>
          <w:szCs w:val="13"/>
          <w:color w:val="005A64"/>
        </w:rPr>
        <w:t>Squeeze-Out of Minority Shareholders</w:t>
      </w:r>
    </w:p>
    <w:p>
      <w:pPr>
        <w:spacing w:after="0" w:line="7"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Under German law, the shareholders’ meeting of a stock corporation may resolve, upon request of a shareholder that holds at least 95% of the share capital, that the shares held by any remaining minority shareholders be transferred to the majority shareholder against payment of “adequate cash compensation” (</w:t>
      </w:r>
      <w:r>
        <w:rPr>
          <w:rFonts w:ascii="Arial" w:cs="Arial" w:eastAsia="Arial" w:hAnsi="Arial"/>
          <w:sz w:val="13"/>
          <w:szCs w:val="13"/>
          <w:i w:val="1"/>
          <w:iCs w:val="1"/>
          <w:color w:val="auto"/>
        </w:rPr>
        <w:t>Ausschluss von</w:t>
      </w:r>
      <w:r>
        <w:rPr>
          <w:rFonts w:ascii="Arial" w:cs="Arial" w:eastAsia="Arial" w:hAnsi="Arial"/>
          <w:sz w:val="13"/>
          <w:szCs w:val="13"/>
          <w:color w:val="auto"/>
        </w:rPr>
        <w:t xml:space="preserve"> </w:t>
      </w:r>
      <w:r>
        <w:rPr>
          <w:rFonts w:ascii="Arial" w:cs="Arial" w:eastAsia="Arial" w:hAnsi="Arial"/>
          <w:sz w:val="13"/>
          <w:szCs w:val="13"/>
          <w:i w:val="1"/>
          <w:iCs w:val="1"/>
          <w:color w:val="auto"/>
        </w:rPr>
        <w:t>Minderheitsaktionären</w:t>
      </w:r>
      <w:r>
        <w:rPr>
          <w:rFonts w:ascii="Arial" w:cs="Arial" w:eastAsia="Arial" w:hAnsi="Arial"/>
          <w:sz w:val="13"/>
          <w:szCs w:val="13"/>
          <w:color w:val="auto"/>
        </w:rPr>
        <w:t>). This amount must take into account the full value of the company at the time of the</w:t>
      </w:r>
      <w:r>
        <w:rPr>
          <w:rFonts w:ascii="Arial" w:cs="Arial" w:eastAsia="Arial" w:hAnsi="Arial"/>
          <w:sz w:val="13"/>
          <w:szCs w:val="13"/>
          <w:i w:val="1"/>
          <w:iCs w:val="1"/>
          <w:color w:val="auto"/>
        </w:rPr>
        <w:t xml:space="preserve"> </w:t>
      </w:r>
      <w:r>
        <w:rPr>
          <w:rFonts w:ascii="Arial" w:cs="Arial" w:eastAsia="Arial" w:hAnsi="Arial"/>
          <w:sz w:val="13"/>
          <w:szCs w:val="13"/>
          <w:color w:val="auto"/>
        </w:rPr>
        <w:t>resolution, which is generally determined using the future earnings value method (</w:t>
      </w:r>
      <w:r>
        <w:rPr>
          <w:rFonts w:ascii="Arial" w:cs="Arial" w:eastAsia="Arial" w:hAnsi="Arial"/>
          <w:sz w:val="13"/>
          <w:szCs w:val="13"/>
          <w:i w:val="1"/>
          <w:iCs w:val="1"/>
          <w:color w:val="auto"/>
        </w:rPr>
        <w:t>Ertragswertmethode</w:t>
      </w:r>
      <w:r>
        <w:rPr>
          <w:rFonts w:ascii="Arial" w:cs="Arial" w:eastAsia="Arial" w:hAnsi="Arial"/>
          <w:sz w:val="13"/>
          <w:szCs w:val="13"/>
          <w:color w:val="auto"/>
        </w:rPr>
        <w:t>).</w:t>
      </w:r>
    </w:p>
    <w:p>
      <w:pPr>
        <w:spacing w:after="0" w:line="3" w:lineRule="exact"/>
        <w:rPr>
          <w:sz w:val="20"/>
          <w:szCs w:val="20"/>
          <w:color w:val="auto"/>
        </w:rPr>
      </w:pPr>
    </w:p>
    <w:p>
      <w:pPr>
        <w:ind w:left="380" w:right="2520" w:firstLine="3"/>
        <w:spacing w:after="0" w:line="210" w:lineRule="auto"/>
        <w:tabs>
          <w:tab w:leader="none" w:pos="504" w:val="left"/>
        </w:tabs>
        <w:numPr>
          <w:ilvl w:val="0"/>
          <w:numId w:val="36"/>
        </w:numPr>
        <w:rPr>
          <w:rFonts w:ascii="Arial" w:cs="Arial" w:eastAsia="Arial" w:hAnsi="Arial"/>
          <w:sz w:val="13"/>
          <w:szCs w:val="13"/>
          <w:color w:val="auto"/>
        </w:rPr>
      </w:pPr>
      <w:r>
        <w:rPr>
          <w:rFonts w:ascii="Arial" w:cs="Arial" w:eastAsia="Arial" w:hAnsi="Arial"/>
          <w:sz w:val="13"/>
          <w:szCs w:val="13"/>
          <w:color w:val="auto"/>
        </w:rPr>
        <w:t>squeeze-out in the context of a merger (</w:t>
      </w:r>
      <w:r>
        <w:rPr>
          <w:rFonts w:ascii="Arial" w:cs="Arial" w:eastAsia="Arial" w:hAnsi="Arial"/>
          <w:sz w:val="13"/>
          <w:szCs w:val="13"/>
          <w:i w:val="1"/>
          <w:iCs w:val="1"/>
          <w:color w:val="auto"/>
        </w:rPr>
        <w:t>umwandlungsrechtlicher Squeeze-Out</w:t>
      </w:r>
      <w:r>
        <w:rPr>
          <w:rFonts w:ascii="Arial" w:cs="Arial" w:eastAsia="Arial" w:hAnsi="Arial"/>
          <w:sz w:val="13"/>
          <w:szCs w:val="13"/>
          <w:color w:val="auto"/>
        </w:rPr>
        <w:t>) only requires a majority shareholder to hold at least 90% of the share capital.</w:t>
      </w:r>
    </w:p>
    <w:p>
      <w:pPr>
        <w:spacing w:after="0" w:line="1" w:lineRule="exact"/>
        <w:rPr>
          <w:rFonts w:ascii="Arial" w:cs="Arial" w:eastAsia="Arial" w:hAnsi="Arial"/>
          <w:sz w:val="13"/>
          <w:szCs w:val="13"/>
          <w:color w:val="auto"/>
        </w:rPr>
      </w:pPr>
    </w:p>
    <w:p>
      <w:pPr>
        <w:ind w:left="380"/>
        <w:spacing w:after="0" w:line="210" w:lineRule="auto"/>
        <w:rPr>
          <w:rFonts w:ascii="Arial" w:cs="Arial" w:eastAsia="Arial" w:hAnsi="Arial"/>
          <w:sz w:val="13"/>
          <w:szCs w:val="13"/>
          <w:color w:val="auto"/>
        </w:rPr>
      </w:pPr>
      <w:r>
        <w:rPr>
          <w:rFonts w:ascii="Arial" w:cs="Arial" w:eastAsia="Arial" w:hAnsi="Arial"/>
          <w:sz w:val="13"/>
          <w:szCs w:val="13"/>
          <w:color w:val="005A64"/>
        </w:rPr>
        <w:t>Liquidation Rights</w:t>
      </w:r>
    </w:p>
    <w:p>
      <w:pPr>
        <w:ind w:left="380" w:right="2120"/>
        <w:spacing w:after="0" w:line="210" w:lineRule="auto"/>
        <w:rPr>
          <w:rFonts w:ascii="Arial" w:cs="Arial" w:eastAsia="Arial" w:hAnsi="Arial"/>
          <w:sz w:val="13"/>
          <w:szCs w:val="13"/>
          <w:color w:val="auto"/>
        </w:rPr>
      </w:pPr>
      <w:r>
        <w:rPr>
          <w:rFonts w:ascii="Arial" w:cs="Arial" w:eastAsia="Arial" w:hAnsi="Arial"/>
          <w:sz w:val="13"/>
          <w:szCs w:val="13"/>
          <w:color w:val="auto"/>
        </w:rPr>
        <w:t>Apart from liquidation, e.g., as a result of insolvency proceedings, we may be liquidated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provides certain protections for creditors, which must be observed in the event of liquidation.</w:t>
      </w:r>
    </w:p>
    <w:p>
      <w:pPr>
        <w:spacing w:after="0" w:line="3" w:lineRule="exact"/>
        <w:rPr>
          <w:rFonts w:ascii="Arial" w:cs="Arial" w:eastAsia="Arial" w:hAnsi="Arial"/>
          <w:sz w:val="13"/>
          <w:szCs w:val="13"/>
          <w:color w:val="auto"/>
        </w:rPr>
      </w:pPr>
    </w:p>
    <w:p>
      <w:pPr>
        <w:ind w:left="380"/>
        <w:spacing w:after="0" w:line="210" w:lineRule="auto"/>
        <w:rPr>
          <w:rFonts w:ascii="Arial" w:cs="Arial" w:eastAsia="Arial" w:hAnsi="Arial"/>
          <w:sz w:val="13"/>
          <w:szCs w:val="13"/>
          <w:color w:val="auto"/>
        </w:rPr>
      </w:pPr>
      <w:r>
        <w:rPr>
          <w:rFonts w:ascii="Arial" w:cs="Arial" w:eastAsia="Arial" w:hAnsi="Arial"/>
          <w:sz w:val="13"/>
          <w:szCs w:val="13"/>
          <w:b w:val="1"/>
          <w:bCs w:val="1"/>
          <w:color w:val="005A64"/>
        </w:rPr>
        <w:t>C. Material Contracts</w:t>
      </w:r>
    </w:p>
    <w:p>
      <w:pPr>
        <w:ind w:left="380" w:right="2320"/>
        <w:spacing w:after="0" w:line="210" w:lineRule="auto"/>
        <w:rPr>
          <w:rFonts w:ascii="Arial" w:cs="Arial" w:eastAsia="Arial" w:hAnsi="Arial"/>
          <w:sz w:val="13"/>
          <w:szCs w:val="13"/>
          <w:color w:val="auto"/>
        </w:rPr>
      </w:pPr>
      <w:r>
        <w:rPr>
          <w:rFonts w:ascii="Arial" w:cs="Arial" w:eastAsia="Arial" w:hAnsi="Arial"/>
          <w:sz w:val="13"/>
          <w:szCs w:val="13"/>
          <w:color w:val="auto"/>
        </w:rPr>
        <w:t>Except as otherwise disclosed in this Annual Report (including the exhibits thereto), we are not currently, and have not been in the last two years, party to any material contract, other than contracts entered into in the ordinary course of our business.</w:t>
      </w:r>
    </w:p>
    <w:p>
      <w:pPr>
        <w:spacing w:after="0" w:line="1" w:lineRule="exact"/>
        <w:rPr>
          <w:rFonts w:ascii="Arial" w:cs="Arial" w:eastAsia="Arial" w:hAnsi="Arial"/>
          <w:sz w:val="13"/>
          <w:szCs w:val="13"/>
          <w:color w:val="auto"/>
        </w:rPr>
      </w:pPr>
    </w:p>
    <w:p>
      <w:pPr>
        <w:ind w:left="380"/>
        <w:spacing w:after="0" w:line="210" w:lineRule="auto"/>
        <w:rPr>
          <w:rFonts w:ascii="Arial" w:cs="Arial" w:eastAsia="Arial" w:hAnsi="Arial"/>
          <w:sz w:val="13"/>
          <w:szCs w:val="13"/>
          <w:color w:val="auto"/>
        </w:rPr>
      </w:pPr>
      <w:r>
        <w:rPr>
          <w:rFonts w:ascii="Arial" w:cs="Arial" w:eastAsia="Arial" w:hAnsi="Arial"/>
          <w:sz w:val="13"/>
          <w:szCs w:val="13"/>
          <w:b w:val="1"/>
          <w:bCs w:val="1"/>
          <w:color w:val="005A64"/>
        </w:rPr>
        <w:t>D. Exchange Controls</w:t>
      </w:r>
    </w:p>
    <w:p>
      <w:pPr>
        <w:ind w:left="380" w:right="2180"/>
        <w:spacing w:after="0" w:line="216" w:lineRule="auto"/>
        <w:rPr>
          <w:rFonts w:ascii="Arial" w:cs="Arial" w:eastAsia="Arial" w:hAnsi="Arial"/>
          <w:sz w:val="13"/>
          <w:szCs w:val="13"/>
          <w:color w:val="auto"/>
        </w:rPr>
      </w:pPr>
      <w:r>
        <w:rPr>
          <w:rFonts w:ascii="Arial" w:cs="Arial" w:eastAsia="Arial" w:hAnsi="Arial"/>
          <w:sz w:val="13"/>
          <w:szCs w:val="13"/>
          <w:color w:val="auto"/>
        </w:rPr>
        <w:t>There are currently no legal restrictions in the Federal Republic of Germany on international capital movements and foreign exchange transactions, except in limited embargo circumstances (</w:t>
      </w:r>
      <w:r>
        <w:rPr>
          <w:rFonts w:ascii="Arial" w:cs="Arial" w:eastAsia="Arial" w:hAnsi="Arial"/>
          <w:sz w:val="13"/>
          <w:szCs w:val="13"/>
          <w:i w:val="1"/>
          <w:iCs w:val="1"/>
          <w:color w:val="auto"/>
        </w:rPr>
        <w:t>Teilembargo</w:t>
      </w:r>
      <w:r>
        <w:rPr>
          <w:rFonts w:ascii="Arial" w:cs="Arial" w:eastAsia="Arial" w:hAnsi="Arial"/>
          <w:sz w:val="13"/>
          <w:szCs w:val="13"/>
          <w:color w:val="auto"/>
        </w:rPr>
        <w:t>) relating to certain areas, entities or persons as a result of applicable resolutions adopted by the United Nations and the European Union. Restrictions currently exist with respect to, among others, Afghanistan, Belarus, Bosnia &amp; Herzegovina, Burundi, Central African Republic, China, D.R. Congo, Guatemala, Guinea, Guinea-Bissau, Haiti, Iran, Iraq, Lebanon, Libya, Mali, Moldova and the Transnistria region, Montenegro, Myanmar, Nicaragua, Niger, North Korea, Russia, Serbia, Somalia, South Sudan, Sudan, Syria, Tunisia, Türkiye, Ukraine, Venezuela, Yemen and Zimbabwe.</w:t>
      </w:r>
    </w:p>
    <w:p>
      <w:pPr>
        <w:sectPr>
          <w:pgSz w:w="11900" w:h="16840" w:orient="portrait"/>
          <w:cols w:equalWidth="0" w:num="1">
            <w:col w:w="9020"/>
          </w:cols>
          <w:pgMar w:left="1440" w:top="560" w:right="1440" w:bottom="1440" w:gutter="0" w:footer="0" w:header="0"/>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227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line="213" w:lineRule="auto"/>
        <w:rPr>
          <w:sz w:val="20"/>
          <w:szCs w:val="20"/>
          <w:color w:val="auto"/>
        </w:rPr>
      </w:pPr>
      <w:r>
        <w:rPr>
          <w:rFonts w:ascii="Arial" w:cs="Arial" w:eastAsia="Arial" w:hAnsi="Arial"/>
          <w:sz w:val="13"/>
          <w:szCs w:val="13"/>
          <w:color w:val="auto"/>
        </w:rPr>
        <w:t>For statistical purposes, there are, however, limited notification requirements regarding transactions involving cross-border monetary transfers. With some exceptions, every corporation or individual residing in the Federal Republic of Germany must report to the German Central Bank (</w:t>
      </w:r>
      <w:r>
        <w:rPr>
          <w:rFonts w:ascii="Arial" w:cs="Arial" w:eastAsia="Arial" w:hAnsi="Arial"/>
          <w:sz w:val="13"/>
          <w:szCs w:val="13"/>
          <w:i w:val="1"/>
          <w:iCs w:val="1"/>
          <w:color w:val="auto"/>
        </w:rPr>
        <w:t>Deutsche Bundesbank</w:t>
      </w:r>
      <w:r>
        <w:rPr>
          <w:rFonts w:ascii="Arial" w:cs="Arial" w:eastAsia="Arial" w:hAnsi="Arial"/>
          <w:sz w:val="13"/>
          <w:szCs w:val="13"/>
          <w:color w:val="auto"/>
        </w:rPr>
        <w:t>) (i) any payment received from, or made to, a non-resident corporation or individual that exceeds €50,000 (or the equivalent in a foreign currency) and (ii) (with the exception of individuals residing in the Federal Republic of Germany) in case the sum of claims against, or liabilities payable to, non-resident corporations or individuals exceeds €6,000,000 (or the equivalent in a foreign currency) at the end of any calendar month. Payments include cash payments made by means of direct debit, checks and bills, remittances denominated in euros and other currencies made through financial institutions, as well as netting and clearing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-751205</wp:posOffset>
            </wp:positionV>
            <wp:extent cx="5231130"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7620" w:firstLine="3"/>
        <w:spacing w:after="0" w:line="210" w:lineRule="auto"/>
        <w:tabs>
          <w:tab w:leader="none" w:pos="542" w:val="left"/>
        </w:tabs>
        <w:numPr>
          <w:ilvl w:val="0"/>
          <w:numId w:val="37"/>
        </w:numPr>
        <w:rPr>
          <w:rFonts w:ascii="Arial" w:cs="Arial" w:eastAsia="Arial" w:hAnsi="Arial"/>
          <w:sz w:val="13"/>
          <w:szCs w:val="13"/>
          <w:b w:val="1"/>
          <w:bCs w:val="1"/>
          <w:color w:val="005A64"/>
        </w:rPr>
      </w:pPr>
      <w:r>
        <w:rPr>
          <w:rFonts w:ascii="Arial" w:cs="Arial" w:eastAsia="Arial" w:hAnsi="Arial"/>
          <w:sz w:val="13"/>
          <w:szCs w:val="13"/>
          <w:b w:val="1"/>
          <w:bCs w:val="1"/>
          <w:color w:val="005A64"/>
        </w:rPr>
        <w:t xml:space="preserve">Taxation </w:t>
      </w:r>
      <w:r>
        <w:rPr>
          <w:rFonts w:ascii="Arial" w:cs="Arial" w:eastAsia="Arial" w:hAnsi="Arial"/>
          <w:sz w:val="13"/>
          <w:szCs w:val="13"/>
          <w:color w:val="005A64"/>
        </w:rPr>
        <w:t>German Taxation</w:t>
      </w:r>
    </w:p>
    <w:p>
      <w:pPr>
        <w:spacing w:after="0" w:line="1" w:lineRule="exact"/>
        <w:rPr>
          <w:rFonts w:ascii="Arial" w:cs="Arial" w:eastAsia="Arial" w:hAnsi="Arial"/>
          <w:sz w:val="13"/>
          <w:szCs w:val="13"/>
          <w:b w:val="1"/>
          <w:bCs w:val="1"/>
          <w:color w:val="005A64"/>
        </w:rPr>
      </w:pPr>
    </w:p>
    <w:p>
      <w:pPr>
        <w:ind w:left="380" w:right="2120"/>
        <w:spacing w:after="0" w:line="210" w:lineRule="auto"/>
        <w:rPr>
          <w:rFonts w:ascii="Arial" w:cs="Arial" w:eastAsia="Arial" w:hAnsi="Arial"/>
          <w:sz w:val="13"/>
          <w:szCs w:val="13"/>
          <w:b w:val="1"/>
          <w:bCs w:val="1"/>
          <w:color w:val="005A64"/>
        </w:rPr>
      </w:pPr>
      <w:r>
        <w:rPr>
          <w:rFonts w:ascii="Arial" w:cs="Arial" w:eastAsia="Arial" w:hAnsi="Arial"/>
          <w:sz w:val="13"/>
          <w:szCs w:val="13"/>
          <w:color w:val="auto"/>
        </w:rPr>
        <w:t>The following discussion addresses certain German tax consequences of acquiring, owning or disposing of the ADSs. With the exception of “—Taxation of Holders Tax Resident in Germany” below, which provides an overview of dividend taxation and of capital gains taxation with respect to holders that are residents of Germany, this discussion applies only to U.S. treaty beneficiaries (defined below) that acquire the ADSs representing our ordinary shares.</w:t>
      </w:r>
    </w:p>
    <w:p>
      <w:pPr>
        <w:spacing w:after="0" w:line="2" w:lineRule="exact"/>
        <w:rPr>
          <w:rFonts w:ascii="Arial" w:cs="Arial" w:eastAsia="Arial" w:hAnsi="Arial"/>
          <w:sz w:val="13"/>
          <w:szCs w:val="13"/>
          <w:b w:val="1"/>
          <w:bCs w:val="1"/>
          <w:color w:val="005A64"/>
        </w:rPr>
      </w:pPr>
    </w:p>
    <w:p>
      <w:pPr>
        <w:ind w:left="380" w:right="2160"/>
        <w:spacing w:after="0" w:line="210" w:lineRule="auto"/>
        <w:rPr>
          <w:rFonts w:ascii="Arial" w:cs="Arial" w:eastAsia="Arial" w:hAnsi="Arial"/>
          <w:sz w:val="13"/>
          <w:szCs w:val="13"/>
          <w:b w:val="1"/>
          <w:bCs w:val="1"/>
          <w:color w:val="005A64"/>
        </w:rPr>
      </w:pPr>
      <w:r>
        <w:rPr>
          <w:rFonts w:ascii="Arial" w:cs="Arial" w:eastAsia="Arial" w:hAnsi="Arial"/>
          <w:sz w:val="13"/>
          <w:szCs w:val="13"/>
          <w:color w:val="auto"/>
        </w:rPr>
        <w:t>This discussion is based on domestic German tax laws, including, but not limited to, circulars issued by German tax authorities, which, e.g., are not binding on the German courts, and the Treaty (defined below). It is based upon tax laws in effect at the time of filing of this report. These laws are subject to change, possibly with retroactive effect. For example, certain member states of the European Union are considering introducing a financial transaction tax (</w:t>
      </w:r>
      <w:r>
        <w:rPr>
          <w:rFonts w:ascii="Arial" w:cs="Arial" w:eastAsia="Arial" w:hAnsi="Arial"/>
          <w:sz w:val="13"/>
          <w:szCs w:val="13"/>
          <w:i w:val="1"/>
          <w:iCs w:val="1"/>
          <w:color w:val="auto"/>
        </w:rPr>
        <w:t>Finanztransaktionssteuer</w:t>
      </w:r>
      <w:r>
        <w:rPr>
          <w:rFonts w:ascii="Arial" w:cs="Arial" w:eastAsia="Arial" w:hAnsi="Arial"/>
          <w:sz w:val="13"/>
          <w:szCs w:val="13"/>
          <w:color w:val="auto"/>
        </w:rPr>
        <w:t>) which, if introduced, may also be applicable on sales and/or transfer of ADSs. There is no assurance that German tax authorities will not challenge one or more of the tax consequences described in this section.</w:t>
      </w:r>
    </w:p>
    <w:p>
      <w:pPr>
        <w:spacing w:after="0" w:line="4" w:lineRule="exact"/>
        <w:rPr>
          <w:rFonts w:ascii="Arial" w:cs="Arial" w:eastAsia="Arial" w:hAnsi="Arial"/>
          <w:sz w:val="13"/>
          <w:szCs w:val="13"/>
          <w:b w:val="1"/>
          <w:bCs w:val="1"/>
          <w:color w:val="005A64"/>
        </w:rPr>
      </w:pPr>
    </w:p>
    <w:p>
      <w:pPr>
        <w:ind w:left="380" w:right="2160"/>
        <w:spacing w:after="0" w:line="210" w:lineRule="auto"/>
        <w:rPr>
          <w:rFonts w:ascii="Arial" w:cs="Arial" w:eastAsia="Arial" w:hAnsi="Arial"/>
          <w:sz w:val="13"/>
          <w:szCs w:val="13"/>
          <w:b w:val="1"/>
          <w:bCs w:val="1"/>
          <w:color w:val="005A64"/>
        </w:rPr>
      </w:pPr>
      <w:r>
        <w:rPr>
          <w:rFonts w:ascii="Arial" w:cs="Arial" w:eastAsia="Arial" w:hAnsi="Arial"/>
          <w:sz w:val="13"/>
          <w:szCs w:val="13"/>
          <w:color w:val="auto"/>
        </w:rPr>
        <w:t>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acquiring, owning and disposing of ADSs.</w:t>
      </w:r>
    </w:p>
    <w:p>
      <w:pPr>
        <w:spacing w:after="0" w:line="2" w:lineRule="exact"/>
        <w:rPr>
          <w:rFonts w:ascii="Arial" w:cs="Arial" w:eastAsia="Arial" w:hAnsi="Arial"/>
          <w:sz w:val="13"/>
          <w:szCs w:val="13"/>
          <w:b w:val="1"/>
          <w:bCs w:val="1"/>
          <w:color w:val="005A64"/>
        </w:rPr>
      </w:pPr>
    </w:p>
    <w:p>
      <w:pPr>
        <w:ind w:left="380" w:right="2100"/>
        <w:spacing w:after="0" w:line="210" w:lineRule="auto"/>
        <w:rPr>
          <w:rFonts w:ascii="Arial" w:cs="Arial" w:eastAsia="Arial" w:hAnsi="Arial"/>
          <w:sz w:val="13"/>
          <w:szCs w:val="13"/>
          <w:b w:val="1"/>
          <w:bCs w:val="1"/>
          <w:color w:val="005A64"/>
        </w:rPr>
      </w:pPr>
      <w:r>
        <w:rPr>
          <w:rFonts w:ascii="Arial" w:cs="Arial" w:eastAsia="Arial" w:hAnsi="Arial"/>
          <w:sz w:val="13"/>
          <w:szCs w:val="13"/>
          <w:color w:val="auto"/>
        </w:rPr>
        <w:t>The tax information presented in this report is not a substitute for tax advice. Prospective holders of ADSs should consult their own tax advisors regarding the German tax consequences of the purchase, ownership, disposition, donation or inheritance of ADSs in light of their particular circumstances, including the effect of any state, local, or other foreign or domestic laws or changes in tax law or interpretation. The same applies with respect to the rules governing the refund of any German dividend withholding tax (</w:t>
      </w:r>
      <w:r>
        <w:rPr>
          <w:rFonts w:ascii="Arial" w:cs="Arial" w:eastAsia="Arial" w:hAnsi="Arial"/>
          <w:sz w:val="13"/>
          <w:szCs w:val="13"/>
          <w:i w:val="1"/>
          <w:iCs w:val="1"/>
          <w:color w:val="auto"/>
        </w:rPr>
        <w:t>Kapitalertragsteuer</w:t>
      </w:r>
      <w:r>
        <w:rPr>
          <w:rFonts w:ascii="Arial" w:cs="Arial" w:eastAsia="Arial" w:hAnsi="Arial"/>
          <w:sz w:val="13"/>
          <w:szCs w:val="13"/>
          <w:color w:val="auto"/>
        </w:rPr>
        <w:t>) withheld. Only an individual tax consultation can appropriately account for the particular tax situation of each investor.</w:t>
      </w:r>
    </w:p>
    <w:p>
      <w:pPr>
        <w:spacing w:after="0" w:line="3" w:lineRule="exact"/>
        <w:rPr>
          <w:rFonts w:ascii="Arial" w:cs="Arial" w:eastAsia="Arial" w:hAnsi="Arial"/>
          <w:sz w:val="13"/>
          <w:szCs w:val="13"/>
          <w:b w:val="1"/>
          <w:bCs w:val="1"/>
          <w:color w:val="005A64"/>
        </w:rPr>
      </w:pPr>
    </w:p>
    <w:p>
      <w:pPr>
        <w:ind w:left="380"/>
        <w:spacing w:after="0" w:line="210" w:lineRule="auto"/>
        <w:rPr>
          <w:rFonts w:ascii="Arial" w:cs="Arial" w:eastAsia="Arial" w:hAnsi="Arial"/>
          <w:sz w:val="13"/>
          <w:szCs w:val="13"/>
          <w:b w:val="1"/>
          <w:bCs w:val="1"/>
          <w:color w:val="005A64"/>
        </w:rPr>
      </w:pPr>
      <w:r>
        <w:rPr>
          <w:rFonts w:ascii="Arial" w:cs="Arial" w:eastAsia="Arial" w:hAnsi="Arial"/>
          <w:sz w:val="13"/>
          <w:szCs w:val="13"/>
          <w:b w:val="1"/>
          <w:bCs w:val="1"/>
          <w:color w:val="auto"/>
        </w:rPr>
        <w:t>General</w:t>
      </w:r>
    </w:p>
    <w:p>
      <w:pPr>
        <w:ind w:left="380" w:right="2120"/>
        <w:spacing w:after="0" w:line="214" w:lineRule="auto"/>
        <w:rPr>
          <w:rFonts w:ascii="Arial" w:cs="Arial" w:eastAsia="Arial" w:hAnsi="Arial"/>
          <w:sz w:val="13"/>
          <w:szCs w:val="13"/>
          <w:b w:val="1"/>
          <w:bCs w:val="1"/>
          <w:color w:val="005A64"/>
        </w:rPr>
      </w:pPr>
      <w:r>
        <w:rPr>
          <w:rFonts w:ascii="Arial" w:cs="Arial" w:eastAsia="Arial" w:hAnsi="Arial"/>
          <w:sz w:val="13"/>
          <w:szCs w:val="13"/>
          <w:color w:val="auto"/>
        </w:rPr>
        <w:t>Based on the circular issued by the German Federal Ministry of Finance (</w:t>
      </w:r>
      <w:r>
        <w:rPr>
          <w:rFonts w:ascii="Arial" w:cs="Arial" w:eastAsia="Arial" w:hAnsi="Arial"/>
          <w:sz w:val="13"/>
          <w:szCs w:val="13"/>
          <w:i w:val="1"/>
          <w:iCs w:val="1"/>
          <w:color w:val="auto"/>
        </w:rPr>
        <w:t>BMF-Schreiben</w:t>
      </w:r>
      <w:r>
        <w:rPr>
          <w:rFonts w:ascii="Arial" w:cs="Arial" w:eastAsia="Arial" w:hAnsi="Arial"/>
          <w:sz w:val="13"/>
          <w:szCs w:val="13"/>
          <w:color w:val="auto"/>
        </w:rPr>
        <w:t>), dated May 24, 2013, reference number IV C 1-S2204/12/10003, as amended by the circular dated December 18, 2018 (reference number IV C 1 – S 2204/12/10003), in respect of the taxation of American Depositary Receipts, or ADRs, on domestic shares, or the ADR Tax Circular, for German tax purposes, the ADSs should, in light of the ADR Tax Circular, represent a beneficial ownership interest in the underlying shares of BioNTech and qualify as ADRs for the purpose of the ADR Tax Circular. If the ADSs qualify as ADRs under the ADR Tax Circular, dividends would accordingly be attributable to holders of the ADSs for German tax purposes, and not to the legal owner of the ordinary shares (i.e., the financial institution on behalf of which the ordinary shares are stored at a domestic depository for the ADS holders). Furthermore, holders of the ADSs should be treated as beneficial owners of the capital of BioNTech with respect to capital gains (see below in section “—German Taxation of Capital Gains of the U.S. Treaty Beneficiaries of the ADSs”). However, investors should note that circulars published by the German tax authorities (including the ADR Tax Circular) are not, e.g., binding on German courts, including German tax courts, and it is unclear whether a German court would follow the ADR Tax Circular in determining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228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60"/>
        <w:spacing w:after="0" w:line="220" w:lineRule="auto"/>
        <w:rPr>
          <w:sz w:val="20"/>
          <w:szCs w:val="20"/>
          <w:color w:val="auto"/>
        </w:rPr>
      </w:pPr>
      <w:r>
        <w:rPr>
          <w:rFonts w:ascii="Arial" w:cs="Arial" w:eastAsia="Arial" w:hAnsi="Arial"/>
          <w:sz w:val="13"/>
          <w:szCs w:val="13"/>
          <w:color w:val="auto"/>
        </w:rPr>
        <w:t>the German tax treatment of the ADSs. For the purpose of this German tax section, it is assumed that the ADSs qualify as ADRs within the meaning of the ADR Tax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b w:val="1"/>
          <w:bCs w:val="1"/>
          <w:color w:val="auto"/>
        </w:rPr>
        <w:t>Taxation of Holders Not Tax Resident in Germany</w:t>
      </w:r>
    </w:p>
    <w:p>
      <w:pPr>
        <w:ind w:left="380" w:right="2100"/>
        <w:spacing w:after="0" w:line="216" w:lineRule="auto"/>
        <w:rPr>
          <w:sz w:val="20"/>
          <w:szCs w:val="20"/>
          <w:color w:val="auto"/>
        </w:rPr>
      </w:pPr>
      <w:r>
        <w:rPr>
          <w:rFonts w:ascii="Arial" w:cs="Arial" w:eastAsia="Arial" w:hAnsi="Arial"/>
          <w:sz w:val="13"/>
          <w:szCs w:val="13"/>
          <w:color w:val="auto"/>
        </w:rPr>
        <w:t>The following discussion describes selected German tax consequences of acquiring the ADSs, owning the ADSs and disposing of the ADSs to a holder that is a U.S. treaty beneficiary. For purposes of this discussion, a “U.S. treaty beneficiary” is a resident of the United States for purposes of the Convention between the Federal Republic of Germany and United States of America for the Avoidance of Double Taxation and the Prevention of Fiscal Evasion with respect to Taxes on Income and Capital and Certain Other Taxes of 1989, as amended by the Protocol as of June 4, 2008 (</w:t>
      </w:r>
      <w:r>
        <w:rPr>
          <w:rFonts w:ascii="Arial" w:cs="Arial" w:eastAsia="Arial" w:hAnsi="Arial"/>
          <w:sz w:val="13"/>
          <w:szCs w:val="13"/>
          <w:i w:val="1"/>
          <w:iCs w:val="1"/>
          <w:color w:val="auto"/>
        </w:rPr>
        <w:t>Abkommen zwischen der Bundesrepublik Deutschland und den Vereinigten</w:t>
      </w:r>
      <w:r>
        <w:rPr>
          <w:rFonts w:ascii="Arial" w:cs="Arial" w:eastAsia="Arial" w:hAnsi="Arial"/>
          <w:sz w:val="13"/>
          <w:szCs w:val="13"/>
          <w:color w:val="auto"/>
        </w:rPr>
        <w:t xml:space="preserve"> </w:t>
      </w:r>
      <w:r>
        <w:rPr>
          <w:rFonts w:ascii="Arial" w:cs="Arial" w:eastAsia="Arial" w:hAnsi="Arial"/>
          <w:sz w:val="13"/>
          <w:szCs w:val="13"/>
          <w:i w:val="1"/>
          <w:iCs w:val="1"/>
          <w:color w:val="auto"/>
        </w:rPr>
        <w:t>Staaten von Amerika zur Vermeidung der Doppelbesteuerung und zur Verhinderung der Steuerverkürzung auf dem Gebiet der Steuern vom Einkommen und vom Vermögen und einiger anderer Steuern in der Fassung vom</w:t>
      </w:r>
    </w:p>
    <w:p>
      <w:pPr>
        <w:sectPr>
          <w:pgSz w:w="11900" w:h="16840" w:orient="portrait"/>
          <w:cols w:equalWidth="0" w:num="1">
            <w:col w:w="9020"/>
          </w:cols>
          <w:pgMar w:left="1440" w:top="1440" w:right="1440" w:bottom="21" w:gutter="0" w:footer="0" w:header="0"/>
        </w:sectPr>
      </w:pPr>
    </w:p>
    <w:bookmarkStart w:id="158" w:name="page159"/>
    <w:bookmarkEnd w:id="158"/>
    <w:p>
      <w:pPr>
        <w:ind w:left="520" w:hanging="137"/>
        <w:spacing w:after="0"/>
        <w:tabs>
          <w:tab w:leader="none" w:pos="520" w:val="left"/>
        </w:tabs>
        <w:numPr>
          <w:ilvl w:val="0"/>
          <w:numId w:val="38"/>
        </w:numPr>
        <w:rPr>
          <w:rFonts w:ascii="Arial" w:cs="Arial" w:eastAsia="Arial" w:hAnsi="Arial"/>
          <w:sz w:val="13"/>
          <w:szCs w:val="13"/>
          <w:i w:val="1"/>
          <w:iCs w:val="1"/>
          <w:color w:val="auto"/>
        </w:rPr>
      </w:pPr>
      <w:r>
        <w:rPr>
          <w:rFonts w:ascii="Arial" w:cs="Arial" w:eastAsia="Arial" w:hAnsi="Arial"/>
          <w:sz w:val="13"/>
          <w:szCs w:val="13"/>
          <w:i w:val="1"/>
          <w:iCs w:val="1"/>
          <w:color w:val="auto"/>
        </w:rPr>
        <w:t>Juni 2008</w:t>
      </w:r>
      <w:r>
        <w:rPr>
          <w:rFonts w:ascii="Arial" w:cs="Arial" w:eastAsia="Arial" w:hAnsi="Arial"/>
          <w:sz w:val="13"/>
          <w:szCs w:val="13"/>
          <w:color w:val="auto"/>
        </w:rPr>
        <w:t>), hereinafter referred to as the “Treaty,” who is eligible for relevant benefits under the Treaty.</w:t>
      </w:r>
    </w:p>
    <w:p>
      <w:pPr>
        <w:ind w:left="380"/>
        <w:spacing w:after="0" w:line="210" w:lineRule="auto"/>
        <w:rPr>
          <w:sz w:val="20"/>
          <w:szCs w:val="20"/>
          <w:color w:val="auto"/>
        </w:rPr>
      </w:pPr>
      <w:r>
        <w:rPr>
          <w:rFonts w:ascii="Arial" w:cs="Arial" w:eastAsia="Arial" w:hAnsi="Arial"/>
          <w:sz w:val="13"/>
          <w:szCs w:val="13"/>
          <w:color w:val="auto"/>
        </w:rPr>
        <w:t>A holder will be a U.S. treaty beneficiary entitled to full Treaty benefits in respect of the ADSs if it is, inter alia:</w:t>
      </w:r>
    </w:p>
    <w:p>
      <w:pPr>
        <w:ind w:left="380"/>
        <w:spacing w:after="0" w:line="211" w:lineRule="auto"/>
        <w:rPr>
          <w:sz w:val="20"/>
          <w:szCs w:val="20"/>
          <w:color w:val="auto"/>
        </w:rPr>
      </w:pPr>
      <w:r>
        <w:rPr>
          <w:rFonts w:ascii="Arial" w:cs="Arial" w:eastAsia="Arial" w:hAnsi="Arial"/>
          <w:sz w:val="13"/>
          <w:szCs w:val="13"/>
          <w:color w:val="auto"/>
        </w:rPr>
        <w:t>•the beneficial owner of the ADSs (and the dividends paid with respect thereto);</w:t>
      </w:r>
    </w:p>
    <w:p>
      <w:pPr>
        <w:ind w:left="380"/>
        <w:spacing w:after="0" w:line="211" w:lineRule="auto"/>
        <w:rPr>
          <w:sz w:val="20"/>
          <w:szCs w:val="20"/>
          <w:color w:val="auto"/>
        </w:rPr>
      </w:pPr>
      <w:r>
        <w:rPr>
          <w:rFonts w:ascii="Arial" w:cs="Arial" w:eastAsia="Arial" w:hAnsi="Arial"/>
          <w:sz w:val="13"/>
          <w:szCs w:val="13"/>
          <w:color w:val="auto"/>
        </w:rPr>
        <w:t>•a U.S. tax resident corporation or individual;</w:t>
      </w:r>
    </w:p>
    <w:p>
      <w:pPr>
        <w:ind w:left="380"/>
        <w:spacing w:after="0" w:line="211" w:lineRule="auto"/>
        <w:rPr>
          <w:sz w:val="20"/>
          <w:szCs w:val="20"/>
          <w:color w:val="auto"/>
        </w:rPr>
      </w:pPr>
      <w:r>
        <w:rPr>
          <w:rFonts w:ascii="Arial" w:cs="Arial" w:eastAsia="Arial" w:hAnsi="Arial"/>
          <w:sz w:val="13"/>
          <w:szCs w:val="13"/>
          <w:color w:val="auto"/>
        </w:rPr>
        <w:t>•not also a resident of Germany for German tax purposes; and</w:t>
      </w:r>
    </w:p>
    <w:p>
      <w:pPr>
        <w:spacing w:after="0" w:line="1" w:lineRule="exact"/>
        <w:rPr>
          <w:sz w:val="20"/>
          <w:szCs w:val="20"/>
          <w:color w:val="auto"/>
        </w:rPr>
      </w:pPr>
    </w:p>
    <w:p>
      <w:pPr>
        <w:ind w:left="380" w:right="2820"/>
        <w:spacing w:after="0" w:line="210" w:lineRule="auto"/>
        <w:rPr>
          <w:sz w:val="20"/>
          <w:szCs w:val="20"/>
          <w:color w:val="auto"/>
        </w:rPr>
      </w:pPr>
      <w:r>
        <w:rPr>
          <w:rFonts w:ascii="Arial" w:cs="Arial" w:eastAsia="Arial" w:hAnsi="Arial"/>
          <w:sz w:val="13"/>
          <w:szCs w:val="13"/>
          <w:color w:val="auto"/>
        </w:rPr>
        <w:t>•not subject to the limitation on benefits (i.e., anti-treaty shopping) article of the Treaty that applies in limited circumstances.</w:t>
      </w:r>
    </w:p>
    <w:p>
      <w:pPr>
        <w:ind w:left="380"/>
        <w:spacing w:after="0" w:line="212" w:lineRule="auto"/>
        <w:rPr>
          <w:sz w:val="20"/>
          <w:szCs w:val="20"/>
          <w:color w:val="auto"/>
        </w:rPr>
      </w:pPr>
      <w:r>
        <w:rPr>
          <w:rFonts w:ascii="Arial" w:cs="Arial" w:eastAsia="Arial" w:hAnsi="Arial"/>
          <w:sz w:val="13"/>
          <w:szCs w:val="13"/>
          <w:color w:val="auto"/>
        </w:rPr>
        <w:t>Special rules apply to pension funds and certain other tax-exempt investors.</w:t>
      </w:r>
    </w:p>
    <w:p>
      <w:pPr>
        <w:spacing w:after="0" w:line="1"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This discussion does not address the treatment of ADSs that are (i) held in connection with a permanent establishment or fixed base through which a U.S. treaty beneficiary carries on business or performs personal services in Germany or (ii) part of business assets for which a permanent representative in Germany has been appointed.</w:t>
      </w:r>
    </w:p>
    <w:p>
      <w:pPr>
        <w:ind w:left="380"/>
        <w:spacing w:after="0" w:line="214" w:lineRule="auto"/>
        <w:rPr>
          <w:sz w:val="20"/>
          <w:szCs w:val="20"/>
          <w:color w:val="auto"/>
        </w:rPr>
      </w:pPr>
      <w:r>
        <w:rPr>
          <w:rFonts w:ascii="Arial" w:cs="Arial" w:eastAsia="Arial" w:hAnsi="Arial"/>
          <w:sz w:val="13"/>
          <w:szCs w:val="13"/>
          <w:color w:val="005A64"/>
        </w:rPr>
        <w:t>General Rules for the Taxation of Holders Not Tax Resident in Germany</w:t>
      </w:r>
    </w:p>
    <w:p>
      <w:pPr>
        <w:jc w:val="both"/>
        <w:ind w:left="380" w:right="2200"/>
        <w:spacing w:after="0" w:line="210" w:lineRule="auto"/>
        <w:rPr>
          <w:sz w:val="20"/>
          <w:szCs w:val="20"/>
          <w:color w:val="auto"/>
        </w:rPr>
      </w:pPr>
      <w:r>
        <w:rPr>
          <w:rFonts w:ascii="Arial" w:cs="Arial" w:eastAsia="Arial" w:hAnsi="Arial"/>
          <w:sz w:val="13"/>
          <w:szCs w:val="13"/>
          <w:color w:val="auto"/>
        </w:rPr>
        <w:t>Non-German resident holders of ADSs are subject to German taxation with respect to German source income (</w:t>
      </w:r>
      <w:r>
        <w:rPr>
          <w:rFonts w:ascii="Arial" w:cs="Arial" w:eastAsia="Arial" w:hAnsi="Arial"/>
          <w:sz w:val="13"/>
          <w:szCs w:val="13"/>
          <w:i w:val="1"/>
          <w:iCs w:val="1"/>
          <w:color w:val="auto"/>
        </w:rPr>
        <w:t>beschränkte Steuerpflicht</w:t>
      </w:r>
      <w:r>
        <w:rPr>
          <w:rFonts w:ascii="Arial" w:cs="Arial" w:eastAsia="Arial" w:hAnsi="Arial"/>
          <w:sz w:val="13"/>
          <w:szCs w:val="13"/>
          <w:color w:val="auto"/>
        </w:rPr>
        <w:t xml:space="preserve"> ). According to the ADR Tax Circular, income from the shares should be attributed to the holder of the ADSs for German tax purposes. As a consequence, income from the ADSs should be treated as German source income.</w:t>
      </w:r>
    </w:p>
    <w:p>
      <w:pPr>
        <w:ind w:left="380"/>
        <w:spacing w:after="0" w:line="214" w:lineRule="auto"/>
        <w:rPr>
          <w:sz w:val="20"/>
          <w:szCs w:val="20"/>
          <w:color w:val="auto"/>
        </w:rPr>
      </w:pPr>
      <w:r>
        <w:rPr>
          <w:rFonts w:ascii="Arial" w:cs="Arial" w:eastAsia="Arial" w:hAnsi="Arial"/>
          <w:sz w:val="13"/>
          <w:szCs w:val="13"/>
          <w:b w:val="1"/>
          <w:bCs w:val="1"/>
          <w:color w:val="auto"/>
        </w:rPr>
        <w:t>German Withholding Taxation of Dividends of the U.S. Treaty Beneficiaries of the ADSs</w:t>
      </w:r>
    </w:p>
    <w:p>
      <w:pPr>
        <w:ind w:left="380" w:right="2100"/>
        <w:spacing w:after="0" w:line="213" w:lineRule="auto"/>
        <w:rPr>
          <w:sz w:val="20"/>
          <w:szCs w:val="20"/>
          <w:color w:val="auto"/>
        </w:rPr>
      </w:pPr>
      <w:r>
        <w:rPr>
          <w:rFonts w:ascii="Arial" w:cs="Arial" w:eastAsia="Arial" w:hAnsi="Arial"/>
          <w:sz w:val="13"/>
          <w:szCs w:val="13"/>
          <w:color w:val="auto"/>
        </w:rPr>
        <w:t>Generally, the full amount of a dividend distributed by BioNTech to a non-German resident holder, which does not maintain a permanent establishment or other taxable presence in Germany, is subject to (final) German withholding tax at an aggregate rate of 26.375% (that amount consists of 25% on dividends distributed plus solidarity surcharge of 5.5% on the amount of the withholding tax). The basis for the withholding tax is generally the dividend approved for distribution by our general shareholder’s meeting. German withholding tax is withheld and remitted to the German tax authorities by (i) the disbursing agent (i.e., the German credit institution, financial services institution, securities trading enterprise or securities trading bank (each as defined in the German Banking Act (</w:t>
      </w:r>
      <w:r>
        <w:rPr>
          <w:rFonts w:ascii="Arial" w:cs="Arial" w:eastAsia="Arial" w:hAnsi="Arial"/>
          <w:sz w:val="13"/>
          <w:szCs w:val="13"/>
          <w:i w:val="1"/>
          <w:iCs w:val="1"/>
          <w:color w:val="auto"/>
        </w:rPr>
        <w:t>Kreditwesengesetz</w:t>
      </w:r>
      <w:r>
        <w:rPr>
          <w:rFonts w:ascii="Arial" w:cs="Arial" w:eastAsia="Arial" w:hAnsi="Arial"/>
          <w:sz w:val="13"/>
          <w:szCs w:val="13"/>
          <w:color w:val="auto"/>
        </w:rPr>
        <w:t>) and in each case including a German branch of a foreign enterprise, but excluding a foreign branch of a German enterprise)) that holds or administers the underlying shares in custody and (a) disburses or credits the dividend income from the underlying shares, (b) disburses or credits the dividend income from the underlying shares on delivery of the dividend coupons or (c) disburses such dividend income to a foreign agent; or (ii) the central securities depository (</w:t>
      </w:r>
      <w:r>
        <w:rPr>
          <w:rFonts w:ascii="Arial" w:cs="Arial" w:eastAsia="Arial" w:hAnsi="Arial"/>
          <w:sz w:val="13"/>
          <w:szCs w:val="13"/>
          <w:i w:val="1"/>
          <w:iCs w:val="1"/>
          <w:color w:val="auto"/>
        </w:rPr>
        <w:t>Wertpapiersammelbank</w:t>
      </w:r>
      <w:r>
        <w:rPr>
          <w:rFonts w:ascii="Arial" w:cs="Arial" w:eastAsia="Arial" w:hAnsi="Arial"/>
          <w:sz w:val="13"/>
          <w:szCs w:val="13"/>
          <w:color w:val="auto"/>
        </w:rPr>
        <w:t>) in terms of the German Depositary Act (</w:t>
      </w:r>
      <w:r>
        <w:rPr>
          <w:rFonts w:ascii="Arial" w:cs="Arial" w:eastAsia="Arial" w:hAnsi="Arial"/>
          <w:sz w:val="13"/>
          <w:szCs w:val="13"/>
          <w:i w:val="1"/>
          <w:iCs w:val="1"/>
          <w:color w:val="auto"/>
        </w:rPr>
        <w:t>Depotgesetz</w:t>
      </w:r>
      <w:r>
        <w:rPr>
          <w:rFonts w:ascii="Arial" w:cs="Arial" w:eastAsia="Arial" w:hAnsi="Arial"/>
          <w:sz w:val="13"/>
          <w:szCs w:val="13"/>
          <w:color w:val="auto"/>
        </w:rPr>
        <w:t>) holding the underlying shares in a collective deposit, if such central securities depository disburses the dividend income from the underlying shares to a foreign agent, regardless of whether a holder must report the dividend for tax purposes and regardless of whether or not a holder is a resident of Germany. Dividend payments, to the extent funded from BioNTech’s tax-recognized contribution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229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80"/>
        <w:spacing w:after="0" w:line="220"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steuerliches Einlagekonto</w:t>
      </w:r>
      <w:r>
        <w:rPr>
          <w:rFonts w:ascii="Arial" w:cs="Arial" w:eastAsia="Arial" w:hAnsi="Arial"/>
          <w:sz w:val="13"/>
          <w:szCs w:val="13"/>
          <w:color w:val="auto"/>
        </w:rPr>
        <w:t>), subject to certain prerequisites, do not form part of the taxable dividend income but should lower the holder’s acquisition costs for the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080"/>
        <w:spacing w:after="0" w:line="210" w:lineRule="auto"/>
        <w:rPr>
          <w:sz w:val="20"/>
          <w:szCs w:val="20"/>
          <w:color w:val="auto"/>
        </w:rPr>
      </w:pPr>
      <w:r>
        <w:rPr>
          <w:rFonts w:ascii="Arial" w:cs="Arial" w:eastAsia="Arial" w:hAnsi="Arial"/>
          <w:sz w:val="13"/>
          <w:szCs w:val="13"/>
          <w:color w:val="auto"/>
        </w:rPr>
        <w:t>Pursuant to the Treaty, the German withholding tax may generally not exceed (i) 15% of the gross amount of the dividends received by a U.S. treaty beneficiary other than a company holding ADSs which represent 10% or more of the voting shares in BioNTech, and (ii) 5% of the gross amount of the dividends received by a U.S. treaty beneficiary that is a company holding ADSs which represent 10% or more of the voting shares in BioNTech. The excess of the total withholding tax, including the solidarity surcharge, over the maximum rate of withholding tax permitted by the Treaty is refunded to U.S. treaty beneficiaries upon application. For example, for a declared dividend of 100, a U.S. treaty beneficiary initially receives 73.625 (100 minus the 26.375% withholding tax including solidarity surcharge). A U.S. treaty beneficiary other than a company holding ADSs which represent 10% or more of the voting shares in BioNTech is entitled to a partial refund from the German tax authorities in the amount of 11.375% of the gross dividend (of 100). As a result, the U.S. treaty beneficiary ultimately receives a total of 85 (85% of the declared dividend) following the refund of the excess withholding. However, it should be noted that there is uncertainty as to how the German tax authorities will apply the refund process to dividends on the ADSs with respect to non-German resident holders. Further, such refund is subject to the German anti-avoidance treaty shopping rule (as described below in “—Withholding Tax Refund for U.S. Treaty Beneficiaries”).</w:t>
      </w:r>
    </w:p>
    <w:p>
      <w:pPr>
        <w:ind w:left="380"/>
        <w:spacing w:after="0" w:line="224" w:lineRule="auto"/>
        <w:rPr>
          <w:sz w:val="20"/>
          <w:szCs w:val="20"/>
          <w:color w:val="auto"/>
        </w:rPr>
      </w:pPr>
      <w:r>
        <w:rPr>
          <w:rFonts w:ascii="Arial" w:cs="Arial" w:eastAsia="Arial" w:hAnsi="Arial"/>
          <w:sz w:val="13"/>
          <w:szCs w:val="13"/>
          <w:b w:val="1"/>
          <w:bCs w:val="1"/>
          <w:color w:val="auto"/>
        </w:rPr>
        <w:t>German Withholding Taxation of Capital Gains of the U.S. Treaty Beneficiaries of the ADSs</w:t>
      </w:r>
    </w:p>
    <w:p>
      <w:pPr>
        <w:ind w:left="380" w:right="2100"/>
        <w:spacing w:after="0" w:line="210" w:lineRule="auto"/>
        <w:rPr>
          <w:sz w:val="20"/>
          <w:szCs w:val="20"/>
          <w:color w:val="auto"/>
        </w:rPr>
      </w:pPr>
      <w:r>
        <w:rPr>
          <w:rFonts w:ascii="Arial" w:cs="Arial" w:eastAsia="Arial" w:hAnsi="Arial"/>
          <w:sz w:val="13"/>
          <w:szCs w:val="13"/>
          <w:color w:val="auto"/>
        </w:rPr>
        <w:t>The capital gains from the disposition of the ADSs realized by a non-German resident holder, which does not maintain a permanent establishment or other taxable presence in Germany, would be treated as German source income and be subject to German tax if the ADSs qualify as a Qualifying Participation. A Qualifying Participation exists if a holder at any time during the five years preceding the disposition, directly or indirectly, owned at least 1% of BioNTech’s share capital, irrespective of whether through the ADSs or shares of BioNTech. If such holder had acquired the ADSs without consideration, the previous owner’s holding period and quota would be taken into account.</w:t>
      </w:r>
    </w:p>
    <w:p>
      <w:pPr>
        <w:spacing w:after="0" w:line="4" w:lineRule="exact"/>
        <w:rPr>
          <w:sz w:val="20"/>
          <w:szCs w:val="20"/>
          <w:color w:val="auto"/>
        </w:rPr>
      </w:pPr>
    </w:p>
    <w:p>
      <w:pPr>
        <w:ind w:left="380" w:right="2280"/>
        <w:spacing w:after="0" w:line="210" w:lineRule="auto"/>
        <w:rPr>
          <w:sz w:val="20"/>
          <w:szCs w:val="20"/>
          <w:color w:val="auto"/>
        </w:rPr>
      </w:pPr>
      <w:r>
        <w:rPr>
          <w:rFonts w:ascii="Arial" w:cs="Arial" w:eastAsia="Arial" w:hAnsi="Arial"/>
          <w:sz w:val="13"/>
          <w:szCs w:val="13"/>
          <w:color w:val="auto"/>
        </w:rPr>
        <w:t>Pursuant to the Treaty, capital gains from the disposal of a Qualifying Participation realized by a U.S. treaty beneficiary are, however, generally exempt from German taxation. Pursuant to the Treaty, U.S. treaty beneficiaries are not subject to German tax in relation to capital gains from the disposal of a Qualifying Participation even under the circumstances described in the preceding paragraph and therefore should not be subject to German taxation on capital gains from the disposition of the ADSs.</w:t>
      </w:r>
    </w:p>
    <w:p>
      <w:pPr>
        <w:spacing w:after="0" w:line="3"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German statutory law requires the disbursing agent to levy withholding tax on capital gains from the sale of ADSs or other securities held in a custodial account in Germany. With regard to the German taxation of capital gains, disbursing agent means a German credit institution, financial services institution, securities trading enterprise or securities trading bank (each as defined in the German Banking Act and, in each case including a German branch if a foreign enterprise, but excluding a foreign branch of a German enterprise) that holds the ADSs in custody or administers the ADSs for the investor or conducts sales or other dispositions and disburses or credits the income from the ADSs to the holder of the ADSs. The German statutory law does not explicitly condition the obligation to withhold taxes on capital gains being subject to taxation in Germany under German statutory law or on an applicable income tax treaty permitting Germany to tax such capital gains.</w:t>
      </w:r>
    </w:p>
    <w:p>
      <w:pPr>
        <w:spacing w:after="0" w:line="5" w:lineRule="exact"/>
        <w:rPr>
          <w:sz w:val="20"/>
          <w:szCs w:val="20"/>
          <w:color w:val="auto"/>
        </w:rPr>
      </w:pPr>
    </w:p>
    <w:p>
      <w:pPr>
        <w:ind w:left="380" w:right="2100"/>
        <w:spacing w:after="0" w:line="215" w:lineRule="auto"/>
        <w:rPr>
          <w:sz w:val="20"/>
          <w:szCs w:val="20"/>
          <w:color w:val="auto"/>
        </w:rPr>
      </w:pPr>
      <w:r>
        <w:rPr>
          <w:rFonts w:ascii="Arial" w:cs="Arial" w:eastAsia="Arial" w:hAnsi="Arial"/>
          <w:sz w:val="13"/>
          <w:szCs w:val="13"/>
          <w:color w:val="auto"/>
        </w:rPr>
        <w:t>However, a circular issued by the German Federal Ministry of Finance, dated January 18, 2016, reference number IV C 1-S2252/08/10004 :017, as most recently amended by circular dated September 16, 2019, reference number IV C 1 -S2252/08/10004 :027, provides that taxes need not be withheld when the holder of the custody account is not a resident of Germany for tax purposes and the income is not subject to German taxation. The circular further states that there is no obligation to withhold such tax even if the non-resident holder owns at least 1% of the share capital of a German corporation. While circulars issued by the German Federal Ministry of Finance are generally only to be adhered to by the German tax authorities but are, for example, not binding on the German courts, in practice, the disbursing agents nevertheless typically rely on guidance contained in such circulars. Therefore, a disbursing agent would only withhold tax at 26.375% on capital gains derived by a U.S. treaty beneficiary from the sale of ADSs held in a custodial account in Germany in the event that the disbursing</w:t>
      </w:r>
    </w:p>
    <w:p>
      <w:pPr>
        <w:sectPr>
          <w:pgSz w:w="11900" w:h="16840" w:orient="portrait"/>
          <w:cols w:equalWidth="0" w:num="1">
            <w:col w:w="9020"/>
          </w:cols>
          <w:pgMar w:left="1440" w:top="554" w:right="1440" w:bottom="81" w:gutter="0" w:footer="0" w:header="0"/>
        </w:sectPr>
      </w:pPr>
    </w:p>
    <w:bookmarkStart w:id="159" w:name="page160"/>
    <w:bookmarkEnd w:id="159"/>
    <w:p>
      <w:pPr>
        <w:ind w:left="380" w:right="2120"/>
        <w:spacing w:after="0" w:line="248" w:lineRule="auto"/>
        <w:rPr>
          <w:sz w:val="20"/>
          <w:szCs w:val="20"/>
          <w:color w:val="auto"/>
        </w:rPr>
      </w:pPr>
      <w:r>
        <w:rPr>
          <w:rFonts w:ascii="Arial" w:cs="Arial" w:eastAsia="Arial" w:hAnsi="Arial"/>
          <w:sz w:val="13"/>
          <w:szCs w:val="13"/>
          <w:color w:val="auto"/>
        </w:rPr>
        <w:t>agent did not follow the abovementioned guidance. In this case, the U.S. treaty beneficiary may be entitled to claim a refund of the withholding tax from the German tax authorities under the Treaty, as described below in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230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60"/>
        <w:spacing w:after="0" w:line="217" w:lineRule="auto"/>
        <w:rPr>
          <w:sz w:val="20"/>
          <w:szCs w:val="20"/>
          <w:color w:val="auto"/>
        </w:rPr>
      </w:pPr>
      <w:r>
        <w:rPr>
          <w:rFonts w:ascii="Arial" w:cs="Arial" w:eastAsia="Arial" w:hAnsi="Arial"/>
          <w:sz w:val="13"/>
          <w:szCs w:val="13"/>
          <w:color w:val="auto"/>
        </w:rPr>
        <w:t>Withholding Tax Refund for U.S. Treaty Beneficiaries.” A refund of taxes withheld on capital gains from the disposition of the ADSs which do not qualify as Qualifying Participations may also be claimed based on German statutory domestic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b w:val="1"/>
          <w:bCs w:val="1"/>
          <w:color w:val="auto"/>
        </w:rPr>
        <w:t>Withholding Tax Refund for U.S. Treaty Beneficiaries</w:t>
      </w:r>
    </w:p>
    <w:p>
      <w:pPr>
        <w:ind w:left="380"/>
        <w:spacing w:after="0" w:line="211" w:lineRule="auto"/>
        <w:rPr>
          <w:sz w:val="20"/>
          <w:szCs w:val="20"/>
          <w:color w:val="auto"/>
        </w:rPr>
      </w:pPr>
      <w:r>
        <w:rPr>
          <w:rFonts w:ascii="Arial" w:cs="Arial" w:eastAsia="Arial" w:hAnsi="Arial"/>
          <w:sz w:val="13"/>
          <w:szCs w:val="13"/>
          <w:color w:val="auto"/>
        </w:rPr>
        <w:t>U.S. treaty beneficiaries are generally eligible for treaty benefits under the Treaty, as described above in “—</w:t>
      </w:r>
    </w:p>
    <w:p>
      <w:pPr>
        <w:ind w:left="380"/>
        <w:spacing w:after="0" w:line="211" w:lineRule="auto"/>
        <w:rPr>
          <w:sz w:val="20"/>
          <w:szCs w:val="20"/>
          <w:color w:val="auto"/>
        </w:rPr>
      </w:pPr>
      <w:r>
        <w:rPr>
          <w:rFonts w:ascii="Arial" w:cs="Arial" w:eastAsia="Arial" w:hAnsi="Arial"/>
          <w:sz w:val="13"/>
          <w:szCs w:val="13"/>
          <w:color w:val="auto"/>
        </w:rPr>
        <w:t>Taxation of Holders Not Tax Resident in Germany.” Accordingly, U.S. treaty beneficiaries are in general entitled</w:t>
      </w:r>
    </w:p>
    <w:p>
      <w:pPr>
        <w:ind w:left="380"/>
        <w:spacing w:after="0" w:line="210" w:lineRule="auto"/>
        <w:rPr>
          <w:sz w:val="20"/>
          <w:szCs w:val="20"/>
          <w:color w:val="auto"/>
        </w:rPr>
      </w:pPr>
      <w:r>
        <w:rPr>
          <w:rFonts w:ascii="Arial" w:cs="Arial" w:eastAsia="Arial" w:hAnsi="Arial"/>
          <w:sz w:val="13"/>
          <w:szCs w:val="13"/>
          <w:color w:val="auto"/>
        </w:rPr>
        <w:t>to claim a refund of (i) the portion of the otherwise applicable 26.375% German withholding tax</w:t>
      </w:r>
    </w:p>
    <w:p>
      <w:pPr>
        <w:ind w:left="380"/>
        <w:spacing w:after="0" w:line="21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Kapitalertragsteuer</w:t>
      </w:r>
      <w:r>
        <w:rPr>
          <w:rFonts w:ascii="Arial" w:cs="Arial" w:eastAsia="Arial" w:hAnsi="Arial"/>
          <w:sz w:val="13"/>
          <w:szCs w:val="13"/>
          <w:color w:val="auto"/>
        </w:rPr>
        <w:t>) on dividends that exceeds the applicable Treaty rate and (ii) the full amount of German</w:t>
      </w:r>
    </w:p>
    <w:p>
      <w:pPr>
        <w:ind w:left="380"/>
        <w:spacing w:after="0" w:line="211" w:lineRule="auto"/>
        <w:rPr>
          <w:sz w:val="20"/>
          <w:szCs w:val="20"/>
          <w:color w:val="auto"/>
        </w:rPr>
      </w:pPr>
      <w:r>
        <w:rPr>
          <w:rFonts w:ascii="Arial" w:cs="Arial" w:eastAsia="Arial" w:hAnsi="Arial"/>
          <w:sz w:val="13"/>
          <w:szCs w:val="13"/>
          <w:color w:val="auto"/>
        </w:rPr>
        <w:t>withholding tax (</w:t>
      </w:r>
      <w:r>
        <w:rPr>
          <w:rFonts w:ascii="Arial" w:cs="Arial" w:eastAsia="Arial" w:hAnsi="Arial"/>
          <w:sz w:val="13"/>
          <w:szCs w:val="13"/>
          <w:i w:val="1"/>
          <w:iCs w:val="1"/>
          <w:color w:val="auto"/>
        </w:rPr>
        <w:t>Kapitalertragsteuer</w:t>
      </w:r>
      <w:r>
        <w:rPr>
          <w:rFonts w:ascii="Arial" w:cs="Arial" w:eastAsia="Arial" w:hAnsi="Arial"/>
          <w:sz w:val="13"/>
          <w:szCs w:val="13"/>
          <w:color w:val="auto"/>
        </w:rPr>
        <w:t>) on capital gains from the disposition of ADSs. The application for such claim</w:t>
      </w:r>
    </w:p>
    <w:p>
      <w:pPr>
        <w:ind w:left="380"/>
        <w:spacing w:after="0" w:line="211" w:lineRule="auto"/>
        <w:rPr>
          <w:sz w:val="20"/>
          <w:szCs w:val="20"/>
          <w:color w:val="auto"/>
        </w:rPr>
      </w:pPr>
      <w:r>
        <w:rPr>
          <w:rFonts w:ascii="Arial" w:cs="Arial" w:eastAsia="Arial" w:hAnsi="Arial"/>
          <w:sz w:val="13"/>
          <w:szCs w:val="13"/>
          <w:color w:val="auto"/>
        </w:rPr>
        <w:t>is generally to be filed with the Federal Central Office of Taxation (</w:t>
      </w:r>
      <w:r>
        <w:rPr>
          <w:rFonts w:ascii="Arial" w:cs="Arial" w:eastAsia="Arial" w:hAnsi="Arial"/>
          <w:sz w:val="13"/>
          <w:szCs w:val="13"/>
          <w:i w:val="1"/>
          <w:iCs w:val="1"/>
          <w:color w:val="auto"/>
        </w:rPr>
        <w:t>Bundeszentralamt für Steuern</w:t>
      </w:r>
      <w:r>
        <w:rPr>
          <w:rFonts w:ascii="Arial" w:cs="Arial" w:eastAsia="Arial" w:hAnsi="Arial"/>
          <w:sz w:val="13"/>
          <w:szCs w:val="13"/>
          <w:color w:val="auto"/>
        </w:rPr>
        <w:t>) within four</w:t>
      </w:r>
    </w:p>
    <w:p>
      <w:pPr>
        <w:ind w:left="380"/>
        <w:spacing w:after="0" w:line="211" w:lineRule="auto"/>
        <w:rPr>
          <w:sz w:val="20"/>
          <w:szCs w:val="20"/>
          <w:color w:val="auto"/>
        </w:rPr>
      </w:pPr>
      <w:r>
        <w:rPr>
          <w:rFonts w:ascii="Arial" w:cs="Arial" w:eastAsia="Arial" w:hAnsi="Arial"/>
          <w:sz w:val="13"/>
          <w:szCs w:val="13"/>
          <w:color w:val="auto"/>
        </w:rPr>
        <w:t>years after the end of the calendar year in which the capital gains or dividends have been received (</w:t>
      </w:r>
      <w:r>
        <w:rPr>
          <w:rFonts w:ascii="Arial" w:cs="Arial" w:eastAsia="Arial" w:hAnsi="Arial"/>
          <w:sz w:val="13"/>
          <w:szCs w:val="13"/>
          <w:i w:val="1"/>
          <w:iCs w:val="1"/>
          <w:color w:val="auto"/>
        </w:rPr>
        <w:t>bezogen</w:t>
      </w:r>
      <w:r>
        <w:rPr>
          <w:rFonts w:ascii="Arial" w:cs="Arial" w:eastAsia="Arial" w:hAnsi="Arial"/>
          <w:sz w:val="13"/>
          <w:szCs w:val="13"/>
          <w:color w:val="auto"/>
        </w:rPr>
        <w:t>).</w:t>
      </w:r>
    </w:p>
    <w:p>
      <w:pPr>
        <w:ind w:left="380"/>
        <w:spacing w:after="0" w:line="211" w:lineRule="auto"/>
        <w:rPr>
          <w:sz w:val="20"/>
          <w:szCs w:val="20"/>
          <w:color w:val="auto"/>
        </w:rPr>
      </w:pPr>
      <w:r>
        <w:rPr>
          <w:rFonts w:ascii="Arial" w:cs="Arial" w:eastAsia="Arial" w:hAnsi="Arial"/>
          <w:sz w:val="13"/>
          <w:szCs w:val="13"/>
          <w:color w:val="auto"/>
        </w:rPr>
        <w:t>However, in respect of dividends, the refund described in the preceding paragraph is only possible if, due to</w:t>
      </w:r>
    </w:p>
    <w:p>
      <w:pPr>
        <w:ind w:left="380"/>
        <w:spacing w:after="0" w:line="211" w:lineRule="auto"/>
        <w:rPr>
          <w:sz w:val="20"/>
          <w:szCs w:val="20"/>
          <w:color w:val="auto"/>
        </w:rPr>
      </w:pPr>
      <w:r>
        <w:rPr>
          <w:rFonts w:ascii="Arial" w:cs="Arial" w:eastAsia="Arial" w:hAnsi="Arial"/>
          <w:sz w:val="13"/>
          <w:szCs w:val="13"/>
          <w:color w:val="auto"/>
        </w:rPr>
        <w:t>special rules on the restriction of withholding tax credit, the following three cumulative requirements are met: (i)</w:t>
      </w:r>
    </w:p>
    <w:p>
      <w:pPr>
        <w:ind w:left="380"/>
        <w:spacing w:after="0" w:line="211" w:lineRule="auto"/>
        <w:rPr>
          <w:sz w:val="20"/>
          <w:szCs w:val="20"/>
          <w:color w:val="auto"/>
        </w:rPr>
      </w:pPr>
      <w:r>
        <w:rPr>
          <w:rFonts w:ascii="Arial" w:cs="Arial" w:eastAsia="Arial" w:hAnsi="Arial"/>
          <w:sz w:val="13"/>
          <w:szCs w:val="13"/>
          <w:color w:val="auto"/>
        </w:rPr>
        <w:t>the holder must qualify as beneficial owner of the ADSs for an uninterrupted minimum holding period of 45 days</w:t>
      </w:r>
    </w:p>
    <w:p>
      <w:pPr>
        <w:ind w:left="380"/>
        <w:spacing w:after="0" w:line="211" w:lineRule="auto"/>
        <w:rPr>
          <w:sz w:val="20"/>
          <w:szCs w:val="20"/>
          <w:color w:val="auto"/>
        </w:rPr>
      </w:pPr>
      <w:r>
        <w:rPr>
          <w:rFonts w:ascii="Arial" w:cs="Arial" w:eastAsia="Arial" w:hAnsi="Arial"/>
          <w:sz w:val="13"/>
          <w:szCs w:val="13"/>
          <w:color w:val="auto"/>
        </w:rPr>
        <w:t>within a period starting 45 days prior to and ending 45 days after the due date of the dividends, (ii) the holder has</w:t>
      </w:r>
    </w:p>
    <w:p>
      <w:pPr>
        <w:ind w:left="380"/>
        <w:spacing w:after="0" w:line="211" w:lineRule="auto"/>
        <w:rPr>
          <w:sz w:val="20"/>
          <w:szCs w:val="20"/>
          <w:color w:val="auto"/>
        </w:rPr>
      </w:pPr>
      <w:r>
        <w:rPr>
          <w:rFonts w:ascii="Arial" w:cs="Arial" w:eastAsia="Arial" w:hAnsi="Arial"/>
          <w:sz w:val="13"/>
          <w:szCs w:val="13"/>
          <w:color w:val="auto"/>
        </w:rPr>
        <w:t>to bear at least 70% of the change in value risk related to the ADSs during the minimum holding period as</w:t>
      </w:r>
    </w:p>
    <w:p>
      <w:pPr>
        <w:ind w:left="380"/>
        <w:spacing w:after="0" w:line="211" w:lineRule="auto"/>
        <w:rPr>
          <w:sz w:val="20"/>
          <w:szCs w:val="20"/>
          <w:color w:val="auto"/>
        </w:rPr>
      </w:pPr>
      <w:r>
        <w:rPr>
          <w:rFonts w:ascii="Arial" w:cs="Arial" w:eastAsia="Arial" w:hAnsi="Arial"/>
          <w:sz w:val="13"/>
          <w:szCs w:val="13"/>
          <w:color w:val="auto"/>
        </w:rPr>
        <w:t>described under (i) of this paragraph and has not entered into (acting by itself or through a related party) hedging</w:t>
      </w:r>
    </w:p>
    <w:p>
      <w:pPr>
        <w:ind w:left="380"/>
        <w:spacing w:after="0" w:line="211" w:lineRule="auto"/>
        <w:rPr>
          <w:sz w:val="20"/>
          <w:szCs w:val="20"/>
          <w:color w:val="auto"/>
        </w:rPr>
      </w:pPr>
      <w:r>
        <w:rPr>
          <w:rFonts w:ascii="Arial" w:cs="Arial" w:eastAsia="Arial" w:hAnsi="Arial"/>
          <w:sz w:val="13"/>
          <w:szCs w:val="13"/>
          <w:color w:val="auto"/>
        </w:rPr>
        <w:t>transactions which lower the change in value risk by more than 30%, and (iii) the holder must not be obliged to</w:t>
      </w:r>
    </w:p>
    <w:p>
      <w:pPr>
        <w:ind w:left="380"/>
        <w:spacing w:after="0" w:line="211" w:lineRule="auto"/>
        <w:rPr>
          <w:sz w:val="20"/>
          <w:szCs w:val="20"/>
          <w:color w:val="auto"/>
        </w:rPr>
      </w:pPr>
      <w:r>
        <w:rPr>
          <w:rFonts w:ascii="Arial" w:cs="Arial" w:eastAsia="Arial" w:hAnsi="Arial"/>
          <w:sz w:val="13"/>
          <w:szCs w:val="13"/>
          <w:color w:val="auto"/>
        </w:rPr>
        <w:t>fully or largely compensate directly or indirectly the dividends to third parties. If these requirements are not met,</w:t>
      </w:r>
    </w:p>
    <w:p>
      <w:pPr>
        <w:ind w:left="380"/>
        <w:spacing w:after="0" w:line="211" w:lineRule="auto"/>
        <w:rPr>
          <w:sz w:val="20"/>
          <w:szCs w:val="20"/>
          <w:color w:val="auto"/>
        </w:rPr>
      </w:pPr>
      <w:r>
        <w:rPr>
          <w:rFonts w:ascii="Arial" w:cs="Arial" w:eastAsia="Arial" w:hAnsi="Arial"/>
          <w:sz w:val="13"/>
          <w:szCs w:val="13"/>
          <w:color w:val="auto"/>
        </w:rPr>
        <w:t>then for a holder not being tax-resident in Germany who applied for a full or partial refund of the withholding tax</w:t>
      </w:r>
    </w:p>
    <w:p>
      <w:pPr>
        <w:ind w:left="380"/>
        <w:spacing w:after="0" w:line="211" w:lineRule="auto"/>
        <w:rPr>
          <w:sz w:val="20"/>
          <w:szCs w:val="20"/>
          <w:color w:val="auto"/>
        </w:rPr>
      </w:pPr>
      <w:r>
        <w:rPr>
          <w:rFonts w:ascii="Arial" w:cs="Arial" w:eastAsia="Arial" w:hAnsi="Arial"/>
          <w:sz w:val="13"/>
          <w:szCs w:val="13"/>
          <w:color w:val="auto"/>
        </w:rPr>
        <w:t>pursuant to a double taxation treaty, no refund is available. This restriction generally does only apply if (a) the</w:t>
      </w:r>
    </w:p>
    <w:p>
      <w:pPr>
        <w:ind w:left="380"/>
        <w:spacing w:after="0" w:line="211" w:lineRule="auto"/>
        <w:rPr>
          <w:sz w:val="20"/>
          <w:szCs w:val="20"/>
          <w:color w:val="auto"/>
        </w:rPr>
      </w:pPr>
      <w:r>
        <w:rPr>
          <w:rFonts w:ascii="Arial" w:cs="Arial" w:eastAsia="Arial" w:hAnsi="Arial"/>
          <w:sz w:val="13"/>
          <w:szCs w:val="13"/>
          <w:color w:val="auto"/>
        </w:rPr>
        <w:t>German tax underlying the refund application is below a tax rate of 15% based on the gross amount of the</w:t>
      </w:r>
    </w:p>
    <w:p>
      <w:pPr>
        <w:ind w:left="380"/>
        <w:spacing w:after="0" w:line="211" w:lineRule="auto"/>
        <w:rPr>
          <w:sz w:val="20"/>
          <w:szCs w:val="20"/>
          <w:color w:val="auto"/>
        </w:rPr>
      </w:pPr>
      <w:r>
        <w:rPr>
          <w:rFonts w:ascii="Arial" w:cs="Arial" w:eastAsia="Arial" w:hAnsi="Arial"/>
          <w:sz w:val="13"/>
          <w:szCs w:val="13"/>
          <w:color w:val="auto"/>
        </w:rPr>
        <w:t>dividends and (b) the holder does not directly own 10% or more of the shares of BioNTech and is subject to</w:t>
      </w:r>
    </w:p>
    <w:p>
      <w:pPr>
        <w:ind w:left="380"/>
        <w:spacing w:after="0" w:line="211" w:lineRule="auto"/>
        <w:rPr>
          <w:sz w:val="20"/>
          <w:szCs w:val="20"/>
          <w:color w:val="auto"/>
        </w:rPr>
      </w:pPr>
      <w:r>
        <w:rPr>
          <w:rFonts w:ascii="Arial" w:cs="Arial" w:eastAsia="Arial" w:hAnsi="Arial"/>
          <w:sz w:val="13"/>
          <w:szCs w:val="13"/>
          <w:color w:val="auto"/>
        </w:rPr>
        <w:t>income taxes in its state of residence, without being tax-exempt. The restriction of the withholding tax credit does</w:t>
      </w:r>
    </w:p>
    <w:p>
      <w:pPr>
        <w:ind w:left="380"/>
        <w:spacing w:after="0" w:line="211" w:lineRule="auto"/>
        <w:rPr>
          <w:sz w:val="20"/>
          <w:szCs w:val="20"/>
          <w:color w:val="auto"/>
        </w:rPr>
      </w:pPr>
      <w:r>
        <w:rPr>
          <w:rFonts w:ascii="Arial" w:cs="Arial" w:eastAsia="Arial" w:hAnsi="Arial"/>
          <w:sz w:val="13"/>
          <w:szCs w:val="13"/>
          <w:color w:val="auto"/>
        </w:rPr>
        <w:t>not apply if the holder has beneficially owned the ADSs for at least one uninterrupted year until receipt (</w:t>
      </w:r>
      <w:r>
        <w:rPr>
          <w:rFonts w:ascii="Arial" w:cs="Arial" w:eastAsia="Arial" w:hAnsi="Arial"/>
          <w:sz w:val="13"/>
          <w:szCs w:val="13"/>
          <w:i w:val="1"/>
          <w:iCs w:val="1"/>
          <w:color w:val="auto"/>
        </w:rPr>
        <w:t>Zufluss</w:t>
      </w:r>
      <w:r>
        <w:rPr>
          <w:rFonts w:ascii="Arial" w:cs="Arial" w:eastAsia="Arial" w:hAnsi="Arial"/>
          <w:sz w:val="13"/>
          <w:szCs w:val="13"/>
          <w:color w:val="auto"/>
        </w:rPr>
        <w:t>)</w:t>
      </w:r>
    </w:p>
    <w:p>
      <w:pPr>
        <w:ind w:left="380"/>
        <w:spacing w:after="0" w:line="211" w:lineRule="auto"/>
        <w:rPr>
          <w:sz w:val="20"/>
          <w:szCs w:val="20"/>
          <w:color w:val="auto"/>
        </w:rPr>
      </w:pPr>
      <w:r>
        <w:rPr>
          <w:rFonts w:ascii="Arial" w:cs="Arial" w:eastAsia="Arial" w:hAnsi="Arial"/>
          <w:sz w:val="13"/>
          <w:szCs w:val="13"/>
          <w:color w:val="auto"/>
        </w:rPr>
        <w:t>of the dividends.</w:t>
      </w:r>
    </w:p>
    <w:p>
      <w:pPr>
        <w:ind w:left="380" w:right="2100"/>
        <w:spacing w:after="0" w:line="210" w:lineRule="auto"/>
        <w:rPr>
          <w:sz w:val="20"/>
          <w:szCs w:val="20"/>
          <w:color w:val="auto"/>
        </w:rPr>
      </w:pPr>
      <w:r>
        <w:rPr>
          <w:rFonts w:ascii="Arial" w:cs="Arial" w:eastAsia="Arial" w:hAnsi="Arial"/>
          <w:sz w:val="13"/>
          <w:szCs w:val="13"/>
          <w:color w:val="auto"/>
        </w:rPr>
        <w:t>In general, as previously discussed, investors should note that it is unclear how the German tax administration will apply the refund process to dividends on the ADSs. Further, such refund is subject to the German anti treaty shopping rule. Generally, this rule requires that the U.S. treaty beneficiary (in case it is a non-German resident company) maintains its own administrative substance and conducts its own business activities. In particular, a foreign company has no right to a full or partial refund to the extent persons holding ownership interests in BioNTech would not be entitled to the refund if they derived the income directly and the gross income realized by the foreign company is not caused by the business activities of the foreign company, and there are either no economic or other considerable reasons for the interposition of the foreign company, or the foreign company does not participate in general commerce by means of a business organization with resources appropriate to its business purpose. However, this shall not apply if the foreign company’s principal class of stock is regularly traded in substantial volume on a recognized stock exchange, or if the foreign company is subject to the provisions of the German Investment Tax Act (</w:t>
      </w:r>
      <w:r>
        <w:rPr>
          <w:rFonts w:ascii="Arial" w:cs="Arial" w:eastAsia="Arial" w:hAnsi="Arial"/>
          <w:sz w:val="13"/>
          <w:szCs w:val="13"/>
          <w:i w:val="1"/>
          <w:iCs w:val="1"/>
          <w:color w:val="auto"/>
        </w:rPr>
        <w:t>Investmentsteuergesetz</w:t>
      </w:r>
      <w:r>
        <w:rPr>
          <w:rFonts w:ascii="Arial" w:cs="Arial" w:eastAsia="Arial" w:hAnsi="Arial"/>
          <w:sz w:val="13"/>
          <w:szCs w:val="13"/>
          <w:color w:val="auto"/>
        </w:rPr>
        <w:t>). Whether or not and to which extent the anti-treaty shopping rule applies to the ADSs has to be analyzed on a case by case basis taking into account all relevant tests. In addition, the interpretation of these tests is disputed and to date no published decisions of the German Federal Finance Court exist in this regard.</w:t>
      </w:r>
    </w:p>
    <w:p>
      <w:pPr>
        <w:spacing w:after="0" w:line="9"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Due to the legal structure of the ADSs, only limited guidance from the German tax authorities exists on the practical application of the refund process with respect to the ADSs and the respective limitations. Recently, the German tax authorities have indicated that for ADR programs (which are considered comparable to ADS programs) a collective tax certificate in connection with a withholding of tax amounts may no longer be issued by the domestic depositary of the shares upon request of the foreign depositary agents. Rather, individual tax certificates need to be issued which might delay a potential refund procedure. Moreover, the simplified refund procedure based on electronic data exchange (</w:t>
      </w:r>
      <w:r>
        <w:rPr>
          <w:rFonts w:ascii="Arial" w:cs="Arial" w:eastAsia="Arial" w:hAnsi="Arial"/>
          <w:sz w:val="13"/>
          <w:szCs w:val="13"/>
          <w:i w:val="1"/>
          <w:iCs w:val="1"/>
          <w:color w:val="auto"/>
        </w:rPr>
        <w:t>Datenträgerverfahren</w:t>
      </w:r>
      <w:r>
        <w:rPr>
          <w:rFonts w:ascii="Arial" w:cs="Arial" w:eastAsia="Arial" w:hAnsi="Arial"/>
          <w:sz w:val="13"/>
          <w:szCs w:val="13"/>
          <w:color w:val="auto"/>
        </w:rPr>
        <w:t>) for claims for reimbursement based on ADRs has been suspended temporarily by the tax authorities.</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auto"/>
        </w:rPr>
        <w:t>Taxation of Holders Tax Resident in 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231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27" w:lineRule="auto"/>
        <w:rPr>
          <w:sz w:val="20"/>
          <w:szCs w:val="20"/>
          <w:color w:val="auto"/>
        </w:rPr>
      </w:pPr>
      <w:r>
        <w:rPr>
          <w:rFonts w:ascii="Arial" w:cs="Arial" w:eastAsia="Arial" w:hAnsi="Arial"/>
          <w:sz w:val="13"/>
          <w:szCs w:val="13"/>
          <w:color w:val="auto"/>
        </w:rPr>
        <w:t>This subsection provides an overview of dividend taxation and of capital gains taxation with regard to the general principles applicable to ADS holders that are tax resident in Germany. A holder is a German tax resident if, in case of an individual, he or she maintains a domicile (</w:t>
      </w:r>
      <w:r>
        <w:rPr>
          <w:rFonts w:ascii="Arial" w:cs="Arial" w:eastAsia="Arial" w:hAnsi="Arial"/>
          <w:sz w:val="13"/>
          <w:szCs w:val="13"/>
          <w:i w:val="1"/>
          <w:iCs w:val="1"/>
          <w:color w:val="auto"/>
        </w:rPr>
        <w:t>Wohnsitz</w:t>
      </w:r>
      <w:r>
        <w:rPr>
          <w:rFonts w:ascii="Arial" w:cs="Arial" w:eastAsia="Arial" w:hAnsi="Arial"/>
          <w:sz w:val="13"/>
          <w:szCs w:val="13"/>
          <w:color w:val="auto"/>
        </w:rPr>
        <w:t>) or a usual residence (</w:t>
      </w:r>
      <w:r>
        <w:rPr>
          <w:rFonts w:ascii="Arial" w:cs="Arial" w:eastAsia="Arial" w:hAnsi="Arial"/>
          <w:sz w:val="13"/>
          <w:szCs w:val="13"/>
          <w:i w:val="1"/>
          <w:iCs w:val="1"/>
          <w:color w:val="auto"/>
        </w:rPr>
        <w:t>gewöhnlicher Aufenthalt</w:t>
      </w:r>
      <w:r>
        <w:rPr>
          <w:rFonts w:ascii="Arial" w:cs="Arial" w:eastAsia="Arial" w:hAnsi="Arial"/>
          <w:sz w:val="13"/>
          <w:szCs w:val="13"/>
          <w:color w:val="auto"/>
        </w:rPr>
        <w:t xml:space="preserve"> ) in Germany or if, in case of a corporation, it has its place of management (</w:t>
      </w:r>
      <w:r>
        <w:rPr>
          <w:rFonts w:ascii="Arial" w:cs="Arial" w:eastAsia="Arial" w:hAnsi="Arial"/>
          <w:sz w:val="13"/>
          <w:szCs w:val="13"/>
          <w:i w:val="1"/>
          <w:iCs w:val="1"/>
          <w:color w:val="auto"/>
        </w:rPr>
        <w:t>Geschäftsleitung</w:t>
      </w:r>
      <w:r>
        <w:rPr>
          <w:rFonts w:ascii="Arial" w:cs="Arial" w:eastAsia="Arial" w:hAnsi="Arial"/>
          <w:sz w:val="13"/>
          <w:szCs w:val="13"/>
          <w:color w:val="auto"/>
        </w:rPr>
        <w:t>) or registered seat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-352425</wp:posOffset>
            </wp:positionV>
            <wp:extent cx="5231130"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560" w:right="1440" w:bottom="8" w:gutter="0" w:footer="0" w:header="0"/>
        </w:sectPr>
      </w:pPr>
    </w:p>
    <w:bookmarkStart w:id="160" w:name="page161"/>
    <w:bookmarkEnd w:id="160"/>
    <w:p>
      <w:pPr>
        <w:ind w:left="3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Sitz</w:t>
      </w:r>
      <w:r>
        <w:rPr>
          <w:rFonts w:ascii="Arial" w:cs="Arial" w:eastAsia="Arial" w:hAnsi="Arial"/>
          <w:sz w:val="13"/>
          <w:szCs w:val="13"/>
          <w:color w:val="auto"/>
        </w:rPr>
        <w:t>) in Germany.</w:t>
      </w:r>
    </w:p>
    <w:p>
      <w:pPr>
        <w:ind w:left="380" w:right="2140"/>
        <w:spacing w:after="0" w:line="210" w:lineRule="auto"/>
        <w:rPr>
          <w:sz w:val="20"/>
          <w:szCs w:val="20"/>
          <w:color w:val="auto"/>
        </w:rPr>
      </w:pPr>
      <w:r>
        <w:rPr>
          <w:rFonts w:ascii="Arial" w:cs="Arial" w:eastAsia="Arial" w:hAnsi="Arial"/>
          <w:sz w:val="13"/>
          <w:szCs w:val="13"/>
          <w:color w:val="auto"/>
        </w:rPr>
        <w:t>The German dividend and capital gains taxation rules applicable to German tax residents require a distinction between ADSs held as private assets (</w:t>
      </w:r>
      <w:r>
        <w:rPr>
          <w:rFonts w:ascii="Arial" w:cs="Arial" w:eastAsia="Arial" w:hAnsi="Arial"/>
          <w:sz w:val="13"/>
          <w:szCs w:val="13"/>
          <w:i w:val="1"/>
          <w:iCs w:val="1"/>
          <w:color w:val="auto"/>
        </w:rPr>
        <w:t>Privatvermögen</w:t>
      </w:r>
      <w:r>
        <w:rPr>
          <w:rFonts w:ascii="Arial" w:cs="Arial" w:eastAsia="Arial" w:hAnsi="Arial"/>
          <w:sz w:val="13"/>
          <w:szCs w:val="13"/>
          <w:color w:val="auto"/>
        </w:rPr>
        <w:t>) and ADSs held as business assets (</w:t>
      </w:r>
      <w:r>
        <w:rPr>
          <w:rFonts w:ascii="Arial" w:cs="Arial" w:eastAsia="Arial" w:hAnsi="Arial"/>
          <w:sz w:val="13"/>
          <w:szCs w:val="13"/>
          <w:i w:val="1"/>
          <w:iCs w:val="1"/>
          <w:color w:val="auto"/>
        </w:rPr>
        <w:t>Betriebsvermögen</w:t>
      </w:r>
      <w:r>
        <w:rPr>
          <w:rFonts w:ascii="Arial" w:cs="Arial" w:eastAsia="Arial" w:hAnsi="Arial"/>
          <w:sz w:val="13"/>
          <w:szCs w:val="13"/>
          <w:color w:val="auto"/>
        </w:rPr>
        <w:t>).</w:t>
      </w:r>
    </w:p>
    <w:p>
      <w:pPr>
        <w:ind w:left="380"/>
        <w:spacing w:after="0" w:line="212" w:lineRule="auto"/>
        <w:rPr>
          <w:sz w:val="20"/>
          <w:szCs w:val="20"/>
          <w:color w:val="auto"/>
        </w:rPr>
      </w:pPr>
      <w:r>
        <w:rPr>
          <w:rFonts w:ascii="Arial" w:cs="Arial" w:eastAsia="Arial" w:hAnsi="Arial"/>
          <w:sz w:val="13"/>
          <w:szCs w:val="13"/>
          <w:b w:val="1"/>
          <w:bCs w:val="1"/>
          <w:color w:val="auto"/>
        </w:rPr>
        <w:t>ADSs as Private Assets (</w:t>
      </w:r>
      <w:r>
        <w:rPr>
          <w:rFonts w:ascii="Arial" w:cs="Arial" w:eastAsia="Arial" w:hAnsi="Arial"/>
          <w:sz w:val="13"/>
          <w:szCs w:val="13"/>
          <w:b w:val="1"/>
          <w:bCs w:val="1"/>
          <w:i w:val="1"/>
          <w:iCs w:val="1"/>
          <w:color w:val="auto"/>
        </w:rPr>
        <w:t>Privatvermögen</w:t>
      </w:r>
      <w:r>
        <w:rPr>
          <w:rFonts w:ascii="Arial" w:cs="Arial" w:eastAsia="Arial" w:hAnsi="Arial"/>
          <w:sz w:val="13"/>
          <w:szCs w:val="13"/>
          <w:b w:val="1"/>
          <w:bCs w:val="1"/>
          <w:color w:val="auto"/>
        </w:rPr>
        <w:t>)</w:t>
      </w:r>
    </w:p>
    <w:p>
      <w:pPr>
        <w:spacing w:after="0" w:line="1"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If the ADSs are held as private assets by a German tax resident, dividends and capital gains (other than capital gains from the disposition of a Qualifying Participation) are taxed as investment income and are principally subject to 25% German flat income tax on capital income (</w:t>
      </w:r>
      <w:r>
        <w:rPr>
          <w:rFonts w:ascii="Arial" w:cs="Arial" w:eastAsia="Arial" w:hAnsi="Arial"/>
          <w:sz w:val="13"/>
          <w:szCs w:val="13"/>
          <w:i w:val="1"/>
          <w:iCs w:val="1"/>
          <w:color w:val="auto"/>
        </w:rPr>
        <w:t>Abgeltungsteuer</w:t>
      </w:r>
      <w:r>
        <w:rPr>
          <w:rFonts w:ascii="Arial" w:cs="Arial" w:eastAsia="Arial" w:hAnsi="Arial"/>
          <w:sz w:val="13"/>
          <w:szCs w:val="13"/>
          <w:color w:val="auto"/>
        </w:rPr>
        <w:t>) (plus a 5.5% solidarity surcharge (</w:t>
      </w:r>
      <w:r>
        <w:rPr>
          <w:rFonts w:ascii="Arial" w:cs="Arial" w:eastAsia="Arial" w:hAnsi="Arial"/>
          <w:sz w:val="13"/>
          <w:szCs w:val="13"/>
          <w:i w:val="1"/>
          <w:iCs w:val="1"/>
          <w:color w:val="auto"/>
        </w:rPr>
        <w:t>Solidaritätszuschlag</w:t>
      </w:r>
      <w:r>
        <w:rPr>
          <w:rFonts w:ascii="Arial" w:cs="Arial" w:eastAsia="Arial" w:hAnsi="Arial"/>
          <w:sz w:val="13"/>
          <w:szCs w:val="13"/>
          <w:color w:val="auto"/>
        </w:rPr>
        <w:t>) thereon, resulting in an aggregate rate of 26.375%), which is levied in the form of withholding tax (</w:t>
      </w:r>
      <w:r>
        <w:rPr>
          <w:rFonts w:ascii="Arial" w:cs="Arial" w:eastAsia="Arial" w:hAnsi="Arial"/>
          <w:sz w:val="13"/>
          <w:szCs w:val="13"/>
          <w:i w:val="1"/>
          <w:iCs w:val="1"/>
          <w:color w:val="auto"/>
        </w:rPr>
        <w:t>Kapitalertragsteuer</w:t>
      </w:r>
      <w:r>
        <w:rPr>
          <w:rFonts w:ascii="Arial" w:cs="Arial" w:eastAsia="Arial" w:hAnsi="Arial"/>
          <w:sz w:val="13"/>
          <w:szCs w:val="13"/>
          <w:color w:val="auto"/>
        </w:rPr>
        <w:t>). In other words, once deducted, the holder’s income tax liability on the dividends will be settled. Dividend payments to the extent funded from BioNTech’s tax-recognized contribution account (</w:t>
      </w:r>
      <w:r>
        <w:rPr>
          <w:rFonts w:ascii="Arial" w:cs="Arial" w:eastAsia="Arial" w:hAnsi="Arial"/>
          <w:sz w:val="13"/>
          <w:szCs w:val="13"/>
          <w:i w:val="1"/>
          <w:iCs w:val="1"/>
          <w:color w:val="auto"/>
        </w:rPr>
        <w:t>steuerliches Einlagekonto</w:t>
      </w:r>
      <w:r>
        <w:rPr>
          <w:rFonts w:ascii="Arial" w:cs="Arial" w:eastAsia="Arial" w:hAnsi="Arial"/>
          <w:sz w:val="13"/>
          <w:szCs w:val="13"/>
          <w:color w:val="auto"/>
        </w:rPr>
        <w:t>), subject to certain prerequisites, do not form part of the taxable dividend income but should lower the holder’s acquisition costs for the ADSs.</w:t>
      </w:r>
    </w:p>
    <w:p>
      <w:pPr>
        <w:ind w:left="380"/>
        <w:spacing w:after="0" w:line="218" w:lineRule="auto"/>
        <w:rPr>
          <w:sz w:val="20"/>
          <w:szCs w:val="20"/>
          <w:color w:val="auto"/>
        </w:rPr>
      </w:pPr>
      <w:r>
        <w:rPr>
          <w:rFonts w:ascii="Arial" w:cs="Arial" w:eastAsia="Arial" w:hAnsi="Arial"/>
          <w:sz w:val="13"/>
          <w:szCs w:val="13"/>
          <w:color w:val="auto"/>
        </w:rPr>
        <w:t>Holders of ADSs may apply to have their capital investment income assessed in accordance with the general</w:t>
      </w:r>
    </w:p>
    <w:p>
      <w:pPr>
        <w:ind w:left="380"/>
        <w:spacing w:after="0" w:line="211" w:lineRule="auto"/>
        <w:rPr>
          <w:sz w:val="20"/>
          <w:szCs w:val="20"/>
          <w:color w:val="auto"/>
        </w:rPr>
      </w:pPr>
      <w:r>
        <w:rPr>
          <w:rFonts w:ascii="Arial" w:cs="Arial" w:eastAsia="Arial" w:hAnsi="Arial"/>
          <w:sz w:val="13"/>
          <w:szCs w:val="13"/>
          <w:color w:val="auto"/>
        </w:rPr>
        <w:t>rules and with an individual’s personal income tax rate if this would result in a lower tax burden in which case</w:t>
      </w:r>
    </w:p>
    <w:p>
      <w:pPr>
        <w:ind w:left="380"/>
        <w:spacing w:after="0" w:line="211" w:lineRule="auto"/>
        <w:rPr>
          <w:sz w:val="20"/>
          <w:szCs w:val="20"/>
          <w:color w:val="auto"/>
        </w:rPr>
      </w:pPr>
      <w:r>
        <w:rPr>
          <w:rFonts w:ascii="Arial" w:cs="Arial" w:eastAsia="Arial" w:hAnsi="Arial"/>
          <w:sz w:val="13"/>
          <w:szCs w:val="13"/>
          <w:color w:val="auto"/>
        </w:rPr>
        <w:t>actually incurred expenses are not deductible. The holder would be taxed on gross personal investment income</w:t>
      </w:r>
    </w:p>
    <w:p>
      <w:pPr>
        <w:ind w:left="380"/>
        <w:spacing w:after="0" w:line="211" w:lineRule="auto"/>
        <w:rPr>
          <w:sz w:val="20"/>
          <w:szCs w:val="20"/>
          <w:color w:val="auto"/>
        </w:rPr>
      </w:pPr>
      <w:r>
        <w:rPr>
          <w:rFonts w:ascii="Arial" w:cs="Arial" w:eastAsia="Arial" w:hAnsi="Arial"/>
          <w:sz w:val="13"/>
          <w:szCs w:val="13"/>
          <w:color w:val="auto"/>
        </w:rPr>
        <w:t>(including dividends or gains with respect to ADSs), less the saver’s allowance of €1,000 for an individual or</w:t>
      </w:r>
    </w:p>
    <w:p>
      <w:pPr>
        <w:ind w:left="380"/>
        <w:spacing w:after="0" w:line="211" w:lineRule="auto"/>
        <w:rPr>
          <w:sz w:val="20"/>
          <w:szCs w:val="20"/>
          <w:color w:val="auto"/>
        </w:rPr>
      </w:pPr>
      <w:r>
        <w:rPr>
          <w:rFonts w:ascii="Arial" w:cs="Arial" w:eastAsia="Arial" w:hAnsi="Arial"/>
          <w:sz w:val="13"/>
          <w:szCs w:val="13"/>
          <w:color w:val="auto"/>
        </w:rPr>
        <w:t>€2,000 for a married couple and a registered civil union (</w:t>
      </w:r>
      <w:r>
        <w:rPr>
          <w:rFonts w:ascii="Arial" w:cs="Arial" w:eastAsia="Arial" w:hAnsi="Arial"/>
          <w:sz w:val="13"/>
          <w:szCs w:val="13"/>
          <w:i w:val="1"/>
          <w:iCs w:val="1"/>
          <w:color w:val="auto"/>
        </w:rPr>
        <w:t>eingetragene Lebenspartnerschaft</w:t>
      </w:r>
      <w:r>
        <w:rPr>
          <w:rFonts w:ascii="Arial" w:cs="Arial" w:eastAsia="Arial" w:hAnsi="Arial"/>
          <w:sz w:val="13"/>
          <w:szCs w:val="13"/>
          <w:color w:val="auto"/>
        </w:rPr>
        <w:t>) filing taxes jointly.</w:t>
      </w:r>
    </w:p>
    <w:p>
      <w:pPr>
        <w:ind w:left="380"/>
        <w:spacing w:after="0" w:line="211" w:lineRule="auto"/>
        <w:rPr>
          <w:sz w:val="20"/>
          <w:szCs w:val="20"/>
          <w:color w:val="auto"/>
        </w:rPr>
      </w:pPr>
      <w:r>
        <w:rPr>
          <w:rFonts w:ascii="Arial" w:cs="Arial" w:eastAsia="Arial" w:hAnsi="Arial"/>
          <w:sz w:val="13"/>
          <w:szCs w:val="13"/>
          <w:color w:val="auto"/>
        </w:rPr>
        <w:t>The deduction of expenses related to the investment income (including dividends or gains with respect to ADSs)</w:t>
      </w:r>
    </w:p>
    <w:p>
      <w:pPr>
        <w:ind w:left="380"/>
        <w:spacing w:after="0" w:line="211" w:lineRule="auto"/>
        <w:rPr>
          <w:sz w:val="20"/>
          <w:szCs w:val="20"/>
          <w:color w:val="auto"/>
        </w:rPr>
      </w:pPr>
      <w:r>
        <w:rPr>
          <w:rFonts w:ascii="Arial" w:cs="Arial" w:eastAsia="Arial" w:hAnsi="Arial"/>
          <w:sz w:val="13"/>
          <w:szCs w:val="13"/>
          <w:color w:val="auto"/>
        </w:rPr>
        <w:t>is generally not possible for private investors.</w:t>
      </w:r>
    </w:p>
    <w:p>
      <w:pPr>
        <w:ind w:left="380"/>
        <w:spacing w:after="0" w:line="211" w:lineRule="auto"/>
        <w:rPr>
          <w:sz w:val="20"/>
          <w:szCs w:val="20"/>
          <w:color w:val="auto"/>
        </w:rPr>
      </w:pPr>
      <w:r>
        <w:rPr>
          <w:rFonts w:ascii="Arial" w:cs="Arial" w:eastAsia="Arial" w:hAnsi="Arial"/>
          <w:sz w:val="13"/>
          <w:szCs w:val="13"/>
          <w:color w:val="auto"/>
        </w:rPr>
        <w:t>Losses resulting from the disposal of ADSs can only be offset against capital gains from the sale of any shares</w:t>
      </w:r>
    </w:p>
    <w:p>
      <w:pPr>
        <w:ind w:left="380" w:right="2100"/>
        <w:spacing w:after="0" w:line="210"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Aktien</w:t>
      </w:r>
      <w:r>
        <w:rPr>
          <w:rFonts w:ascii="Arial" w:cs="Arial" w:eastAsia="Arial" w:hAnsi="Arial"/>
          <w:sz w:val="13"/>
          <w:szCs w:val="13"/>
          <w:color w:val="auto"/>
        </w:rPr>
        <w:t>) and other ADSs. If, however, a holder holds a Qualifying Participation, 60% of any capital gains resulting from the sale and transfer are taxable at the holder’s personal income tax rate (plus 5.5% solidarity surcharge thereon). Conversely, 60% of any capital losses are recognized for tax purposes.</w:t>
      </w:r>
    </w:p>
    <w:p>
      <w:pPr>
        <w:spacing w:after="0" w:line="2"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Since 2021, the basis for the calculation of the solidarity surcharge (</w:t>
      </w:r>
      <w:r>
        <w:rPr>
          <w:rFonts w:ascii="Arial" w:cs="Arial" w:eastAsia="Arial" w:hAnsi="Arial"/>
          <w:sz w:val="13"/>
          <w:szCs w:val="13"/>
          <w:i w:val="1"/>
          <w:iCs w:val="1"/>
          <w:color w:val="auto"/>
        </w:rPr>
        <w:t>Solidaritätszuschlag</w:t>
      </w:r>
      <w:r>
        <w:rPr>
          <w:rFonts w:ascii="Arial" w:cs="Arial" w:eastAsia="Arial" w:hAnsi="Arial"/>
          <w:sz w:val="13"/>
          <w:szCs w:val="13"/>
          <w:color w:val="auto"/>
        </w:rPr>
        <w:t>) has been reduced for certain individual persons being subject to tax assessments (other than withholding taxes), and in certain cases, the solidarity surcharge has been abolished. However, the abolition or reduction of the solidarity surcharge is not applicable to corporations. In addition, the abolition or reduction of the solidarity surcharge will not affect withholding taxes. Solidarity surcharge will still be levied at 5.5% on the full withholding tax amount and withheld accordingly. There will not be any separate refund of such withheld solidarity surcharge (regardless of the aforementioned exemption limits) in case the withholding tax cannot be refunded either.</w:t>
      </w:r>
    </w:p>
    <w:p>
      <w:pPr>
        <w:spacing w:after="0" w:line="4" w:lineRule="exact"/>
        <w:rPr>
          <w:sz w:val="20"/>
          <w:szCs w:val="20"/>
          <w:color w:val="auto"/>
        </w:rPr>
      </w:pPr>
    </w:p>
    <w:p>
      <w:pPr>
        <w:jc w:val="both"/>
        <w:ind w:left="380" w:right="2120"/>
        <w:spacing w:after="0" w:line="210" w:lineRule="auto"/>
        <w:rPr>
          <w:sz w:val="20"/>
          <w:szCs w:val="20"/>
          <w:color w:val="auto"/>
        </w:rPr>
      </w:pPr>
      <w:r>
        <w:rPr>
          <w:rFonts w:ascii="Arial" w:cs="Arial" w:eastAsia="Arial" w:hAnsi="Arial"/>
          <w:sz w:val="13"/>
          <w:szCs w:val="13"/>
          <w:color w:val="auto"/>
        </w:rPr>
        <w:t>Church tax generally has to be withheld, if applicable, based on an automatic data access procedure, unless the holder of ADSs has filed a blocking notice (</w:t>
      </w:r>
      <w:r>
        <w:rPr>
          <w:rFonts w:ascii="Arial" w:cs="Arial" w:eastAsia="Arial" w:hAnsi="Arial"/>
          <w:sz w:val="13"/>
          <w:szCs w:val="13"/>
          <w:i w:val="1"/>
          <w:iCs w:val="1"/>
          <w:color w:val="auto"/>
        </w:rPr>
        <w:t>Sperrvermerk</w:t>
      </w:r>
      <w:r>
        <w:rPr>
          <w:rFonts w:ascii="Arial" w:cs="Arial" w:eastAsia="Arial" w:hAnsi="Arial"/>
          <w:sz w:val="13"/>
          <w:szCs w:val="13"/>
          <w:color w:val="auto"/>
        </w:rPr>
        <w:t>) with the Federal Central Tax Office. Where church tax is not levied by way of withholding, it is determined by means of income tax assessment.</w:t>
      </w:r>
    </w:p>
    <w:p>
      <w:pPr>
        <w:ind w:left="380"/>
        <w:spacing w:after="0" w:line="213" w:lineRule="auto"/>
        <w:rPr>
          <w:sz w:val="20"/>
          <w:szCs w:val="20"/>
          <w:color w:val="auto"/>
        </w:rPr>
      </w:pPr>
      <w:r>
        <w:rPr>
          <w:rFonts w:ascii="Arial" w:cs="Arial" w:eastAsia="Arial" w:hAnsi="Arial"/>
          <w:sz w:val="13"/>
          <w:szCs w:val="13"/>
          <w:b w:val="1"/>
          <w:bCs w:val="1"/>
          <w:color w:val="auto"/>
        </w:rPr>
        <w:t>ADSs as Business Assets (</w:t>
      </w:r>
      <w:r>
        <w:rPr>
          <w:rFonts w:ascii="Arial" w:cs="Arial" w:eastAsia="Arial" w:hAnsi="Arial"/>
          <w:sz w:val="13"/>
          <w:szCs w:val="13"/>
          <w:b w:val="1"/>
          <w:bCs w:val="1"/>
          <w:i w:val="1"/>
          <w:iCs w:val="1"/>
          <w:color w:val="auto"/>
        </w:rPr>
        <w:t>Betriebsvermögen</w:t>
      </w:r>
      <w:r>
        <w:rPr>
          <w:rFonts w:ascii="Arial" w:cs="Arial" w:eastAsia="Arial" w:hAnsi="Arial"/>
          <w:sz w:val="13"/>
          <w:szCs w:val="13"/>
          <w:b w:val="1"/>
          <w:bCs w:val="1"/>
          <w:color w:val="auto"/>
        </w:rPr>
        <w:t>)</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In case the ADSs are held as business assets, the taxation depends on the legal form of the holder (i.e., whether the holder is a corporation or an individual).</w:t>
      </w:r>
    </w:p>
    <w:p>
      <w:pPr>
        <w:spacing w:after="0" w:line="1" w:lineRule="exact"/>
        <w:rPr>
          <w:sz w:val="20"/>
          <w:szCs w:val="20"/>
          <w:color w:val="auto"/>
        </w:rPr>
      </w:pPr>
    </w:p>
    <w:p>
      <w:pPr>
        <w:ind w:left="380" w:right="2160"/>
        <w:spacing w:after="0" w:line="217" w:lineRule="auto"/>
        <w:rPr>
          <w:sz w:val="20"/>
          <w:szCs w:val="20"/>
          <w:color w:val="auto"/>
        </w:rPr>
      </w:pPr>
      <w:r>
        <w:rPr>
          <w:rFonts w:ascii="Arial" w:cs="Arial" w:eastAsia="Arial" w:hAnsi="Arial"/>
          <w:sz w:val="13"/>
          <w:szCs w:val="13"/>
          <w:color w:val="auto"/>
        </w:rPr>
        <w:t>Irrespective of the legal form of the holder, dividends are subject to the aggregate withholding tax rate of 26.375%. The withholding tax is generally creditable against the respective holder’s corporate income tax or income tax liability. Due to special rules on the restriction of withholding tax credits in respect of dividends, a full withholding tax credit requires that the following three cumulative requirements are met: (i) the holder must qualify as beneficial owner of the ADSs for an uninterrupted minimum holding period of 45 days occurring within a period starting 45 days prior to and ending 45 days after the due date of the dividends, (ii) the holder has to bear at least 70% of the change in value risk related to the ADSs during the minimum holding period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232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2" w:lineRule="auto"/>
        <w:rPr>
          <w:sz w:val="20"/>
          <w:szCs w:val="20"/>
          <w:color w:val="auto"/>
        </w:rPr>
      </w:pPr>
      <w:r>
        <w:rPr>
          <w:rFonts w:ascii="Arial" w:cs="Arial" w:eastAsia="Arial" w:hAnsi="Arial"/>
          <w:sz w:val="13"/>
          <w:szCs w:val="13"/>
          <w:color w:val="auto"/>
        </w:rPr>
        <w:t>described under (i) of this paragraph and has not entered into (acting by itself or through a related party) hedging transactions which lower the change in value risk for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 relevant tax assessment period. A 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has to file withholding tax returns for a withholding tax of 15% in accordance with statutory formal requirements and has to make a payment in the amount of the omitted withholding tax deduction. The special rules on the restriction of withholding tax credit (and the corresponding notification and payment obligations) do not apply to a holder whose overall dividend earnings within an assessment period do not exceed €20,000 or that has been the beneficial owner of the ADSs for at least one uninterrupted year until receipt (</w:t>
      </w:r>
      <w:r>
        <w:rPr>
          <w:rFonts w:ascii="Arial" w:cs="Arial" w:eastAsia="Arial" w:hAnsi="Arial"/>
          <w:sz w:val="13"/>
          <w:szCs w:val="13"/>
          <w:i w:val="1"/>
          <w:iCs w:val="1"/>
          <w:color w:val="auto"/>
        </w:rPr>
        <w:t>Zufluss</w:t>
      </w:r>
      <w:r>
        <w:rPr>
          <w:rFonts w:ascii="Arial" w:cs="Arial" w:eastAsia="Arial" w:hAnsi="Arial"/>
          <w:sz w:val="13"/>
          <w:szCs w:val="13"/>
          <w:color w:val="auto"/>
        </w:rPr>
        <w:t>) of the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-1167130</wp:posOffset>
            </wp:positionV>
            <wp:extent cx="5231130"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20"/>
        <w:spacing w:after="0" w:line="210" w:lineRule="auto"/>
        <w:rPr>
          <w:sz w:val="20"/>
          <w:szCs w:val="20"/>
          <w:color w:val="auto"/>
        </w:rPr>
      </w:pPr>
      <w:r>
        <w:rPr>
          <w:rFonts w:ascii="Arial" w:cs="Arial" w:eastAsia="Arial" w:hAnsi="Arial"/>
          <w:sz w:val="13"/>
          <w:szCs w:val="13"/>
          <w:color w:val="auto"/>
        </w:rPr>
        <w:t>To the extent the amount withheld exceeds the income tax liability, the withholding tax will be refunded, provided that certain requirements are met (including the aforementioned requirements). Special rules apply to credit institutions (</w:t>
      </w:r>
      <w:r>
        <w:rPr>
          <w:rFonts w:ascii="Arial" w:cs="Arial" w:eastAsia="Arial" w:hAnsi="Arial"/>
          <w:sz w:val="13"/>
          <w:szCs w:val="13"/>
          <w:i w:val="1"/>
          <w:iCs w:val="1"/>
          <w:color w:val="auto"/>
        </w:rPr>
        <w:t>Kreditinstitute</w:t>
      </w:r>
      <w:r>
        <w:rPr>
          <w:rFonts w:ascii="Arial" w:cs="Arial" w:eastAsia="Arial" w:hAnsi="Arial"/>
          <w:sz w:val="13"/>
          <w:szCs w:val="13"/>
          <w:color w:val="auto"/>
        </w:rPr>
        <w:t>), financial services institutions</w:t>
      </w:r>
    </w:p>
    <w:p>
      <w:pPr>
        <w:spacing w:after="0" w:line="2"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Finanzdienstleistungsinstitute</w:t>
      </w:r>
      <w:r>
        <w:rPr>
          <w:rFonts w:ascii="Arial" w:cs="Arial" w:eastAsia="Arial" w:hAnsi="Arial"/>
          <w:sz w:val="13"/>
          <w:szCs w:val="13"/>
          <w:color w:val="auto"/>
        </w:rPr>
        <w:t>), financial enterprises (</w:t>
      </w:r>
      <w:r>
        <w:rPr>
          <w:rFonts w:ascii="Arial" w:cs="Arial" w:eastAsia="Arial" w:hAnsi="Arial"/>
          <w:sz w:val="13"/>
          <w:szCs w:val="13"/>
          <w:i w:val="1"/>
          <w:iCs w:val="1"/>
          <w:color w:val="auto"/>
        </w:rPr>
        <w:t>Finanzunternehmen</w:t>
      </w:r>
      <w:r>
        <w:rPr>
          <w:rFonts w:ascii="Arial" w:cs="Arial" w:eastAsia="Arial" w:hAnsi="Arial"/>
          <w:sz w:val="13"/>
          <w:szCs w:val="13"/>
          <w:color w:val="auto"/>
        </w:rPr>
        <w:t>), life insurance and health insurance companies, and pension funds.</w:t>
      </w:r>
    </w:p>
    <w:p>
      <w:pPr>
        <w:ind w:left="380"/>
        <w:spacing w:after="0" w:line="212" w:lineRule="auto"/>
        <w:rPr>
          <w:sz w:val="20"/>
          <w:szCs w:val="20"/>
          <w:color w:val="auto"/>
        </w:rPr>
      </w:pPr>
      <w:r>
        <w:rPr>
          <w:rFonts w:ascii="Arial" w:cs="Arial" w:eastAsia="Arial" w:hAnsi="Arial"/>
          <w:sz w:val="13"/>
          <w:szCs w:val="13"/>
          <w:color w:val="auto"/>
        </w:rPr>
        <w:t>In principle, dividends that a corporation receives from German or foreign corporations are subject to corporate</w:t>
      </w:r>
    </w:p>
    <w:p>
      <w:pPr>
        <w:ind w:left="380"/>
        <w:spacing w:after="0" w:line="211" w:lineRule="auto"/>
        <w:rPr>
          <w:sz w:val="20"/>
          <w:szCs w:val="20"/>
          <w:color w:val="auto"/>
        </w:rPr>
      </w:pPr>
      <w:r>
        <w:rPr>
          <w:rFonts w:ascii="Arial" w:cs="Arial" w:eastAsia="Arial" w:hAnsi="Arial"/>
          <w:sz w:val="13"/>
          <w:szCs w:val="13"/>
          <w:color w:val="auto"/>
        </w:rPr>
        <w:t>income tax (and solidarity surcharge thereon) at a rate of 15.825% and also subject to trade tax of between 7.0%</w:t>
      </w:r>
    </w:p>
    <w:p>
      <w:pPr>
        <w:ind w:left="380"/>
        <w:spacing w:after="0" w:line="211" w:lineRule="auto"/>
        <w:rPr>
          <w:sz w:val="20"/>
          <w:szCs w:val="20"/>
          <w:color w:val="auto"/>
        </w:rPr>
      </w:pPr>
      <w:r>
        <w:rPr>
          <w:rFonts w:ascii="Arial" w:cs="Arial" w:eastAsia="Arial" w:hAnsi="Arial"/>
          <w:sz w:val="13"/>
          <w:szCs w:val="13"/>
          <w:color w:val="auto"/>
        </w:rPr>
        <w:t>and 19.0% depending on the multiplier applied by the relevant municipality. However, with regard to holders in</w:t>
      </w:r>
    </w:p>
    <w:p>
      <w:pPr>
        <w:ind w:left="380"/>
        <w:spacing w:after="0" w:line="211" w:lineRule="auto"/>
        <w:rPr>
          <w:sz w:val="20"/>
          <w:szCs w:val="20"/>
          <w:color w:val="auto"/>
        </w:rPr>
      </w:pPr>
      <w:r>
        <w:rPr>
          <w:rFonts w:ascii="Arial" w:cs="Arial" w:eastAsia="Arial" w:hAnsi="Arial"/>
          <w:sz w:val="13"/>
          <w:szCs w:val="13"/>
          <w:color w:val="auto"/>
        </w:rPr>
        <w:t>the legal form of a corporation, capital gains are in general effectively 95% tax exempt from corporate income tax</w:t>
      </w:r>
    </w:p>
    <w:p>
      <w:pPr>
        <w:ind w:left="380"/>
        <w:spacing w:after="0" w:line="211" w:lineRule="auto"/>
        <w:rPr>
          <w:sz w:val="20"/>
          <w:szCs w:val="20"/>
          <w:color w:val="auto"/>
        </w:rPr>
      </w:pPr>
      <w:r>
        <w:rPr>
          <w:rFonts w:ascii="Arial" w:cs="Arial" w:eastAsia="Arial" w:hAnsi="Arial"/>
          <w:sz w:val="13"/>
          <w:szCs w:val="13"/>
          <w:color w:val="auto"/>
        </w:rPr>
        <w:t>(including solidarity surcharge). Dividends are also generally 95% tax exempt from corporate income tax</w:t>
      </w:r>
    </w:p>
    <w:p>
      <w:pPr>
        <w:ind w:left="380"/>
        <w:spacing w:after="0" w:line="211" w:lineRule="auto"/>
        <w:rPr>
          <w:sz w:val="20"/>
          <w:szCs w:val="20"/>
          <w:color w:val="auto"/>
        </w:rPr>
      </w:pPr>
      <w:r>
        <w:rPr>
          <w:rFonts w:ascii="Arial" w:cs="Arial" w:eastAsia="Arial" w:hAnsi="Arial"/>
          <w:sz w:val="13"/>
          <w:szCs w:val="13"/>
          <w:color w:val="auto"/>
        </w:rPr>
        <w:t>(including solidarity surcharge), inter alia, if the holder held at least 10% of the registered share capital</w:t>
      </w:r>
    </w:p>
    <w:p>
      <w:pPr>
        <w:ind w:left="380"/>
        <w:spacing w:after="0" w:line="21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Grundkapital oder Stammkapital</w:t>
      </w:r>
      <w:r>
        <w:rPr>
          <w:rFonts w:ascii="Arial" w:cs="Arial" w:eastAsia="Arial" w:hAnsi="Arial"/>
          <w:sz w:val="13"/>
          <w:szCs w:val="13"/>
          <w:color w:val="auto"/>
        </w:rPr>
        <w:t>) of BioNTech at the beginning of the calendar year, or Qualifying Dividends.</w:t>
      </w:r>
    </w:p>
    <w:p>
      <w:pPr>
        <w:ind w:left="380"/>
        <w:spacing w:after="0" w:line="211" w:lineRule="auto"/>
        <w:rPr>
          <w:sz w:val="20"/>
          <w:szCs w:val="20"/>
          <w:color w:val="auto"/>
        </w:rPr>
      </w:pPr>
      <w:r>
        <w:rPr>
          <w:rFonts w:ascii="Arial" w:cs="Arial" w:eastAsia="Arial" w:hAnsi="Arial"/>
          <w:sz w:val="13"/>
          <w:szCs w:val="13"/>
          <w:color w:val="auto"/>
        </w:rPr>
        <w:t>Five percent of the capital gains and five percent of the Qualifying Dividends are treated as non-deductible</w:t>
      </w:r>
    </w:p>
    <w:p>
      <w:pPr>
        <w:ind w:left="380"/>
        <w:spacing w:after="0" w:line="211" w:lineRule="auto"/>
        <w:rPr>
          <w:sz w:val="20"/>
          <w:szCs w:val="20"/>
          <w:color w:val="auto"/>
        </w:rPr>
      </w:pPr>
      <w:r>
        <w:rPr>
          <w:rFonts w:ascii="Arial" w:cs="Arial" w:eastAsia="Arial" w:hAnsi="Arial"/>
          <w:sz w:val="13"/>
          <w:szCs w:val="13"/>
          <w:color w:val="auto"/>
        </w:rPr>
        <w:t>business expenses, respectively, and, as such, are subject to corporate income tax (including solidarity</w:t>
      </w:r>
    </w:p>
    <w:p>
      <w:pPr>
        <w:ind w:left="380"/>
        <w:spacing w:after="0" w:line="211" w:lineRule="auto"/>
        <w:rPr>
          <w:sz w:val="20"/>
          <w:szCs w:val="20"/>
          <w:color w:val="auto"/>
        </w:rPr>
      </w:pPr>
      <w:r>
        <w:rPr>
          <w:rFonts w:ascii="Arial" w:cs="Arial" w:eastAsia="Arial" w:hAnsi="Arial"/>
          <w:sz w:val="13"/>
          <w:szCs w:val="13"/>
          <w:color w:val="auto"/>
        </w:rPr>
        <w:t>surcharge); actual business expenses incurred to generate dividends may be deducted. The acquisition of a</w:t>
      </w:r>
    </w:p>
    <w:p>
      <w:pPr>
        <w:ind w:left="380"/>
        <w:spacing w:after="0" w:line="211" w:lineRule="auto"/>
        <w:rPr>
          <w:sz w:val="20"/>
          <w:szCs w:val="20"/>
          <w:color w:val="auto"/>
        </w:rPr>
      </w:pPr>
      <w:r>
        <w:rPr>
          <w:rFonts w:ascii="Arial" w:cs="Arial" w:eastAsia="Arial" w:hAnsi="Arial"/>
          <w:sz w:val="13"/>
          <w:szCs w:val="13"/>
          <w:color w:val="auto"/>
        </w:rPr>
        <w:t>participation of at least 10% in the course of a calendar year is deemed to have occurred at the beginning of</w:t>
      </w:r>
    </w:p>
    <w:p>
      <w:pPr>
        <w:ind w:left="380"/>
        <w:spacing w:after="0" w:line="211" w:lineRule="auto"/>
        <w:rPr>
          <w:sz w:val="20"/>
          <w:szCs w:val="20"/>
          <w:color w:val="auto"/>
        </w:rPr>
      </w:pPr>
      <w:r>
        <w:rPr>
          <w:rFonts w:ascii="Arial" w:cs="Arial" w:eastAsia="Arial" w:hAnsi="Arial"/>
          <w:sz w:val="13"/>
          <w:szCs w:val="13"/>
          <w:color w:val="auto"/>
        </w:rPr>
        <w:t>such calendar year for the determination of whether a dividend is a Qualifying Dividend. Participations in the</w:t>
      </w:r>
    </w:p>
    <w:p>
      <w:pPr>
        <w:ind w:left="380"/>
        <w:spacing w:after="0" w:line="211" w:lineRule="auto"/>
        <w:rPr>
          <w:sz w:val="20"/>
          <w:szCs w:val="20"/>
          <w:color w:val="auto"/>
        </w:rPr>
      </w:pPr>
      <w:r>
        <w:rPr>
          <w:rFonts w:ascii="Arial" w:cs="Arial" w:eastAsia="Arial" w:hAnsi="Arial"/>
          <w:sz w:val="13"/>
          <w:szCs w:val="13"/>
          <w:color w:val="auto"/>
        </w:rPr>
        <w:t>share capital of BioNTech held through a partnership, including co-entrepreneurships (</w:t>
      </w:r>
      <w:r>
        <w:rPr>
          <w:rFonts w:ascii="Arial" w:cs="Arial" w:eastAsia="Arial" w:hAnsi="Arial"/>
          <w:sz w:val="13"/>
          <w:szCs w:val="13"/>
          <w:i w:val="1"/>
          <w:iCs w:val="1"/>
          <w:color w:val="auto"/>
        </w:rPr>
        <w:t>Mitunternehmerschaften</w:t>
      </w:r>
      <w:r>
        <w:rPr>
          <w:rFonts w:ascii="Arial" w:cs="Arial" w:eastAsia="Arial" w:hAnsi="Arial"/>
          <w:sz w:val="13"/>
          <w:szCs w:val="13"/>
          <w:color w:val="auto"/>
        </w:rPr>
        <w:t>),</w:t>
      </w:r>
    </w:p>
    <w:p>
      <w:pPr>
        <w:ind w:left="380"/>
        <w:spacing w:after="0" w:line="211" w:lineRule="auto"/>
        <w:rPr>
          <w:sz w:val="20"/>
          <w:szCs w:val="20"/>
          <w:color w:val="auto"/>
        </w:rPr>
      </w:pPr>
      <w:r>
        <w:rPr>
          <w:rFonts w:ascii="Arial" w:cs="Arial" w:eastAsia="Arial" w:hAnsi="Arial"/>
          <w:sz w:val="13"/>
          <w:szCs w:val="13"/>
          <w:color w:val="auto"/>
        </w:rPr>
        <w:t>are attributable to the respective partner only on a pro rata basis at the ratio of its entitlement to the profits of the</w:t>
      </w:r>
    </w:p>
    <w:p>
      <w:pPr>
        <w:ind w:left="380"/>
        <w:spacing w:after="0" w:line="211" w:lineRule="auto"/>
        <w:rPr>
          <w:sz w:val="20"/>
          <w:szCs w:val="20"/>
          <w:color w:val="auto"/>
        </w:rPr>
      </w:pPr>
      <w:r>
        <w:rPr>
          <w:rFonts w:ascii="Arial" w:cs="Arial" w:eastAsia="Arial" w:hAnsi="Arial"/>
          <w:sz w:val="13"/>
          <w:szCs w:val="13"/>
          <w:color w:val="auto"/>
        </w:rPr>
        <w:t>partnership.</w:t>
      </w:r>
    </w:p>
    <w:p>
      <w:pPr>
        <w:ind w:left="380" w:right="2160"/>
        <w:spacing w:after="0" w:line="217" w:lineRule="auto"/>
        <w:rPr>
          <w:sz w:val="20"/>
          <w:szCs w:val="20"/>
          <w:color w:val="auto"/>
        </w:rPr>
      </w:pPr>
      <w:r>
        <w:rPr>
          <w:rFonts w:ascii="Arial" w:cs="Arial" w:eastAsia="Arial" w:hAnsi="Arial"/>
          <w:sz w:val="13"/>
          <w:szCs w:val="13"/>
          <w:color w:val="auto"/>
        </w:rPr>
        <w:t>Capital gains and dividend income of a German tax resident corporation are generally subject to German trade tax of between 7.0% and 19.0% depending on the multiplier applied by the relevant municipality. The aforementioned 95% exemption for capital gains generally applies also for trade tax purposes. However, the amount of any dividends after deducting business expenses related to the dividends is not subject to trade tax if the corporation held at least 15% of BioNTech’s registered share capital at the beginning of the relevant tax assessment period. In this case, the aforementioned exemption of 95% of the dividend income also applies for trade tax purposes. Losses from the sale of ADSs are generally not tax deductible for corporate income tax and</w:t>
      </w:r>
    </w:p>
    <w:p>
      <w:pPr>
        <w:sectPr>
          <w:pgSz w:w="11900" w:h="16840" w:orient="portrait"/>
          <w:cols w:equalWidth="0" w:num="1">
            <w:col w:w="9020"/>
          </w:cols>
          <w:pgMar w:left="1440" w:top="554" w:right="1440" w:bottom="70" w:gutter="0" w:footer="0" w:header="0"/>
        </w:sectPr>
      </w:pPr>
    </w:p>
    <w:bookmarkStart w:id="161" w:name="page162"/>
    <w:bookmarkEnd w:id="161"/>
    <w:p>
      <w:pPr>
        <w:ind w:left="380"/>
        <w:spacing w:after="0"/>
        <w:rPr>
          <w:sz w:val="20"/>
          <w:szCs w:val="20"/>
          <w:color w:val="auto"/>
        </w:rPr>
      </w:pPr>
      <w:r>
        <w:rPr>
          <w:rFonts w:ascii="Arial" w:cs="Arial" w:eastAsia="Arial" w:hAnsi="Arial"/>
          <w:sz w:val="13"/>
          <w:szCs w:val="13"/>
          <w:color w:val="auto"/>
        </w:rPr>
        <w:t>trade tax purposes.</w:t>
      </w:r>
    </w:p>
    <w:p>
      <w:pPr>
        <w:ind w:left="380" w:right="2140"/>
        <w:spacing w:after="0" w:line="216" w:lineRule="auto"/>
        <w:rPr>
          <w:sz w:val="20"/>
          <w:szCs w:val="20"/>
          <w:color w:val="auto"/>
        </w:rPr>
      </w:pPr>
      <w:r>
        <w:rPr>
          <w:rFonts w:ascii="Arial" w:cs="Arial" w:eastAsia="Arial" w:hAnsi="Arial"/>
          <w:sz w:val="13"/>
          <w:szCs w:val="13"/>
          <w:color w:val="auto"/>
        </w:rPr>
        <w:t>With regard to individuals holding ADSs as business assets, 60% of dividends and capital gains are taxed at the individual’s personal income tax rate (plus 5.5% solidarity surcharge thereon). Correspondingly, only 60% of business expenses related to the dividends and capital gains as well as losses from the sale of ADSs are principally deductible for income tax purposes. Since 2021, the basis for the calculation of the solidarity surcharge (</w:t>
      </w:r>
      <w:r>
        <w:rPr>
          <w:rFonts w:ascii="Arial" w:cs="Arial" w:eastAsia="Arial" w:hAnsi="Arial"/>
          <w:sz w:val="13"/>
          <w:szCs w:val="13"/>
          <w:i w:val="1"/>
          <w:iCs w:val="1"/>
          <w:color w:val="auto"/>
        </w:rPr>
        <w:t>Solidaritätszuschlag</w:t>
      </w:r>
      <w:r>
        <w:rPr>
          <w:rFonts w:ascii="Arial" w:cs="Arial" w:eastAsia="Arial" w:hAnsi="Arial"/>
          <w:sz w:val="13"/>
          <w:szCs w:val="13"/>
          <w:color w:val="auto"/>
        </w:rPr>
        <w:t>) has been reduced for certain individual persons being subject to tax assessments (other than withholding taxes), and in certain cases, the solidarity surcharge has been abolished, subject to the limitations described above in “—ADSs as Private Assets (</w:t>
      </w:r>
      <w:r>
        <w:rPr>
          <w:rFonts w:ascii="Arial" w:cs="Arial" w:eastAsia="Arial" w:hAnsi="Arial"/>
          <w:sz w:val="13"/>
          <w:szCs w:val="13"/>
          <w:i w:val="1"/>
          <w:iCs w:val="1"/>
          <w:color w:val="auto"/>
        </w:rPr>
        <w:t>Privatvermögen</w:t>
      </w:r>
      <w:r>
        <w:rPr>
          <w:rFonts w:ascii="Arial" w:cs="Arial" w:eastAsia="Arial" w:hAnsi="Arial"/>
          <w:sz w:val="13"/>
          <w:szCs w:val="13"/>
          <w:color w:val="auto"/>
        </w:rPr>
        <w:t>)”. The dividend income and 60% of the capital gains are generally subject to trade tax, which is fully or partly creditable against the individual’s personal income tax by a lump-sum method. Dividends (after deduction of business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233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80"/>
        <w:spacing w:after="0" w:line="220" w:lineRule="auto"/>
        <w:rPr>
          <w:sz w:val="20"/>
          <w:szCs w:val="20"/>
          <w:color w:val="auto"/>
        </w:rPr>
      </w:pPr>
      <w:r>
        <w:rPr>
          <w:rFonts w:ascii="Arial" w:cs="Arial" w:eastAsia="Arial" w:hAnsi="Arial"/>
          <w:sz w:val="13"/>
          <w:szCs w:val="13"/>
          <w:color w:val="auto"/>
        </w:rPr>
        <w:t>economically related thereto) are exempt from trade tax if the holder held at least 15% of BioNTech’s registered share capital at the beginning of the relevant tax assessment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color w:val="005A64"/>
        </w:rPr>
        <w:t>German Inheritance and Gift Tax (</w:t>
      </w:r>
      <w:r>
        <w:rPr>
          <w:rFonts w:ascii="Arial" w:cs="Arial" w:eastAsia="Arial" w:hAnsi="Arial"/>
          <w:sz w:val="13"/>
          <w:szCs w:val="13"/>
          <w:i w:val="1"/>
          <w:iCs w:val="1"/>
          <w:color w:val="005A64"/>
        </w:rPr>
        <w:t>Erbschaft- und Schenkungsteuer</w:t>
      </w:r>
      <w:r>
        <w:rPr>
          <w:rFonts w:ascii="Arial" w:cs="Arial" w:eastAsia="Arial" w:hAnsi="Arial"/>
          <w:sz w:val="13"/>
          <w:szCs w:val="13"/>
          <w:color w:val="005A64"/>
        </w:rPr>
        <w:t>)</w:t>
      </w:r>
    </w:p>
    <w:p>
      <w:pPr>
        <w:ind w:left="380" w:right="2160"/>
        <w:spacing w:after="0" w:line="210" w:lineRule="auto"/>
        <w:rPr>
          <w:sz w:val="20"/>
          <w:szCs w:val="20"/>
          <w:color w:val="auto"/>
        </w:rPr>
      </w:pPr>
      <w:r>
        <w:rPr>
          <w:rFonts w:ascii="Arial" w:cs="Arial" w:eastAsia="Arial" w:hAnsi="Arial"/>
          <w:sz w:val="13"/>
          <w:szCs w:val="13"/>
          <w:color w:val="auto"/>
        </w:rPr>
        <w:t>The transfer of ADSs to another person by inheritance or gift generally should be subject to German inheritance and gift tax only if:</w:t>
      </w:r>
    </w:p>
    <w:p>
      <w:pPr>
        <w:spacing w:after="0" w:line="1" w:lineRule="exact"/>
        <w:rPr>
          <w:sz w:val="20"/>
          <w:szCs w:val="20"/>
          <w:color w:val="auto"/>
        </w:rPr>
      </w:pPr>
    </w:p>
    <w:p>
      <w:pPr>
        <w:ind w:left="380" w:right="2340" w:firstLine="3"/>
        <w:spacing w:after="0" w:line="210" w:lineRule="auto"/>
        <w:tabs>
          <w:tab w:leader="none" w:pos="562"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decedent or donor or heir, beneficiary or other transferee (a) maintained his or her domicile or a usual residence in Germany, (b) had its place of management or registered office in Germany at the time of the transfer, (c) is a German citizen who has spent no more than five consecutive years outside of Germany without maintaining a domicile in Germany or (d) is a German citizen who serves for a German entity established under public law and is remunerated for his or her service from German public funds (including family members who form part of such person’s household, if they are German citizens) and is only subject to estate or inheritance tax in his or her country of domicile or usual residence with respect to assets located in such country (special rules apply to certain former German citizens who neither maintain a domicile nor have their usual residence in Germany);</w:t>
      </w:r>
    </w:p>
    <w:p>
      <w:pPr>
        <w:spacing w:after="0" w:line="5" w:lineRule="exact"/>
        <w:rPr>
          <w:rFonts w:ascii="Arial" w:cs="Arial" w:eastAsia="Arial" w:hAnsi="Arial"/>
          <w:sz w:val="13"/>
          <w:szCs w:val="13"/>
          <w:color w:val="auto"/>
        </w:rPr>
      </w:pPr>
    </w:p>
    <w:p>
      <w:pPr>
        <w:ind w:left="380" w:right="2220" w:firstLine="3"/>
        <w:spacing w:after="0" w:line="210" w:lineRule="auto"/>
        <w:tabs>
          <w:tab w:leader="none" w:pos="562" w:val="left"/>
        </w:tabs>
        <w:numPr>
          <w:ilvl w:val="0"/>
          <w:numId w:val="39"/>
        </w:numPr>
        <w:rPr>
          <w:rFonts w:ascii="Arial" w:cs="Arial" w:eastAsia="Arial" w:hAnsi="Arial"/>
          <w:sz w:val="13"/>
          <w:szCs w:val="13"/>
          <w:color w:val="auto"/>
        </w:rPr>
      </w:pPr>
      <w:r>
        <w:rPr>
          <w:rFonts w:ascii="Arial" w:cs="Arial" w:eastAsia="Arial" w:hAnsi="Arial"/>
          <w:sz w:val="13"/>
          <w:szCs w:val="13"/>
          <w:color w:val="auto"/>
        </w:rPr>
        <w:t>at the time of the transfer, the ADSs are held by the decedent or donor as business assets forming part of a permanent establishment in Germany or for which a permanent representative in Germany has been appointed; or</w:t>
      </w:r>
    </w:p>
    <w:p>
      <w:pPr>
        <w:spacing w:after="0" w:line="1" w:lineRule="exact"/>
        <w:rPr>
          <w:rFonts w:ascii="Arial" w:cs="Arial" w:eastAsia="Arial" w:hAnsi="Arial"/>
          <w:sz w:val="13"/>
          <w:szCs w:val="13"/>
          <w:color w:val="auto"/>
        </w:rPr>
      </w:pPr>
    </w:p>
    <w:p>
      <w:pPr>
        <w:ind w:left="380" w:right="2300" w:firstLine="3"/>
        <w:spacing w:after="0" w:line="210" w:lineRule="auto"/>
        <w:tabs>
          <w:tab w:leader="none" w:pos="591"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ADSs subject to such transfer form part of a portfolio that represents at the time of the transfer 10% or more of the registered share capital of BioNTech and that has been held directly or indirectly by the decedent or donor, either alone or together with related persons.</w:t>
      </w:r>
    </w:p>
    <w:p>
      <w:pPr>
        <w:spacing w:after="0" w:line="1" w:lineRule="exact"/>
        <w:rPr>
          <w:rFonts w:ascii="Arial" w:cs="Arial" w:eastAsia="Arial" w:hAnsi="Arial"/>
          <w:sz w:val="13"/>
          <w:szCs w:val="13"/>
          <w:color w:val="auto"/>
        </w:rPr>
      </w:pPr>
    </w:p>
    <w:p>
      <w:pPr>
        <w:ind w:left="380" w:right="2080"/>
        <w:spacing w:after="0" w:line="210" w:lineRule="auto"/>
        <w:rPr>
          <w:rFonts w:ascii="Arial" w:cs="Arial" w:eastAsia="Arial" w:hAnsi="Arial"/>
          <w:sz w:val="13"/>
          <w:szCs w:val="13"/>
          <w:color w:val="auto"/>
        </w:rPr>
      </w:pPr>
      <w:r>
        <w:rPr>
          <w:rFonts w:ascii="Arial" w:cs="Arial" w:eastAsia="Arial" w:hAnsi="Arial"/>
          <w:sz w:val="13"/>
          <w:szCs w:val="13"/>
          <w:color w:val="auto"/>
        </w:rPr>
        <w:t>The Agreement between the Federal Republic of Germany and the United States of America for the avoidance of double taxation with respect to taxes on inheritances and gifts as of December 21, 2000 (</w:t>
      </w:r>
      <w:r>
        <w:rPr>
          <w:rFonts w:ascii="Arial" w:cs="Arial" w:eastAsia="Arial" w:hAnsi="Arial"/>
          <w:sz w:val="13"/>
          <w:szCs w:val="13"/>
          <w:i w:val="1"/>
          <w:iCs w:val="1"/>
          <w:color w:val="auto"/>
        </w:rPr>
        <w:t>Abkommen zwischen</w:t>
      </w:r>
      <w:r>
        <w:rPr>
          <w:rFonts w:ascii="Arial" w:cs="Arial" w:eastAsia="Arial" w:hAnsi="Arial"/>
          <w:sz w:val="13"/>
          <w:szCs w:val="13"/>
          <w:color w:val="auto"/>
        </w:rPr>
        <w:t xml:space="preserve"> </w:t>
      </w:r>
      <w:r>
        <w:rPr>
          <w:rFonts w:ascii="Arial" w:cs="Arial" w:eastAsia="Arial" w:hAnsi="Arial"/>
          <w:sz w:val="13"/>
          <w:szCs w:val="13"/>
          <w:i w:val="1"/>
          <w:iCs w:val="1"/>
          <w:color w:val="auto"/>
        </w:rPr>
        <w:t>der Bundesrepublik Deutschland und den Vereinigten Staaten von Amerika zur Vermeidung der Doppelbesteuerung auf dem Gebiet der Nachlass-, Erbschaft- und Schenkungssteuern in der Fassung vom 21. Dezember 2000</w:t>
      </w:r>
      <w:r>
        <w:rPr>
          <w:rFonts w:ascii="Arial" w:cs="Arial" w:eastAsia="Arial" w:hAnsi="Arial"/>
          <w:sz w:val="13"/>
          <w:szCs w:val="13"/>
          <w:color w:val="auto"/>
        </w:rPr>
        <w:t>), hereinafter referred to as the “United States-Germany Inheritance and Gifts Tax Treaty,”</w:t>
      </w:r>
      <w:r>
        <w:rPr>
          <w:rFonts w:ascii="Arial" w:cs="Arial" w:eastAsia="Arial" w:hAnsi="Arial"/>
          <w:sz w:val="13"/>
          <w:szCs w:val="13"/>
          <w:i w:val="1"/>
          <w:iCs w:val="1"/>
          <w:color w:val="auto"/>
        </w:rPr>
        <w:t xml:space="preserve"> </w:t>
      </w:r>
      <w:r>
        <w:rPr>
          <w:rFonts w:ascii="Arial" w:cs="Arial" w:eastAsia="Arial" w:hAnsi="Arial"/>
          <w:sz w:val="13"/>
          <w:szCs w:val="13"/>
          <w:color w:val="auto"/>
        </w:rPr>
        <w:t>provides that the German inheritance tax or gift tax can, with certain restrictions, only be levied in the cases of (i) and (ii) above. Special provisions apply to certain German citizens living outside of Germany and former German citizens.</w:t>
      </w:r>
    </w:p>
    <w:p>
      <w:pPr>
        <w:spacing w:after="0" w:line="4" w:lineRule="exact"/>
        <w:rPr>
          <w:rFonts w:ascii="Arial" w:cs="Arial" w:eastAsia="Arial" w:hAnsi="Arial"/>
          <w:sz w:val="13"/>
          <w:szCs w:val="13"/>
          <w:color w:val="auto"/>
        </w:rPr>
      </w:pPr>
    </w:p>
    <w:p>
      <w:pPr>
        <w:ind w:left="380"/>
        <w:spacing w:after="0" w:line="210" w:lineRule="auto"/>
        <w:rPr>
          <w:rFonts w:ascii="Arial" w:cs="Arial" w:eastAsia="Arial" w:hAnsi="Arial"/>
          <w:sz w:val="13"/>
          <w:szCs w:val="13"/>
          <w:color w:val="auto"/>
        </w:rPr>
      </w:pPr>
      <w:r>
        <w:rPr>
          <w:rFonts w:ascii="Arial" w:cs="Arial" w:eastAsia="Arial" w:hAnsi="Arial"/>
          <w:sz w:val="13"/>
          <w:szCs w:val="13"/>
          <w:b w:val="1"/>
          <w:bCs w:val="1"/>
          <w:color w:val="auto"/>
        </w:rPr>
        <w:t>Other Taxes</w:t>
      </w:r>
    </w:p>
    <w:p>
      <w:pPr>
        <w:ind w:left="380" w:right="2460"/>
        <w:spacing w:after="0" w:line="210" w:lineRule="auto"/>
        <w:rPr>
          <w:rFonts w:ascii="Arial" w:cs="Arial" w:eastAsia="Arial" w:hAnsi="Arial"/>
          <w:sz w:val="13"/>
          <w:szCs w:val="13"/>
          <w:color w:val="auto"/>
        </w:rPr>
      </w:pPr>
      <w:r>
        <w:rPr>
          <w:rFonts w:ascii="Arial" w:cs="Arial" w:eastAsia="Arial" w:hAnsi="Arial"/>
          <w:sz w:val="13"/>
          <w:szCs w:val="13"/>
          <w:color w:val="auto"/>
        </w:rPr>
        <w:t xml:space="preserve">No German transfer tax, value-added tax, stamp duty or similar taxes are assessed on dividend payments. </w:t>
      </w:r>
      <w:r>
        <w:rPr>
          <w:rFonts w:ascii="Arial" w:cs="Arial" w:eastAsia="Arial" w:hAnsi="Arial"/>
          <w:sz w:val="13"/>
          <w:szCs w:val="13"/>
          <w:color w:val="005A64"/>
        </w:rPr>
        <w:t>Material United States Federal Income Tax Considerations</w:t>
      </w:r>
    </w:p>
    <w:p>
      <w:pPr>
        <w:spacing w:after="0" w:line="1" w:lineRule="exact"/>
        <w:rPr>
          <w:rFonts w:ascii="Arial" w:cs="Arial" w:eastAsia="Arial" w:hAnsi="Arial"/>
          <w:sz w:val="13"/>
          <w:szCs w:val="13"/>
          <w:color w:val="auto"/>
        </w:rPr>
      </w:pPr>
    </w:p>
    <w:p>
      <w:pPr>
        <w:ind w:left="380" w:right="2180"/>
        <w:spacing w:after="0" w:line="210" w:lineRule="auto"/>
        <w:rPr>
          <w:rFonts w:ascii="Arial" w:cs="Arial" w:eastAsia="Arial" w:hAnsi="Arial"/>
          <w:sz w:val="13"/>
          <w:szCs w:val="13"/>
          <w:color w:val="auto"/>
        </w:rPr>
      </w:pPr>
      <w:r>
        <w:rPr>
          <w:rFonts w:ascii="Arial" w:cs="Arial" w:eastAsia="Arial" w:hAnsi="Arial"/>
          <w:sz w:val="13"/>
          <w:szCs w:val="13"/>
          <w:color w:val="auto"/>
        </w:rPr>
        <w:t>The following discussion describes material U.S. federal income tax considerations relating to the acquisition, ownership and disposition of ADSs by a U.S. Holder (as defined below) that acquires our ADSs and holds them as a capital asset. This discussion is based on the tax laws of the United States, including the Internal Revenue Code of 1986, as amended, or the Code, Treasury regulations promulgated or proposed thereunder, and administrative and judicial interpretations thereof, all as in effect on the date hereof. These tax laws are subject to change, possibly with retroactive effect, and subject to differing interpretations that could affect the tax consequences described herein. This section does not address the treatment of a non-U.S. holder, nor does it address the tax treatment under the laws of any state, local or foreign taxing jurisdiction.</w:t>
      </w:r>
    </w:p>
    <w:p>
      <w:pPr>
        <w:spacing w:after="0" w:line="4" w:lineRule="exact"/>
        <w:rPr>
          <w:rFonts w:ascii="Arial" w:cs="Arial" w:eastAsia="Arial" w:hAnsi="Arial"/>
          <w:sz w:val="13"/>
          <w:szCs w:val="13"/>
          <w:color w:val="auto"/>
        </w:rPr>
      </w:pPr>
    </w:p>
    <w:p>
      <w:pPr>
        <w:ind w:left="380" w:right="2240"/>
        <w:spacing w:after="0" w:line="210" w:lineRule="auto"/>
        <w:rPr>
          <w:rFonts w:ascii="Arial" w:cs="Arial" w:eastAsia="Arial" w:hAnsi="Arial"/>
          <w:sz w:val="13"/>
          <w:szCs w:val="13"/>
          <w:color w:val="auto"/>
        </w:rPr>
      </w:pPr>
      <w:r>
        <w:rPr>
          <w:rFonts w:ascii="Arial" w:cs="Arial" w:eastAsia="Arial" w:hAnsi="Arial"/>
          <w:sz w:val="13"/>
          <w:szCs w:val="13"/>
          <w:color w:val="auto"/>
        </w:rPr>
        <w:t>For purposes of this discussion, a “U.S. Holder” is a beneficial owner of our ADSs that, for U.S. federal income tax purposes, is:</w:t>
      </w:r>
    </w:p>
    <w:p>
      <w:pPr>
        <w:spacing w:after="0" w:line="1" w:lineRule="exact"/>
        <w:rPr>
          <w:rFonts w:ascii="Arial" w:cs="Arial" w:eastAsia="Arial" w:hAnsi="Arial"/>
          <w:sz w:val="13"/>
          <w:szCs w:val="13"/>
          <w:color w:val="auto"/>
        </w:rPr>
      </w:pPr>
    </w:p>
    <w:p>
      <w:pPr>
        <w:ind w:left="380" w:right="4860"/>
        <w:spacing w:after="0" w:line="234" w:lineRule="auto"/>
        <w:rPr>
          <w:rFonts w:ascii="Arial" w:cs="Arial" w:eastAsia="Arial" w:hAnsi="Arial"/>
          <w:sz w:val="13"/>
          <w:szCs w:val="13"/>
          <w:color w:val="auto"/>
        </w:rPr>
      </w:pPr>
      <w:r>
        <w:rPr>
          <w:rFonts w:ascii="Arial" w:cs="Arial" w:eastAsia="Arial" w:hAnsi="Arial"/>
          <w:sz w:val="13"/>
          <w:szCs w:val="13"/>
          <w:color w:val="auto"/>
        </w:rPr>
        <w:t>•an individual who is a citizen or resident of the United States; •a domestic corporation (or other entity taxable as a corporation);</w:t>
      </w:r>
    </w:p>
    <w:p>
      <w:pPr>
        <w:sectPr>
          <w:pgSz w:w="11900" w:h="16840" w:orient="portrait"/>
          <w:cols w:equalWidth="0" w:num="1">
            <w:col w:w="9020"/>
          </w:cols>
          <w:pgMar w:left="1440" w:top="554" w:right="1440" w:bottom="1440" w:gutter="0" w:footer="0" w:header="0"/>
        </w:sectPr>
      </w:pPr>
    </w:p>
    <w:bookmarkStart w:id="162" w:name="page163"/>
    <w:bookmarkEnd w:id="162"/>
    <w:p>
      <w:pPr>
        <w:ind w:left="380"/>
        <w:spacing w:after="0"/>
        <w:rPr>
          <w:sz w:val="20"/>
          <w:szCs w:val="20"/>
          <w:color w:val="auto"/>
        </w:rPr>
      </w:pPr>
      <w:r>
        <w:rPr>
          <w:rFonts w:ascii="Arial" w:cs="Arial" w:eastAsia="Arial" w:hAnsi="Arial"/>
          <w:sz w:val="13"/>
          <w:szCs w:val="13"/>
          <w:color w:val="auto"/>
        </w:rPr>
        <w:t>234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580"/>
        <w:spacing w:after="0" w:line="214" w:lineRule="auto"/>
        <w:rPr>
          <w:sz w:val="20"/>
          <w:szCs w:val="20"/>
          <w:color w:val="auto"/>
        </w:rPr>
      </w:pPr>
      <w:r>
        <w:rPr>
          <w:rFonts w:ascii="Arial" w:cs="Arial" w:eastAsia="Arial" w:hAnsi="Arial"/>
          <w:sz w:val="13"/>
          <w:szCs w:val="13"/>
          <w:color w:val="auto"/>
        </w:rPr>
        <w:t>•an estate the income of which is subject to U.S. federal income taxation regardless of its source; or •a trust if (i) a court within the United States is able to exercise primary supervision over the trust’s administration and one or more U.S. persons have the authority to control all substantial decisions of the trust or (ii) a valid election under the Treasury regulations is in effect for the trust to be treated as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-416560</wp:posOffset>
            </wp:positionV>
            <wp:extent cx="5231130"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00"/>
        <w:spacing w:after="0" w:line="210" w:lineRule="auto"/>
        <w:rPr>
          <w:sz w:val="20"/>
          <w:szCs w:val="20"/>
          <w:color w:val="auto"/>
        </w:rPr>
      </w:pPr>
      <w:r>
        <w:rPr>
          <w:rFonts w:ascii="Arial" w:cs="Arial" w:eastAsia="Arial" w:hAnsi="Arial"/>
          <w:sz w:val="13"/>
          <w:szCs w:val="13"/>
          <w:color w:val="auto"/>
        </w:rPr>
        <w:t>This discussion does not address all aspects of U.S. federal income taxation that may be applicable to U.S. Holders in light of their particular circumstances or status (including, for example, banks and other financial institutions, insurance companies, broker and dealers in securities or currencies, traders that have elected to mark securities to market, regulated investment companies, real estate investment trusts, partnerships or other pass- through entities, corporations that accumulate earnings to avoid U.S. federal income tax, tax-exempt organizations, pension plans, persons that hold our shares as part of a straddle, hedge or other integrated investment, persons subject to alternative minimum tax or whose “functional currency” is not the U.S. dollar). If a partnership (including any entity or arrangement treated as a partnership for U.S. federal income tax purposes) holds our ADSs, the tax treatment of a person treated as a partner in the partnership for U.S. federal income tax purposes generally will depend on the status of the partner and the activities of the partnership. Partnerships (and other entities or arrangements so treated for U.S. federal income tax purposes) and their partners should consult their own tax advisors.</w:t>
      </w:r>
    </w:p>
    <w:p>
      <w:pPr>
        <w:spacing w:after="0" w:line="7"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In general, and taking into account the earlier assumptions, for U.S. federal income and German tax purposes, a holder of ADSs will be treated as the owner of the shares represented by those ADSs. Exchanges of shares for ADSs, and ADSs for shares, generally will not be subject to U.S. federal income or to German tax.</w:t>
      </w:r>
    </w:p>
    <w:p>
      <w:pPr>
        <w:spacing w:after="0" w:line="2" w:lineRule="exact"/>
        <w:rPr>
          <w:sz w:val="20"/>
          <w:szCs w:val="20"/>
          <w:color w:val="auto"/>
        </w:rPr>
      </w:pPr>
    </w:p>
    <w:p>
      <w:pPr>
        <w:ind w:left="380" w:right="2320"/>
        <w:spacing w:after="0" w:line="210" w:lineRule="auto"/>
        <w:rPr>
          <w:sz w:val="20"/>
          <w:szCs w:val="20"/>
          <w:color w:val="auto"/>
        </w:rPr>
      </w:pPr>
      <w:r>
        <w:rPr>
          <w:rFonts w:ascii="Arial" w:cs="Arial" w:eastAsia="Arial" w:hAnsi="Arial"/>
          <w:sz w:val="13"/>
          <w:szCs w:val="13"/>
          <w:b w:val="1"/>
          <w:bCs w:val="1"/>
          <w:i w:val="1"/>
          <w:iCs w:val="1"/>
          <w:color w:val="auto"/>
        </w:rPr>
        <w:t>This discussion addresses only U.S. Holders and does not discuss any tax considerations other than U.S. federal income tax considerations. Prospective investors are urged to consult their own tax advisors regarding the U.S. federal, state and local, and foreign tax consequences of the purchase, ownership, and disposition of ADSs.</w:t>
      </w:r>
    </w:p>
    <w:p>
      <w:pPr>
        <w:ind w:left="380"/>
        <w:spacing w:after="0" w:line="214" w:lineRule="auto"/>
        <w:rPr>
          <w:sz w:val="20"/>
          <w:szCs w:val="20"/>
          <w:color w:val="auto"/>
        </w:rPr>
      </w:pPr>
      <w:r>
        <w:rPr>
          <w:rFonts w:ascii="Arial" w:cs="Arial" w:eastAsia="Arial" w:hAnsi="Arial"/>
          <w:sz w:val="13"/>
          <w:szCs w:val="13"/>
          <w:b w:val="1"/>
          <w:bCs w:val="1"/>
          <w:color w:val="auto"/>
        </w:rPr>
        <w:t>Dividends</w:t>
      </w:r>
    </w:p>
    <w:p>
      <w:pPr>
        <w:ind w:left="380" w:right="2120"/>
        <w:spacing w:after="0" w:line="210" w:lineRule="auto"/>
        <w:rPr>
          <w:sz w:val="20"/>
          <w:szCs w:val="20"/>
          <w:color w:val="auto"/>
        </w:rPr>
      </w:pPr>
      <w:r>
        <w:rPr>
          <w:rFonts w:ascii="Arial" w:cs="Arial" w:eastAsia="Arial" w:hAnsi="Arial"/>
          <w:sz w:val="13"/>
          <w:szCs w:val="13"/>
          <w:color w:val="auto"/>
        </w:rPr>
        <w:t>Under the U.S. federal income tax laws, and subject to the passive foreign investment company, or PFIC, rules discussed below, the gross amount of any dividend we pay out of our current or accumulated earnings and profits (as determined for U.S. federal income tax purposes) is includible in income for a U.S. Holder and subject to U.S. federal income taxation. Dividends paid to a noncorporate U.S. Holder that constitute qualified dividend income will be taxable at a preferential tax rate applicable to long- term capital gains, provided that the U.S. Holder holds the ADSs for more than 60 days during the 121-day period beginning 60 days before the ex-dividend date and meets other holding period requirements. Dividends we pay with respect to the ADSs generally will be qualified dividend income.</w:t>
      </w:r>
    </w:p>
    <w:p>
      <w:pPr>
        <w:spacing w:after="0" w:line="5" w:lineRule="exact"/>
        <w:rPr>
          <w:sz w:val="20"/>
          <w:szCs w:val="20"/>
          <w:color w:val="auto"/>
        </w:rPr>
      </w:pPr>
    </w:p>
    <w:p>
      <w:pPr>
        <w:ind w:left="380" w:right="2100"/>
        <w:spacing w:after="0" w:line="214" w:lineRule="auto"/>
        <w:rPr>
          <w:sz w:val="20"/>
          <w:szCs w:val="20"/>
          <w:color w:val="auto"/>
        </w:rPr>
      </w:pPr>
      <w:r>
        <w:rPr>
          <w:rFonts w:ascii="Arial" w:cs="Arial" w:eastAsia="Arial" w:hAnsi="Arial"/>
          <w:sz w:val="13"/>
          <w:szCs w:val="13"/>
          <w:color w:val="auto"/>
        </w:rPr>
        <w:t>A U.S. Holder must include any German tax withheld as part of the gross dividend payment, as described above under “—German Taxation—General Rules for the Taxation of Holders Not Tax Resident in Germany,” even though the holder does not in fact receive it. The dividend is taxable to the holder when the depositary receives the dividend, actually or constructively. Because we are not a U.S. corporation, the dividend will not be eligible for the dividends-received deduction generally allowed to U.S. corporations in respect of dividends received from other U.S. corporations. The amount of the dividend distribution includible in U.S. Holder’s income will be the U.S. dollar value of the Euro payments made, determined at the spot Euro/U.S. dollar rate on the date the dividend distribution is includible in income, regardless of whether the payment is in fact converted into U.S. dollars. Generally, any gain or loss resulting from currency exchange fluctuations during the period from the date the dividend payment is included in income to the date the payment is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235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240"/>
        <w:spacing w:after="0" w:line="214" w:lineRule="auto"/>
        <w:rPr>
          <w:sz w:val="20"/>
          <w:szCs w:val="20"/>
          <w:color w:val="auto"/>
        </w:rPr>
      </w:pPr>
      <w:r>
        <w:rPr>
          <w:rFonts w:ascii="Arial" w:cs="Arial" w:eastAsia="Arial" w:hAnsi="Arial"/>
          <w:sz w:val="13"/>
          <w:szCs w:val="13"/>
          <w:color w:val="auto"/>
        </w:rPr>
        <w:t>To the extent a distribution with respect to ADSs exceeds our current or accumulated earnings and profits, as determined under U.S. federal income tax principles, the distribution will be treated, first, as a tax- free return of the U.S. Holder’s investment, up to the holder’s adjusted tax basis in its ADSs, and, thereafter, as capital gain, which is subject to the tax treatment described below in “—Gain on Sale, Exchange or Other Taxable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-416560</wp:posOffset>
            </wp:positionV>
            <wp:extent cx="5231130"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080"/>
        <w:spacing w:after="0" w:line="210" w:lineRule="auto"/>
        <w:rPr>
          <w:sz w:val="20"/>
          <w:szCs w:val="20"/>
          <w:color w:val="auto"/>
        </w:rPr>
      </w:pPr>
      <w:r>
        <w:rPr>
          <w:rFonts w:ascii="Arial" w:cs="Arial" w:eastAsia="Arial" w:hAnsi="Arial"/>
          <w:sz w:val="13"/>
          <w:szCs w:val="13"/>
          <w:color w:val="auto"/>
        </w:rPr>
        <w:t>Subject to certain limitations, the German tax withheld in accordance with the Treaty and paid over to the German taxing authority will be creditable or deductible against a U.S. Holder’s U.S. federal income tax liability. To the extent a refund of the tax withheld is available to a U.S. Holder under German law or under the Treaty, the amount of tax withheld that is refundable will not be eligible for credit against a U.S. Holder’s U.S. federal income tax liability. See “—German Taxation—Withholding Tax Refund for U.S. Treaty Beneficiaries” above for the procedures for obtaining a tax refund.</w:t>
      </w:r>
    </w:p>
    <w:p>
      <w:pPr>
        <w:ind w:left="380"/>
        <w:spacing w:after="0" w:line="216" w:lineRule="auto"/>
        <w:rPr>
          <w:sz w:val="20"/>
          <w:szCs w:val="20"/>
          <w:color w:val="auto"/>
        </w:rPr>
      </w:pPr>
      <w:r>
        <w:rPr>
          <w:rFonts w:ascii="Arial" w:cs="Arial" w:eastAsia="Arial" w:hAnsi="Arial"/>
          <w:sz w:val="13"/>
          <w:szCs w:val="13"/>
          <w:b w:val="1"/>
          <w:bCs w:val="1"/>
          <w:color w:val="auto"/>
        </w:rPr>
        <w:t>Gain On Sale, Exchange or Other Taxable Disposition</w:t>
      </w:r>
    </w:p>
    <w:p>
      <w:pPr>
        <w:ind w:left="380" w:right="2100"/>
        <w:spacing w:after="0" w:line="210" w:lineRule="auto"/>
        <w:rPr>
          <w:sz w:val="20"/>
          <w:szCs w:val="20"/>
          <w:color w:val="auto"/>
        </w:rPr>
      </w:pPr>
      <w:r>
        <w:rPr>
          <w:rFonts w:ascii="Arial" w:cs="Arial" w:eastAsia="Arial" w:hAnsi="Arial"/>
          <w:sz w:val="13"/>
          <w:szCs w:val="13"/>
          <w:color w:val="auto"/>
        </w:rPr>
        <w:t>Subject to the PFIC rules described below under “—Passive Foreign Investment Company Considerations”, a U.S. Holder that sells, exchanges or otherwise disposes of ADSs in a taxable disposition generally will recognize capital gain or loss for U.S. federal income tax purposes equal to the difference between the U.S. dollar value of the amount realized and the holder’s tax basis, determined in U.S. dollars, in the ADSs. Gain or loss recognized on such a sale, exchange or other disposition of ADSs generally will be long-term capital gain if the U.S. Holder’s holding period in the ADSs exceeds one year. Long-term capital gains of non-corporate U.S. Holders are taxed generally at preferential rates. The gain or loss generally will be income or loss from sources within the United States for foreign tax credit limitation purposes. A U.S. Holder’s ability to deduct capital losses is subject to limitations.</w:t>
      </w:r>
    </w:p>
    <w:p>
      <w:pPr>
        <w:ind w:left="380"/>
        <w:spacing w:after="0" w:line="219" w:lineRule="auto"/>
        <w:rPr>
          <w:sz w:val="20"/>
          <w:szCs w:val="20"/>
          <w:color w:val="auto"/>
        </w:rPr>
      </w:pPr>
      <w:r>
        <w:rPr>
          <w:rFonts w:ascii="Arial" w:cs="Arial" w:eastAsia="Arial" w:hAnsi="Arial"/>
          <w:sz w:val="13"/>
          <w:szCs w:val="13"/>
          <w:b w:val="1"/>
          <w:bCs w:val="1"/>
          <w:color w:val="auto"/>
        </w:rPr>
        <w:t>Passive Foreign Investment Company Considerations</w:t>
      </w:r>
    </w:p>
    <w:p>
      <w:pPr>
        <w:ind w:left="380" w:right="2100"/>
        <w:spacing w:after="0" w:line="210" w:lineRule="auto"/>
        <w:rPr>
          <w:sz w:val="20"/>
          <w:szCs w:val="20"/>
          <w:color w:val="auto"/>
        </w:rPr>
      </w:pPr>
      <w:r>
        <w:rPr>
          <w:rFonts w:ascii="Arial" w:cs="Arial" w:eastAsia="Arial" w:hAnsi="Arial"/>
          <w:sz w:val="13"/>
          <w:szCs w:val="13"/>
          <w:color w:val="auto"/>
        </w:rPr>
        <w:t>We believe that we were a PFIC for our 2024 taxable year. Because the determination of our PFIC status is made annually based on the factual tests described below, however, we cannot estimate with certainty at this stage whether or not we are likely to be treated as a PFIC in the current taxable year or any future taxable years. In particular, the total value of our asset test generally will be calculated taking into account the market price of our ADSs or ordinary shares. This value has fluctuated considerably in the past, and may fluctuate considerably in the future. Even if we determine that we are not a PFIC for a taxable year, there can be no assurance that the IRS will agree with our conclusion regarding our PFIC status.</w:t>
      </w:r>
    </w:p>
    <w:p>
      <w:pPr>
        <w:spacing w:after="0" w:line="4" w:lineRule="exact"/>
        <w:rPr>
          <w:sz w:val="20"/>
          <w:szCs w:val="20"/>
          <w:color w:val="auto"/>
        </w:rPr>
      </w:pPr>
    </w:p>
    <w:p>
      <w:pPr>
        <w:ind w:left="380" w:right="2120"/>
        <w:spacing w:after="0" w:line="220" w:lineRule="auto"/>
        <w:rPr>
          <w:sz w:val="20"/>
          <w:szCs w:val="20"/>
          <w:color w:val="auto"/>
        </w:rPr>
      </w:pPr>
      <w:r>
        <w:rPr>
          <w:rFonts w:ascii="Arial" w:cs="Arial" w:eastAsia="Arial" w:hAnsi="Arial"/>
          <w:sz w:val="13"/>
          <w:szCs w:val="13"/>
          <w:color w:val="auto"/>
        </w:rPr>
        <w:t>We are treated as a PFIC for any taxable year in which at least 75% of our gross income is “passive income” or at least 50% of our gross assets during the taxable year (based on the average of the fair market values of the assets determined at the end of each quarterly period) are assets that produce or are held for the production of passive income. Passive income for this purpose generally includes, among other things, dividends, interest, rents, royalties, gains from commodities and securities transactions, and gains from assets that produce passive</w:t>
      </w:r>
    </w:p>
    <w:p>
      <w:pPr>
        <w:sectPr>
          <w:pgSz w:w="11900" w:h="16840" w:orient="portrait"/>
          <w:cols w:equalWidth="0" w:num="1">
            <w:col w:w="9020"/>
          </w:cols>
          <w:pgMar w:left="1440" w:top="553" w:right="1440" w:bottom="7" w:gutter="0" w:footer="0" w:header="0"/>
        </w:sectPr>
      </w:pPr>
    </w:p>
    <w:bookmarkStart w:id="163" w:name="page164"/>
    <w:bookmarkEnd w:id="163"/>
    <w:p>
      <w:pPr>
        <w:ind w:left="380" w:right="2120"/>
        <w:spacing w:after="0" w:line="214" w:lineRule="auto"/>
        <w:rPr>
          <w:sz w:val="20"/>
          <w:szCs w:val="20"/>
          <w:color w:val="auto"/>
        </w:rPr>
      </w:pPr>
      <w:r>
        <w:rPr>
          <w:rFonts w:ascii="Arial" w:cs="Arial" w:eastAsia="Arial" w:hAnsi="Arial"/>
          <w:sz w:val="13"/>
          <w:szCs w:val="13"/>
          <w:color w:val="auto"/>
        </w:rPr>
        <w:t>income. In addition, cash and short-term investment are treated as passive assets regardless of the fact that they may not produce any income. Rents and royalties received from unrelated parties in connection with the active conduct of a trade or business are not considered passive income for purposes of the PFIC test. In determining whether we are a PFIC, a pro rata portion of the income and assets of each corporation in which we own, directly or indirectly, at least a 25% interest (by value) is taken into account.</w:t>
      </w:r>
    </w:p>
    <w:p>
      <w:pPr>
        <w:spacing w:after="0" w:line="3"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If we are classified as a PFIC in any taxable year, a U.S. Holder will be subject to special rules with respect to distributions on and sales, exchanges and other dispositions of the ADSs. In addition, a U.S. Holder that holds the ADSs at any time during a taxable year in which we are classified as a PFIC generally will continue to have to treat such ADSs as ADSs in a PFIC, even if we no longer satisfy the income and asset tests described above, unless the U.S. Holder elects to recognize gain, which will be taxed under the excess distribution rules described below as if such ADSs had been sold on the last day of the last taxable year for which we were a PFIC.</w:t>
      </w:r>
    </w:p>
    <w:p>
      <w:pPr>
        <w:spacing w:after="0" w:line="4" w:lineRule="exact"/>
        <w:rPr>
          <w:sz w:val="20"/>
          <w:szCs w:val="20"/>
          <w:color w:val="auto"/>
        </w:rPr>
      </w:pPr>
    </w:p>
    <w:p>
      <w:pPr>
        <w:ind w:left="380" w:right="2260"/>
        <w:spacing w:after="0" w:line="234" w:lineRule="auto"/>
        <w:rPr>
          <w:sz w:val="20"/>
          <w:szCs w:val="20"/>
          <w:color w:val="auto"/>
        </w:rPr>
      </w:pPr>
      <w:r>
        <w:rPr>
          <w:rFonts w:ascii="Arial" w:cs="Arial" w:eastAsia="Arial" w:hAnsi="Arial"/>
          <w:sz w:val="13"/>
          <w:szCs w:val="13"/>
          <w:color w:val="auto"/>
        </w:rPr>
        <w:t>Certain elections by a U.S. Holder, described below, generally alleviate some of the adverse consequences of the excess distribution rules and would result in an alternative treatment of the ADSs,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236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280"/>
        <w:spacing w:after="0" w:line="214" w:lineRule="auto"/>
        <w:rPr>
          <w:sz w:val="20"/>
          <w:szCs w:val="20"/>
          <w:color w:val="auto"/>
        </w:rPr>
      </w:pPr>
      <w:r>
        <w:rPr>
          <w:rFonts w:ascii="Arial" w:cs="Arial" w:eastAsia="Arial" w:hAnsi="Arial"/>
          <w:sz w:val="13"/>
          <w:szCs w:val="13"/>
          <w:color w:val="auto"/>
        </w:rPr>
        <w:t>A U.S. Holder of PFIC shares must generally file an annual information return on IRS Form 8621 (Information Return by a Shareholder of a Passive Foreign Investment Company or Qualified Electing Fund) and will make any of the elections described below such Form attached to a timely filed U.S. federal income tax return (including available extensions). The failure to file IRS Form 8621 could result in an extension of the statute of limitations with respect to U.S. federal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-416560</wp:posOffset>
            </wp:positionV>
            <wp:extent cx="5231130"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60"/>
        <w:spacing w:after="0" w:line="210" w:lineRule="auto"/>
        <w:rPr>
          <w:sz w:val="20"/>
          <w:szCs w:val="20"/>
          <w:color w:val="auto"/>
        </w:rPr>
      </w:pPr>
      <w:r>
        <w:rPr>
          <w:rFonts w:ascii="Arial" w:cs="Arial" w:eastAsia="Arial" w:hAnsi="Arial"/>
          <w:sz w:val="13"/>
          <w:szCs w:val="13"/>
          <w:i w:val="1"/>
          <w:iCs w:val="1"/>
          <w:color w:val="auto"/>
        </w:rPr>
        <w:t xml:space="preserve">Excess Distribution Rules. </w:t>
      </w:r>
      <w:r>
        <w:rPr>
          <w:rFonts w:ascii="Arial" w:cs="Arial" w:eastAsia="Arial" w:hAnsi="Arial"/>
          <w:sz w:val="13"/>
          <w:szCs w:val="13"/>
          <w:color w:val="auto"/>
        </w:rPr>
        <w:t>If we are a PFIC with respect to a U.S. Holder, then unless such U.S. Holder makes</w:t>
      </w:r>
      <w:r>
        <w:rPr>
          <w:rFonts w:ascii="Arial" w:cs="Arial" w:eastAsia="Arial" w:hAnsi="Arial"/>
          <w:sz w:val="13"/>
          <w:szCs w:val="13"/>
          <w:i w:val="1"/>
          <w:iCs w:val="1"/>
          <w:color w:val="auto"/>
        </w:rPr>
        <w:t xml:space="preserve"> </w:t>
      </w:r>
      <w:r>
        <w:rPr>
          <w:rFonts w:ascii="Arial" w:cs="Arial" w:eastAsia="Arial" w:hAnsi="Arial"/>
          <w:sz w:val="13"/>
          <w:szCs w:val="13"/>
          <w:color w:val="auto"/>
        </w:rPr>
        <w:t>one of the elections described below, a special tax regime will apply to the U.S. Holder with respect to (i) any “excess distribution” (generally, aggregate distributions in any year that are greater than 125% of the average annual distribution received by the holder in the shorter of the three preceding years or the holder’s holding period for the ADSs) and (ii) any gain realized on the sale or other disposition of the ADSs. Under this regime, any excess distribution and realized gain is treated as ordinary income and is subject to tax as if (a) the excess distribution or gain had been realized ratably over the U.S. Holder’s holding period, (b) the amount deemed realized in each year had been subject to tax in each year of that holding period at the highest marginal rate for such year (other than income allocated to the current period or any taxable period before we became a PFIC, which is subject to tax at the U.S. Holder’s regular ordinary income rate for the current year and is not subject to the interest charge discussed below), and (c) the interest charge generally applicable to underpayments of tax had been imposed on the taxes deemed to have been payable in those years. If we are a PFIC, this tax treatment for U.S. Holders applies also to indirect distributions and gains deemed realized by U.S. Holders in respect of stock of any of our subsidiaries determined to be PFICs. In addition, dividend distributions do not qualify for the lower rates of taxation applicable to long-term capital gains discussed above under “—Taxation of Dividends.”</w:t>
      </w:r>
    </w:p>
    <w:p>
      <w:pPr>
        <w:spacing w:after="0" w:line="10"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i w:val="1"/>
          <w:iCs w:val="1"/>
          <w:color w:val="auto"/>
        </w:rPr>
        <w:t xml:space="preserve">Elective Alternative Treatment. </w:t>
      </w:r>
      <w:r>
        <w:rPr>
          <w:rFonts w:ascii="Arial" w:cs="Arial" w:eastAsia="Arial" w:hAnsi="Arial"/>
          <w:sz w:val="13"/>
          <w:szCs w:val="13"/>
          <w:color w:val="auto"/>
        </w:rPr>
        <w:t>If we are a PFIC, the rules above do not apply to a U.S. Holder that makes an</w:t>
      </w:r>
      <w:r>
        <w:rPr>
          <w:rFonts w:ascii="Arial" w:cs="Arial" w:eastAsia="Arial" w:hAnsi="Arial"/>
          <w:sz w:val="13"/>
          <w:szCs w:val="13"/>
          <w:i w:val="1"/>
          <w:iCs w:val="1"/>
          <w:color w:val="auto"/>
        </w:rPr>
        <w:t xml:space="preserve"> </w:t>
      </w:r>
      <w:r>
        <w:rPr>
          <w:rFonts w:ascii="Arial" w:cs="Arial" w:eastAsia="Arial" w:hAnsi="Arial"/>
          <w:sz w:val="13"/>
          <w:szCs w:val="13"/>
          <w:color w:val="auto"/>
        </w:rPr>
        <w:t>election to treat ADSs as stock of a “qualified electing fund” or QEF. We intend to provide to U.S. Holders the required information to make a valid QEF election and expect to provide that information after April 15, 2025 and before August 15, 2025 on our corporate website. As a result, a U.S. Holder is expected to be able to make the QEF election with respect to its ADSs with an extension to file its U.S. federal income tax return. A U.S. Holder that makes a QEF election is required to include in income its pro rata share of our ordinary earnings and net capital gain as ordinary income and long-term capital gain, respectively, subject to a separate election to defer payment of taxes, which deferral is subject to an interest charge. A U.S. Holder makes a QEF election generally by attaching a completed IRS Form 8621 to a timely filed United States federal income tax return for the year beginning with which the QEF election is to be effective (taking into account any extensions). A QEF election can be revoked only with the consent of the IRS. We intend to annually provide or make available the information required for a U.S. Holder to make a valid QEF election.</w:t>
      </w:r>
    </w:p>
    <w:p>
      <w:pPr>
        <w:spacing w:after="0" w:line="7"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The rules above also do not apply to a U.S. Holder that makes a “mark-to- market” election with respect to the ADSs. This election is available with respect to the ADSs only if they meet certain minimum trading requirements to be considered “marketable stock” for purposes of the PFIC rules. Generally, shares or ADSs are treated as marketable stock if they are “regularly traded” on a “qualified exchange” within the meaning of applicable U.S. Treasury Regulations. ADSs generally will be considered regularly traded during any calendar year during which they are traded, other than in de minimis quantities, on at least 15 days during each calendar quarter. Any trades that have as their principal purpose meeting this requirement will be disregarded. Our ADSs will be marketable stock as long as they remain listed on the Nasdaq Global Select Market and are traded regularly.</w:t>
      </w:r>
    </w:p>
    <w:p>
      <w:pPr>
        <w:spacing w:after="0" w:line="5" w:lineRule="exact"/>
        <w:rPr>
          <w:sz w:val="20"/>
          <w:szCs w:val="20"/>
          <w:color w:val="auto"/>
        </w:rPr>
      </w:pPr>
    </w:p>
    <w:p>
      <w:pPr>
        <w:ind w:left="380" w:right="2080"/>
        <w:spacing w:after="0" w:line="215" w:lineRule="auto"/>
        <w:rPr>
          <w:sz w:val="20"/>
          <w:szCs w:val="20"/>
          <w:color w:val="auto"/>
        </w:rPr>
      </w:pPr>
      <w:r>
        <w:rPr>
          <w:rFonts w:ascii="Arial" w:cs="Arial" w:eastAsia="Arial" w:hAnsi="Arial"/>
          <w:sz w:val="13"/>
          <w:szCs w:val="13"/>
          <w:color w:val="auto"/>
        </w:rPr>
        <w:t>A U.S. Holder that makes a valid mark-to -market election for the first tax year in which the holder holds (or is deemed to hold) ADSs and for which we are a PFIC will be required to include each year an amount equal to the excess, if any, of the fair market value of such ADSs the holder owns as of the close of the taxable year over the holder’s adjusted tax basis in such ADSs. The U.S. Holder will be entitled to a deduction for the excess, if any, of the holder’s adjusted tax basis in the ADSs over the fair market value of such ADSs as of the close of the taxable year, but only to the extent of any net mark-to-market gains with respect to such ADSs included by the U.S. Holder under the election for prior taxable years. The U.S. Holder’s basis in such ADSs will be adjusted to reflect the amounts included or deducted pursuant to the election. Amounts included in income pursuant to a mark-to-market election, as well as gain on the sale, exchange or other taxable disposition of such ADSs, will be treated as ordinary income. The deductible portion of any mark-to-market loss, as well as loss on a sale, exchange or</w:t>
      </w:r>
    </w:p>
    <w:p>
      <w:pPr>
        <w:sectPr>
          <w:pgSz w:w="11900" w:h="16840" w:orient="portrait"/>
          <w:cols w:equalWidth="0" w:num="1">
            <w:col w:w="9020"/>
          </w:cols>
          <w:pgMar w:left="1440" w:top="560" w:right="1440" w:bottom="1440" w:gutter="0" w:footer="0" w:header="0"/>
        </w:sectPr>
      </w:pPr>
    </w:p>
    <w:bookmarkStart w:id="164" w:name="page165"/>
    <w:bookmarkEnd w:id="164"/>
    <w:p>
      <w:pPr>
        <w:spacing w:after="0" w:line="4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237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240"/>
        <w:spacing w:after="0" w:line="220" w:lineRule="auto"/>
        <w:rPr>
          <w:sz w:val="20"/>
          <w:szCs w:val="20"/>
          <w:color w:val="auto"/>
        </w:rPr>
      </w:pPr>
      <w:r>
        <w:rPr>
          <w:rFonts w:ascii="Arial" w:cs="Arial" w:eastAsia="Arial" w:hAnsi="Arial"/>
          <w:sz w:val="13"/>
          <w:szCs w:val="13"/>
          <w:color w:val="auto"/>
        </w:rPr>
        <w:t>other disposition of ADSs to the extent that the amount of such loss does not exceed net mark-to-market gains previously included in income, will be treated as ordinary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40"/>
        <w:spacing w:after="0" w:line="210" w:lineRule="auto"/>
        <w:rPr>
          <w:sz w:val="20"/>
          <w:szCs w:val="20"/>
          <w:color w:val="auto"/>
        </w:rPr>
      </w:pPr>
      <w:r>
        <w:rPr>
          <w:rFonts w:ascii="Arial" w:cs="Arial" w:eastAsia="Arial" w:hAnsi="Arial"/>
          <w:sz w:val="13"/>
          <w:szCs w:val="13"/>
          <w:color w:val="auto"/>
        </w:rPr>
        <w:t>The mark-to-market election applies to the taxable year for which the election is made and all subsequent taxable years, unless the shares cease to be treated as marketable stock for purposes of the PFIC rules or the IRS consents to its revocation. The excess distribution rules described above generally will not apply to a U.S. Holder for tax years for which a mark-to-market election is in effect. However, if we are a PFIC for any year in which the U.S. Holder owns the ADSs but before a mark-to-market election is made, the interest charge rules described above applies to any mark-to-market gain recognized in the year the election is made.</w:t>
      </w:r>
    </w:p>
    <w:p>
      <w:pPr>
        <w:spacing w:after="0" w:line="4" w:lineRule="exact"/>
        <w:rPr>
          <w:sz w:val="20"/>
          <w:szCs w:val="20"/>
          <w:color w:val="auto"/>
        </w:rPr>
      </w:pPr>
    </w:p>
    <w:p>
      <w:pPr>
        <w:ind w:left="380" w:right="2340"/>
        <w:spacing w:after="0" w:line="210" w:lineRule="auto"/>
        <w:rPr>
          <w:sz w:val="20"/>
          <w:szCs w:val="20"/>
          <w:color w:val="auto"/>
        </w:rPr>
      </w:pPr>
      <w:r>
        <w:rPr>
          <w:rFonts w:ascii="Arial" w:cs="Arial" w:eastAsia="Arial" w:hAnsi="Arial"/>
          <w:sz w:val="13"/>
          <w:szCs w:val="13"/>
          <w:b w:val="1"/>
          <w:bCs w:val="1"/>
          <w:i w:val="1"/>
          <w:iCs w:val="1"/>
          <w:color w:val="auto"/>
        </w:rPr>
        <w:t xml:space="preserve">U.S. Holders are urged to consult their tax advisors as to our status as a PFIC, and the tax consequences to them if we were a PFIC, including the reporting requirements and the desirability of making, and the availability of, a QEF election or a mark-to-market election with respect to the ADSs. </w:t>
      </w:r>
      <w:r>
        <w:rPr>
          <w:rFonts w:ascii="Arial" w:cs="Arial" w:eastAsia="Arial" w:hAnsi="Arial"/>
          <w:sz w:val="13"/>
          <w:szCs w:val="13"/>
          <w:b w:val="1"/>
          <w:bCs w:val="1"/>
          <w:color w:val="auto"/>
        </w:rPr>
        <w:t>Medicare Tax</w:t>
      </w:r>
    </w:p>
    <w:p>
      <w:pPr>
        <w:spacing w:after="0" w:line="2"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Non-corporate U.S. Holders that are individuals, estates or trusts and whose income exceeds certain thresholds generally are subject to a 3.8% tax on all or a portion of their net investment income, which may include their gross dividend income and net gains from the disposition of ADSs. A U.S. person that is an individual, estate or trust is encouraged to consult its tax advisors regarding the applicability of this Medicare tax to its income and gains in respect of any investment in ADSs.</w:t>
      </w:r>
    </w:p>
    <w:p>
      <w:pPr>
        <w:ind w:left="380"/>
        <w:spacing w:after="0" w:line="215" w:lineRule="auto"/>
        <w:rPr>
          <w:sz w:val="20"/>
          <w:szCs w:val="20"/>
          <w:color w:val="auto"/>
        </w:rPr>
      </w:pPr>
      <w:r>
        <w:rPr>
          <w:rFonts w:ascii="Arial" w:cs="Arial" w:eastAsia="Arial" w:hAnsi="Arial"/>
          <w:sz w:val="13"/>
          <w:szCs w:val="13"/>
          <w:b w:val="1"/>
          <w:bCs w:val="1"/>
          <w:color w:val="auto"/>
        </w:rPr>
        <w:t>Information Reporting with Respect to Foreign Financial Assets</w:t>
      </w:r>
    </w:p>
    <w:p>
      <w:pPr>
        <w:ind w:left="380" w:right="2120"/>
        <w:spacing w:after="0" w:line="210" w:lineRule="auto"/>
        <w:rPr>
          <w:sz w:val="20"/>
          <w:szCs w:val="20"/>
          <w:color w:val="auto"/>
        </w:rPr>
      </w:pPr>
      <w:r>
        <w:rPr>
          <w:rFonts w:ascii="Arial" w:cs="Arial" w:eastAsia="Arial" w:hAnsi="Arial"/>
          <w:sz w:val="13"/>
          <w:szCs w:val="13"/>
          <w:color w:val="auto"/>
        </w:rPr>
        <w:t>Individual U.S. Holders may be subject to certain reporting obligations on IRS Form 8938 (Statement of Specified Foreign Financial Assets) with respect to the ADSs for any taxable year during which the U.S. Holder’s aggregate value of these and certain other “specified foreign financial assets” exceed a threshold amount that varies with the filing status of the individual. This reporting obligation also applies to domestic entities formed or availed of to hold, directly or indirectly, specified foreign financial assets, including the ADSs. Significant penalties can apply if U.S. Holders are required to make this disclosure and fail to do so.</w:t>
      </w:r>
    </w:p>
    <w:p>
      <w:pPr>
        <w:spacing w:after="0" w:line="4"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U.S. Holders who acquire ADSs for cash may be required to file IRS Form 926 (Return by a U.S. Transferor of Property to a Foreign Corporation) with the IRS and to supply certain additional information to the IRS if (i) immediately after the transfer, the U.S. Holder owns directly or indirectly (or by attribution) at least 10% of our total voting power or value or (ii) the amount of cash transferred to us in exchange for ADSs, when aggregated with all related transfers under applicable regulations, exceeds $100,000. Substantial penalties may be imposed on a U.S. Holder that fails to comply with this reporting requirement.</w:t>
      </w:r>
    </w:p>
    <w:p>
      <w:pPr>
        <w:ind w:left="380"/>
        <w:spacing w:after="0" w:line="216" w:lineRule="auto"/>
        <w:rPr>
          <w:sz w:val="20"/>
          <w:szCs w:val="20"/>
          <w:color w:val="auto"/>
        </w:rPr>
      </w:pPr>
      <w:r>
        <w:rPr>
          <w:rFonts w:ascii="Arial" w:cs="Arial" w:eastAsia="Arial" w:hAnsi="Arial"/>
          <w:sz w:val="13"/>
          <w:szCs w:val="13"/>
          <w:b w:val="1"/>
          <w:bCs w:val="1"/>
          <w:color w:val="auto"/>
        </w:rPr>
        <w:t>Information Reporting and Backup Withholding</w:t>
      </w:r>
    </w:p>
    <w:p>
      <w:pPr>
        <w:jc w:val="both"/>
        <w:ind w:left="380" w:right="2080"/>
        <w:spacing w:after="0" w:line="210" w:lineRule="auto"/>
        <w:rPr>
          <w:sz w:val="20"/>
          <w:szCs w:val="20"/>
          <w:color w:val="auto"/>
        </w:rPr>
      </w:pPr>
      <w:r>
        <w:rPr>
          <w:rFonts w:ascii="Arial" w:cs="Arial" w:eastAsia="Arial" w:hAnsi="Arial"/>
          <w:sz w:val="13"/>
          <w:szCs w:val="13"/>
          <w:color w:val="auto"/>
        </w:rPr>
        <w:t>In general, information reporting, on IRS Form 1099, will apply to dividends in respect of ADSs and the proceeds from the sale, exchange or redemption of ADSs that are paid to a holder of ADSs within the United States (and in certain cases, outside the United States), unless such holder is an exempt recipient such as a corporation.</w:t>
      </w:r>
    </w:p>
    <w:p>
      <w:pPr>
        <w:spacing w:after="0" w:line="2" w:lineRule="exact"/>
        <w:rPr>
          <w:sz w:val="20"/>
          <w:szCs w:val="20"/>
          <w:color w:val="auto"/>
        </w:rPr>
      </w:pPr>
    </w:p>
    <w:p>
      <w:pPr>
        <w:jc w:val="both"/>
        <w:ind w:left="380" w:right="2240"/>
        <w:spacing w:after="0" w:line="210" w:lineRule="auto"/>
        <w:rPr>
          <w:sz w:val="20"/>
          <w:szCs w:val="20"/>
          <w:color w:val="auto"/>
        </w:rPr>
      </w:pPr>
      <w:r>
        <w:rPr>
          <w:rFonts w:ascii="Arial" w:cs="Arial" w:eastAsia="Arial" w:hAnsi="Arial"/>
          <w:sz w:val="13"/>
          <w:szCs w:val="13"/>
          <w:color w:val="auto"/>
        </w:rPr>
        <w:t>Backup withholding (currently at a 24% rate) may apply to such payments if a holder of ADSs fails to provide a taxpayer identification number (generally on an IRS Form W-9) or certification of other exempt status or fails to report in full dividend and interest income.</w:t>
      </w:r>
    </w:p>
    <w:p>
      <w:pPr>
        <w:spacing w:after="0" w:line="2"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Backup withholding is not an additional tax. A U.S. Holder generally may obtain a refund of any amounts withheld under the backup withholding rules that exceed the U.S. Holder’s income tax liability by filing a refund claim with the IRS.</w:t>
      </w:r>
    </w:p>
    <w:p>
      <w:pPr>
        <w:ind w:left="380"/>
        <w:spacing w:after="0" w:line="213" w:lineRule="auto"/>
        <w:rPr>
          <w:sz w:val="20"/>
          <w:szCs w:val="20"/>
          <w:color w:val="auto"/>
        </w:rPr>
      </w:pPr>
      <w:r>
        <w:rPr>
          <w:rFonts w:ascii="Arial" w:cs="Arial" w:eastAsia="Arial" w:hAnsi="Arial"/>
          <w:sz w:val="13"/>
          <w:szCs w:val="13"/>
          <w:b w:val="1"/>
          <w:bCs w:val="1"/>
          <w:color w:val="005A64"/>
        </w:rPr>
        <w:t>F. Dividends and Paying Agents</w:t>
      </w:r>
    </w:p>
    <w:p>
      <w:pPr>
        <w:ind w:left="380"/>
        <w:spacing w:after="0" w:line="211" w:lineRule="auto"/>
        <w:rPr>
          <w:sz w:val="20"/>
          <w:szCs w:val="20"/>
          <w:color w:val="auto"/>
        </w:rPr>
      </w:pPr>
      <w:r>
        <w:rPr>
          <w:rFonts w:ascii="Arial" w:cs="Arial" w:eastAsia="Arial" w:hAnsi="Arial"/>
          <w:sz w:val="13"/>
          <w:szCs w:val="13"/>
          <w:color w:val="auto"/>
        </w:rPr>
        <w:t>Not applicable.</w:t>
      </w:r>
    </w:p>
    <w:p>
      <w:pPr>
        <w:ind w:left="380"/>
        <w:spacing w:after="0" w:line="211" w:lineRule="auto"/>
        <w:rPr>
          <w:sz w:val="20"/>
          <w:szCs w:val="20"/>
          <w:color w:val="auto"/>
        </w:rPr>
      </w:pPr>
      <w:r>
        <w:rPr>
          <w:rFonts w:ascii="Arial" w:cs="Arial" w:eastAsia="Arial" w:hAnsi="Arial"/>
          <w:sz w:val="13"/>
          <w:szCs w:val="13"/>
          <w:b w:val="1"/>
          <w:bCs w:val="1"/>
          <w:color w:val="005A64"/>
        </w:rPr>
        <w:t>G. Statement by Experts</w:t>
      </w:r>
    </w:p>
    <w:p>
      <w:pPr>
        <w:ind w:left="380"/>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238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005A64"/>
        </w:rPr>
        <w:t>H. Documents on Display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060"/>
        <w:spacing w:after="0" w:line="210" w:lineRule="auto"/>
        <w:rPr>
          <w:sz w:val="20"/>
          <w:szCs w:val="20"/>
          <w:color w:val="auto"/>
        </w:rPr>
      </w:pPr>
      <w:r>
        <w:rPr>
          <w:rFonts w:ascii="Arial" w:cs="Arial" w:eastAsia="Arial" w:hAnsi="Arial"/>
          <w:sz w:val="13"/>
          <w:szCs w:val="13"/>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2"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We also make available on our website, free of charge, our Annual Report and the text of our reports on Form 6-K, including any amendments to these reports, as well as certain other SEC filings, as soon as reasonably practicable after they are electronically filed with or furnished to the SEC. Our website address is www.biontech.de. The information contained on our website is not incorporated by reference in this Annual Report and our website address is included in this Annual Report as an inactive textual reference only. Statements contained in this Annual Report regarding the contents of any contract or other document are not necessarily complete, and, where the contract or other document is an exhibit to the Annual Report, each of these statements is qualified in all respects by the provisions of the actual contract or other documents.</w:t>
      </w:r>
    </w:p>
    <w:p>
      <w:pPr>
        <w:ind w:left="380"/>
        <w:spacing w:after="0" w:line="218" w:lineRule="auto"/>
        <w:rPr>
          <w:sz w:val="20"/>
          <w:szCs w:val="20"/>
          <w:color w:val="auto"/>
        </w:rPr>
      </w:pPr>
      <w:r>
        <w:rPr>
          <w:rFonts w:ascii="Arial" w:cs="Arial" w:eastAsia="Arial" w:hAnsi="Arial"/>
          <w:sz w:val="13"/>
          <w:szCs w:val="13"/>
          <w:b w:val="1"/>
          <w:bCs w:val="1"/>
          <w:color w:val="005A64"/>
        </w:rPr>
        <w:t>I. Subsidiary Information</w:t>
      </w:r>
    </w:p>
    <w:p>
      <w:pPr>
        <w:ind w:left="380"/>
        <w:spacing w:after="0" w:line="211" w:lineRule="auto"/>
        <w:rPr>
          <w:sz w:val="20"/>
          <w:szCs w:val="20"/>
          <w:color w:val="auto"/>
        </w:rPr>
      </w:pPr>
      <w:r>
        <w:rPr>
          <w:rFonts w:ascii="Arial" w:cs="Arial" w:eastAsia="Arial" w:hAnsi="Arial"/>
          <w:sz w:val="13"/>
          <w:szCs w:val="13"/>
          <w:color w:val="auto"/>
        </w:rPr>
        <w:t>Not applicable.</w:t>
      </w:r>
    </w:p>
    <w:p>
      <w:pPr>
        <w:ind w:left="380"/>
        <w:spacing w:after="0" w:line="211" w:lineRule="auto"/>
        <w:rPr>
          <w:sz w:val="20"/>
          <w:szCs w:val="20"/>
          <w:color w:val="auto"/>
        </w:rPr>
      </w:pPr>
      <w:r>
        <w:rPr>
          <w:rFonts w:ascii="Arial" w:cs="Arial" w:eastAsia="Arial" w:hAnsi="Arial"/>
          <w:sz w:val="13"/>
          <w:szCs w:val="13"/>
          <w:b w:val="1"/>
          <w:bCs w:val="1"/>
          <w:color w:val="005A64"/>
        </w:rPr>
        <w:t>J. Annual Report to Security Holders</w:t>
      </w:r>
    </w:p>
    <w:p>
      <w:pPr>
        <w:ind w:left="380"/>
        <w:spacing w:after="0" w:line="216" w:lineRule="auto"/>
        <w:rPr>
          <w:sz w:val="20"/>
          <w:szCs w:val="20"/>
          <w:color w:val="auto"/>
        </w:rPr>
      </w:pPr>
      <w:r>
        <w:rPr>
          <w:rFonts w:ascii="Arial" w:cs="Arial" w:eastAsia="Arial" w:hAnsi="Arial"/>
          <w:sz w:val="13"/>
          <w:szCs w:val="13"/>
          <w:color w:val="auto"/>
        </w:rPr>
        <w:t>Not applicable.</w:t>
      </w:r>
    </w:p>
    <w:p>
      <w:pPr>
        <w:ind w:left="380"/>
        <w:spacing w:after="0" w:line="207" w:lineRule="auto"/>
        <w:rPr>
          <w:sz w:val="20"/>
          <w:szCs w:val="20"/>
          <w:color w:val="auto"/>
        </w:rPr>
      </w:pPr>
      <w:r>
        <w:rPr>
          <w:rFonts w:ascii="Arial" w:cs="Arial" w:eastAsia="Arial" w:hAnsi="Arial"/>
          <w:sz w:val="16"/>
          <w:szCs w:val="16"/>
          <w:b w:val="1"/>
          <w:bCs w:val="1"/>
          <w:color w:val="005A64"/>
        </w:rPr>
        <w:t>Item 11. Quantitative and Qualitative Disclosures About Market Risk</w:t>
      </w:r>
    </w:p>
    <w:p>
      <w:pPr>
        <w:ind w:left="380" w:right="2120"/>
        <w:spacing w:after="0" w:line="210" w:lineRule="auto"/>
        <w:rPr>
          <w:sz w:val="20"/>
          <w:szCs w:val="20"/>
          <w:color w:val="auto"/>
        </w:rPr>
      </w:pPr>
      <w:r>
        <w:rPr>
          <w:rFonts w:ascii="Arial" w:cs="Arial" w:eastAsia="Arial" w:hAnsi="Arial"/>
          <w:sz w:val="13"/>
          <w:szCs w:val="13"/>
          <w:color w:val="auto"/>
        </w:rPr>
        <w:t>We are exposed to various risks in relation to financial instruments, including counterparty risk and currency risk. Our risk management is coordinated by our Management Board. We do not engage in the trading of financial assets for speculative purposes. The most significant financial risks to which we are exposed include the risks discussed below.</w:t>
      </w:r>
    </w:p>
    <w:p>
      <w:pPr>
        <w:ind w:left="380"/>
        <w:spacing w:after="0" w:line="214" w:lineRule="auto"/>
        <w:rPr>
          <w:sz w:val="20"/>
          <w:szCs w:val="20"/>
          <w:color w:val="auto"/>
        </w:rPr>
      </w:pPr>
      <w:r>
        <w:rPr>
          <w:rFonts w:ascii="Arial" w:cs="Arial" w:eastAsia="Arial" w:hAnsi="Arial"/>
          <w:sz w:val="13"/>
          <w:szCs w:val="13"/>
          <w:b w:val="1"/>
          <w:bCs w:val="1"/>
          <w:color w:val="005A64"/>
        </w:rPr>
        <w:t>Counterparty Risk</w:t>
      </w:r>
    </w:p>
    <w:p>
      <w:pPr>
        <w:ind w:left="380" w:right="2280"/>
        <w:spacing w:after="0" w:line="226" w:lineRule="auto"/>
        <w:rPr>
          <w:sz w:val="20"/>
          <w:szCs w:val="20"/>
          <w:color w:val="auto"/>
        </w:rPr>
      </w:pPr>
      <w:r>
        <w:rPr>
          <w:rFonts w:ascii="Arial" w:cs="Arial" w:eastAsia="Arial" w:hAnsi="Arial"/>
          <w:sz w:val="13"/>
          <w:szCs w:val="13"/>
          <w:color w:val="auto"/>
        </w:rPr>
        <w:t>In order to mitigate default risks within our asset management portfolio, we diversify our cash investments among various counterparties and instruments that have an investment grade rating. Transactions are carried out within the limits approved by the treasury committee.</w:t>
      </w:r>
    </w:p>
    <w:p>
      <w:pPr>
        <w:sectPr>
          <w:pgSz w:w="11900" w:h="16840" w:orient="portrait"/>
          <w:cols w:equalWidth="0" w:num="1">
            <w:col w:w="9020"/>
          </w:cols>
          <w:pgMar w:left="1440" w:top="1440" w:right="1440" w:bottom="98" w:gutter="0" w:footer="0" w:header="0"/>
        </w:sectPr>
      </w:pPr>
    </w:p>
    <w:bookmarkStart w:id="165" w:name="page166"/>
    <w:bookmarkEnd w:id="165"/>
    <w:p>
      <w:pPr>
        <w:ind w:left="380"/>
        <w:spacing w:after="0"/>
        <w:rPr>
          <w:sz w:val="20"/>
          <w:szCs w:val="20"/>
          <w:color w:val="auto"/>
        </w:rPr>
      </w:pPr>
      <w:r>
        <w:rPr>
          <w:rFonts w:ascii="Arial" w:cs="Arial" w:eastAsia="Arial" w:hAnsi="Arial"/>
          <w:sz w:val="13"/>
          <w:szCs w:val="13"/>
          <w:b w:val="1"/>
          <w:bCs w:val="1"/>
          <w:color w:val="005A64"/>
        </w:rPr>
        <w:t>Foreign Currency Risk</w:t>
      </w:r>
    </w:p>
    <w:p>
      <w:pPr>
        <w:ind w:left="380" w:right="2100"/>
        <w:spacing w:after="0" w:line="210" w:lineRule="auto"/>
        <w:rPr>
          <w:sz w:val="20"/>
          <w:szCs w:val="20"/>
          <w:color w:val="auto"/>
        </w:rPr>
      </w:pPr>
      <w:r>
        <w:rPr>
          <w:rFonts w:ascii="Arial" w:cs="Arial" w:eastAsia="Arial" w:hAnsi="Arial"/>
          <w:sz w:val="13"/>
          <w:szCs w:val="13"/>
          <w:color w:val="auto"/>
        </w:rPr>
        <w:t>We publish our consolidated financial statements in Euro. Revenue and expenses incurred in U.S. dollars will be translated into Euro when they are reported in our consolidated financial statements. We are subject to currency risks, as our income and expenditures are denominated in Euro and the U.S. dollar. As such, we are exposed to exchange rate fluctuations between these currencies. Cash inflows denominated in U.S. dollar mainly result from generating proceeds under our collaboration agreements. Our commercial revenues are primarily collaboration revenues from earnings based on our partners’ gross profit, which is shared under the respective collaboration agreements and represents payments we receive in U.S. dollar. Cash outflows dominated in U.S. dollar mainly result from amounts spent on research and development activities and license obligations as well as expanding our global footprint further. With the aim of preserving capital, surplus liquidity is mainly invested in domestic currency investments as exchange rate fluctuations can reduce the value of our financial positions. We limit the effects of the identified risks by means of a coordinated and consistently implemented risk strategy. Besides applying natural hedging relationships where possible, foreign exchange forward contracts are concluded, as a matter of principle, as instruments to mitigate foreign currency exchange risk associated with foreign currency-denominated payments.</w:t>
      </w:r>
    </w:p>
    <w:p>
      <w:pPr>
        <w:spacing w:after="0" w:line="8" w:lineRule="exact"/>
        <w:rPr>
          <w:sz w:val="20"/>
          <w:szCs w:val="20"/>
          <w:color w:val="auto"/>
        </w:rPr>
      </w:pPr>
    </w:p>
    <w:p>
      <w:pPr>
        <w:ind w:left="380" w:right="2200"/>
        <w:spacing w:after="0" w:line="234" w:lineRule="auto"/>
        <w:rPr>
          <w:sz w:val="20"/>
          <w:szCs w:val="20"/>
          <w:color w:val="auto"/>
        </w:rPr>
      </w:pPr>
      <w:r>
        <w:rPr>
          <w:rFonts w:ascii="Arial" w:cs="Arial" w:eastAsia="Arial" w:hAnsi="Arial"/>
          <w:sz w:val="13"/>
          <w:szCs w:val="13"/>
          <w:color w:val="auto"/>
        </w:rPr>
        <w:t>For further disclosures relating to foreign exchange forward contracts, see Note 12 to our consolidated financial statements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239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rPr>
          <w:sz w:val="20"/>
          <w:szCs w:val="20"/>
          <w:color w:val="auto"/>
        </w:rPr>
      </w:pPr>
      <w:r>
        <w:rPr>
          <w:rFonts w:ascii="Arial" w:cs="Arial" w:eastAsia="Arial" w:hAnsi="Arial"/>
          <w:sz w:val="13"/>
          <w:szCs w:val="13"/>
          <w:color w:val="auto"/>
        </w:rPr>
        <w:t>Notwithstanding our efforts to mitigate some foreign currency exchange risks, there can be no assurance that our hedging activities will adequately protect us against the risks associated with foreign currency fluctuations. We believe the counterparties to our foreign currency forward contracts are creditworthy multinational commercial banks. While we believe the risk of counterparty nonperformance is not material, a sustained decline in the financial stability of financial institutions as a result of disruption in the financial markets could affect our ability to secure creditworthy counterparties for our foreign currency hedging programs. Therefore, developments on the financial markets are continuously monitored to enable us to respond to exceptional events at short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-657860</wp:posOffset>
            </wp:positionV>
            <wp:extent cx="5231130"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20"/>
        <w:spacing w:after="0" w:line="210" w:lineRule="auto"/>
        <w:rPr>
          <w:sz w:val="20"/>
          <w:szCs w:val="20"/>
          <w:color w:val="auto"/>
        </w:rPr>
      </w:pPr>
      <w:r>
        <w:rPr>
          <w:rFonts w:ascii="Arial" w:cs="Arial" w:eastAsia="Arial" w:hAnsi="Arial"/>
          <w:sz w:val="13"/>
          <w:szCs w:val="13"/>
          <w:color w:val="auto"/>
        </w:rPr>
        <w:t>As a result, any substantial future appreciation or decline of the U.S. dollar against the Euro could have a material effect on our revenue and profitability. As an example, if the U.S. dollar weakens by 5% against the Euro, financial assets and liabilities denominated in U.S. dollar as of December 31, 2024 would have an effect of €12.9 million on our profit before tax.</w:t>
      </w:r>
    </w:p>
    <w:p>
      <w:pPr>
        <w:spacing w:after="0" w:line="2" w:lineRule="exact"/>
        <w:rPr>
          <w:sz w:val="20"/>
          <w:szCs w:val="20"/>
          <w:color w:val="auto"/>
        </w:rPr>
      </w:pPr>
    </w:p>
    <w:p>
      <w:pPr>
        <w:ind w:left="380" w:right="2320"/>
        <w:spacing w:after="0" w:line="213" w:lineRule="auto"/>
        <w:rPr>
          <w:sz w:val="20"/>
          <w:szCs w:val="20"/>
          <w:color w:val="auto"/>
        </w:rPr>
      </w:pPr>
      <w:r>
        <w:rPr>
          <w:rFonts w:ascii="Arial" w:cs="Arial" w:eastAsia="Arial" w:hAnsi="Arial"/>
          <w:sz w:val="13"/>
          <w:szCs w:val="13"/>
          <w:color w:val="auto"/>
        </w:rPr>
        <w:t>For additional information about our quantitative and qualitative market risks, see Note 12 to the consolidated financial statements.</w:t>
      </w:r>
    </w:p>
    <w:p>
      <w:pPr>
        <w:ind w:left="380"/>
        <w:spacing w:after="0" w:line="207" w:lineRule="auto"/>
        <w:rPr>
          <w:sz w:val="20"/>
          <w:szCs w:val="20"/>
          <w:color w:val="auto"/>
        </w:rPr>
      </w:pPr>
      <w:r>
        <w:rPr>
          <w:rFonts w:ascii="Arial" w:cs="Arial" w:eastAsia="Arial" w:hAnsi="Arial"/>
          <w:sz w:val="16"/>
          <w:szCs w:val="16"/>
          <w:b w:val="1"/>
          <w:bCs w:val="1"/>
          <w:color w:val="005A64"/>
        </w:rPr>
        <w:t>Item 12. Description of Securities Other than Equity Securities</w:t>
      </w:r>
    </w:p>
    <w:p>
      <w:pPr>
        <w:ind w:left="380"/>
        <w:spacing w:after="0" w:line="211" w:lineRule="auto"/>
        <w:rPr>
          <w:sz w:val="20"/>
          <w:szCs w:val="20"/>
          <w:color w:val="auto"/>
        </w:rPr>
      </w:pPr>
      <w:r>
        <w:rPr>
          <w:rFonts w:ascii="Arial" w:cs="Arial" w:eastAsia="Arial" w:hAnsi="Arial"/>
          <w:sz w:val="13"/>
          <w:szCs w:val="13"/>
          <w:b w:val="1"/>
          <w:bCs w:val="1"/>
          <w:color w:val="005A64"/>
        </w:rPr>
        <w:t>A. Debt Securities</w:t>
      </w:r>
    </w:p>
    <w:p>
      <w:pPr>
        <w:ind w:left="380"/>
        <w:spacing w:after="0" w:line="211" w:lineRule="auto"/>
        <w:rPr>
          <w:sz w:val="20"/>
          <w:szCs w:val="20"/>
          <w:color w:val="auto"/>
        </w:rPr>
      </w:pPr>
      <w:r>
        <w:rPr>
          <w:rFonts w:ascii="Arial" w:cs="Arial" w:eastAsia="Arial" w:hAnsi="Arial"/>
          <w:sz w:val="13"/>
          <w:szCs w:val="13"/>
          <w:color w:val="auto"/>
        </w:rPr>
        <w:t>Not applicable.</w:t>
      </w:r>
    </w:p>
    <w:p>
      <w:pPr>
        <w:ind w:left="380"/>
        <w:spacing w:after="0" w:line="211" w:lineRule="auto"/>
        <w:rPr>
          <w:sz w:val="20"/>
          <w:szCs w:val="20"/>
          <w:color w:val="auto"/>
        </w:rPr>
      </w:pPr>
      <w:r>
        <w:rPr>
          <w:rFonts w:ascii="Arial" w:cs="Arial" w:eastAsia="Arial" w:hAnsi="Arial"/>
          <w:sz w:val="13"/>
          <w:szCs w:val="13"/>
          <w:b w:val="1"/>
          <w:bCs w:val="1"/>
          <w:color w:val="005A64"/>
        </w:rPr>
        <w:t>B. Warrants and Rights</w:t>
      </w:r>
    </w:p>
    <w:p>
      <w:pPr>
        <w:ind w:left="380"/>
        <w:spacing w:after="0" w:line="211" w:lineRule="auto"/>
        <w:rPr>
          <w:sz w:val="20"/>
          <w:szCs w:val="20"/>
          <w:color w:val="auto"/>
        </w:rPr>
      </w:pPr>
      <w:r>
        <w:rPr>
          <w:rFonts w:ascii="Arial" w:cs="Arial" w:eastAsia="Arial" w:hAnsi="Arial"/>
          <w:sz w:val="13"/>
          <w:szCs w:val="13"/>
          <w:color w:val="auto"/>
        </w:rPr>
        <w:t>Not applicable.</w:t>
      </w:r>
    </w:p>
    <w:p>
      <w:pPr>
        <w:ind w:left="380"/>
        <w:spacing w:after="0" w:line="211" w:lineRule="auto"/>
        <w:rPr>
          <w:sz w:val="20"/>
          <w:szCs w:val="20"/>
          <w:color w:val="auto"/>
        </w:rPr>
      </w:pPr>
      <w:r>
        <w:rPr>
          <w:rFonts w:ascii="Arial" w:cs="Arial" w:eastAsia="Arial" w:hAnsi="Arial"/>
          <w:sz w:val="13"/>
          <w:szCs w:val="13"/>
          <w:b w:val="1"/>
          <w:bCs w:val="1"/>
          <w:color w:val="005A64"/>
        </w:rPr>
        <w:t>C. Other Securities</w:t>
      </w:r>
    </w:p>
    <w:p>
      <w:pPr>
        <w:ind w:left="380"/>
        <w:spacing w:after="0" w:line="211" w:lineRule="auto"/>
        <w:rPr>
          <w:sz w:val="20"/>
          <w:szCs w:val="20"/>
          <w:color w:val="auto"/>
        </w:rPr>
      </w:pPr>
      <w:r>
        <w:rPr>
          <w:rFonts w:ascii="Arial" w:cs="Arial" w:eastAsia="Arial" w:hAnsi="Arial"/>
          <w:sz w:val="13"/>
          <w:szCs w:val="13"/>
          <w:color w:val="auto"/>
        </w:rPr>
        <w:t>Not applicable.</w:t>
      </w:r>
    </w:p>
    <w:p>
      <w:pPr>
        <w:ind w:left="380"/>
        <w:spacing w:after="0" w:line="211" w:lineRule="auto"/>
        <w:rPr>
          <w:sz w:val="20"/>
          <w:szCs w:val="20"/>
          <w:color w:val="auto"/>
        </w:rPr>
      </w:pPr>
      <w:r>
        <w:rPr>
          <w:rFonts w:ascii="Arial" w:cs="Arial" w:eastAsia="Arial" w:hAnsi="Arial"/>
          <w:sz w:val="13"/>
          <w:szCs w:val="13"/>
          <w:b w:val="1"/>
          <w:bCs w:val="1"/>
          <w:color w:val="005A64"/>
        </w:rPr>
        <w:t>D. American Depositary Shares</w:t>
      </w:r>
    </w:p>
    <w:p>
      <w:pPr>
        <w:ind w:left="380"/>
        <w:spacing w:after="0"/>
        <w:rPr>
          <w:sz w:val="20"/>
          <w:szCs w:val="20"/>
          <w:color w:val="auto"/>
        </w:rPr>
      </w:pPr>
      <w:r>
        <w:rPr>
          <w:rFonts w:ascii="Arial" w:cs="Arial" w:eastAsia="Arial" w:hAnsi="Arial"/>
          <w:sz w:val="13"/>
          <w:szCs w:val="13"/>
          <w:color w:val="005A64"/>
        </w:rPr>
        <w:t>Fees and Expenses</w:t>
      </w:r>
    </w:p>
    <w:p>
      <w:pPr>
        <w:sectPr>
          <w:pgSz w:w="11900" w:h="16840" w:orient="portrait"/>
          <w:cols w:equalWidth="0" w:num="1">
            <w:col w:w="9020"/>
          </w:cols>
          <w:pgMar w:left="1440" w:top="554" w:right="1440" w:bottom="1440" w:gutter="0" w:footer="0" w:header="0"/>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240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29845</wp:posOffset>
            </wp:positionV>
            <wp:extent cx="5231130" cy="19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231130" cy="19050"/>
                    </a:xfrm>
                    <a:prstGeom prst="rect">
                      <a:avLst/>
                    </a:prstGeom>
                    <a:noFill/>
                  </pic:spPr>
                </pic:pic>
              </a:graphicData>
            </a:graphic>
          </wp:anchor>
        </w:drawing>
      </w:r>
    </w:p>
    <w:p>
      <w:pPr>
        <w:sectPr>
          <w:pgSz w:w="11900" w:h="16840" w:orient="portrait"/>
          <w:cols w:equalWidth="0" w:num="1">
            <w:col w:w="9020"/>
          </w:cols>
          <w:pgMar w:left="1440" w:top="1440" w:right="1440" w:bottom="88" w:gutter="0" w:footer="0" w:header="0"/>
        </w:sectPr>
      </w:pPr>
    </w:p>
    <w:p>
      <w:pPr>
        <w:spacing w:after="0" w:line="188" w:lineRule="exact"/>
        <w:rPr>
          <w:sz w:val="20"/>
          <w:szCs w:val="20"/>
          <w:color w:val="auto"/>
        </w:rPr>
      </w:pPr>
    </w:p>
    <w:p>
      <w:pPr>
        <w:ind w:left="400" w:right="20"/>
        <w:spacing w:after="0" w:line="259" w:lineRule="auto"/>
        <w:rPr>
          <w:sz w:val="20"/>
          <w:szCs w:val="20"/>
          <w:color w:val="auto"/>
        </w:rPr>
      </w:pPr>
      <w:r>
        <w:rPr>
          <w:rFonts w:ascii="Arial" w:cs="Arial" w:eastAsia="Arial" w:hAnsi="Arial"/>
          <w:sz w:val="12"/>
          <w:szCs w:val="12"/>
          <w:b w:val="1"/>
          <w:bCs w:val="1"/>
          <w:color w:val="005A64"/>
        </w:rPr>
        <w:t>Persons depositing or withdrawing shares or ADS 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29210</wp:posOffset>
            </wp:positionV>
            <wp:extent cx="2112010"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12010" cy="6350"/>
                    </a:xfrm>
                    <a:prstGeom prst="rect">
                      <a:avLst/>
                    </a:prstGeom>
                    <a:noFill/>
                  </pic:spPr>
                </pic:pic>
              </a:graphicData>
            </a:graphic>
          </wp:anchor>
        </w:drawing>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2"/>
          <w:szCs w:val="12"/>
          <w:color w:val="005A64"/>
        </w:rPr>
        <w:t>$5.00 (or less) per 100 ADSs (or portion of 100 ADSs)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005A64"/>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130810</wp:posOffset>
            </wp:positionV>
            <wp:extent cx="2124710" cy="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24710" cy="6350"/>
                    </a:xfrm>
                    <a:prstGeom prst="rect">
                      <a:avLst/>
                    </a:prstGeom>
                    <a:noFill/>
                  </pic:spPr>
                </pic:pic>
              </a:graphicData>
            </a:graphic>
          </wp:anchor>
        </w:drawing>
      </w:r>
    </w:p>
    <w:p>
      <w:pPr>
        <w:spacing w:after="0" w:line="216" w:lineRule="exact"/>
        <w:rPr>
          <w:sz w:val="20"/>
          <w:szCs w:val="20"/>
          <w:color w:val="auto"/>
        </w:rPr>
      </w:pPr>
    </w:p>
    <w:p>
      <w:pPr>
        <w:ind w:right="2320"/>
        <w:spacing w:after="0" w:line="227" w:lineRule="auto"/>
        <w:rPr>
          <w:sz w:val="20"/>
          <w:szCs w:val="20"/>
          <w:color w:val="auto"/>
        </w:rPr>
      </w:pPr>
      <w:r>
        <w:rPr>
          <w:rFonts w:ascii="Arial" w:cs="Arial" w:eastAsia="Arial" w:hAnsi="Arial"/>
          <w:sz w:val="12"/>
          <w:szCs w:val="12"/>
          <w:color w:val="005A64"/>
        </w:rPr>
        <w:t>Issuance of ADSs, including issuances resulting from a distribution of shares or rights or other property Cancellation of ADSs for the purpose of withdrawal, including if the deposit agreement terminates</w:t>
      </w:r>
    </w:p>
    <w:p>
      <w:pPr>
        <w:spacing w:after="0" w:line="125" w:lineRule="exact"/>
        <w:rPr>
          <w:sz w:val="20"/>
          <w:szCs w:val="20"/>
          <w:color w:val="auto"/>
        </w:rPr>
      </w:pPr>
    </w:p>
    <w:p>
      <w:pPr>
        <w:sectPr>
          <w:pgSz w:w="11900" w:h="16840" w:orient="portrait"/>
          <w:cols w:equalWidth="0" w:num="2">
            <w:col w:w="3300" w:space="460"/>
            <w:col w:w="5260"/>
          </w:cols>
          <w:pgMar w:left="1440" w:top="1440" w:right="1440" w:bottom="88" w:gutter="0" w:footer="0" w:header="0"/>
          <w:type w:val="continuous"/>
        </w:sectPr>
      </w:pPr>
    </w:p>
    <w:p>
      <w:pPr>
        <w:ind w:left="400"/>
        <w:spacing w:after="0"/>
        <w:rPr>
          <w:sz w:val="20"/>
          <w:szCs w:val="20"/>
          <w:color w:val="auto"/>
        </w:rPr>
      </w:pPr>
      <w:r>
        <w:rPr>
          <w:rFonts w:ascii="Arial" w:cs="Arial" w:eastAsia="Arial" w:hAnsi="Arial"/>
          <w:sz w:val="12"/>
          <w:szCs w:val="12"/>
          <w:color w:val="005A64"/>
        </w:rPr>
        <w:t>$.05 (or less) per ADS</w:t>
      </w:r>
    </w:p>
    <w:p>
      <w:pPr>
        <w:spacing w:after="0" w:line="105" w:lineRule="exact"/>
        <w:rPr>
          <w:sz w:val="20"/>
          <w:szCs w:val="20"/>
          <w:color w:val="auto"/>
        </w:rPr>
      </w:pPr>
    </w:p>
    <w:p>
      <w:pPr>
        <w:ind w:left="400"/>
        <w:spacing w:after="0" w:line="233" w:lineRule="auto"/>
        <w:rPr>
          <w:sz w:val="20"/>
          <w:szCs w:val="20"/>
          <w:color w:val="auto"/>
        </w:rPr>
      </w:pPr>
      <w:r>
        <w:rPr>
          <w:rFonts w:ascii="Arial" w:cs="Arial" w:eastAsia="Arial" w:hAnsi="Arial"/>
          <w:sz w:val="12"/>
          <w:szCs w:val="12"/>
          <w:color w:val="005A64"/>
        </w:rPr>
        <w:t>A fee equivalent to the fee that would be payable if securities distributed to an ADS holder had been shares and the shares had been deposited for issuance of ADSs</w:t>
      </w:r>
    </w:p>
    <w:p>
      <w:pPr>
        <w:spacing w:after="0" w:line="114" w:lineRule="exact"/>
        <w:rPr>
          <w:sz w:val="20"/>
          <w:szCs w:val="20"/>
          <w:color w:val="auto"/>
        </w:rPr>
      </w:pPr>
    </w:p>
    <w:p>
      <w:pPr>
        <w:ind w:left="400" w:right="1060"/>
        <w:spacing w:after="0" w:line="459" w:lineRule="auto"/>
        <w:rPr>
          <w:sz w:val="20"/>
          <w:szCs w:val="20"/>
          <w:color w:val="auto"/>
        </w:rPr>
      </w:pPr>
      <w:r>
        <w:rPr>
          <w:rFonts w:ascii="Arial" w:cs="Arial" w:eastAsia="Arial" w:hAnsi="Arial"/>
          <w:sz w:val="12"/>
          <w:szCs w:val="12"/>
          <w:color w:val="005A64"/>
        </w:rPr>
        <w:t>$.05 (or less) per ADS per calendar year Registration or transfer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005A64"/>
        </w:rPr>
        <w:t>Any cash distribution to ADS holders</w:t>
      </w:r>
    </w:p>
    <w:p>
      <w:pPr>
        <w:spacing w:after="0" w:line="105" w:lineRule="exact"/>
        <w:rPr>
          <w:sz w:val="20"/>
          <w:szCs w:val="20"/>
          <w:color w:val="auto"/>
        </w:rPr>
      </w:pPr>
    </w:p>
    <w:p>
      <w:pPr>
        <w:ind w:right="2120"/>
        <w:spacing w:after="0" w:line="233" w:lineRule="auto"/>
        <w:rPr>
          <w:sz w:val="20"/>
          <w:szCs w:val="20"/>
          <w:color w:val="auto"/>
        </w:rPr>
      </w:pPr>
      <w:r>
        <w:rPr>
          <w:rFonts w:ascii="Arial" w:cs="Arial" w:eastAsia="Arial" w:hAnsi="Arial"/>
          <w:sz w:val="12"/>
          <w:szCs w:val="12"/>
          <w:color w:val="005A64"/>
        </w:rPr>
        <w:t>Distribution of securities distributed to holders of deposited securities (including rights) that are distributed by the depositary to ADS holders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005A64"/>
        </w:rPr>
        <w:t>Depositary services</w:t>
      </w:r>
    </w:p>
    <w:p>
      <w:pPr>
        <w:spacing w:after="0" w:line="105" w:lineRule="exact"/>
        <w:rPr>
          <w:sz w:val="20"/>
          <w:szCs w:val="20"/>
          <w:color w:val="auto"/>
        </w:rPr>
      </w:pPr>
    </w:p>
    <w:p>
      <w:pPr>
        <w:ind w:right="2000"/>
        <w:spacing w:after="0" w:line="233" w:lineRule="auto"/>
        <w:rPr>
          <w:sz w:val="20"/>
          <w:szCs w:val="20"/>
          <w:color w:val="auto"/>
        </w:rPr>
      </w:pPr>
      <w:r>
        <w:rPr>
          <w:rFonts w:ascii="Arial" w:cs="Arial" w:eastAsia="Arial" w:hAnsi="Arial"/>
          <w:sz w:val="12"/>
          <w:szCs w:val="12"/>
          <w:color w:val="005A64"/>
        </w:rPr>
        <w:t>Transfer and registration of shares on our share register to or from the name of the depositary or its agent when an ADS holder deposits or withdraws shares</w:t>
      </w:r>
    </w:p>
    <w:p>
      <w:pPr>
        <w:spacing w:after="0" w:line="109" w:lineRule="exact"/>
        <w:rPr>
          <w:sz w:val="20"/>
          <w:szCs w:val="20"/>
          <w:color w:val="auto"/>
        </w:rPr>
      </w:pPr>
    </w:p>
    <w:p>
      <w:pPr>
        <w:sectPr>
          <w:pgSz w:w="11900" w:h="16840" w:orient="portrait"/>
          <w:cols w:equalWidth="0" w:num="2">
            <w:col w:w="3620" w:space="140"/>
            <w:col w:w="5260"/>
          </w:cols>
          <w:pgMar w:left="1440" w:top="1440" w:right="1440" w:bottom="88" w:gutter="0" w:footer="0" w:header="0"/>
          <w:type w:val="continuous"/>
        </w:sectPr>
      </w:pPr>
    </w:p>
    <w:p>
      <w:pPr>
        <w:ind w:left="400"/>
        <w:spacing w:after="0"/>
        <w:tabs>
          <w:tab w:leader="none" w:pos="3740" w:val="left"/>
        </w:tabs>
        <w:rPr>
          <w:sz w:val="20"/>
          <w:szCs w:val="20"/>
          <w:color w:val="auto"/>
        </w:rPr>
      </w:pPr>
      <w:r>
        <w:rPr>
          <w:rFonts w:ascii="Arial" w:cs="Arial" w:eastAsia="Arial" w:hAnsi="Arial"/>
          <w:sz w:val="12"/>
          <w:szCs w:val="12"/>
          <w:color w:val="005A64"/>
        </w:rPr>
        <w:t>Expenses of the depositary</w:t>
      </w:r>
      <w:r>
        <w:rPr>
          <w:sz w:val="20"/>
          <w:szCs w:val="20"/>
          <w:color w:val="auto"/>
        </w:rPr>
        <w:tab/>
      </w:r>
      <w:r>
        <w:rPr>
          <w:rFonts w:ascii="Arial" w:cs="Arial" w:eastAsia="Arial" w:hAnsi="Arial"/>
          <w:sz w:val="12"/>
          <w:szCs w:val="12"/>
          <w:color w:val="005A64"/>
        </w:rPr>
        <w:t>Cable and facsimile transmissions (when expressly provided</w:t>
      </w:r>
    </w:p>
    <w:p>
      <w:pPr>
        <w:ind w:left="3760"/>
        <w:spacing w:after="0" w:line="210" w:lineRule="auto"/>
        <w:rPr>
          <w:sz w:val="20"/>
          <w:szCs w:val="20"/>
          <w:color w:val="auto"/>
        </w:rPr>
      </w:pPr>
      <w:r>
        <w:rPr>
          <w:rFonts w:ascii="Arial" w:cs="Arial" w:eastAsia="Arial" w:hAnsi="Arial"/>
          <w:sz w:val="12"/>
          <w:szCs w:val="12"/>
          <w:color w:val="005A64"/>
        </w:rPr>
        <w:t>in the deposit agreement)</w:t>
      </w:r>
    </w:p>
    <w:p>
      <w:pPr>
        <w:spacing w:after="0" w:line="1" w:lineRule="exact"/>
        <w:rPr>
          <w:sz w:val="20"/>
          <w:szCs w:val="20"/>
          <w:color w:val="auto"/>
        </w:rPr>
      </w:pPr>
    </w:p>
    <w:p>
      <w:pPr>
        <w:ind w:left="3760"/>
        <w:spacing w:after="0"/>
        <w:rPr>
          <w:sz w:val="20"/>
          <w:szCs w:val="20"/>
          <w:color w:val="auto"/>
        </w:rPr>
      </w:pPr>
      <w:r>
        <w:rPr>
          <w:rFonts w:ascii="Arial" w:cs="Arial" w:eastAsia="Arial" w:hAnsi="Arial"/>
          <w:sz w:val="12"/>
          <w:szCs w:val="12"/>
          <w:color w:val="005A64"/>
        </w:rPr>
        <w:t>Converting foreign currency to U.S. dollars</w:t>
      </w:r>
    </w:p>
    <w:p>
      <w:pPr>
        <w:spacing w:after="0" w:line="118" w:lineRule="exact"/>
        <w:rPr>
          <w:sz w:val="20"/>
          <w:szCs w:val="20"/>
          <w:color w:val="auto"/>
        </w:rPr>
      </w:pPr>
    </w:p>
    <w:p>
      <w:pPr>
        <w:ind w:left="400"/>
        <w:spacing w:after="0"/>
        <w:tabs>
          <w:tab w:leader="none" w:pos="3740" w:val="left"/>
        </w:tabs>
        <w:rPr>
          <w:sz w:val="20"/>
          <w:szCs w:val="20"/>
          <w:color w:val="auto"/>
        </w:rPr>
      </w:pPr>
      <w:r>
        <w:rPr>
          <w:rFonts w:ascii="Arial" w:cs="Arial" w:eastAsia="Arial" w:hAnsi="Arial"/>
          <w:sz w:val="12"/>
          <w:szCs w:val="12"/>
          <w:color w:val="005A64"/>
        </w:rPr>
        <w:t>Taxes and other governmental charges the depositary or the</w:t>
      </w:r>
      <w:r>
        <w:rPr>
          <w:sz w:val="20"/>
          <w:szCs w:val="20"/>
          <w:color w:val="auto"/>
        </w:rPr>
        <w:tab/>
      </w:r>
      <w:r>
        <w:rPr>
          <w:rFonts w:ascii="Arial" w:cs="Arial" w:eastAsia="Arial" w:hAnsi="Arial"/>
          <w:sz w:val="11"/>
          <w:szCs w:val="11"/>
          <w:color w:val="005A64"/>
        </w:rPr>
        <w:t>As necessary</w:t>
      </w:r>
    </w:p>
    <w:p>
      <w:pPr>
        <w:ind w:left="400"/>
        <w:spacing w:after="0" w:line="210" w:lineRule="auto"/>
        <w:rPr>
          <w:sz w:val="20"/>
          <w:szCs w:val="20"/>
          <w:color w:val="auto"/>
        </w:rPr>
      </w:pPr>
      <w:r>
        <w:rPr>
          <w:rFonts w:ascii="Arial" w:cs="Arial" w:eastAsia="Arial" w:hAnsi="Arial"/>
          <w:sz w:val="12"/>
          <w:szCs w:val="12"/>
          <w:color w:val="005A64"/>
        </w:rPr>
        <w:t>custodian has to pay on any ADSs or shares underlying</w:t>
      </w:r>
    </w:p>
    <w:p>
      <w:pPr>
        <w:ind w:left="400"/>
        <w:spacing w:after="0" w:line="211" w:lineRule="auto"/>
        <w:rPr>
          <w:sz w:val="20"/>
          <w:szCs w:val="20"/>
          <w:color w:val="auto"/>
        </w:rPr>
      </w:pPr>
      <w:r>
        <w:rPr>
          <w:rFonts w:ascii="Arial" w:cs="Arial" w:eastAsia="Arial" w:hAnsi="Arial"/>
          <w:sz w:val="12"/>
          <w:szCs w:val="12"/>
          <w:color w:val="005A64"/>
        </w:rPr>
        <w:t>ADSs, such as stock transfer taxes, stamp duty or</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2"/>
          <w:szCs w:val="12"/>
          <w:color w:val="005A64"/>
        </w:rPr>
        <w:t>withholding taxes</w:t>
      </w:r>
    </w:p>
    <w:p>
      <w:pPr>
        <w:spacing w:after="0" w:line="128" w:lineRule="exact"/>
        <w:rPr>
          <w:sz w:val="20"/>
          <w:szCs w:val="20"/>
          <w:color w:val="auto"/>
        </w:rPr>
      </w:pPr>
    </w:p>
    <w:p>
      <w:pPr>
        <w:ind w:left="400"/>
        <w:spacing w:after="0"/>
        <w:tabs>
          <w:tab w:leader="none" w:pos="3740" w:val="left"/>
        </w:tabs>
        <w:rPr>
          <w:sz w:val="20"/>
          <w:szCs w:val="20"/>
          <w:color w:val="auto"/>
        </w:rPr>
      </w:pPr>
      <w:r>
        <w:rPr>
          <w:rFonts w:ascii="Arial" w:cs="Arial" w:eastAsia="Arial" w:hAnsi="Arial"/>
          <w:sz w:val="12"/>
          <w:szCs w:val="12"/>
          <w:color w:val="005A64"/>
        </w:rPr>
        <w:t>Any charges incurred by the depositary or its agents for</w:t>
      </w:r>
      <w:r>
        <w:rPr>
          <w:sz w:val="20"/>
          <w:szCs w:val="20"/>
          <w:color w:val="auto"/>
        </w:rPr>
        <w:tab/>
      </w:r>
      <w:r>
        <w:rPr>
          <w:rFonts w:ascii="Arial" w:cs="Arial" w:eastAsia="Arial" w:hAnsi="Arial"/>
          <w:sz w:val="11"/>
          <w:szCs w:val="11"/>
          <w:color w:val="005A64"/>
        </w:rPr>
        <w:t>As necessary</w:t>
      </w:r>
    </w:p>
    <w:p>
      <w:pPr>
        <w:ind w:left="400"/>
        <w:spacing w:after="0"/>
        <w:rPr>
          <w:sz w:val="20"/>
          <w:szCs w:val="20"/>
          <w:color w:val="auto"/>
        </w:rPr>
      </w:pPr>
      <w:r>
        <w:rPr>
          <w:rFonts w:ascii="Arial" w:cs="Arial" w:eastAsia="Arial" w:hAnsi="Arial"/>
          <w:sz w:val="12"/>
          <w:szCs w:val="12"/>
          <w:color w:val="005A64"/>
        </w:rPr>
        <w:t>servicing the deposited securities</w:t>
      </w:r>
    </w:p>
    <w:p>
      <w:pPr>
        <w:spacing w:after="0" w:line="63" w:lineRule="exact"/>
        <w:rPr>
          <w:sz w:val="20"/>
          <w:szCs w:val="20"/>
          <w:color w:val="auto"/>
        </w:rPr>
      </w:pPr>
    </w:p>
    <w:p>
      <w:pPr>
        <w:ind w:left="380" w:right="2120"/>
        <w:spacing w:after="0" w:line="213" w:lineRule="auto"/>
        <w:rPr>
          <w:sz w:val="20"/>
          <w:szCs w:val="20"/>
          <w:color w:val="auto"/>
        </w:rPr>
      </w:pPr>
      <w:r>
        <w:rPr>
          <w:rFonts w:ascii="Arial" w:cs="Arial" w:eastAsia="Arial" w:hAnsi="Arial"/>
          <w:sz w:val="13"/>
          <w:szCs w:val="13"/>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-751205</wp:posOffset>
            </wp:positionV>
            <wp:extent cx="4262120" cy="63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26212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4" w:lineRule="exact"/>
        <w:rPr>
          <w:sz w:val="20"/>
          <w:szCs w:val="20"/>
          <w:color w:val="auto"/>
        </w:rPr>
      </w:pPr>
    </w:p>
    <w:p>
      <w:pPr>
        <w:ind w:left="380" w:right="2080"/>
        <w:spacing w:after="0" w:line="215" w:lineRule="auto"/>
        <w:rPr>
          <w:sz w:val="20"/>
          <w:szCs w:val="20"/>
          <w:color w:val="auto"/>
        </w:rPr>
      </w:pPr>
      <w:r>
        <w:rPr>
          <w:rFonts w:ascii="Arial" w:cs="Arial" w:eastAsia="Arial" w:hAnsi="Arial"/>
          <w:sz w:val="13"/>
          <w:szCs w:val="13"/>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241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005A64"/>
        </w:rPr>
        <w:t>Payment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080"/>
        <w:spacing w:after="0" w:line="210" w:lineRule="auto"/>
        <w:rPr>
          <w:sz w:val="20"/>
          <w:szCs w:val="20"/>
          <w:color w:val="auto"/>
        </w:rPr>
      </w:pPr>
      <w:r>
        <w:rPr>
          <w:rFonts w:ascii="Arial" w:cs="Arial" w:eastAsia="Arial" w:hAnsi="Arial"/>
          <w:sz w:val="13"/>
          <w:szCs w:val="13"/>
          <w:color w:val="auto"/>
        </w:rPr>
        <w:t>ADS holders will be responsible for any taxes or other governmental charges payable on their ADSs or on the deposited securities represented by any of their ADSs. The depositary may refuse to register any transfer of ADS holders ADSs or allow him or her to withdraw the deposited securities represented by his or her ADSs until those taxes or other charges are paid. It may apply payments owed to you or sell deposited securities represented by his or her ADSs to pay any taxes owed and you will remain liable for any deficiency. If the depositary sells deposited securities, if appropriate, it will reduce the number of ADSs to reflect the sale and pay to ADS holders any proceeds, or send to ADS holders any property, remaining after it has paid the taxes.</w:t>
      </w:r>
    </w:p>
    <w:p>
      <w:pPr>
        <w:ind w:left="380"/>
        <w:spacing w:after="0" w:line="218" w:lineRule="auto"/>
        <w:rPr>
          <w:sz w:val="20"/>
          <w:szCs w:val="20"/>
          <w:color w:val="auto"/>
        </w:rPr>
      </w:pPr>
      <w:r>
        <w:rPr>
          <w:rFonts w:ascii="Arial" w:cs="Arial" w:eastAsia="Arial" w:hAnsi="Arial"/>
          <w:sz w:val="20"/>
          <w:szCs w:val="20"/>
          <w:b w:val="1"/>
          <w:bCs w:val="1"/>
          <w:color w:val="005A64"/>
        </w:rPr>
        <w:t>PART II</w:t>
      </w:r>
    </w:p>
    <w:p>
      <w:pPr>
        <w:ind w:left="380"/>
        <w:spacing w:after="0" w:line="207" w:lineRule="auto"/>
        <w:rPr>
          <w:sz w:val="20"/>
          <w:szCs w:val="20"/>
          <w:color w:val="auto"/>
        </w:rPr>
      </w:pPr>
      <w:r>
        <w:rPr>
          <w:rFonts w:ascii="Arial" w:cs="Arial" w:eastAsia="Arial" w:hAnsi="Arial"/>
          <w:sz w:val="16"/>
          <w:szCs w:val="16"/>
          <w:b w:val="1"/>
          <w:bCs w:val="1"/>
          <w:color w:val="005A64"/>
        </w:rPr>
        <w:t>Item 13. Defaults, Dividend Arrearages and Delinquencies</w:t>
      </w:r>
    </w:p>
    <w:p>
      <w:pPr>
        <w:ind w:left="380"/>
        <w:spacing w:after="0" w:line="216" w:lineRule="auto"/>
        <w:rPr>
          <w:sz w:val="20"/>
          <w:szCs w:val="20"/>
          <w:color w:val="auto"/>
        </w:rPr>
      </w:pPr>
      <w:r>
        <w:rPr>
          <w:rFonts w:ascii="Arial" w:cs="Arial" w:eastAsia="Arial" w:hAnsi="Arial"/>
          <w:sz w:val="13"/>
          <w:szCs w:val="13"/>
          <w:color w:val="auto"/>
        </w:rPr>
        <w:t>Not applicable.</w:t>
      </w:r>
    </w:p>
    <w:p>
      <w:pPr>
        <w:ind w:left="380"/>
        <w:spacing w:after="0" w:line="207" w:lineRule="auto"/>
        <w:rPr>
          <w:sz w:val="20"/>
          <w:szCs w:val="20"/>
          <w:color w:val="auto"/>
        </w:rPr>
      </w:pPr>
      <w:r>
        <w:rPr>
          <w:rFonts w:ascii="Arial" w:cs="Arial" w:eastAsia="Arial" w:hAnsi="Arial"/>
          <w:sz w:val="16"/>
          <w:szCs w:val="16"/>
          <w:b w:val="1"/>
          <w:bCs w:val="1"/>
          <w:color w:val="005A64"/>
        </w:rPr>
        <w:t>Item 14. Material Modifications to the Rights of Security Holders and Use of Proceeds</w:t>
      </w:r>
    </w:p>
    <w:p>
      <w:pPr>
        <w:ind w:left="380"/>
        <w:spacing w:after="0" w:line="216" w:lineRule="auto"/>
        <w:rPr>
          <w:sz w:val="20"/>
          <w:szCs w:val="20"/>
          <w:color w:val="auto"/>
        </w:rPr>
      </w:pPr>
      <w:r>
        <w:rPr>
          <w:rFonts w:ascii="Arial" w:cs="Arial" w:eastAsia="Arial" w:hAnsi="Arial"/>
          <w:sz w:val="13"/>
          <w:szCs w:val="13"/>
          <w:color w:val="auto"/>
        </w:rPr>
        <w:t>Not applicable.</w:t>
      </w:r>
    </w:p>
    <w:p>
      <w:pPr>
        <w:ind w:left="380"/>
        <w:spacing w:after="0" w:line="207" w:lineRule="auto"/>
        <w:rPr>
          <w:sz w:val="20"/>
          <w:szCs w:val="20"/>
          <w:color w:val="auto"/>
        </w:rPr>
      </w:pPr>
      <w:r>
        <w:rPr>
          <w:rFonts w:ascii="Arial" w:cs="Arial" w:eastAsia="Arial" w:hAnsi="Arial"/>
          <w:sz w:val="16"/>
          <w:szCs w:val="16"/>
          <w:b w:val="1"/>
          <w:bCs w:val="1"/>
          <w:color w:val="005A64"/>
        </w:rPr>
        <w:t>Item 15. Controls and Procedures</w:t>
      </w:r>
    </w:p>
    <w:p>
      <w:pPr>
        <w:ind w:left="380"/>
        <w:spacing w:after="0" w:line="211" w:lineRule="auto"/>
        <w:rPr>
          <w:sz w:val="20"/>
          <w:szCs w:val="20"/>
          <w:color w:val="auto"/>
        </w:rPr>
      </w:pPr>
      <w:r>
        <w:rPr>
          <w:rFonts w:ascii="Arial" w:cs="Arial" w:eastAsia="Arial" w:hAnsi="Arial"/>
          <w:sz w:val="13"/>
          <w:szCs w:val="13"/>
          <w:b w:val="1"/>
          <w:bCs w:val="1"/>
          <w:color w:val="005A64"/>
        </w:rPr>
        <w:t>Disclosure Controls and Procedures</w:t>
      </w:r>
    </w:p>
    <w:p>
      <w:pPr>
        <w:ind w:left="380" w:right="2100"/>
        <w:spacing w:after="0" w:line="226" w:lineRule="auto"/>
        <w:rPr>
          <w:sz w:val="20"/>
          <w:szCs w:val="20"/>
          <w:color w:val="auto"/>
        </w:rPr>
      </w:pPr>
      <w:r>
        <w:rPr>
          <w:rFonts w:ascii="Arial" w:cs="Arial" w:eastAsia="Arial" w:hAnsi="Arial"/>
          <w:sz w:val="13"/>
          <w:szCs w:val="13"/>
          <w:color w:val="auto"/>
        </w:rPr>
        <w:t>As required by Rule 13a-15 under the Exchange Act, management, including our Chief Executive Officer and our Chief Financial Officer, has performed an evaluation of the effectiveness of our disclosure controls and procedures. Disclosure controls and procedures refer to controls and other procedures designed to ensure that</w:t>
      </w:r>
    </w:p>
    <w:p>
      <w:pPr>
        <w:sectPr>
          <w:pgSz w:w="11900" w:h="16840" w:orient="portrait"/>
          <w:cols w:equalWidth="0" w:num="1">
            <w:col w:w="9020"/>
          </w:cols>
          <w:pgMar w:left="1440" w:top="1440" w:right="1440" w:bottom="88" w:gutter="0" w:footer="0" w:header="0"/>
          <w:type w:val="continuous"/>
        </w:sectPr>
      </w:pPr>
    </w:p>
    <w:bookmarkStart w:id="167" w:name="page168"/>
    <w:bookmarkEnd w:id="167"/>
    <w:p>
      <w:pPr>
        <w:ind w:left="380" w:right="2120"/>
        <w:spacing w:after="0" w:line="213" w:lineRule="auto"/>
        <w:rPr>
          <w:sz w:val="20"/>
          <w:szCs w:val="20"/>
          <w:color w:val="auto"/>
        </w:rPr>
      </w:pPr>
      <w:r>
        <w:rPr>
          <w:rFonts w:ascii="Arial" w:cs="Arial" w:eastAsia="Arial" w:hAnsi="Arial"/>
          <w:sz w:val="13"/>
          <w:szCs w:val="13"/>
          <w:color w:val="auto"/>
        </w:rPr>
        <w:t>information required to be disclosed in the reports we file or submit under the Exchange Act is recorded, processed, summarized and reported within the time periods specified in the rules and forms of the SEC. Disclosure controls and procedures include, without limitations, controls and procedures designed to ensure that information required to be disclosed by us in our reports that we file or submit under the Exchange Act is accumulated and communicated to management, including our principal executive and principal financial officers, or persons performing similar functions, as appropriate to allow timely decisions regarding our required disclosures.</w:t>
      </w:r>
    </w:p>
    <w:p>
      <w:pPr>
        <w:spacing w:after="0" w:line="3"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Based on the foregoing, our CEO and CFO have concluded that, as of the end of the period covered by this annual report, our disclosure controls and procedures were effective in ensuring that the information required to be disclosed by us in the reports that we file or submit under the Exchange Act is recorded, processed, summarized and reported within the time periods specified in by the SEC’s rules and forms, and that the information required to be disclosed by us in the reports that we file or submit under the Exchange Act is accumulated and communicated to our management to allow timely decisions regarding required disclosure.</w:t>
      </w:r>
    </w:p>
    <w:p>
      <w:pPr>
        <w:ind w:left="380"/>
        <w:spacing w:after="0" w:line="216" w:lineRule="auto"/>
        <w:rPr>
          <w:sz w:val="20"/>
          <w:szCs w:val="20"/>
          <w:color w:val="auto"/>
        </w:rPr>
      </w:pPr>
      <w:r>
        <w:rPr>
          <w:rFonts w:ascii="Arial" w:cs="Arial" w:eastAsia="Arial" w:hAnsi="Arial"/>
          <w:sz w:val="13"/>
          <w:szCs w:val="13"/>
          <w:b w:val="1"/>
          <w:bCs w:val="1"/>
          <w:color w:val="005A64"/>
        </w:rPr>
        <w:t>Management’s Annual Report on Internal Control over Financial Reporting</w:t>
      </w:r>
    </w:p>
    <w:p>
      <w:pPr>
        <w:ind w:left="380" w:right="2080"/>
        <w:spacing w:after="0" w:line="210" w:lineRule="auto"/>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as such term is defined in Exchange Act Rules 13a-15(f). Our internal control over financial reporting is a process designed by or under the supervision of the Chief Financial Officer, to provide reasonable assurance regarding the reliability of financial reporting and the preparation of our financial statements for external reporting purposes in accordance with International Financial Reporting Standards as issued by the IASB.</w:t>
      </w:r>
    </w:p>
    <w:p>
      <w:pPr>
        <w:spacing w:after="0" w:line="3" w:lineRule="exact"/>
        <w:rPr>
          <w:sz w:val="20"/>
          <w:szCs w:val="20"/>
          <w:color w:val="auto"/>
        </w:rPr>
      </w:pPr>
    </w:p>
    <w:p>
      <w:pPr>
        <w:ind w:left="380" w:right="2160"/>
        <w:spacing w:after="0" w:line="218" w:lineRule="auto"/>
        <w:rPr>
          <w:sz w:val="20"/>
          <w:szCs w:val="20"/>
          <w:color w:val="auto"/>
        </w:rPr>
      </w:pPr>
      <w:r>
        <w:rPr>
          <w:rFonts w:ascii="Arial" w:cs="Arial" w:eastAsia="Arial" w:hAnsi="Arial"/>
          <w:sz w:val="13"/>
          <w:szCs w:val="13"/>
          <w:color w:val="auto"/>
        </w:rPr>
        <w:t>No system of internal control over financial reporting, including one determined to be effective, may prevent or detect all misstatements. It can provide only reasonable assurance regarding financial statement preparation and presentation. Also, projections of the results of any evaluation of the effectiveness of internal control over financial reporting into future periods are subject to inherent risk. The relevant controls may become inadequate due to changes in circumstances or the degree of compliance with the underlying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242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jc w:val="both"/>
        <w:ind w:left="380" w:right="2340"/>
        <w:spacing w:after="0" w:line="217" w:lineRule="auto"/>
        <w:rPr>
          <w:sz w:val="20"/>
          <w:szCs w:val="20"/>
          <w:color w:val="auto"/>
        </w:rPr>
      </w:pPr>
      <w:r>
        <w:rPr>
          <w:rFonts w:ascii="Arial" w:cs="Arial" w:eastAsia="Arial" w:hAnsi="Arial"/>
          <w:sz w:val="13"/>
          <w:szCs w:val="13"/>
          <w:color w:val="auto"/>
        </w:rPr>
        <w:t>Our management assessed the effectiveness of the Company’s internal control over financial reporting as of December 31, 2024. In making this assessment, it used the criteria set forth by the Committee of Sponsoring Organizations of the Treadway Commission in “Internal Control - Integrated Framework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20"/>
        <w:spacing w:after="0" w:line="210" w:lineRule="auto"/>
        <w:rPr>
          <w:sz w:val="20"/>
          <w:szCs w:val="20"/>
          <w:color w:val="auto"/>
        </w:rPr>
      </w:pPr>
      <w:r>
        <w:rPr>
          <w:rFonts w:ascii="Arial" w:cs="Arial" w:eastAsia="Arial" w:hAnsi="Arial"/>
          <w:sz w:val="13"/>
          <w:szCs w:val="13"/>
          <w:color w:val="auto"/>
        </w:rPr>
        <w:t>Based on this assessment, our management has determined that the Company’s internal control over financial reporting as of December 31, 2024 is effective.</w:t>
      </w:r>
    </w:p>
    <w:p>
      <w:pPr>
        <w:ind w:left="380"/>
        <w:spacing w:after="0" w:line="212" w:lineRule="auto"/>
        <w:rPr>
          <w:sz w:val="20"/>
          <w:szCs w:val="20"/>
          <w:color w:val="auto"/>
        </w:rPr>
      </w:pPr>
      <w:r>
        <w:rPr>
          <w:rFonts w:ascii="Arial" w:cs="Arial" w:eastAsia="Arial" w:hAnsi="Arial"/>
          <w:sz w:val="13"/>
          <w:szCs w:val="13"/>
          <w:b w:val="1"/>
          <w:bCs w:val="1"/>
          <w:color w:val="005A64"/>
        </w:rPr>
        <w:t>Attestation Report of the Registered Public Accounting Firm</w:t>
      </w:r>
    </w:p>
    <w:p>
      <w:pPr>
        <w:spacing w:after="0" w:line="1"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The effectiveness of our internal control over financial reporting as of December 31, 2024 has been audited by EY GmbH &amp; Co. KG Wirtschaftsprüfungsgesellschaft, an independent registered public accounting firm. Their report is included on page F-2. EY GmbH &amp; Co. KG Wirtschaftsprüfungsgesellschaft is a member of the Chamber of Public Accountants (</w:t>
      </w:r>
      <w:r>
        <w:rPr>
          <w:rFonts w:ascii="Arial" w:cs="Arial" w:eastAsia="Arial" w:hAnsi="Arial"/>
          <w:sz w:val="13"/>
          <w:szCs w:val="13"/>
          <w:i w:val="1"/>
          <w:iCs w:val="1"/>
          <w:color w:val="auto"/>
        </w:rPr>
        <w:t>Wirtschaftsprüferkammer</w:t>
      </w:r>
      <w:r>
        <w:rPr>
          <w:rFonts w:ascii="Arial" w:cs="Arial" w:eastAsia="Arial" w:hAnsi="Arial"/>
          <w:sz w:val="13"/>
          <w:szCs w:val="13"/>
          <w:color w:val="auto"/>
        </w:rPr>
        <w:t>), Berlin, Germany.</w:t>
      </w:r>
    </w:p>
    <w:p>
      <w:pPr>
        <w:ind w:left="380"/>
        <w:spacing w:after="0" w:line="214" w:lineRule="auto"/>
        <w:rPr>
          <w:sz w:val="20"/>
          <w:szCs w:val="20"/>
          <w:color w:val="auto"/>
        </w:rPr>
      </w:pPr>
      <w:r>
        <w:rPr>
          <w:rFonts w:ascii="Arial" w:cs="Arial" w:eastAsia="Arial" w:hAnsi="Arial"/>
          <w:sz w:val="13"/>
          <w:szCs w:val="13"/>
          <w:b w:val="1"/>
          <w:bCs w:val="1"/>
          <w:color w:val="005A64"/>
        </w:rPr>
        <w:t>Changes in Control over Financial Reporting</w:t>
      </w:r>
    </w:p>
    <w:p>
      <w:pPr>
        <w:ind w:left="380" w:right="2260"/>
        <w:spacing w:after="0" w:line="212" w:lineRule="auto"/>
        <w:rPr>
          <w:sz w:val="20"/>
          <w:szCs w:val="20"/>
          <w:color w:val="auto"/>
        </w:rPr>
      </w:pPr>
      <w:r>
        <w:rPr>
          <w:rFonts w:ascii="Arial" w:cs="Arial" w:eastAsia="Arial" w:hAnsi="Arial"/>
          <w:sz w:val="13"/>
          <w:szCs w:val="13"/>
          <w:color w:val="auto"/>
        </w:rPr>
        <w:t>There has been no change in our internal control over financial reporting during the year ended December 31, 2024 that has materially affected, or is reasonably likely to materially affect, our internal control over financial reporting.</w:t>
      </w:r>
    </w:p>
    <w:p>
      <w:pPr>
        <w:ind w:left="380"/>
        <w:spacing w:after="0" w:line="212" w:lineRule="auto"/>
        <w:rPr>
          <w:sz w:val="20"/>
          <w:szCs w:val="20"/>
          <w:color w:val="auto"/>
        </w:rPr>
      </w:pPr>
      <w:r>
        <w:rPr>
          <w:rFonts w:ascii="Arial" w:cs="Arial" w:eastAsia="Arial" w:hAnsi="Arial"/>
          <w:sz w:val="16"/>
          <w:szCs w:val="16"/>
          <w:b w:val="1"/>
          <w:bCs w:val="1"/>
          <w:color w:val="005A64"/>
        </w:rPr>
        <w:t>Item 16. [Reserved]</w:t>
      </w:r>
    </w:p>
    <w:p>
      <w:pPr>
        <w:ind w:left="380"/>
        <w:spacing w:after="0" w:line="207" w:lineRule="auto"/>
        <w:rPr>
          <w:sz w:val="20"/>
          <w:szCs w:val="20"/>
          <w:color w:val="auto"/>
        </w:rPr>
      </w:pPr>
      <w:r>
        <w:rPr>
          <w:rFonts w:ascii="Arial" w:cs="Arial" w:eastAsia="Arial" w:hAnsi="Arial"/>
          <w:sz w:val="16"/>
          <w:szCs w:val="16"/>
          <w:b w:val="1"/>
          <w:bCs w:val="1"/>
          <w:color w:val="005A64"/>
        </w:rPr>
        <w:t>Item 16A. Audit Committee Financial Expert</w:t>
      </w:r>
    </w:p>
    <w:p>
      <w:pPr>
        <w:ind w:left="380" w:right="2080"/>
        <w:spacing w:after="0" w:line="211" w:lineRule="auto"/>
        <w:rPr>
          <w:sz w:val="20"/>
          <w:szCs w:val="20"/>
          <w:color w:val="auto"/>
        </w:rPr>
      </w:pPr>
      <w:r>
        <w:rPr>
          <w:rFonts w:ascii="Arial" w:cs="Arial" w:eastAsia="Arial" w:hAnsi="Arial"/>
          <w:sz w:val="13"/>
          <w:szCs w:val="13"/>
          <w:color w:val="auto"/>
        </w:rPr>
        <w:t>Our Audit Committee for the year ended December 31, 2024 consisted of Anja Morawietz. (Chair), Rudolf Staudigl and Ulrich Wandschneider. All members of the Audit Committee qualify as “independent directors” as such term is defined in Rule 10A-3 under the Exchange Act and Nasdaq Rule 5605. Additionally, our Supervisory Board has determined that Anja Morawietz, Rudolf Staudigl and Ulrich Wandschneider qualify as “audit committee financial expert” as that term is defined under the Exchange Act.</w:t>
      </w:r>
    </w:p>
    <w:p>
      <w:pPr>
        <w:ind w:left="380"/>
        <w:spacing w:after="0" w:line="210" w:lineRule="auto"/>
        <w:rPr>
          <w:sz w:val="20"/>
          <w:szCs w:val="20"/>
          <w:color w:val="auto"/>
        </w:rPr>
      </w:pPr>
      <w:r>
        <w:rPr>
          <w:rFonts w:ascii="Arial" w:cs="Arial" w:eastAsia="Arial" w:hAnsi="Arial"/>
          <w:sz w:val="16"/>
          <w:szCs w:val="16"/>
          <w:b w:val="1"/>
          <w:bCs w:val="1"/>
          <w:color w:val="005A64"/>
        </w:rPr>
        <w:t>Item 16B. Code of Ethics</w:t>
      </w:r>
    </w:p>
    <w:p>
      <w:pPr>
        <w:spacing w:after="0" w:line="1" w:lineRule="exact"/>
        <w:rPr>
          <w:sz w:val="20"/>
          <w:szCs w:val="20"/>
          <w:color w:val="auto"/>
        </w:rPr>
      </w:pPr>
    </w:p>
    <w:p>
      <w:pPr>
        <w:ind w:left="380" w:right="2160"/>
        <w:spacing w:after="0" w:line="211" w:lineRule="auto"/>
        <w:rPr>
          <w:sz w:val="20"/>
          <w:szCs w:val="20"/>
          <w:color w:val="auto"/>
        </w:rPr>
      </w:pPr>
      <w:r>
        <w:rPr>
          <w:rFonts w:ascii="Arial" w:cs="Arial" w:eastAsia="Arial" w:hAnsi="Arial"/>
          <w:sz w:val="13"/>
          <w:szCs w:val="13"/>
          <w:color w:val="auto"/>
        </w:rPr>
        <w:t>We have adopted a Code of Ethics &amp; Business Integrity, or Code of Ethics, which outlines the principles of legal and ethical business conduct under which we do business. The Code of Ethics applies to all of our Supervisory Board members, Management Board members, directors of our subsidiaries and employees. The full text of the Code of Ethics is available on our website at https://www.biontech.de. The information and other content appearing on our website are not part of this Annual Report and our website address is included in this Annual Report as an inactive textual reference only. Any amendments or waivers from the provisions of the Code of Ethics for members of our Supervisory or Management Boards will be made only after approval by our Supervisory Board and will be disclosed on our website promptly following the date of such amendment or waiver.</w:t>
      </w:r>
    </w:p>
    <w:p>
      <w:pPr>
        <w:ind w:left="380"/>
        <w:spacing w:after="0" w:line="210" w:lineRule="auto"/>
        <w:rPr>
          <w:sz w:val="20"/>
          <w:szCs w:val="20"/>
          <w:color w:val="auto"/>
        </w:rPr>
      </w:pPr>
      <w:r>
        <w:rPr>
          <w:rFonts w:ascii="Arial" w:cs="Arial" w:eastAsia="Arial" w:hAnsi="Arial"/>
          <w:sz w:val="16"/>
          <w:szCs w:val="16"/>
          <w:b w:val="1"/>
          <w:bCs w:val="1"/>
          <w:color w:val="005A64"/>
        </w:rPr>
        <w:t>Item 16C. Principal Accountant Fees and Services</w:t>
      </w:r>
    </w:p>
    <w:p>
      <w:pPr>
        <w:spacing w:after="0" w:line="1" w:lineRule="exact"/>
        <w:rPr>
          <w:sz w:val="20"/>
          <w:szCs w:val="20"/>
          <w:color w:val="auto"/>
        </w:rPr>
      </w:pPr>
    </w:p>
    <w:p>
      <w:pPr>
        <w:ind w:left="380" w:right="2280"/>
        <w:spacing w:after="0" w:line="210" w:lineRule="auto"/>
        <w:rPr>
          <w:sz w:val="20"/>
          <w:szCs w:val="20"/>
          <w:color w:val="auto"/>
        </w:rPr>
      </w:pPr>
      <w:r>
        <w:rPr>
          <w:rFonts w:ascii="Arial" w:cs="Arial" w:eastAsia="Arial" w:hAnsi="Arial"/>
          <w:sz w:val="13"/>
          <w:szCs w:val="13"/>
          <w:color w:val="auto"/>
        </w:rPr>
        <w:t>EY GmbH &amp; Co. KG Wirtschaftsprüfungsgesellschaft, or EY, has served as our independent registered public accounting firm for the years ended December 31, 2024, December 31, 2023, December 31, 2022 for which audited financial statements appear in this Annual Report.</w:t>
      </w:r>
    </w:p>
    <w:p>
      <w:pPr>
        <w:ind w:left="380"/>
        <w:spacing w:after="0" w:line="213" w:lineRule="auto"/>
        <w:rPr>
          <w:sz w:val="20"/>
          <w:szCs w:val="20"/>
          <w:color w:val="auto"/>
        </w:rPr>
      </w:pPr>
      <w:r>
        <w:rPr>
          <w:rFonts w:ascii="Arial" w:cs="Arial" w:eastAsia="Arial" w:hAnsi="Arial"/>
          <w:sz w:val="13"/>
          <w:szCs w:val="13"/>
          <w:color w:val="auto"/>
        </w:rPr>
        <w:t>The following table sets out the aggregate fees for professional audit services and other services rendered by</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EY in the periods indicated:</w:t>
      </w:r>
    </w:p>
    <w:p>
      <w:pPr>
        <w:sectPr>
          <w:pgSz w:w="11900" w:h="16840" w:orient="portrait"/>
          <w:cols w:equalWidth="0" w:num="1">
            <w:col w:w="9020"/>
          </w:cols>
          <w:pgMar w:left="1440" w:top="560" w:right="1440" w:bottom="1440" w:gutter="0" w:footer="0" w:header="0"/>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243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29845</wp:posOffset>
            </wp:positionV>
            <wp:extent cx="5231130" cy="190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231130" cy="19050"/>
                    </a:xfrm>
                    <a:prstGeom prst="rect">
                      <a:avLst/>
                    </a:prstGeom>
                    <a:noFill/>
                  </pic:spPr>
                </pic:pic>
              </a:graphicData>
            </a:graphic>
          </wp:anchor>
        </w:drawing>
      </w:r>
    </w:p>
    <w:p>
      <w:pPr>
        <w:spacing w:after="0" w:line="102"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4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005A64"/>
              </w:rPr>
              <w:t>Years ended</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005A64"/>
              </w:rPr>
              <w:t>December 31,</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680" w:type="dxa"/>
            <w:vAlign w:val="bottom"/>
            <w:gridSpan w:val="2"/>
            <w:vMerge w:val="restart"/>
          </w:tcPr>
          <w:p>
            <w:pPr>
              <w:ind w:left="20"/>
              <w:spacing w:after="0"/>
              <w:rPr>
                <w:sz w:val="20"/>
                <w:szCs w:val="20"/>
                <w:color w:val="auto"/>
              </w:rPr>
            </w:pPr>
            <w:r>
              <w:rPr>
                <w:rFonts w:ascii="Arial" w:cs="Arial" w:eastAsia="Arial" w:hAnsi="Arial"/>
                <w:sz w:val="12"/>
                <w:szCs w:val="12"/>
                <w:i w:val="1"/>
                <w:iCs w:val="1"/>
                <w:color w:val="005A64"/>
              </w:rPr>
              <w:t>(in millions €)</w:t>
            </w:r>
          </w:p>
        </w:tc>
        <w:tc>
          <w:tcPr>
            <w:tcW w:w="40" w:type="dxa"/>
            <w:vAlign w:val="bottom"/>
            <w:tcBorders>
              <w:bottom w:val="single" w:sz="8" w:color="BECE33"/>
            </w:tcBorders>
          </w:tcPr>
          <w:p>
            <w:pPr>
              <w:spacing w:after="0"/>
              <w:rPr>
                <w:sz w:val="11"/>
                <w:szCs w:val="11"/>
                <w:color w:val="auto"/>
              </w:rPr>
            </w:pPr>
          </w:p>
        </w:tc>
        <w:tc>
          <w:tcPr>
            <w:tcW w:w="980" w:type="dxa"/>
            <w:vAlign w:val="bottom"/>
            <w:tcBorders>
              <w:bottom w:val="single" w:sz="8" w:color="BECE33"/>
            </w:tcBorders>
          </w:tcPr>
          <w:p>
            <w:pPr>
              <w:spacing w:after="0"/>
              <w:rPr>
                <w:sz w:val="11"/>
                <w:szCs w:val="11"/>
                <w:color w:val="auto"/>
              </w:rPr>
            </w:pPr>
          </w:p>
        </w:tc>
        <w:tc>
          <w:tcPr>
            <w:tcW w:w="40" w:type="dxa"/>
            <w:vAlign w:val="bottom"/>
            <w:tcBorders>
              <w:bottom w:val="single" w:sz="8" w:color="BECE33"/>
            </w:tcBorders>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005A64"/>
              </w:rPr>
              <w:t>2023</w:t>
            </w:r>
          </w:p>
        </w:tc>
        <w:tc>
          <w:tcPr>
            <w:tcW w:w="0" w:type="dxa"/>
            <w:vAlign w:val="bottom"/>
          </w:tcPr>
          <w:p>
            <w:pPr>
              <w:spacing w:after="0"/>
              <w:rPr>
                <w:sz w:val="1"/>
                <w:szCs w:val="1"/>
                <w:color w:val="auto"/>
              </w:rPr>
            </w:pPr>
          </w:p>
        </w:tc>
      </w:tr>
      <w:tr>
        <w:trPr>
          <w:trHeight w:val="156"/>
        </w:trPr>
        <w:tc>
          <w:tcPr>
            <w:tcW w:w="4680" w:type="dxa"/>
            <w:vAlign w:val="bottom"/>
            <w:gridSpan w:val="2"/>
            <w:vMerge w:val="continue"/>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66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4660" w:type="dxa"/>
            <w:vAlign w:val="bottom"/>
          </w:tcPr>
          <w:p>
            <w:pPr>
              <w:ind w:left="20"/>
              <w:spacing w:after="0"/>
              <w:rPr>
                <w:sz w:val="20"/>
                <w:szCs w:val="20"/>
                <w:color w:val="auto"/>
              </w:rPr>
            </w:pPr>
            <w:r>
              <w:rPr>
                <w:rFonts w:ascii="Arial" w:cs="Arial" w:eastAsia="Arial" w:hAnsi="Arial"/>
                <w:sz w:val="12"/>
                <w:szCs w:val="12"/>
                <w:color w:val="005A64"/>
              </w:rPr>
              <w:t>Audit fees</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2"/>
                <w:szCs w:val="12"/>
                <w:color w:val="005A64"/>
              </w:rPr>
              <w:t>2.8</w:t>
            </w:r>
          </w:p>
        </w:tc>
        <w:tc>
          <w:tcPr>
            <w:tcW w:w="4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2"/>
                <w:szCs w:val="12"/>
                <w:color w:val="005A64"/>
              </w:rPr>
              <w:t>3.2</w:t>
            </w:r>
          </w:p>
        </w:tc>
        <w:tc>
          <w:tcPr>
            <w:tcW w:w="0" w:type="dxa"/>
            <w:vAlign w:val="bottom"/>
          </w:tcPr>
          <w:p>
            <w:pPr>
              <w:spacing w:after="0"/>
              <w:rPr>
                <w:sz w:val="1"/>
                <w:szCs w:val="1"/>
                <w:color w:val="auto"/>
              </w:rPr>
            </w:pPr>
          </w:p>
        </w:tc>
      </w:tr>
      <w:tr>
        <w:trPr>
          <w:trHeight w:val="181"/>
        </w:trPr>
        <w:tc>
          <w:tcPr>
            <w:tcW w:w="4680" w:type="dxa"/>
            <w:vAlign w:val="bottom"/>
            <w:gridSpan w:val="2"/>
          </w:tcPr>
          <w:p>
            <w:pPr>
              <w:ind w:left="20"/>
              <w:spacing w:after="0"/>
              <w:rPr>
                <w:sz w:val="20"/>
                <w:szCs w:val="20"/>
                <w:color w:val="auto"/>
              </w:rPr>
            </w:pPr>
            <w:r>
              <w:rPr>
                <w:rFonts w:ascii="Arial" w:cs="Arial" w:eastAsia="Arial" w:hAnsi="Arial"/>
                <w:sz w:val="12"/>
                <w:szCs w:val="12"/>
                <w:color w:val="005A64"/>
              </w:rPr>
              <w:t>Audit-related fees</w:t>
            </w:r>
          </w:p>
        </w:tc>
        <w:tc>
          <w:tcPr>
            <w:tcW w:w="4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005A64"/>
              </w:rPr>
              <w:t>—</w:t>
            </w: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0.3</w:t>
            </w:r>
          </w:p>
        </w:tc>
        <w:tc>
          <w:tcPr>
            <w:tcW w:w="0" w:type="dxa"/>
            <w:vAlign w:val="bottom"/>
          </w:tcPr>
          <w:p>
            <w:pPr>
              <w:spacing w:after="0"/>
              <w:rPr>
                <w:sz w:val="1"/>
                <w:szCs w:val="1"/>
                <w:color w:val="auto"/>
              </w:rPr>
            </w:pPr>
          </w:p>
        </w:tc>
      </w:tr>
      <w:tr>
        <w:trPr>
          <w:trHeight w:val="202"/>
        </w:trPr>
        <w:tc>
          <w:tcPr>
            <w:tcW w:w="4680" w:type="dxa"/>
            <w:vAlign w:val="bottom"/>
            <w:gridSpan w:val="2"/>
          </w:tcPr>
          <w:p>
            <w:pPr>
              <w:ind w:left="20"/>
              <w:spacing w:after="0"/>
              <w:rPr>
                <w:sz w:val="20"/>
                <w:szCs w:val="20"/>
                <w:color w:val="auto"/>
              </w:rPr>
            </w:pPr>
            <w:r>
              <w:rPr>
                <w:rFonts w:ascii="Arial" w:cs="Arial" w:eastAsia="Arial" w:hAnsi="Arial"/>
                <w:sz w:val="12"/>
                <w:szCs w:val="12"/>
                <w:color w:val="005A64"/>
              </w:rPr>
              <w:t>Tax fees</w:t>
            </w: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0.6</w:t>
            </w:r>
          </w:p>
        </w:tc>
        <w:tc>
          <w:tcPr>
            <w:tcW w:w="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0.1</w:t>
            </w:r>
          </w:p>
        </w:tc>
        <w:tc>
          <w:tcPr>
            <w:tcW w:w="0" w:type="dxa"/>
            <w:vAlign w:val="bottom"/>
          </w:tcPr>
          <w:p>
            <w:pPr>
              <w:spacing w:after="0"/>
              <w:rPr>
                <w:sz w:val="1"/>
                <w:szCs w:val="1"/>
                <w:color w:val="auto"/>
              </w:rPr>
            </w:pPr>
          </w:p>
        </w:tc>
      </w:tr>
      <w:tr>
        <w:trPr>
          <w:trHeight w:val="208"/>
        </w:trPr>
        <w:tc>
          <w:tcPr>
            <w:tcW w:w="468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 fees for professional audit services and other services</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005A64"/>
              </w:rPr>
              <w:t>3.4</w:t>
            </w:r>
          </w:p>
        </w:tc>
        <w:tc>
          <w:tcPr>
            <w:tcW w:w="4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005A64"/>
              </w:rPr>
              <w:t>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3215005</wp:posOffset>
            </wp:positionH>
            <wp:positionV relativeFrom="paragraph">
              <wp:posOffset>-611505</wp:posOffset>
            </wp:positionV>
            <wp:extent cx="673735" cy="6483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3735" cy="648335"/>
                    </a:xfrm>
                    <a:prstGeom prst="rect">
                      <a:avLst/>
                    </a:prstGeom>
                    <a:noFill/>
                  </pic:spPr>
                </pic:pic>
              </a:graphicData>
            </a:graphic>
          </wp:anchor>
        </w:drawing>
      </w:r>
    </w:p>
    <w:p>
      <w:pPr>
        <w:spacing w:after="0" w:line="17" w:lineRule="exact"/>
        <w:rPr>
          <w:sz w:val="20"/>
          <w:szCs w:val="20"/>
          <w:color w:val="auto"/>
        </w:rPr>
      </w:pPr>
    </w:p>
    <w:p>
      <w:pPr>
        <w:ind w:left="380" w:right="2100"/>
        <w:spacing w:after="0" w:line="212" w:lineRule="auto"/>
        <w:rPr>
          <w:sz w:val="20"/>
          <w:szCs w:val="20"/>
          <w:color w:val="auto"/>
        </w:rPr>
      </w:pPr>
      <w:r>
        <w:rPr>
          <w:rFonts w:ascii="Arial" w:cs="Arial" w:eastAsia="Arial" w:hAnsi="Arial"/>
          <w:sz w:val="13"/>
          <w:szCs w:val="13"/>
          <w:color w:val="auto"/>
        </w:rPr>
        <w:t>In the year ended December 31, 2024, audit fees related to professional services associated with the integrated audit of our consolidated financial statements and our internal control over financial reporting as set out in this Annual Report, professional services associated with interim reviews, audit fees related to the remuneration report and professional services related to our statutory and regulatory filings for our subsidiaries. Due to additional procedures related to the acquisition of InstaDeep and to an implementation of IT-systems in the year ended December 31, 2023, the expenses were lower during year ended December 31, 2024. In the year ended December 31, 2023, audit fees related to professional services associated with the integrated audit of our consolidated financial statements and our internal control over financial reporting, professional services associated with interim reviews, audit fees related to the remuneration report and professional services related to our statutory and regulatory filings for our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-831850</wp:posOffset>
            </wp:positionV>
            <wp:extent cx="4287520"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287520" cy="6350"/>
                    </a:xfrm>
                    <a:prstGeom prst="rect">
                      <a:avLst/>
                    </a:prstGeom>
                    <a:noFill/>
                  </pic:spPr>
                </pic:pic>
              </a:graphicData>
            </a:graphic>
          </wp:anchor>
        </w:drawing>
      </w:r>
    </w:p>
    <w:p>
      <w:pPr>
        <w:ind w:left="380" w:right="2480"/>
        <w:spacing w:after="0" w:line="210" w:lineRule="auto"/>
        <w:rPr>
          <w:sz w:val="20"/>
          <w:szCs w:val="20"/>
          <w:color w:val="auto"/>
        </w:rPr>
      </w:pPr>
      <w:r>
        <w:rPr>
          <w:rFonts w:ascii="Arial" w:cs="Arial" w:eastAsia="Arial" w:hAnsi="Arial"/>
          <w:sz w:val="13"/>
          <w:szCs w:val="13"/>
          <w:color w:val="auto"/>
        </w:rPr>
        <w:t>In the year ended December 31, 2024, no audit-related services have been received. In the year ended December 31, 2023, audit-related fees were attributable to assurance and related services including attest related services and accounting consultations.</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In the year ended December 31, 2024, tax service fees were billed for services in conjunction with transactions, especially with our financing and deal transactions. In the year ended December 31, 2023, tax service fees billed for services in conjunction with transactions, especially with our financing and deal transactions.</w:t>
      </w:r>
    </w:p>
    <w:p>
      <w:pPr>
        <w:spacing w:after="0" w:line="2" w:lineRule="exact"/>
        <w:rPr>
          <w:sz w:val="20"/>
          <w:szCs w:val="20"/>
          <w:color w:val="auto"/>
        </w:rPr>
      </w:pPr>
    </w:p>
    <w:p>
      <w:pPr>
        <w:ind w:left="380" w:right="2120"/>
        <w:spacing w:after="0" w:line="211" w:lineRule="auto"/>
        <w:rPr>
          <w:sz w:val="20"/>
          <w:szCs w:val="20"/>
          <w:color w:val="auto"/>
        </w:rPr>
      </w:pPr>
      <w:r>
        <w:rPr>
          <w:rFonts w:ascii="Arial" w:cs="Arial" w:eastAsia="Arial" w:hAnsi="Arial"/>
          <w:sz w:val="13"/>
          <w:szCs w:val="13"/>
          <w:color w:val="auto"/>
        </w:rPr>
        <w:t>The Audit Committee evaluates the qualifications, independence and performance of the independent auditor as well as pre-approves and reviews the audit and non-audit services to be performed by the independent auditor. The external audit plan and fees for professional audit services and other services rendered by EY for the years ended December 31, 2024 and 2023, were approved by the Audit Committee. The Audit Committee monitors compliance with the German and U.S. rules on non-audit services provided by an independent registered public accounting firm.</w:t>
      </w:r>
    </w:p>
    <w:p>
      <w:pPr>
        <w:ind w:left="380"/>
        <w:spacing w:after="0" w:line="210" w:lineRule="auto"/>
        <w:rPr>
          <w:sz w:val="20"/>
          <w:szCs w:val="20"/>
          <w:color w:val="auto"/>
        </w:rPr>
      </w:pPr>
      <w:r>
        <w:rPr>
          <w:rFonts w:ascii="Arial" w:cs="Arial" w:eastAsia="Arial" w:hAnsi="Arial"/>
          <w:sz w:val="16"/>
          <w:szCs w:val="16"/>
          <w:b w:val="1"/>
          <w:bCs w:val="1"/>
          <w:color w:val="005A64"/>
        </w:rPr>
        <w:t>Item 16D. Exemptions from the Listing Standards for Audit Committees</w:t>
      </w:r>
    </w:p>
    <w:p>
      <w:pPr>
        <w:spacing w:after="0" w:line="1" w:lineRule="exact"/>
        <w:rPr>
          <w:sz w:val="20"/>
          <w:szCs w:val="20"/>
          <w:color w:val="auto"/>
        </w:rPr>
      </w:pPr>
    </w:p>
    <w:p>
      <w:pPr>
        <w:ind w:left="380" w:right="2160"/>
        <w:spacing w:after="0" w:line="213" w:lineRule="auto"/>
        <w:rPr>
          <w:sz w:val="20"/>
          <w:szCs w:val="20"/>
          <w:color w:val="auto"/>
        </w:rPr>
      </w:pPr>
      <w:r>
        <w:rPr>
          <w:rFonts w:ascii="Arial" w:cs="Arial" w:eastAsia="Arial" w:hAnsi="Arial"/>
          <w:sz w:val="13"/>
          <w:szCs w:val="13"/>
          <w:color w:val="auto"/>
        </w:rPr>
        <w:t>Please see “Board Practices—Supervisory Board Practices—Audit Committee” in Item 6C of this Annual Report for the information required by this Item 16D.</w:t>
      </w:r>
    </w:p>
    <w:p>
      <w:pPr>
        <w:ind w:left="380"/>
        <w:spacing w:after="0" w:line="207" w:lineRule="auto"/>
        <w:rPr>
          <w:sz w:val="20"/>
          <w:szCs w:val="20"/>
          <w:color w:val="auto"/>
        </w:rPr>
      </w:pPr>
      <w:r>
        <w:rPr>
          <w:rFonts w:ascii="Arial" w:cs="Arial" w:eastAsia="Arial" w:hAnsi="Arial"/>
          <w:sz w:val="16"/>
          <w:szCs w:val="16"/>
          <w:b w:val="1"/>
          <w:bCs w:val="1"/>
          <w:color w:val="005A64"/>
        </w:rPr>
        <w:t>Item 16E. Purchases of Equity Securities by the Issuer and Affiliated Purchasers</w:t>
      </w:r>
    </w:p>
    <w:p>
      <w:pPr>
        <w:ind w:left="380"/>
        <w:spacing w:after="0" w:line="216" w:lineRule="auto"/>
        <w:rPr>
          <w:sz w:val="20"/>
          <w:szCs w:val="20"/>
          <w:color w:val="auto"/>
        </w:rPr>
      </w:pPr>
      <w:r>
        <w:rPr>
          <w:rFonts w:ascii="Arial" w:cs="Arial" w:eastAsia="Arial" w:hAnsi="Arial"/>
          <w:sz w:val="13"/>
          <w:szCs w:val="13"/>
          <w:color w:val="auto"/>
        </w:rPr>
        <w:t>Not applicable.</w:t>
      </w:r>
    </w:p>
    <w:p>
      <w:pPr>
        <w:ind w:left="380"/>
        <w:spacing w:after="0" w:line="207" w:lineRule="auto"/>
        <w:rPr>
          <w:sz w:val="20"/>
          <w:szCs w:val="20"/>
          <w:color w:val="auto"/>
        </w:rPr>
      </w:pPr>
      <w:r>
        <w:rPr>
          <w:rFonts w:ascii="Arial" w:cs="Arial" w:eastAsia="Arial" w:hAnsi="Arial"/>
          <w:sz w:val="16"/>
          <w:szCs w:val="16"/>
          <w:b w:val="1"/>
          <w:bCs w:val="1"/>
          <w:color w:val="005A64"/>
        </w:rPr>
        <w:t>Item 16F. Change in Registrant’s Certifying Accountant</w:t>
      </w:r>
    </w:p>
    <w:p>
      <w:pPr>
        <w:ind w:left="380"/>
        <w:spacing w:after="0" w:line="216" w:lineRule="auto"/>
        <w:rPr>
          <w:sz w:val="20"/>
          <w:szCs w:val="20"/>
          <w:color w:val="auto"/>
        </w:rPr>
      </w:pPr>
      <w:r>
        <w:rPr>
          <w:rFonts w:ascii="Arial" w:cs="Arial" w:eastAsia="Arial" w:hAnsi="Arial"/>
          <w:sz w:val="13"/>
          <w:szCs w:val="13"/>
          <w:color w:val="auto"/>
        </w:rPr>
        <w:t>Not applicable.</w:t>
      </w:r>
    </w:p>
    <w:p>
      <w:pPr>
        <w:ind w:left="380"/>
        <w:spacing w:after="0" w:line="207" w:lineRule="auto"/>
        <w:rPr>
          <w:sz w:val="20"/>
          <w:szCs w:val="20"/>
          <w:color w:val="auto"/>
        </w:rPr>
      </w:pPr>
      <w:r>
        <w:rPr>
          <w:rFonts w:ascii="Arial" w:cs="Arial" w:eastAsia="Arial" w:hAnsi="Arial"/>
          <w:sz w:val="16"/>
          <w:szCs w:val="16"/>
          <w:b w:val="1"/>
          <w:bCs w:val="1"/>
          <w:color w:val="005A64"/>
        </w:rPr>
        <w:t>Item 16G. Corporate Governance</w:t>
      </w:r>
    </w:p>
    <w:p>
      <w:pPr>
        <w:ind w:left="380"/>
        <w:spacing w:after="0" w:line="211" w:lineRule="auto"/>
        <w:rPr>
          <w:sz w:val="20"/>
          <w:szCs w:val="20"/>
          <w:color w:val="auto"/>
        </w:rPr>
      </w:pPr>
      <w:r>
        <w:rPr>
          <w:rFonts w:ascii="Arial" w:cs="Arial" w:eastAsia="Arial" w:hAnsi="Arial"/>
          <w:sz w:val="13"/>
          <w:szCs w:val="13"/>
          <w:b w:val="1"/>
          <w:bCs w:val="1"/>
          <w:color w:val="005A64"/>
        </w:rPr>
        <w:t>German Corporate Governance Code</w:t>
      </w:r>
    </w:p>
    <w:p>
      <w:pPr>
        <w:ind w:left="380" w:right="2100"/>
        <w:spacing w:after="0" w:line="222" w:lineRule="auto"/>
        <w:rPr>
          <w:sz w:val="20"/>
          <w:szCs w:val="20"/>
          <w:color w:val="auto"/>
        </w:rPr>
      </w:pPr>
      <w:r>
        <w:rPr>
          <w:rFonts w:ascii="Arial" w:cs="Arial" w:eastAsia="Arial" w:hAnsi="Arial"/>
          <w:sz w:val="13"/>
          <w:szCs w:val="13"/>
          <w:color w:val="auto"/>
        </w:rPr>
        <w:t>The German Corporate Governance Code, or the Corporate Governance Code, was originally published by the German Federal Ministry of Justice (</w:t>
      </w:r>
      <w:r>
        <w:rPr>
          <w:rFonts w:ascii="Arial" w:cs="Arial" w:eastAsia="Arial" w:hAnsi="Arial"/>
          <w:sz w:val="13"/>
          <w:szCs w:val="13"/>
          <w:i w:val="1"/>
          <w:iCs w:val="1"/>
          <w:color w:val="auto"/>
        </w:rPr>
        <w:t>Bundesministerium der Justiz</w:t>
      </w:r>
      <w:r>
        <w:rPr>
          <w:rFonts w:ascii="Arial" w:cs="Arial" w:eastAsia="Arial" w:hAnsi="Arial"/>
          <w:sz w:val="13"/>
          <w:szCs w:val="13"/>
          <w:color w:val="auto"/>
        </w:rPr>
        <w:t xml:space="preserve">) in 2002. The version currently in effect, dated April 28, 2022, was published in the German Federal Gazette ( </w:t>
      </w:r>
      <w:r>
        <w:rPr>
          <w:rFonts w:ascii="Arial" w:cs="Arial" w:eastAsia="Arial" w:hAnsi="Arial"/>
          <w:sz w:val="13"/>
          <w:szCs w:val="13"/>
          <w:i w:val="1"/>
          <w:iCs w:val="1"/>
          <w:color w:val="auto"/>
        </w:rPr>
        <w:t>Bundesanzeiger</w:t>
      </w:r>
      <w:r>
        <w:rPr>
          <w:rFonts w:ascii="Arial" w:cs="Arial" w:eastAsia="Arial" w:hAnsi="Arial"/>
          <w:sz w:val="13"/>
          <w:szCs w:val="13"/>
          <w:color w:val="auto"/>
        </w:rPr>
        <w:t>) on June 27, 2022. The Corporate Governance Code contains principles (</w:t>
      </w:r>
      <w:r>
        <w:rPr>
          <w:rFonts w:ascii="Arial" w:cs="Arial" w:eastAsia="Arial" w:hAnsi="Arial"/>
          <w:sz w:val="13"/>
          <w:szCs w:val="13"/>
          <w:i w:val="1"/>
          <w:iCs w:val="1"/>
          <w:color w:val="auto"/>
        </w:rPr>
        <w:t>Grundsätze</w:t>
      </w:r>
      <w:r>
        <w:rPr>
          <w:rFonts w:ascii="Arial" w:cs="Arial" w:eastAsia="Arial" w:hAnsi="Arial"/>
          <w:sz w:val="13"/>
          <w:szCs w:val="13"/>
          <w:color w:val="auto"/>
        </w:rPr>
        <w:t>), recommendations (</w:t>
      </w:r>
      <w:r>
        <w:rPr>
          <w:rFonts w:ascii="Arial" w:cs="Arial" w:eastAsia="Arial" w:hAnsi="Arial"/>
          <w:sz w:val="13"/>
          <w:szCs w:val="13"/>
          <w:i w:val="1"/>
          <w:iCs w:val="1"/>
          <w:color w:val="auto"/>
        </w:rPr>
        <w:t>Empfehlungen</w:t>
      </w:r>
      <w:r>
        <w:rPr>
          <w:rFonts w:ascii="Arial" w:cs="Arial" w:eastAsia="Arial" w:hAnsi="Arial"/>
          <w:sz w:val="13"/>
          <w:szCs w:val="13"/>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244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80"/>
        <w:spacing w:after="0" w:line="214" w:lineRule="auto"/>
        <w:rPr>
          <w:sz w:val="20"/>
          <w:szCs w:val="20"/>
          <w:color w:val="auto"/>
        </w:rPr>
      </w:pPr>
      <w:r>
        <w:rPr>
          <w:rFonts w:ascii="Arial" w:cs="Arial" w:eastAsia="Arial" w:hAnsi="Arial"/>
          <w:sz w:val="13"/>
          <w:szCs w:val="13"/>
          <w:color w:val="auto"/>
        </w:rPr>
        <w:t>suggestions (</w:t>
      </w:r>
      <w:r>
        <w:rPr>
          <w:rFonts w:ascii="Arial" w:cs="Arial" w:eastAsia="Arial" w:hAnsi="Arial"/>
          <w:sz w:val="13"/>
          <w:szCs w:val="13"/>
          <w:i w:val="1"/>
          <w:iCs w:val="1"/>
          <w:color w:val="auto"/>
        </w:rPr>
        <w:t>Anregungen</w:t>
      </w:r>
      <w:r>
        <w:rPr>
          <w:rFonts w:ascii="Arial" w:cs="Arial" w:eastAsia="Arial" w:hAnsi="Arial"/>
          <w:sz w:val="13"/>
          <w:szCs w:val="13"/>
          <w:color w:val="auto"/>
        </w:rPr>
        <w:t>) relating to the management and supervision of German companies that are listed on a stock exchange. It follows internationally and nationally recognized standards for good and responsible corporate governance. The purpose of the Corporate Governance Code is to make the German system of corporate governance transparent for investors. The Corporate Governance Code includes corporate governance principles, recommendations and suggestions with respect to shareholders and shareholders’ meetings, the management and supervisory boards, transparency, accounting policies and auditing.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-501015</wp:posOffset>
            </wp:positionV>
            <wp:extent cx="5231130"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00"/>
        <w:spacing w:after="0" w:line="218" w:lineRule="auto"/>
        <w:rPr>
          <w:sz w:val="20"/>
          <w:szCs w:val="20"/>
          <w:color w:val="auto"/>
        </w:rPr>
      </w:pPr>
      <w:r>
        <w:rPr>
          <w:rFonts w:ascii="Arial" w:cs="Arial" w:eastAsia="Arial" w:hAnsi="Arial"/>
          <w:sz w:val="13"/>
          <w:szCs w:val="13"/>
          <w:color w:val="auto"/>
        </w:rPr>
        <w:t>There is no obligation to comply with the recommendations or suggestions of the Corporate Governance Code. The German Stock Corporation Act (</w:t>
      </w:r>
      <w:r>
        <w:rPr>
          <w:rFonts w:ascii="Arial" w:cs="Arial" w:eastAsia="Arial" w:hAnsi="Arial"/>
          <w:sz w:val="13"/>
          <w:szCs w:val="13"/>
          <w:i w:val="1"/>
          <w:iCs w:val="1"/>
          <w:color w:val="auto"/>
        </w:rPr>
        <w:t>Aktiengesetz</w:t>
      </w:r>
      <w:r>
        <w:rPr>
          <w:rFonts w:ascii="Arial" w:cs="Arial" w:eastAsia="Arial" w:hAnsi="Arial"/>
          <w:sz w:val="13"/>
          <w:szCs w:val="13"/>
          <w:color w:val="auto"/>
        </w:rPr>
        <w:t>) requires only that the management board and supervisory board of a German company listed on a trading facility (such as a stock exchange) which is regulated and supervised by government authorities issue an annual declaration that either (i) states that the company has complied with the recommendations of the Corporate Governance Code or (ii) lists the recommendations that the company has not complied with and explains its reasons for deviating from the recommendations of the</w:t>
      </w:r>
    </w:p>
    <w:p>
      <w:pPr>
        <w:sectPr>
          <w:pgSz w:w="11900" w:h="16840" w:orient="portrait"/>
          <w:cols w:equalWidth="0" w:num="1">
            <w:col w:w="9020"/>
          </w:cols>
          <w:pgMar w:left="1440" w:top="1440" w:right="1440" w:bottom="110" w:gutter="0" w:footer="0" w:header="0"/>
        </w:sectPr>
      </w:pPr>
    </w:p>
    <w:bookmarkStart w:id="169" w:name="page170"/>
    <w:bookmarkEnd w:id="169"/>
    <w:p>
      <w:pPr>
        <w:ind w:left="380" w:right="2140"/>
        <w:spacing w:after="0" w:line="214" w:lineRule="auto"/>
        <w:rPr>
          <w:sz w:val="20"/>
          <w:szCs w:val="20"/>
          <w:color w:val="auto"/>
        </w:rPr>
      </w:pPr>
      <w:r>
        <w:rPr>
          <w:rFonts w:ascii="Arial" w:cs="Arial" w:eastAsia="Arial" w:hAnsi="Arial"/>
          <w:sz w:val="13"/>
          <w:szCs w:val="13"/>
          <w:color w:val="auto"/>
        </w:rPr>
        <w:t>Corporate Governance Code (</w:t>
      </w:r>
      <w:r>
        <w:rPr>
          <w:rFonts w:ascii="Arial" w:cs="Arial" w:eastAsia="Arial" w:hAnsi="Arial"/>
          <w:sz w:val="13"/>
          <w:szCs w:val="13"/>
          <w:i w:val="1"/>
          <w:iCs w:val="1"/>
          <w:color w:val="auto"/>
        </w:rPr>
        <w:t>Entsprechenserklärung</w:t>
      </w:r>
      <w:r>
        <w:rPr>
          <w:rFonts w:ascii="Arial" w:cs="Arial" w:eastAsia="Arial" w:hAnsi="Arial"/>
          <w:sz w:val="13"/>
          <w:szCs w:val="13"/>
          <w:color w:val="auto"/>
        </w:rPr>
        <w:t>). In addition, a listed company is also required to state in this annual declaration whether it intends to comply with the recommendations or list the recommendations it does not plan to comply with in the future. These declarations must be made accessible to shareholders at all times. If the company changes its policy on certain recommendations between such annual declarations, it must disclose this fact and explain its reasons for deviating from the recommendations. Non-compliance with suggestions contained in the Corporate Governance Code need not be disclosed.</w:t>
      </w:r>
    </w:p>
    <w:p>
      <w:pPr>
        <w:spacing w:after="0" w:line="1" w:lineRule="exact"/>
        <w:rPr>
          <w:sz w:val="20"/>
          <w:szCs w:val="20"/>
          <w:color w:val="auto"/>
        </w:rPr>
      </w:pPr>
    </w:p>
    <w:p>
      <w:pPr>
        <w:jc w:val="both"/>
        <w:ind w:left="380" w:right="2260"/>
        <w:spacing w:after="0" w:line="210" w:lineRule="auto"/>
        <w:rPr>
          <w:sz w:val="20"/>
          <w:szCs w:val="20"/>
          <w:color w:val="auto"/>
        </w:rPr>
      </w:pPr>
      <w:r>
        <w:rPr>
          <w:rFonts w:ascii="Arial" w:cs="Arial" w:eastAsia="Arial" w:hAnsi="Arial"/>
          <w:sz w:val="13"/>
          <w:szCs w:val="13"/>
          <w:color w:val="auto"/>
        </w:rPr>
        <w:t>As a listed company, our Management Board and Supervisory Board comply with the Corporate Governance Code except for such provisions which are listed explicitly in the annual declaration and for which they provide an explanation of non-compliance.</w:t>
      </w:r>
    </w:p>
    <w:p>
      <w:pPr>
        <w:ind w:left="380"/>
        <w:spacing w:after="0" w:line="213" w:lineRule="auto"/>
        <w:rPr>
          <w:sz w:val="20"/>
          <w:szCs w:val="20"/>
          <w:color w:val="auto"/>
        </w:rPr>
      </w:pPr>
      <w:r>
        <w:rPr>
          <w:rFonts w:ascii="Arial" w:cs="Arial" w:eastAsia="Arial" w:hAnsi="Arial"/>
          <w:sz w:val="13"/>
          <w:szCs w:val="13"/>
          <w:b w:val="1"/>
          <w:bCs w:val="1"/>
          <w:color w:val="005A64"/>
        </w:rPr>
        <w:t>Differences in Corporate Law</w:t>
      </w:r>
    </w:p>
    <w:p>
      <w:pPr>
        <w:spacing w:after="0" w:line="1" w:lineRule="exact"/>
        <w:rPr>
          <w:sz w:val="20"/>
          <w:szCs w:val="20"/>
          <w:color w:val="auto"/>
        </w:rPr>
      </w:pPr>
    </w:p>
    <w:p>
      <w:pPr>
        <w:ind w:left="380" w:right="2140"/>
        <w:spacing w:after="0" w:line="217" w:lineRule="auto"/>
        <w:rPr>
          <w:sz w:val="20"/>
          <w:szCs w:val="20"/>
          <w:color w:val="auto"/>
        </w:rPr>
      </w:pPr>
      <w:r>
        <w:rPr>
          <w:rFonts w:ascii="Arial" w:cs="Arial" w:eastAsia="Arial" w:hAnsi="Arial"/>
          <w:sz w:val="13"/>
          <w:szCs w:val="13"/>
          <w:color w:val="auto"/>
        </w:rPr>
        <w:t>The applicable provisions of the SE Regulation in conjunction with the German Stock Corporation Act as applied to a European stock corporation that has its legal seat in Germany differ from laws applicable to U.S. corporations and their shareholders. Set forth below is a summary of certain differences between the provisions of the SE Regulation in conjunction with the German Stock Corporation Act applicable to us and the General Corporation Law of the State of Delaware relating to shareholders’ rights and protections. This summary is not intended to be a complete discussion of the respective rights and it is qualified in its entirety by reference to Delaware law and European and German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-11430</wp:posOffset>
            </wp:positionV>
            <wp:extent cx="4262120" cy="127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262120" cy="12700"/>
                    </a:xfrm>
                    <a:prstGeom prst="rect">
                      <a:avLst/>
                    </a:prstGeom>
                    <a:noFill/>
                  </pic:spPr>
                </pic:pic>
              </a:graphicData>
            </a:graphic>
          </wp:anchor>
        </w:drawing>
      </w:r>
    </w:p>
    <w:p>
      <w:pPr>
        <w:sectPr>
          <w:pgSz w:w="11900" w:h="16840" w:orient="portrait"/>
          <w:cols w:equalWidth="0" w:num="1">
            <w:col w:w="9020"/>
          </w:cols>
          <w:pgMar w:left="1440" w:top="560" w:right="1440" w:bottom="1440" w:gutter="0" w:footer="0" w:header="0"/>
        </w:sectPr>
      </w:pPr>
    </w:p>
    <w:p>
      <w:pPr>
        <w:spacing w:after="0" w:line="96"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80" w:type="dxa"/>
            <w:vAlign w:val="bottom"/>
          </w:tcPr>
          <w:p>
            <w:pPr>
              <w:spacing w:after="0"/>
              <w:rPr>
                <w:sz w:val="20"/>
                <w:szCs w:val="20"/>
                <w:color w:val="auto"/>
              </w:rPr>
            </w:pPr>
            <w:r>
              <w:rPr>
                <w:rFonts w:ascii="Arial" w:cs="Arial" w:eastAsia="Arial" w:hAnsi="Arial"/>
                <w:sz w:val="12"/>
                <w:szCs w:val="12"/>
                <w:b w:val="1"/>
                <w:bCs w:val="1"/>
                <w:color w:val="005A64"/>
              </w:rPr>
              <w:t>European Union/Federal Republic</w:t>
            </w:r>
          </w:p>
        </w:tc>
        <w:tc>
          <w:tcPr>
            <w:tcW w:w="0" w:type="dxa"/>
            <w:vAlign w:val="bottom"/>
          </w:tcPr>
          <w:p>
            <w:pPr>
              <w:spacing w:after="0"/>
              <w:rPr>
                <w:sz w:val="1"/>
                <w:szCs w:val="1"/>
                <w:color w:val="auto"/>
              </w:rPr>
            </w:pPr>
          </w:p>
        </w:tc>
      </w:tr>
      <w:tr>
        <w:trPr>
          <w:trHeight w:val="166"/>
        </w:trPr>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Arial" w:cs="Arial" w:eastAsia="Arial" w:hAnsi="Arial"/>
                <w:sz w:val="12"/>
                <w:szCs w:val="12"/>
                <w:b w:val="1"/>
                <w:bCs w:val="1"/>
                <w:color w:val="005A64"/>
              </w:rPr>
              <w:t>of Germany</w:t>
            </w:r>
          </w:p>
        </w:tc>
        <w:tc>
          <w:tcPr>
            <w:tcW w:w="0" w:type="dxa"/>
            <w:vAlign w:val="bottom"/>
          </w:tcPr>
          <w:p>
            <w:pPr>
              <w:spacing w:after="0"/>
              <w:rPr>
                <w:sz w:val="1"/>
                <w:szCs w:val="1"/>
                <w:color w:val="auto"/>
              </w:rPr>
            </w:pPr>
          </w:p>
        </w:tc>
      </w:tr>
      <w:tr>
        <w:trPr>
          <w:trHeight w:val="57"/>
        </w:trPr>
        <w:tc>
          <w:tcPr>
            <w:tcW w:w="1460" w:type="dxa"/>
            <w:vAlign w:val="bottom"/>
            <w:tcBorders>
              <w:bottom w:val="single" w:sz="8" w:color="005A64"/>
            </w:tcBorders>
          </w:tcPr>
          <w:p>
            <w:pPr>
              <w:spacing w:after="0"/>
              <w:rPr>
                <w:sz w:val="4"/>
                <w:szCs w:val="4"/>
                <w:color w:val="auto"/>
              </w:rPr>
            </w:pPr>
          </w:p>
        </w:tc>
        <w:tc>
          <w:tcPr>
            <w:tcW w:w="60" w:type="dxa"/>
            <w:vAlign w:val="bottom"/>
            <w:vMerge w:val="restart"/>
          </w:tcPr>
          <w:p>
            <w:pPr>
              <w:spacing w:after="0"/>
              <w:rPr>
                <w:sz w:val="4"/>
                <w:szCs w:val="4"/>
                <w:color w:val="auto"/>
              </w:rPr>
            </w:pPr>
          </w:p>
        </w:tc>
        <w:tc>
          <w:tcPr>
            <w:tcW w:w="258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1460" w:type="dxa"/>
            <w:vAlign w:val="bottom"/>
          </w:tcPr>
          <w:p>
            <w:pPr>
              <w:ind w:left="20"/>
              <w:spacing w:after="0" w:line="102" w:lineRule="exact"/>
              <w:rPr>
                <w:sz w:val="20"/>
                <w:szCs w:val="20"/>
                <w:color w:val="auto"/>
              </w:rPr>
            </w:pPr>
            <w:r>
              <w:rPr>
                <w:rFonts w:ascii="Arial" w:cs="Arial" w:eastAsia="Arial" w:hAnsi="Arial"/>
                <w:sz w:val="11"/>
                <w:szCs w:val="11"/>
                <w:color w:val="005A64"/>
              </w:rPr>
              <w:t>Board System</w:t>
            </w:r>
          </w:p>
        </w:tc>
        <w:tc>
          <w:tcPr>
            <w:tcW w:w="60" w:type="dxa"/>
            <w:vAlign w:val="bottom"/>
            <w:vMerge w:val="continue"/>
          </w:tcPr>
          <w:p>
            <w:pPr>
              <w:spacing w:after="0"/>
              <w:rPr>
                <w:sz w:val="8"/>
                <w:szCs w:val="8"/>
                <w:color w:val="auto"/>
              </w:rPr>
            </w:pPr>
          </w:p>
        </w:tc>
        <w:tc>
          <w:tcPr>
            <w:tcW w:w="2580" w:type="dxa"/>
            <w:vAlign w:val="bottom"/>
          </w:tcPr>
          <w:p>
            <w:pPr>
              <w:spacing w:after="0" w:line="102" w:lineRule="exact"/>
              <w:rPr>
                <w:sz w:val="20"/>
                <w:szCs w:val="20"/>
                <w:color w:val="auto"/>
              </w:rPr>
            </w:pPr>
            <w:r>
              <w:rPr>
                <w:rFonts w:ascii="Arial" w:cs="Arial" w:eastAsia="Arial" w:hAnsi="Arial"/>
                <w:sz w:val="11"/>
                <w:szCs w:val="11"/>
                <w:color w:val="005A64"/>
              </w:rPr>
              <w:t>A European stock corporation may choose to</w:t>
            </w: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have a two-tier board structure composed of</w:t>
            </w: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the Management Board (Vorstand) and the</w:t>
            </w: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Supervisory Board (Aufsichtsrat). We have</w:t>
            </w: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chosen this structure.</w:t>
            </w: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The Management Board is responsible for</w:t>
            </w: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running the company’s affairs and</w:t>
            </w: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representing the company in dealings with</w:t>
            </w: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third parties.</w:t>
            </w: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The Supervisory Board of a European stock</w:t>
            </w: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corporation under German law has a control</w:t>
            </w: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and supervisory function. The Supervisory</w:t>
            </w: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Board does not actively manage the company</w:t>
            </w: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but certain Management Board actions</w:t>
            </w: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80" w:type="dxa"/>
            <w:vAlign w:val="bottom"/>
          </w:tcPr>
          <w:p>
            <w:pPr>
              <w:spacing w:after="0"/>
              <w:rPr>
                <w:sz w:val="20"/>
                <w:szCs w:val="20"/>
                <w:color w:val="auto"/>
              </w:rPr>
            </w:pPr>
            <w:r>
              <w:rPr>
                <w:rFonts w:ascii="Arial" w:cs="Arial" w:eastAsia="Arial" w:hAnsi="Arial"/>
                <w:sz w:val="12"/>
                <w:szCs w:val="12"/>
                <w:color w:val="005A64"/>
              </w:rPr>
              <w:t>require the approval of the Supervisory Board.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005A64"/>
        </w:rPr>
        <w:t>Delaware</w:t>
      </w:r>
    </w:p>
    <w:p>
      <w:pPr>
        <w:spacing w:after="0" w:line="206" w:lineRule="exact"/>
        <w:rPr>
          <w:sz w:val="20"/>
          <w:szCs w:val="20"/>
          <w:color w:val="auto"/>
        </w:rPr>
      </w:pPr>
    </w:p>
    <w:p>
      <w:pPr>
        <w:ind w:right="2100"/>
        <w:spacing w:after="0" w:line="213" w:lineRule="auto"/>
        <w:rPr>
          <w:sz w:val="20"/>
          <w:szCs w:val="20"/>
          <w:color w:val="auto"/>
        </w:rPr>
      </w:pPr>
      <w:r>
        <w:rPr>
          <w:rFonts w:ascii="Arial" w:cs="Arial" w:eastAsia="Arial" w:hAnsi="Arial"/>
          <w:sz w:val="12"/>
          <w:szCs w:val="12"/>
          <w:color w:val="005A64"/>
        </w:rPr>
        <w:t>Under Delaware law, a corporation has a unitary board structure, and it is the responsibility of the board of directors to appoint and oversee the management of the corporation on behalf of and in the best interests of the stockholders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-543560</wp:posOffset>
            </wp:positionV>
            <wp:extent cx="1630045"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630045" cy="6350"/>
                    </a:xfrm>
                    <a:prstGeom prst="rect">
                      <a:avLst/>
                    </a:prstGeom>
                    <a:noFill/>
                  </pic:spPr>
                </pic:pic>
              </a:graphicData>
            </a:graphic>
          </wp:anchor>
        </w:drawing>
      </w:r>
    </w:p>
    <w:p>
      <w:pPr>
        <w:ind w:right="2180"/>
        <w:spacing w:after="0" w:line="226" w:lineRule="auto"/>
        <w:rPr>
          <w:sz w:val="20"/>
          <w:szCs w:val="20"/>
          <w:color w:val="auto"/>
        </w:rPr>
      </w:pPr>
      <w:r>
        <w:rPr>
          <w:rFonts w:ascii="Arial" w:cs="Arial" w:eastAsia="Arial" w:hAnsi="Arial"/>
          <w:sz w:val="12"/>
          <w:szCs w:val="12"/>
          <w:color w:val="005A64"/>
        </w:rPr>
        <w:t>Management is responsible for running the corporation and overseeing its day-to-day operations.</w:t>
      </w:r>
    </w:p>
    <w:p>
      <w:pPr>
        <w:spacing w:after="0" w:line="807" w:lineRule="exact"/>
        <w:rPr>
          <w:sz w:val="20"/>
          <w:szCs w:val="20"/>
          <w:color w:val="auto"/>
        </w:rPr>
      </w:pPr>
    </w:p>
    <w:p>
      <w:pPr>
        <w:sectPr>
          <w:pgSz w:w="11900" w:h="16840" w:orient="portrait"/>
          <w:cols w:equalWidth="0" w:num="2">
            <w:col w:w="4480" w:space="60"/>
            <w:col w:w="4480"/>
          </w:cols>
          <w:pgMar w:left="1440" w:top="5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245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47" w:lineRule="exact"/>
        <w:rPr>
          <w:sz w:val="20"/>
          <w:szCs w:val="20"/>
          <w:color w:val="auto"/>
        </w:rPr>
      </w:pPr>
    </w:p>
    <w:tbl>
      <w:tblPr>
        <w:tblLayout w:type="fixed"/>
        <w:tblInd w:w="380" w:type="dxa"/>
        <w:tblCellMar>
          <w:top w:w="0" w:type="dxa"/>
          <w:left w:w="0" w:type="dxa"/>
          <w:bottom w:w="0" w:type="dxa"/>
          <w:right w:w="0" w:type="dxa"/>
        </w:tblCellMar>
      </w:tblPr>
      <w:tr>
        <w:trPr>
          <w:trHeight w:val="20"/>
        </w:trPr>
        <w:tc>
          <w:tcPr>
            <w:tcW w:w="720" w:type="dxa"/>
            <w:vAlign w:val="bottom"/>
            <w:shd w:val="clear" w:color="auto" w:fill="BECD32"/>
          </w:tcPr>
          <w:p>
            <w:pPr>
              <w:spacing w:after="0" w:line="20" w:lineRule="exact"/>
              <w:rPr>
                <w:sz w:val="1"/>
                <w:szCs w:val="1"/>
                <w:color w:val="auto"/>
              </w:rPr>
            </w:pPr>
          </w:p>
        </w:tc>
        <w:tc>
          <w:tcPr>
            <w:tcW w:w="600" w:type="dxa"/>
            <w:vAlign w:val="bottom"/>
            <w:shd w:val="clear" w:color="auto" w:fill="BECE33"/>
          </w:tcPr>
          <w:p>
            <w:pPr>
              <w:spacing w:after="0" w:line="20" w:lineRule="exact"/>
              <w:rPr>
                <w:sz w:val="1"/>
                <w:szCs w:val="1"/>
                <w:color w:val="auto"/>
              </w:rPr>
            </w:pPr>
          </w:p>
        </w:tc>
        <w:tc>
          <w:tcPr>
            <w:tcW w:w="2580" w:type="dxa"/>
            <w:vAlign w:val="bottom"/>
            <w:shd w:val="clear" w:color="auto" w:fill="BECE3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1"/>
        </w:trPr>
        <w:tc>
          <w:tcPr>
            <w:tcW w:w="1320" w:type="dxa"/>
            <w:vAlign w:val="bottom"/>
            <w:gridSpan w:val="2"/>
          </w:tcPr>
          <w:p>
            <w:pPr>
              <w:ind w:left="20"/>
              <w:spacing w:after="0" w:line="102" w:lineRule="exact"/>
              <w:rPr>
                <w:sz w:val="20"/>
                <w:szCs w:val="20"/>
                <w:color w:val="auto"/>
              </w:rPr>
            </w:pPr>
            <w:r>
              <w:rPr>
                <w:rFonts w:ascii="Arial" w:cs="Arial" w:eastAsia="Arial" w:hAnsi="Arial"/>
                <w:sz w:val="11"/>
                <w:szCs w:val="11"/>
                <w:color w:val="005A64"/>
              </w:rPr>
              <w:t>Appointment and</w:t>
            </w:r>
          </w:p>
        </w:tc>
        <w:tc>
          <w:tcPr>
            <w:tcW w:w="2700" w:type="dxa"/>
            <w:vAlign w:val="bottom"/>
            <w:gridSpan w:val="2"/>
          </w:tcPr>
          <w:p>
            <w:pPr>
              <w:ind w:left="200"/>
              <w:spacing w:after="0" w:line="102" w:lineRule="exact"/>
              <w:rPr>
                <w:sz w:val="20"/>
                <w:szCs w:val="20"/>
                <w:color w:val="auto"/>
              </w:rPr>
            </w:pPr>
            <w:r>
              <w:rPr>
                <w:rFonts w:ascii="Arial" w:cs="Arial" w:eastAsia="Arial" w:hAnsi="Arial"/>
                <w:sz w:val="11"/>
                <w:szCs w:val="11"/>
                <w:color w:val="005A64"/>
              </w:rPr>
              <w:t>Under applicable European and German law,</w:t>
            </w:r>
          </w:p>
        </w:tc>
      </w:tr>
      <w:tr>
        <w:trPr>
          <w:trHeight w:val="121"/>
        </w:trPr>
        <w:tc>
          <w:tcPr>
            <w:tcW w:w="1320" w:type="dxa"/>
            <w:vAlign w:val="bottom"/>
            <w:gridSpan w:val="2"/>
          </w:tcPr>
          <w:p>
            <w:pPr>
              <w:ind w:left="20"/>
              <w:spacing w:after="0" w:line="121" w:lineRule="exact"/>
              <w:rPr>
                <w:sz w:val="20"/>
                <w:szCs w:val="20"/>
                <w:color w:val="auto"/>
              </w:rPr>
            </w:pPr>
            <w:r>
              <w:rPr>
                <w:rFonts w:ascii="Arial" w:cs="Arial" w:eastAsia="Arial" w:hAnsi="Arial"/>
                <w:sz w:val="12"/>
                <w:szCs w:val="12"/>
                <w:color w:val="005A64"/>
              </w:rPr>
              <w:t>Number of Directors</w:t>
            </w: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a European stock corporation governed by</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German law with a share capital of at least €3</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million generally must have at least two</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members on its Management Board and the</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number of members shall be determined by or</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in the manner provided in the company’s</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articles of association.</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The Supervisory Board must consist of at</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least three but—depending on the share</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capital—no more than 21 Supervisory Board</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members, whereby the number of Supervisory</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Board members must be divisible by three if</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this is necessary for the fulfilment of co-</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determination requirements. The articles of</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association of the company must specify if the</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Supervisory Board has more than three</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members.</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Supervisory Board members are either</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appointed by the shareholders’ meeting or</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delegated by one or more individual</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shareholders if so provided for in the</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company’s articles of association. If the</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Supervisory Board consists of fewer members</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than is required to meet the quorum for</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resolutions (either statutory or pursuant to the</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company’s articles of association), a</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competent court may appoint additional</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members as needed to meet the quorum. The</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provisions of German law in relation to</w:t>
            </w:r>
          </w:p>
        </w:tc>
      </w:tr>
      <w:tr>
        <w:trPr>
          <w:trHeight w:val="121"/>
        </w:trPr>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700" w:type="dxa"/>
            <w:vAlign w:val="bottom"/>
            <w:gridSpan w:val="2"/>
          </w:tcPr>
          <w:p>
            <w:pPr>
              <w:ind w:left="200"/>
              <w:spacing w:after="0" w:line="121" w:lineRule="exact"/>
              <w:rPr>
                <w:sz w:val="20"/>
                <w:szCs w:val="20"/>
                <w:color w:val="auto"/>
              </w:rPr>
            </w:pPr>
            <w:r>
              <w:rPr>
                <w:rFonts w:ascii="Arial" w:cs="Arial" w:eastAsia="Arial" w:hAnsi="Arial"/>
                <w:sz w:val="12"/>
                <w:szCs w:val="12"/>
                <w:color w:val="005A64"/>
              </w:rPr>
              <w:t>employees’ co-determination do not apply to</w:t>
            </w:r>
          </w:p>
        </w:tc>
      </w:tr>
      <w:tr>
        <w:trPr>
          <w:trHeight w:val="160"/>
        </w:trPr>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700" w:type="dxa"/>
            <w:vAlign w:val="bottom"/>
            <w:gridSpan w:val="2"/>
          </w:tcPr>
          <w:p>
            <w:pPr>
              <w:ind w:left="200"/>
              <w:spacing w:after="0"/>
              <w:rPr>
                <w:sz w:val="20"/>
                <w:szCs w:val="20"/>
                <w:color w:val="auto"/>
              </w:rPr>
            </w:pPr>
            <w:r>
              <w:rPr>
                <w:rFonts w:ascii="Arial" w:cs="Arial" w:eastAsia="Arial" w:hAnsi="Arial"/>
                <w:sz w:val="12"/>
                <w:szCs w:val="12"/>
                <w:color w:val="005A64"/>
              </w:rPr>
              <w:t>the Company.</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20"/>
        <w:spacing w:after="0" w:line="227" w:lineRule="auto"/>
        <w:rPr>
          <w:sz w:val="20"/>
          <w:szCs w:val="20"/>
          <w:color w:val="auto"/>
        </w:rPr>
      </w:pPr>
      <w:r>
        <w:rPr>
          <w:rFonts w:ascii="Arial" w:cs="Arial" w:eastAsia="Arial" w:hAnsi="Arial"/>
          <w:sz w:val="12"/>
          <w:szCs w:val="12"/>
          <w:color w:val="005A64"/>
        </w:rPr>
        <w:t>Under Delaware law, a corporation must have at least one director and the number of directors shall be fixed by or in the manner provided in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-330835</wp:posOffset>
            </wp:positionV>
            <wp:extent cx="2753360" cy="6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753360" cy="6350"/>
                    </a:xfrm>
                    <a:prstGeom prst="rect">
                      <a:avLst/>
                    </a:prstGeom>
                    <a:noFill/>
                  </pic:spPr>
                </pic:pic>
              </a:graphicData>
            </a:graphic>
          </wp:anchor>
        </w:drawing>
      </w:r>
    </w:p>
    <w:p>
      <w:pPr>
        <w:sectPr>
          <w:pgSz w:w="11900" w:h="16840" w:orient="portrait"/>
          <w:cols w:equalWidth="0" w:num="2">
            <w:col w:w="4400" w:space="140"/>
            <w:col w:w="4480"/>
          </w:cols>
          <w:pgMar w:left="1440" w:top="560" w:right="1440" w:bottom="1440" w:gutter="0" w:footer="0" w:header="0"/>
          <w:type w:val="continuous"/>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246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47" w:lineRule="exact"/>
        <w:rPr>
          <w:sz w:val="20"/>
          <w:szCs w:val="20"/>
          <w:color w:val="auto"/>
        </w:rPr>
      </w:pPr>
    </w:p>
    <w:tbl>
      <w:tblPr>
        <w:tblLayout w:type="fixed"/>
        <w:tblInd w:w="380" w:type="dxa"/>
        <w:tblCellMar>
          <w:top w:w="0" w:type="dxa"/>
          <w:left w:w="0" w:type="dxa"/>
          <w:bottom w:w="0" w:type="dxa"/>
          <w:right w:w="0" w:type="dxa"/>
        </w:tblCellMar>
      </w:tblPr>
      <w:tr>
        <w:trPr>
          <w:trHeight w:val="20"/>
        </w:trPr>
        <w:tc>
          <w:tcPr>
            <w:tcW w:w="720" w:type="dxa"/>
            <w:vAlign w:val="bottom"/>
            <w:shd w:val="clear" w:color="auto" w:fill="BECD32"/>
          </w:tcPr>
          <w:p>
            <w:pPr>
              <w:spacing w:after="0" w:line="20" w:lineRule="exact"/>
              <w:rPr>
                <w:sz w:val="1"/>
                <w:szCs w:val="1"/>
                <w:color w:val="auto"/>
              </w:rPr>
            </w:pPr>
          </w:p>
        </w:tc>
        <w:tc>
          <w:tcPr>
            <w:tcW w:w="620" w:type="dxa"/>
            <w:vAlign w:val="bottom"/>
            <w:shd w:val="clear" w:color="auto" w:fill="BECE33"/>
          </w:tcPr>
          <w:p>
            <w:pPr>
              <w:spacing w:after="0" w:line="20" w:lineRule="exact"/>
              <w:rPr>
                <w:sz w:val="1"/>
                <w:szCs w:val="1"/>
                <w:color w:val="auto"/>
              </w:rPr>
            </w:pPr>
          </w:p>
        </w:tc>
        <w:tc>
          <w:tcPr>
            <w:tcW w:w="2560" w:type="dxa"/>
            <w:vAlign w:val="bottom"/>
            <w:shd w:val="clear" w:color="auto" w:fill="BECE3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1"/>
        </w:trPr>
        <w:tc>
          <w:tcPr>
            <w:tcW w:w="1340" w:type="dxa"/>
            <w:vAlign w:val="bottom"/>
            <w:gridSpan w:val="2"/>
          </w:tcPr>
          <w:p>
            <w:pPr>
              <w:ind w:left="20"/>
              <w:spacing w:after="0" w:line="102" w:lineRule="exact"/>
              <w:rPr>
                <w:sz w:val="20"/>
                <w:szCs w:val="20"/>
                <w:color w:val="auto"/>
              </w:rPr>
            </w:pPr>
            <w:r>
              <w:rPr>
                <w:rFonts w:ascii="Arial" w:cs="Arial" w:eastAsia="Arial" w:hAnsi="Arial"/>
                <w:sz w:val="11"/>
                <w:szCs w:val="11"/>
                <w:color w:val="005A64"/>
              </w:rPr>
              <w:t>Removal of Directors</w:t>
            </w:r>
          </w:p>
        </w:tc>
        <w:tc>
          <w:tcPr>
            <w:tcW w:w="2640" w:type="dxa"/>
            <w:vAlign w:val="bottom"/>
            <w:gridSpan w:val="2"/>
          </w:tcPr>
          <w:p>
            <w:pPr>
              <w:ind w:left="180"/>
              <w:spacing w:after="0" w:line="102" w:lineRule="exact"/>
              <w:rPr>
                <w:sz w:val="20"/>
                <w:szCs w:val="20"/>
                <w:color w:val="auto"/>
              </w:rPr>
            </w:pPr>
            <w:r>
              <w:rPr>
                <w:rFonts w:ascii="Arial" w:cs="Arial" w:eastAsia="Arial" w:hAnsi="Arial"/>
                <w:sz w:val="11"/>
                <w:szCs w:val="11"/>
                <w:color w:val="005A64"/>
              </w:rPr>
              <w:t>Members of the Management Board of a</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European stock corporation are appointed by</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the Supervisory Board for a maximum period</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of six years with an opportunity to be</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reelected. The articles of association may</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provide for a shorter term which in our case is</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up to five years. The members of the</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Management Board may be reelected, even</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repeatedly. The Supervisory Board may</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remove a member of the Management Board</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prior to the expiration of his or her term only</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for cause, such as gross breach of duties</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w:t>
            </w:r>
            <w:r>
              <w:rPr>
                <w:rFonts w:ascii="Arial" w:cs="Arial" w:eastAsia="Arial" w:hAnsi="Arial"/>
                <w:sz w:val="12"/>
                <w:szCs w:val="12"/>
                <w:i w:val="1"/>
                <w:iCs w:val="1"/>
                <w:color w:val="005A64"/>
              </w:rPr>
              <w:t>grobe Pflichtverletzung</w:t>
            </w:r>
            <w:r>
              <w:rPr>
                <w:rFonts w:ascii="Arial" w:cs="Arial" w:eastAsia="Arial" w:hAnsi="Arial"/>
                <w:sz w:val="12"/>
                <w:szCs w:val="12"/>
                <w:color w:val="005A64"/>
              </w:rPr>
              <w:t>), the inability to</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manage the business properly (</w:t>
            </w:r>
            <w:r>
              <w:rPr>
                <w:rFonts w:ascii="Arial" w:cs="Arial" w:eastAsia="Arial" w:hAnsi="Arial"/>
                <w:sz w:val="12"/>
                <w:szCs w:val="12"/>
                <w:i w:val="1"/>
                <w:iCs w:val="1"/>
                <w:color w:val="005A64"/>
              </w:rPr>
              <w:t>Unfähigkeit</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i w:val="1"/>
                <w:iCs w:val="1"/>
                <w:color w:val="005A64"/>
              </w:rPr>
              <w:t>zur ordnungsgemäßen Pflichtausübung</w:t>
            </w:r>
            <w:r>
              <w:rPr>
                <w:rFonts w:ascii="Arial" w:cs="Arial" w:eastAsia="Arial" w:hAnsi="Arial"/>
                <w:sz w:val="12"/>
                <w:szCs w:val="12"/>
                <w:color w:val="005A64"/>
              </w:rPr>
              <w:t>) or a</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vote of no-confidence during the</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shareholders’ meeting (</w:t>
            </w:r>
            <w:r>
              <w:rPr>
                <w:rFonts w:ascii="Arial" w:cs="Arial" w:eastAsia="Arial" w:hAnsi="Arial"/>
                <w:sz w:val="12"/>
                <w:szCs w:val="12"/>
                <w:i w:val="1"/>
                <w:iCs w:val="1"/>
                <w:color w:val="005A64"/>
              </w:rPr>
              <w:t>Vertrauensentzug</w:t>
            </w:r>
            <w:r>
              <w:rPr>
                <w:rFonts w:ascii="Arial" w:cs="Arial" w:eastAsia="Arial" w:hAnsi="Arial"/>
                <w:sz w:val="12"/>
                <w:szCs w:val="12"/>
                <w:color w:val="005A64"/>
              </w:rPr>
              <w:t>).</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The shareholders themselves are not entitled</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to appoint or dismiss the members of the</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Management Board.</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Under European law, a member of the</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Supervisory Board of a company may be</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elected for a term of up to six years. The</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articles of association may provide for a</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shorter term. Our Supervisory Board</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members are, if the general meeting does not</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resolve on a shorter term, elected for a period</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up to the end of the general meeting deciding</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on the discharge for the fourth financial year</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after the election. Reelection, including</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repeated reelection, is permissible. Members</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of the Supervisory Board may be removed</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with or without cause by way of a general</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meeting resolution, with the applicable</w:t>
            </w:r>
          </w:p>
        </w:tc>
      </w:tr>
      <w:tr>
        <w:trPr>
          <w:trHeight w:val="121"/>
        </w:trPr>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40" w:type="dxa"/>
            <w:vAlign w:val="bottom"/>
            <w:gridSpan w:val="2"/>
          </w:tcPr>
          <w:p>
            <w:pPr>
              <w:ind w:left="180"/>
              <w:spacing w:after="0" w:line="121" w:lineRule="exact"/>
              <w:rPr>
                <w:sz w:val="20"/>
                <w:szCs w:val="20"/>
                <w:color w:val="auto"/>
              </w:rPr>
            </w:pPr>
            <w:r>
              <w:rPr>
                <w:rFonts w:ascii="Arial" w:cs="Arial" w:eastAsia="Arial" w:hAnsi="Arial"/>
                <w:sz w:val="12"/>
                <w:szCs w:val="12"/>
                <w:color w:val="005A64"/>
              </w:rPr>
              <w:t>majority requirement depending on the</w:t>
            </w:r>
          </w:p>
        </w:tc>
      </w:tr>
      <w:tr>
        <w:trPr>
          <w:trHeight w:val="160"/>
        </w:trPr>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40" w:type="dxa"/>
            <w:vAlign w:val="bottom"/>
            <w:gridSpan w:val="2"/>
          </w:tcPr>
          <w:p>
            <w:pPr>
              <w:ind w:left="180"/>
              <w:spacing w:after="0"/>
              <w:rPr>
                <w:sz w:val="20"/>
                <w:szCs w:val="20"/>
                <w:color w:val="auto"/>
              </w:rPr>
            </w:pPr>
            <w:r>
              <w:rPr>
                <w:rFonts w:ascii="Arial" w:cs="Arial" w:eastAsia="Arial" w:hAnsi="Arial"/>
                <w:sz w:val="12"/>
                <w:szCs w:val="12"/>
                <w:color w:val="005A64"/>
              </w:rPr>
              <w:t>relevant company’s articles of association.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020"/>
        <w:spacing w:after="0" w:line="214" w:lineRule="auto"/>
        <w:rPr>
          <w:sz w:val="20"/>
          <w:szCs w:val="20"/>
          <w:color w:val="auto"/>
        </w:rPr>
      </w:pPr>
      <w:r>
        <w:rPr>
          <w:rFonts w:ascii="Arial" w:cs="Arial" w:eastAsia="Arial" w:hAnsi="Arial"/>
          <w:sz w:val="12"/>
          <w:szCs w:val="12"/>
          <w:color w:val="005A64"/>
        </w:rPr>
        <w:t>Under Delaware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 (ii)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-1405255</wp:posOffset>
            </wp:positionV>
            <wp:extent cx="2753360"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753360" cy="6350"/>
                    </a:xfrm>
                    <a:prstGeom prst="rect">
                      <a:avLst/>
                    </a:prstGeom>
                    <a:noFill/>
                  </pic:spPr>
                </pic:pic>
              </a:graphicData>
            </a:graphic>
          </wp:anchor>
        </w:drawing>
      </w:r>
    </w:p>
    <w:p>
      <w:pPr>
        <w:spacing w:after="0" w:line="2390" w:lineRule="exact"/>
        <w:rPr>
          <w:sz w:val="20"/>
          <w:szCs w:val="20"/>
          <w:color w:val="auto"/>
        </w:rPr>
      </w:pPr>
    </w:p>
    <w:p>
      <w:pPr>
        <w:sectPr>
          <w:pgSz w:w="11900" w:h="16840" w:orient="portrait"/>
          <w:cols w:equalWidth="0" w:num="2">
            <w:col w:w="4360" w:space="180"/>
            <w:col w:w="4480"/>
          </w:cols>
          <w:pgMar w:left="1440" w:top="1440" w:right="1440" w:bottom="8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0"/>
        <w:spacing w:after="0"/>
        <w:tabs>
          <w:tab w:leader="none" w:pos="1880" w:val="left"/>
        </w:tabs>
        <w:rPr>
          <w:sz w:val="20"/>
          <w:szCs w:val="20"/>
          <w:color w:val="auto"/>
        </w:rPr>
      </w:pPr>
      <w:r>
        <w:rPr>
          <w:rFonts w:ascii="Arial" w:cs="Arial" w:eastAsia="Arial" w:hAnsi="Arial"/>
          <w:sz w:val="12"/>
          <w:szCs w:val="12"/>
          <w:color w:val="005A64"/>
        </w:rPr>
        <w:t>Vacancies on the Board</w:t>
      </w:r>
      <w:r>
        <w:rPr>
          <w:sz w:val="20"/>
          <w:szCs w:val="20"/>
          <w:color w:val="auto"/>
        </w:rPr>
        <w:tab/>
      </w:r>
      <w:r>
        <w:rPr>
          <w:rFonts w:ascii="Arial" w:cs="Arial" w:eastAsia="Arial" w:hAnsi="Arial"/>
          <w:sz w:val="12"/>
          <w:szCs w:val="12"/>
          <w:color w:val="005A64"/>
        </w:rPr>
        <w:t>Under the law, vacant positions on the</w:t>
      </w:r>
    </w:p>
    <w:p>
      <w:pPr>
        <w:ind w:left="400"/>
        <w:spacing w:after="0" w:line="210" w:lineRule="auto"/>
        <w:tabs>
          <w:tab w:leader="none" w:pos="1880" w:val="left"/>
        </w:tabs>
        <w:rPr>
          <w:sz w:val="20"/>
          <w:szCs w:val="20"/>
          <w:color w:val="auto"/>
        </w:rPr>
      </w:pPr>
      <w:r>
        <w:rPr>
          <w:rFonts w:ascii="Arial" w:cs="Arial" w:eastAsia="Arial" w:hAnsi="Arial"/>
          <w:sz w:val="12"/>
          <w:szCs w:val="12"/>
          <w:color w:val="005A64"/>
        </w:rPr>
        <w:t>of Directors</w:t>
      </w:r>
      <w:r>
        <w:rPr>
          <w:sz w:val="20"/>
          <w:szCs w:val="20"/>
          <w:color w:val="auto"/>
        </w:rPr>
        <w:tab/>
      </w:r>
      <w:r>
        <w:rPr>
          <w:rFonts w:ascii="Arial" w:cs="Arial" w:eastAsia="Arial" w:hAnsi="Arial"/>
          <w:sz w:val="12"/>
          <w:szCs w:val="12"/>
          <w:color w:val="005A64"/>
        </w:rPr>
        <w:t>Management Board are filled by the</w:t>
      </w:r>
    </w:p>
    <w:p>
      <w:pPr>
        <w:spacing w:after="0" w:line="1" w:lineRule="exact"/>
        <w:rPr>
          <w:sz w:val="20"/>
          <w:szCs w:val="20"/>
          <w:color w:val="auto"/>
        </w:rPr>
      </w:pPr>
    </w:p>
    <w:p>
      <w:pPr>
        <w:ind w:left="1900"/>
        <w:spacing w:after="0" w:line="214" w:lineRule="auto"/>
        <w:rPr>
          <w:sz w:val="20"/>
          <w:szCs w:val="20"/>
          <w:color w:val="auto"/>
        </w:rPr>
      </w:pPr>
      <w:r>
        <w:rPr>
          <w:rFonts w:ascii="Arial" w:cs="Arial" w:eastAsia="Arial" w:hAnsi="Arial"/>
          <w:sz w:val="12"/>
          <w:szCs w:val="12"/>
          <w:color w:val="005A64"/>
        </w:rPr>
        <w:t>Supervisory Board in accordance with the general rules of appointment, which provide that vacancies are filled by the simple majority of votes of Supervisory Board members present or represented by proxy at the vote (with, under certain circumstances, the chairman having a casting vote), unless otherwise provided by the company’s articles of association. In case of emergencies, a vacant position on the Management Board may be filled by an individual appointed by the court. Vacant positions on the Supervisory Board are filled in accordance with the general rules of appointment.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40"/>
        <w:spacing w:after="0"/>
        <w:rPr>
          <w:sz w:val="20"/>
          <w:szCs w:val="20"/>
          <w:color w:val="auto"/>
        </w:rPr>
      </w:pPr>
      <w:r>
        <w:rPr>
          <w:rFonts w:ascii="Arial" w:cs="Arial" w:eastAsia="Arial" w:hAnsi="Arial"/>
          <w:sz w:val="11"/>
          <w:szCs w:val="11"/>
          <w:color w:val="005A64"/>
        </w:rPr>
        <w:t>Under Delaware law, vacancies and newly created directorships may be filled by a majority of the directors then in office (even though less than a quorum) or by a sole remaining director unless (i) otherwise provided in the certificate of incorporation or by -laws of the corporation or (ii)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785" w:lineRule="exact"/>
        <w:rPr>
          <w:sz w:val="20"/>
          <w:szCs w:val="20"/>
          <w:color w:val="auto"/>
        </w:rPr>
      </w:pPr>
    </w:p>
    <w:p>
      <w:pPr>
        <w:sectPr>
          <w:pgSz w:w="11900" w:h="16840" w:orient="portrait"/>
          <w:cols w:equalWidth="0" w:num="2">
            <w:col w:w="4380" w:space="160"/>
            <w:col w:w="4480"/>
          </w:cols>
          <w:pgMar w:left="1440" w:top="1440" w:right="1440" w:bottom="84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247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sectPr>
          <w:pgSz w:w="11900" w:h="16840" w:orient="portrait"/>
          <w:cols w:equalWidth="0" w:num="1">
            <w:col w:w="9020"/>
          </w:cols>
          <w:pgMar w:left="1440" w:top="1440" w:right="1440" w:bottom="845" w:gutter="0" w:footer="0" w:header="0"/>
          <w:type w:val="continuous"/>
        </w:sectPr>
      </w:pPr>
    </w:p>
    <w:p>
      <w:pPr>
        <w:ind w:left="1120"/>
        <w:spacing w:after="0"/>
        <w:rPr>
          <w:rFonts w:ascii="Arial" w:cs="Arial" w:eastAsia="Arial" w:hAnsi="Arial"/>
          <w:sz w:val="9"/>
          <w:szCs w:val="9"/>
          <w:b w:val="1"/>
          <w:bCs w:val="1"/>
          <w:color w:val="005A64"/>
        </w:rPr>
      </w:pPr>
      <w:hyperlink w:anchor="page3">
        <w:r>
          <w:rPr>
            <w:rFonts w:ascii="Arial" w:cs="Arial" w:eastAsia="Arial" w:hAnsi="Arial"/>
            <w:sz w:val="9"/>
            <w:szCs w:val="9"/>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37465</wp:posOffset>
            </wp:positionV>
            <wp:extent cx="5231130"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1440" w:right="1440" w:bottom="845" w:gutter="0" w:footer="0" w:header="0"/>
          <w:type w:val="continuous"/>
        </w:sectPr>
      </w:pPr>
    </w:p>
    <w:bookmarkStart w:id="171" w:name="page172"/>
    <w:bookmarkEnd w:id="171"/>
    <w:p>
      <w:pPr>
        <w:ind w:left="400"/>
        <w:spacing w:after="0"/>
        <w:tabs>
          <w:tab w:leader="none" w:pos="1880" w:val="left"/>
        </w:tabs>
        <w:rPr>
          <w:sz w:val="20"/>
          <w:szCs w:val="20"/>
          <w:color w:val="auto"/>
        </w:rPr>
      </w:pPr>
      <w:r>
        <w:rPr>
          <w:rFonts w:ascii="Arial" w:cs="Arial" w:eastAsia="Arial" w:hAnsi="Arial"/>
          <w:sz w:val="12"/>
          <w:szCs w:val="12"/>
          <w:color w:val="005A64"/>
        </w:rPr>
        <w:t>Annual General Meeting</w:t>
      </w:r>
      <w:r>
        <w:rPr>
          <w:sz w:val="20"/>
          <w:szCs w:val="20"/>
          <w:color w:val="auto"/>
        </w:rPr>
        <w:tab/>
      </w:r>
      <w:r>
        <w:rPr>
          <w:rFonts w:ascii="Arial" w:cs="Arial" w:eastAsia="Arial" w:hAnsi="Arial"/>
          <w:sz w:val="12"/>
          <w:szCs w:val="12"/>
          <w:color w:val="005A64"/>
        </w:rPr>
        <w:t>A European stock corporation, which is</w:t>
      </w:r>
    </w:p>
    <w:p>
      <w:pPr>
        <w:ind w:left="1900"/>
        <w:spacing w:after="0" w:line="210" w:lineRule="auto"/>
        <w:rPr>
          <w:sz w:val="20"/>
          <w:szCs w:val="20"/>
          <w:color w:val="auto"/>
        </w:rPr>
      </w:pPr>
      <w:r>
        <w:rPr>
          <w:rFonts w:ascii="Arial" w:cs="Arial" w:eastAsia="Arial" w:hAnsi="Arial"/>
          <w:sz w:val="12"/>
          <w:szCs w:val="12"/>
          <w:color w:val="005A64"/>
        </w:rPr>
        <w:t>governed by German law, must hold an</w:t>
      </w:r>
    </w:p>
    <w:p>
      <w:pPr>
        <w:ind w:left="1900"/>
        <w:spacing w:after="0" w:line="211" w:lineRule="auto"/>
        <w:rPr>
          <w:sz w:val="20"/>
          <w:szCs w:val="20"/>
          <w:color w:val="auto"/>
        </w:rPr>
      </w:pPr>
      <w:r>
        <w:rPr>
          <w:rFonts w:ascii="Arial" w:cs="Arial" w:eastAsia="Arial" w:hAnsi="Arial"/>
          <w:sz w:val="12"/>
          <w:szCs w:val="12"/>
          <w:color w:val="005A64"/>
        </w:rPr>
        <w:t>annual shareholders’ meeting within six</w:t>
      </w:r>
    </w:p>
    <w:p>
      <w:pPr>
        <w:ind w:left="1900"/>
        <w:spacing w:after="0" w:line="211" w:lineRule="auto"/>
        <w:rPr>
          <w:sz w:val="20"/>
          <w:szCs w:val="20"/>
          <w:color w:val="auto"/>
        </w:rPr>
      </w:pPr>
      <w:r>
        <w:rPr>
          <w:rFonts w:ascii="Arial" w:cs="Arial" w:eastAsia="Arial" w:hAnsi="Arial"/>
          <w:sz w:val="12"/>
          <w:szCs w:val="12"/>
          <w:color w:val="005A64"/>
        </w:rPr>
        <w:t>months of the end of its fiscal year. The</w:t>
      </w:r>
    </w:p>
    <w:p>
      <w:pPr>
        <w:ind w:left="1900"/>
        <w:spacing w:after="0" w:line="211" w:lineRule="auto"/>
        <w:rPr>
          <w:sz w:val="20"/>
          <w:szCs w:val="20"/>
          <w:color w:val="auto"/>
        </w:rPr>
      </w:pPr>
      <w:r>
        <w:rPr>
          <w:rFonts w:ascii="Arial" w:cs="Arial" w:eastAsia="Arial" w:hAnsi="Arial"/>
          <w:sz w:val="12"/>
          <w:szCs w:val="12"/>
          <w:color w:val="005A64"/>
        </w:rPr>
        <w:t>annual shareholders’ meeting must be held at</w:t>
      </w:r>
    </w:p>
    <w:p>
      <w:pPr>
        <w:ind w:left="1900"/>
        <w:spacing w:after="0" w:line="211" w:lineRule="auto"/>
        <w:rPr>
          <w:sz w:val="20"/>
          <w:szCs w:val="20"/>
          <w:color w:val="auto"/>
        </w:rPr>
      </w:pPr>
      <w:r>
        <w:rPr>
          <w:rFonts w:ascii="Arial" w:cs="Arial" w:eastAsia="Arial" w:hAnsi="Arial"/>
          <w:sz w:val="12"/>
          <w:szCs w:val="12"/>
          <w:color w:val="005A64"/>
        </w:rPr>
        <w:t>a location determined by the articles of</w:t>
      </w:r>
    </w:p>
    <w:p>
      <w:pPr>
        <w:ind w:left="1900"/>
        <w:spacing w:after="0" w:line="211" w:lineRule="auto"/>
        <w:rPr>
          <w:sz w:val="20"/>
          <w:szCs w:val="20"/>
          <w:color w:val="auto"/>
        </w:rPr>
      </w:pPr>
      <w:r>
        <w:rPr>
          <w:rFonts w:ascii="Arial" w:cs="Arial" w:eastAsia="Arial" w:hAnsi="Arial"/>
          <w:sz w:val="12"/>
          <w:szCs w:val="12"/>
          <w:color w:val="005A64"/>
        </w:rPr>
        <w:t>association. If the articles of association do</w:t>
      </w:r>
    </w:p>
    <w:p>
      <w:pPr>
        <w:ind w:left="1900"/>
        <w:spacing w:after="0" w:line="211" w:lineRule="auto"/>
        <w:rPr>
          <w:sz w:val="20"/>
          <w:szCs w:val="20"/>
          <w:color w:val="auto"/>
        </w:rPr>
      </w:pPr>
      <w:r>
        <w:rPr>
          <w:rFonts w:ascii="Arial" w:cs="Arial" w:eastAsia="Arial" w:hAnsi="Arial"/>
          <w:sz w:val="12"/>
          <w:szCs w:val="12"/>
          <w:color w:val="005A64"/>
        </w:rPr>
        <w:t>not provide for a specific location, the</w:t>
      </w:r>
    </w:p>
    <w:p>
      <w:pPr>
        <w:ind w:left="1900"/>
        <w:spacing w:after="0" w:line="211" w:lineRule="auto"/>
        <w:rPr>
          <w:sz w:val="20"/>
          <w:szCs w:val="20"/>
          <w:color w:val="auto"/>
        </w:rPr>
      </w:pPr>
      <w:r>
        <w:rPr>
          <w:rFonts w:ascii="Arial" w:cs="Arial" w:eastAsia="Arial" w:hAnsi="Arial"/>
          <w:sz w:val="12"/>
          <w:szCs w:val="12"/>
          <w:color w:val="005A64"/>
        </w:rPr>
        <w:t>shareholders’ meeting shall be held at the</w:t>
      </w:r>
    </w:p>
    <w:p>
      <w:pPr>
        <w:ind w:left="1900"/>
        <w:spacing w:after="0" w:line="211" w:lineRule="auto"/>
        <w:rPr>
          <w:sz w:val="20"/>
          <w:szCs w:val="20"/>
          <w:color w:val="auto"/>
        </w:rPr>
      </w:pPr>
      <w:r>
        <w:rPr>
          <w:rFonts w:ascii="Arial" w:cs="Arial" w:eastAsia="Arial" w:hAnsi="Arial"/>
          <w:sz w:val="12"/>
          <w:szCs w:val="12"/>
          <w:color w:val="005A64"/>
        </w:rPr>
        <w:t>company’s seat or, if applicable, at the venue</w:t>
      </w:r>
    </w:p>
    <w:p>
      <w:pPr>
        <w:ind w:left="1900"/>
        <w:spacing w:after="0" w:line="211" w:lineRule="auto"/>
        <w:rPr>
          <w:sz w:val="20"/>
          <w:szCs w:val="20"/>
          <w:color w:val="auto"/>
        </w:rPr>
      </w:pPr>
      <w:r>
        <w:rPr>
          <w:rFonts w:ascii="Arial" w:cs="Arial" w:eastAsia="Arial" w:hAnsi="Arial"/>
          <w:sz w:val="12"/>
          <w:szCs w:val="12"/>
          <w:color w:val="005A64"/>
        </w:rPr>
        <w:t>(in Germany) where its shares are listed.</w:t>
      </w:r>
    </w:p>
    <w:p>
      <w:pPr>
        <w:ind w:left="1900"/>
        <w:spacing w:after="0" w:line="211" w:lineRule="auto"/>
        <w:rPr>
          <w:sz w:val="20"/>
          <w:szCs w:val="20"/>
          <w:color w:val="auto"/>
        </w:rPr>
      </w:pPr>
      <w:r>
        <w:rPr>
          <w:rFonts w:ascii="Arial" w:cs="Arial" w:eastAsia="Arial" w:hAnsi="Arial"/>
          <w:sz w:val="12"/>
          <w:szCs w:val="12"/>
          <w:color w:val="005A64"/>
        </w:rPr>
        <w:t>Under the articles of association, the</w:t>
      </w:r>
    </w:p>
    <w:p>
      <w:pPr>
        <w:ind w:left="1900"/>
        <w:spacing w:after="0" w:line="211" w:lineRule="auto"/>
        <w:rPr>
          <w:sz w:val="20"/>
          <w:szCs w:val="20"/>
          <w:color w:val="auto"/>
        </w:rPr>
      </w:pPr>
      <w:r>
        <w:rPr>
          <w:rFonts w:ascii="Arial" w:cs="Arial" w:eastAsia="Arial" w:hAnsi="Arial"/>
          <w:sz w:val="12"/>
          <w:szCs w:val="12"/>
          <w:color w:val="005A64"/>
        </w:rPr>
        <w:t>Management Board is authorized to provide</w:t>
      </w:r>
    </w:p>
    <w:p>
      <w:pPr>
        <w:ind w:left="1900"/>
        <w:spacing w:after="0" w:line="211" w:lineRule="auto"/>
        <w:rPr>
          <w:sz w:val="20"/>
          <w:szCs w:val="20"/>
          <w:color w:val="auto"/>
        </w:rPr>
      </w:pPr>
      <w:r>
        <w:rPr>
          <w:rFonts w:ascii="Arial" w:cs="Arial" w:eastAsia="Arial" w:hAnsi="Arial"/>
          <w:sz w:val="12"/>
          <w:szCs w:val="12"/>
          <w:color w:val="005A64"/>
        </w:rPr>
        <w:t>for the Annual General Meeting to be held</w:t>
      </w:r>
    </w:p>
    <w:p>
      <w:pPr>
        <w:ind w:left="1900"/>
        <w:spacing w:after="0" w:line="211" w:lineRule="auto"/>
        <w:rPr>
          <w:sz w:val="20"/>
          <w:szCs w:val="20"/>
          <w:color w:val="auto"/>
        </w:rPr>
      </w:pPr>
      <w:r>
        <w:rPr>
          <w:rFonts w:ascii="Arial" w:cs="Arial" w:eastAsia="Arial" w:hAnsi="Arial"/>
          <w:sz w:val="12"/>
          <w:szCs w:val="12"/>
          <w:color w:val="005A64"/>
        </w:rPr>
        <w:t>without the physical presence of the</w:t>
      </w:r>
    </w:p>
    <w:p>
      <w:pPr>
        <w:jc w:val="right"/>
        <w:spacing w:after="0" w:line="211" w:lineRule="auto"/>
        <w:rPr>
          <w:sz w:val="20"/>
          <w:szCs w:val="20"/>
          <w:color w:val="auto"/>
        </w:rPr>
      </w:pPr>
      <w:r>
        <w:rPr>
          <w:rFonts w:ascii="Arial" w:cs="Arial" w:eastAsia="Arial" w:hAnsi="Arial"/>
          <w:sz w:val="12"/>
          <w:szCs w:val="12"/>
          <w:color w:val="005A64"/>
        </w:rPr>
        <w:t>shareholders or their proxies at the location of</w:t>
      </w:r>
    </w:p>
    <w:p>
      <w:pPr>
        <w:ind w:left="1900"/>
        <w:spacing w:after="0" w:line="211" w:lineRule="auto"/>
        <w:rPr>
          <w:sz w:val="20"/>
          <w:szCs w:val="20"/>
          <w:color w:val="auto"/>
        </w:rPr>
      </w:pPr>
      <w:r>
        <w:rPr>
          <w:rFonts w:ascii="Arial" w:cs="Arial" w:eastAsia="Arial" w:hAnsi="Arial"/>
          <w:sz w:val="12"/>
          <w:szCs w:val="12"/>
          <w:color w:val="005A64"/>
        </w:rPr>
        <w:t>the Annual General Meeting (virtual Annual</w:t>
      </w:r>
    </w:p>
    <w:p>
      <w:pPr>
        <w:ind w:left="1900"/>
        <w:spacing w:after="0"/>
        <w:rPr>
          <w:sz w:val="20"/>
          <w:szCs w:val="20"/>
          <w:color w:val="auto"/>
        </w:rPr>
      </w:pPr>
      <w:r>
        <w:rPr>
          <w:rFonts w:ascii="Arial" w:cs="Arial" w:eastAsia="Arial" w:hAnsi="Arial"/>
          <w:sz w:val="12"/>
          <w:szCs w:val="12"/>
          <w:color w:val="005A64"/>
        </w:rPr>
        <w:t>General Meeting).</w:t>
      </w:r>
    </w:p>
    <w:p>
      <w:pPr>
        <w:spacing w:after="0" w:line="20" w:lineRule="exact"/>
        <w:rPr>
          <w:sz w:val="20"/>
          <w:szCs w:val="20"/>
          <w:color w:val="auto"/>
        </w:rPr>
      </w:pPr>
      <w:r>
        <w:rPr>
          <w:sz w:val="20"/>
          <w:szCs w:val="20"/>
          <w:color w:val="auto"/>
        </w:rPr>
        <w:br w:type="column"/>
      </w:r>
    </w:p>
    <w:p>
      <w:pPr>
        <w:ind w:right="2120"/>
        <w:spacing w:after="0" w:line="222" w:lineRule="auto"/>
        <w:rPr>
          <w:sz w:val="20"/>
          <w:szCs w:val="20"/>
          <w:color w:val="auto"/>
        </w:rPr>
      </w:pPr>
      <w:r>
        <w:rPr>
          <w:rFonts w:ascii="Arial" w:cs="Arial" w:eastAsia="Arial" w:hAnsi="Arial"/>
          <w:sz w:val="12"/>
          <w:szCs w:val="12"/>
          <w:color w:val="005A64"/>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1646" w:lineRule="exact"/>
        <w:rPr>
          <w:sz w:val="20"/>
          <w:szCs w:val="20"/>
          <w:color w:val="auto"/>
        </w:rPr>
      </w:pPr>
    </w:p>
    <w:p>
      <w:pPr>
        <w:sectPr>
          <w:pgSz w:w="11900" w:h="16840" w:orient="portrait"/>
          <w:cols w:equalWidth="0" w:num="2">
            <w:col w:w="4360" w:space="180"/>
            <w:col w:w="4480"/>
          </w:cols>
          <w:pgMar w:left="1440" w:top="554" w:right="1440" w:bottom="1440" w:gutter="0" w:footer="0" w:header="0"/>
        </w:sectPr>
      </w:pPr>
    </w:p>
    <w:p>
      <w:pPr>
        <w:spacing w:after="0" w:line="242" w:lineRule="exact"/>
        <w:rPr>
          <w:sz w:val="20"/>
          <w:szCs w:val="20"/>
          <w:color w:val="auto"/>
        </w:rPr>
      </w:pPr>
    </w:p>
    <w:p>
      <w:pPr>
        <w:ind w:left="400"/>
        <w:spacing w:after="0"/>
        <w:tabs>
          <w:tab w:leader="none" w:pos="1880" w:val="left"/>
        </w:tabs>
        <w:rPr>
          <w:sz w:val="20"/>
          <w:szCs w:val="20"/>
          <w:color w:val="auto"/>
        </w:rPr>
      </w:pPr>
      <w:r>
        <w:rPr>
          <w:rFonts w:ascii="Arial" w:cs="Arial" w:eastAsia="Arial" w:hAnsi="Arial"/>
          <w:sz w:val="12"/>
          <w:szCs w:val="12"/>
          <w:color w:val="005A64"/>
        </w:rPr>
        <w:t>General Meeting</w:t>
      </w:r>
      <w:r>
        <w:rPr>
          <w:sz w:val="20"/>
          <w:szCs w:val="20"/>
          <w:color w:val="auto"/>
        </w:rPr>
        <w:tab/>
      </w:r>
      <w:r>
        <w:rPr>
          <w:rFonts w:ascii="Arial" w:cs="Arial" w:eastAsia="Arial" w:hAnsi="Arial"/>
          <w:sz w:val="12"/>
          <w:szCs w:val="12"/>
          <w:color w:val="005A64"/>
        </w:rPr>
        <w:t>Under the law, extraordinary shareholders’</w:t>
      </w:r>
    </w:p>
    <w:p>
      <w:pPr>
        <w:ind w:left="1900"/>
        <w:spacing w:after="0" w:line="214" w:lineRule="auto"/>
        <w:rPr>
          <w:sz w:val="20"/>
          <w:szCs w:val="20"/>
          <w:color w:val="auto"/>
        </w:rPr>
      </w:pPr>
      <w:r>
        <w:rPr>
          <w:rFonts w:ascii="Arial" w:cs="Arial" w:eastAsia="Arial" w:hAnsi="Arial"/>
          <w:sz w:val="12"/>
          <w:szCs w:val="12"/>
          <w:color w:val="005A64"/>
        </w:rPr>
        <w:t>meetings, in addition to the annual shareholders’ meetings, may be called either by the Management Board, or the Supervisory Board. Shareholders holding at least 5% of the company’s share capital are entitled to request that an extraordinary shareholders’ meeting be convened. In the event that the meeting is not then so convened, a competent court may order that the meeting be convened or authorize the shareholders or their representative to convene the meeting themselves.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right="2080"/>
        <w:spacing w:after="0" w:line="224" w:lineRule="auto"/>
        <w:rPr>
          <w:sz w:val="20"/>
          <w:szCs w:val="20"/>
          <w:color w:val="auto"/>
        </w:rPr>
      </w:pPr>
      <w:r>
        <w:rPr>
          <w:rFonts w:ascii="Arial" w:cs="Arial" w:eastAsia="Arial" w:hAnsi="Arial"/>
          <w:sz w:val="12"/>
          <w:szCs w:val="12"/>
          <w:color w:val="005A64"/>
        </w:rPr>
        <w:t>Under Delaware law, special meetings of the stockholders may be called by the board of directors or by such person or persons as may be authorized by the certificate of incorporation or by the bylaws.</w:t>
      </w:r>
    </w:p>
    <w:p>
      <w:pPr>
        <w:spacing w:after="0" w:line="1165" w:lineRule="exact"/>
        <w:rPr>
          <w:sz w:val="20"/>
          <w:szCs w:val="20"/>
          <w:color w:val="auto"/>
        </w:rPr>
      </w:pPr>
    </w:p>
    <w:p>
      <w:pPr>
        <w:sectPr>
          <w:pgSz w:w="11900" w:h="16840" w:orient="portrait"/>
          <w:cols w:equalWidth="0" w:num="2">
            <w:col w:w="4380" w:space="160"/>
            <w:col w:w="4480"/>
          </w:cols>
          <w:pgMar w:left="1440" w:top="554" w:right="1440" w:bottom="1440" w:gutter="0" w:footer="0" w:header="0"/>
          <w:type w:val="continuous"/>
        </w:sectPr>
      </w:pPr>
    </w:p>
    <w:p>
      <w:pPr>
        <w:spacing w:after="0" w:line="116" w:lineRule="exact"/>
        <w:rPr>
          <w:sz w:val="20"/>
          <w:szCs w:val="20"/>
          <w:color w:val="auto"/>
        </w:rPr>
      </w:pPr>
    </w:p>
    <w:p>
      <w:pPr>
        <w:ind w:left="400"/>
        <w:spacing w:after="0"/>
        <w:tabs>
          <w:tab w:leader="none" w:pos="1880" w:val="left"/>
        </w:tabs>
        <w:rPr>
          <w:sz w:val="20"/>
          <w:szCs w:val="20"/>
          <w:color w:val="auto"/>
        </w:rPr>
      </w:pPr>
      <w:r>
        <w:rPr>
          <w:rFonts w:ascii="Arial" w:cs="Arial" w:eastAsia="Arial" w:hAnsi="Arial"/>
          <w:sz w:val="12"/>
          <w:szCs w:val="12"/>
          <w:color w:val="005A64"/>
        </w:rPr>
        <w:t>Notice of General</w:t>
      </w:r>
      <w:r>
        <w:rPr>
          <w:sz w:val="20"/>
          <w:szCs w:val="20"/>
          <w:color w:val="auto"/>
        </w:rPr>
        <w:tab/>
      </w:r>
      <w:r>
        <w:rPr>
          <w:rFonts w:ascii="Arial" w:cs="Arial" w:eastAsia="Arial" w:hAnsi="Arial"/>
          <w:sz w:val="12"/>
          <w:szCs w:val="12"/>
          <w:color w:val="005A64"/>
        </w:rPr>
        <w:t>Under applicable European and German law,</w:t>
      </w:r>
    </w:p>
    <w:p>
      <w:pPr>
        <w:ind w:left="400"/>
        <w:spacing w:after="0" w:line="210" w:lineRule="auto"/>
        <w:tabs>
          <w:tab w:leader="none" w:pos="1880" w:val="left"/>
        </w:tabs>
        <w:rPr>
          <w:sz w:val="20"/>
          <w:szCs w:val="20"/>
          <w:color w:val="auto"/>
        </w:rPr>
      </w:pPr>
      <w:r>
        <w:rPr>
          <w:rFonts w:ascii="Arial" w:cs="Arial" w:eastAsia="Arial" w:hAnsi="Arial"/>
          <w:sz w:val="12"/>
          <w:szCs w:val="12"/>
          <w:color w:val="005A64"/>
        </w:rPr>
        <w:t>Meetings</w:t>
      </w:r>
      <w:r>
        <w:rPr>
          <w:sz w:val="20"/>
          <w:szCs w:val="20"/>
          <w:color w:val="auto"/>
        </w:rPr>
        <w:tab/>
      </w:r>
      <w:r>
        <w:rPr>
          <w:rFonts w:ascii="Arial" w:cs="Arial" w:eastAsia="Arial" w:hAnsi="Arial"/>
          <w:sz w:val="12"/>
          <w:szCs w:val="12"/>
          <w:color w:val="005A64"/>
        </w:rPr>
        <w:t>unless a longer period is otherwise provided</w:t>
      </w:r>
    </w:p>
    <w:p>
      <w:pPr>
        <w:spacing w:after="0" w:line="1" w:lineRule="exact"/>
        <w:rPr>
          <w:sz w:val="20"/>
          <w:szCs w:val="20"/>
          <w:color w:val="auto"/>
        </w:rPr>
      </w:pPr>
    </w:p>
    <w:p>
      <w:pPr>
        <w:ind w:left="1900" w:right="20"/>
        <w:spacing w:after="0" w:line="213" w:lineRule="auto"/>
        <w:rPr>
          <w:sz w:val="20"/>
          <w:szCs w:val="20"/>
          <w:color w:val="auto"/>
        </w:rPr>
      </w:pPr>
      <w:r>
        <w:rPr>
          <w:rFonts w:ascii="Arial" w:cs="Arial" w:eastAsia="Arial" w:hAnsi="Arial"/>
          <w:sz w:val="12"/>
          <w:szCs w:val="12"/>
          <w:color w:val="005A64"/>
        </w:rPr>
        <w:t>for in the articles of association or applies because of registration requirements stipulated in the articles of association, the shareholders must be given at least 30 days’ advance notice of the shareholders’ meeting. Such notices must at least specify the name of the company, the statutory seat of the company, and the location, date and time of the shareholders’ meeting. In addition, the invitation must contain the agenda items as well as the Management Board’s and the Supervisory Board’s voting proposal for each agenda item and, depending on the circumstances, certain further information. If all shareholders entitled to attend the shareholders’ meeting are present or represented and do not object to the meeting being held, the formalities of calling and holding of a shareholders’ meeting do not apply.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2020"/>
        <w:spacing w:after="0" w:line="218" w:lineRule="auto"/>
        <w:rPr>
          <w:sz w:val="20"/>
          <w:szCs w:val="20"/>
          <w:color w:val="auto"/>
        </w:rPr>
      </w:pPr>
      <w:r>
        <w:rPr>
          <w:rFonts w:ascii="Arial" w:cs="Arial" w:eastAsia="Arial" w:hAnsi="Arial"/>
          <w:sz w:val="12"/>
          <w:szCs w:val="12"/>
          <w:color w:val="005A64"/>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pacing w:after="0" w:line="1775" w:lineRule="exact"/>
        <w:rPr>
          <w:sz w:val="20"/>
          <w:szCs w:val="20"/>
          <w:color w:val="auto"/>
        </w:rPr>
      </w:pPr>
    </w:p>
    <w:p>
      <w:pPr>
        <w:sectPr>
          <w:pgSz w:w="11900" w:h="16840" w:orient="portrait"/>
          <w:cols w:equalWidth="0" w:num="2">
            <w:col w:w="4340" w:space="200"/>
            <w:col w:w="4480"/>
          </w:cols>
          <w:pgMar w:left="1440" w:top="55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248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29845</wp:posOffset>
            </wp:positionV>
            <wp:extent cx="5231130"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type w:val="continuous"/>
        </w:sectPr>
      </w:pPr>
    </w:p>
    <w:bookmarkStart w:id="172" w:name="page173"/>
    <w:bookmarkEnd w:id="172"/>
    <w:p>
      <w:pPr>
        <w:ind w:left="400"/>
        <w:spacing w:after="0"/>
        <w:tabs>
          <w:tab w:leader="none" w:pos="1880" w:val="left"/>
        </w:tabs>
        <w:rPr>
          <w:sz w:val="20"/>
          <w:szCs w:val="20"/>
          <w:color w:val="auto"/>
        </w:rPr>
      </w:pPr>
      <w:r>
        <w:rPr>
          <w:rFonts w:ascii="Arial" w:cs="Arial" w:eastAsia="Arial" w:hAnsi="Arial"/>
          <w:sz w:val="12"/>
          <w:szCs w:val="12"/>
          <w:color w:val="005A64"/>
        </w:rPr>
        <w:t>Proxy</w:t>
      </w:r>
      <w:r>
        <w:rPr>
          <w:sz w:val="20"/>
          <w:szCs w:val="20"/>
          <w:color w:val="auto"/>
        </w:rPr>
        <w:tab/>
      </w:r>
      <w:r>
        <w:rPr>
          <w:rFonts w:ascii="Arial" w:cs="Arial" w:eastAsia="Arial" w:hAnsi="Arial"/>
          <w:sz w:val="12"/>
          <w:szCs w:val="12"/>
          <w:color w:val="005A64"/>
        </w:rPr>
        <w:t>A shareholder may designate another person</w:t>
      </w:r>
    </w:p>
    <w:p>
      <w:pPr>
        <w:ind w:left="1900"/>
        <w:spacing w:after="0" w:line="210" w:lineRule="auto"/>
        <w:rPr>
          <w:sz w:val="20"/>
          <w:szCs w:val="20"/>
          <w:color w:val="auto"/>
        </w:rPr>
      </w:pPr>
      <w:r>
        <w:rPr>
          <w:rFonts w:ascii="Arial" w:cs="Arial" w:eastAsia="Arial" w:hAnsi="Arial"/>
          <w:sz w:val="12"/>
          <w:szCs w:val="12"/>
          <w:color w:val="005A64"/>
        </w:rPr>
        <w:t>to attend, speak and vote at a shareholders’</w:t>
      </w:r>
    </w:p>
    <w:p>
      <w:pPr>
        <w:ind w:left="1900"/>
        <w:spacing w:after="0" w:line="211" w:lineRule="auto"/>
        <w:rPr>
          <w:sz w:val="20"/>
          <w:szCs w:val="20"/>
          <w:color w:val="auto"/>
        </w:rPr>
      </w:pPr>
      <w:r>
        <w:rPr>
          <w:rFonts w:ascii="Arial" w:cs="Arial" w:eastAsia="Arial" w:hAnsi="Arial"/>
          <w:sz w:val="12"/>
          <w:szCs w:val="12"/>
          <w:color w:val="005A64"/>
        </w:rPr>
        <w:t>meeting of the company on such</w:t>
      </w:r>
    </w:p>
    <w:p>
      <w:pPr>
        <w:ind w:left="1900"/>
        <w:spacing w:after="0" w:line="211" w:lineRule="auto"/>
        <w:rPr>
          <w:sz w:val="20"/>
          <w:szCs w:val="20"/>
          <w:color w:val="auto"/>
        </w:rPr>
      </w:pPr>
      <w:r>
        <w:rPr>
          <w:rFonts w:ascii="Arial" w:cs="Arial" w:eastAsia="Arial" w:hAnsi="Arial"/>
          <w:sz w:val="12"/>
          <w:szCs w:val="12"/>
          <w:color w:val="005A64"/>
        </w:rPr>
        <w:t>shareholder’s behalf by proxy.</w:t>
      </w:r>
    </w:p>
    <w:p>
      <w:pPr>
        <w:ind w:left="1900"/>
        <w:spacing w:after="0" w:line="211" w:lineRule="auto"/>
        <w:rPr>
          <w:sz w:val="20"/>
          <w:szCs w:val="20"/>
          <w:color w:val="auto"/>
        </w:rPr>
      </w:pPr>
      <w:r>
        <w:rPr>
          <w:rFonts w:ascii="Arial" w:cs="Arial" w:eastAsia="Arial" w:hAnsi="Arial"/>
          <w:sz w:val="12"/>
          <w:szCs w:val="12"/>
          <w:color w:val="005A64"/>
        </w:rPr>
        <w:t>With respect to Management Board meetings,</w:t>
      </w:r>
    </w:p>
    <w:p>
      <w:pPr>
        <w:ind w:left="1900"/>
        <w:spacing w:after="0" w:line="211" w:lineRule="auto"/>
        <w:rPr>
          <w:sz w:val="20"/>
          <w:szCs w:val="20"/>
          <w:color w:val="auto"/>
        </w:rPr>
      </w:pPr>
      <w:r>
        <w:rPr>
          <w:rFonts w:ascii="Arial" w:cs="Arial" w:eastAsia="Arial" w:hAnsi="Arial"/>
          <w:sz w:val="12"/>
          <w:szCs w:val="12"/>
          <w:color w:val="005A64"/>
        </w:rPr>
        <w:t>a Management Board member may transmit</w:t>
      </w:r>
    </w:p>
    <w:p>
      <w:pPr>
        <w:ind w:left="1900"/>
        <w:spacing w:after="0" w:line="211" w:lineRule="auto"/>
        <w:rPr>
          <w:sz w:val="20"/>
          <w:szCs w:val="20"/>
          <w:color w:val="auto"/>
        </w:rPr>
      </w:pPr>
      <w:r>
        <w:rPr>
          <w:rFonts w:ascii="Arial" w:cs="Arial" w:eastAsia="Arial" w:hAnsi="Arial"/>
          <w:sz w:val="12"/>
          <w:szCs w:val="12"/>
          <w:color w:val="005A64"/>
        </w:rPr>
        <w:t>its (written or verbal) vote via another</w:t>
      </w:r>
    </w:p>
    <w:p>
      <w:pPr>
        <w:ind w:left="1900"/>
        <w:spacing w:after="0" w:line="211" w:lineRule="auto"/>
        <w:rPr>
          <w:sz w:val="20"/>
          <w:szCs w:val="20"/>
          <w:color w:val="auto"/>
        </w:rPr>
      </w:pPr>
      <w:r>
        <w:rPr>
          <w:rFonts w:ascii="Arial" w:cs="Arial" w:eastAsia="Arial" w:hAnsi="Arial"/>
          <w:sz w:val="12"/>
          <w:szCs w:val="12"/>
          <w:color w:val="005A64"/>
        </w:rPr>
        <w:t>Management Board member.</w:t>
      </w:r>
    </w:p>
    <w:p>
      <w:pPr>
        <w:ind w:left="1900"/>
        <w:spacing w:after="0" w:line="211" w:lineRule="auto"/>
        <w:rPr>
          <w:sz w:val="20"/>
          <w:szCs w:val="20"/>
          <w:color w:val="auto"/>
        </w:rPr>
      </w:pPr>
      <w:r>
        <w:rPr>
          <w:rFonts w:ascii="Arial" w:cs="Arial" w:eastAsia="Arial" w:hAnsi="Arial"/>
          <w:sz w:val="12"/>
          <w:szCs w:val="12"/>
          <w:color w:val="005A64"/>
        </w:rPr>
        <w:t>With respect to Supervisory Board meetings,</w:t>
      </w:r>
    </w:p>
    <w:p>
      <w:pPr>
        <w:ind w:left="1900"/>
        <w:spacing w:after="0" w:line="211" w:lineRule="auto"/>
        <w:rPr>
          <w:sz w:val="20"/>
          <w:szCs w:val="20"/>
          <w:color w:val="auto"/>
        </w:rPr>
      </w:pPr>
      <w:r>
        <w:rPr>
          <w:rFonts w:ascii="Arial" w:cs="Arial" w:eastAsia="Arial" w:hAnsi="Arial"/>
          <w:sz w:val="12"/>
          <w:szCs w:val="12"/>
          <w:color w:val="005A64"/>
        </w:rPr>
        <w:t>a Supervisory Board member may participate</w:t>
      </w:r>
    </w:p>
    <w:p>
      <w:pPr>
        <w:ind w:left="1900"/>
        <w:spacing w:after="0" w:line="211" w:lineRule="auto"/>
        <w:rPr>
          <w:sz w:val="20"/>
          <w:szCs w:val="20"/>
          <w:color w:val="auto"/>
        </w:rPr>
      </w:pPr>
      <w:r>
        <w:rPr>
          <w:rFonts w:ascii="Arial" w:cs="Arial" w:eastAsia="Arial" w:hAnsi="Arial"/>
          <w:sz w:val="12"/>
          <w:szCs w:val="12"/>
          <w:color w:val="005A64"/>
        </w:rPr>
        <w:t>in voting by issuing a written vote to another</w:t>
      </w:r>
    </w:p>
    <w:p>
      <w:pPr>
        <w:ind w:left="1900"/>
        <w:spacing w:after="0" w:line="211" w:lineRule="auto"/>
        <w:rPr>
          <w:sz w:val="20"/>
          <w:szCs w:val="20"/>
          <w:color w:val="auto"/>
        </w:rPr>
      </w:pPr>
      <w:r>
        <w:rPr>
          <w:rFonts w:ascii="Arial" w:cs="Arial" w:eastAsia="Arial" w:hAnsi="Arial"/>
          <w:sz w:val="12"/>
          <w:szCs w:val="12"/>
          <w:color w:val="005A64"/>
        </w:rPr>
        <w:t>Supervisory Board member or any third party</w:t>
      </w:r>
    </w:p>
    <w:p>
      <w:pPr>
        <w:ind w:left="1900"/>
        <w:spacing w:after="0" w:line="211" w:lineRule="auto"/>
        <w:rPr>
          <w:sz w:val="20"/>
          <w:szCs w:val="20"/>
          <w:color w:val="auto"/>
        </w:rPr>
      </w:pPr>
      <w:r>
        <w:rPr>
          <w:rFonts w:ascii="Arial" w:cs="Arial" w:eastAsia="Arial" w:hAnsi="Arial"/>
          <w:sz w:val="12"/>
          <w:szCs w:val="12"/>
          <w:color w:val="005A64"/>
        </w:rPr>
        <w:t>entitled to attend the Supervisory Board</w:t>
      </w:r>
    </w:p>
    <w:p>
      <w:pPr>
        <w:ind w:left="1900"/>
        <w:spacing w:after="0"/>
        <w:rPr>
          <w:sz w:val="20"/>
          <w:szCs w:val="20"/>
          <w:color w:val="auto"/>
        </w:rPr>
      </w:pPr>
      <w:r>
        <w:rPr>
          <w:rFonts w:ascii="Arial" w:cs="Arial" w:eastAsia="Arial" w:hAnsi="Arial"/>
          <w:sz w:val="12"/>
          <w:szCs w:val="12"/>
          <w:color w:val="005A64"/>
        </w:rPr>
        <w:t>meeting.</w:t>
      </w:r>
    </w:p>
    <w:p>
      <w:pPr>
        <w:spacing w:after="0" w:line="20" w:lineRule="exact"/>
        <w:rPr>
          <w:sz w:val="20"/>
          <w:szCs w:val="20"/>
          <w:color w:val="auto"/>
        </w:rPr>
      </w:pPr>
      <w:r>
        <w:rPr>
          <w:sz w:val="20"/>
          <w:szCs w:val="20"/>
          <w:color w:val="auto"/>
        </w:rPr>
        <w:br w:type="column"/>
      </w:r>
    </w:p>
    <w:p>
      <w:pPr>
        <w:ind w:right="2060"/>
        <w:spacing w:after="0" w:line="218" w:lineRule="auto"/>
        <w:rPr>
          <w:sz w:val="20"/>
          <w:szCs w:val="20"/>
          <w:color w:val="auto"/>
        </w:rPr>
      </w:pPr>
      <w:r>
        <w:rPr>
          <w:rFonts w:ascii="Arial" w:cs="Arial" w:eastAsia="Arial" w:hAnsi="Arial"/>
          <w:sz w:val="12"/>
          <w:szCs w:val="12"/>
          <w:color w:val="005A64"/>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798" w:lineRule="exact"/>
        <w:rPr>
          <w:sz w:val="20"/>
          <w:szCs w:val="20"/>
          <w:color w:val="auto"/>
        </w:rPr>
      </w:pPr>
    </w:p>
    <w:p>
      <w:pPr>
        <w:sectPr>
          <w:pgSz w:w="11900" w:h="16840" w:orient="portrait"/>
          <w:cols w:equalWidth="0" w:num="2">
            <w:col w:w="4380" w:space="160"/>
            <w:col w:w="4480"/>
          </w:cols>
          <w:pgMar w:left="1440" w:top="554" w:right="1440" w:bottom="10" w:gutter="0" w:footer="0" w:header="0"/>
        </w:sectPr>
      </w:pPr>
    </w:p>
    <w:p>
      <w:pPr>
        <w:spacing w:after="0" w:line="131" w:lineRule="exact"/>
        <w:rPr>
          <w:sz w:val="20"/>
          <w:szCs w:val="20"/>
          <w:color w:val="auto"/>
        </w:rPr>
      </w:pPr>
    </w:p>
    <w:p>
      <w:pPr>
        <w:ind w:left="400"/>
        <w:spacing w:after="0"/>
        <w:tabs>
          <w:tab w:leader="none" w:pos="1880" w:val="left"/>
        </w:tabs>
        <w:rPr>
          <w:sz w:val="20"/>
          <w:szCs w:val="20"/>
          <w:color w:val="auto"/>
        </w:rPr>
      </w:pPr>
      <w:r>
        <w:rPr>
          <w:rFonts w:ascii="Arial" w:cs="Arial" w:eastAsia="Arial" w:hAnsi="Arial"/>
          <w:sz w:val="12"/>
          <w:szCs w:val="12"/>
          <w:color w:val="005A64"/>
        </w:rPr>
        <w:t>Preemptive Rights</w:t>
      </w:r>
      <w:r>
        <w:rPr>
          <w:sz w:val="20"/>
          <w:szCs w:val="20"/>
          <w:color w:val="auto"/>
        </w:rPr>
        <w:tab/>
      </w:r>
      <w:r>
        <w:rPr>
          <w:rFonts w:ascii="Arial" w:cs="Arial" w:eastAsia="Arial" w:hAnsi="Arial"/>
          <w:sz w:val="12"/>
          <w:szCs w:val="12"/>
          <w:color w:val="005A64"/>
        </w:rPr>
        <w:t>Under the law applicable to European stock</w:t>
      </w:r>
    </w:p>
    <w:p>
      <w:pPr>
        <w:ind w:left="1900"/>
        <w:spacing w:after="0" w:line="214" w:lineRule="auto"/>
        <w:rPr>
          <w:sz w:val="20"/>
          <w:szCs w:val="20"/>
          <w:color w:val="auto"/>
        </w:rPr>
      </w:pPr>
      <w:r>
        <w:rPr>
          <w:rFonts w:ascii="Arial" w:cs="Arial" w:eastAsia="Arial" w:hAnsi="Arial"/>
          <w:sz w:val="12"/>
          <w:szCs w:val="12"/>
          <w:color w:val="005A64"/>
        </w:rPr>
        <w:t>corporations governed by German law, existing shareholders have a statutory subscription right for any additional issue of shares or any security convertible into shares pro rata to the nominal value of their respective holdings in the company, unless (i) shareholders representing three-quarters of the registered share capital present at the shareholders’ meeting have resolved upon the whole or partial exclusion of the subscription right and (ii) there exists good and objective cause for such exclusion. No separate resolution on the exclusion of subscription rights is required if all shareholders waive their statutory subscription rights.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2020"/>
        <w:spacing w:after="0" w:line="222" w:lineRule="auto"/>
        <w:rPr>
          <w:sz w:val="20"/>
          <w:szCs w:val="20"/>
          <w:color w:val="auto"/>
        </w:rPr>
      </w:pPr>
      <w:r>
        <w:rPr>
          <w:rFonts w:ascii="Arial" w:cs="Arial" w:eastAsia="Arial" w:hAnsi="Arial"/>
          <w:sz w:val="12"/>
          <w:szCs w:val="12"/>
          <w:color w:val="005A64"/>
        </w:rPr>
        <w:t>Under Delaware law, stockholders have no preemptive rights to subscribe to additional issues of stock or to any security convertible into such stock unless, and except to the extent that, such rights are expressly provided for in the certificate of incorporation.</w:t>
      </w:r>
    </w:p>
    <w:p>
      <w:pPr>
        <w:spacing w:after="0" w:line="1413" w:lineRule="exact"/>
        <w:rPr>
          <w:sz w:val="20"/>
          <w:szCs w:val="20"/>
          <w:color w:val="auto"/>
        </w:rPr>
      </w:pPr>
    </w:p>
    <w:p>
      <w:pPr>
        <w:sectPr>
          <w:pgSz w:w="11900" w:h="16840" w:orient="portrait"/>
          <w:cols w:equalWidth="0" w:num="2">
            <w:col w:w="4400" w:space="140"/>
            <w:col w:w="4480"/>
          </w:cols>
          <w:pgMar w:left="1440" w:top="554" w:right="1440" w:bottom="10" w:gutter="0" w:footer="0" w:header="0"/>
          <w:type w:val="continuous"/>
        </w:sectPr>
      </w:pPr>
    </w:p>
    <w:p>
      <w:pPr>
        <w:spacing w:after="0" w:line="176" w:lineRule="exact"/>
        <w:rPr>
          <w:sz w:val="20"/>
          <w:szCs w:val="20"/>
          <w:color w:val="auto"/>
        </w:rPr>
      </w:pPr>
    </w:p>
    <w:p>
      <w:pPr>
        <w:ind w:left="400"/>
        <w:spacing w:after="0"/>
        <w:tabs>
          <w:tab w:leader="none" w:pos="1880" w:val="left"/>
          <w:tab w:leader="none" w:pos="4520" w:val="left"/>
        </w:tabs>
        <w:rPr>
          <w:sz w:val="20"/>
          <w:szCs w:val="20"/>
          <w:color w:val="auto"/>
        </w:rPr>
      </w:pPr>
      <w:r>
        <w:rPr>
          <w:rFonts w:ascii="Arial" w:cs="Arial" w:eastAsia="Arial" w:hAnsi="Arial"/>
          <w:sz w:val="12"/>
          <w:szCs w:val="12"/>
          <w:color w:val="005A64"/>
        </w:rPr>
        <w:t>Authority to Allot</w:t>
      </w:r>
      <w:r>
        <w:rPr>
          <w:sz w:val="20"/>
          <w:szCs w:val="20"/>
          <w:color w:val="auto"/>
        </w:rPr>
        <w:tab/>
      </w:r>
      <w:r>
        <w:rPr>
          <w:rFonts w:ascii="Arial" w:cs="Arial" w:eastAsia="Arial" w:hAnsi="Arial"/>
          <w:sz w:val="12"/>
          <w:szCs w:val="12"/>
          <w:color w:val="005A64"/>
        </w:rPr>
        <w:t>Under applicable European and German law,</w:t>
      </w:r>
      <w:r>
        <w:rPr>
          <w:sz w:val="20"/>
          <w:szCs w:val="20"/>
          <w:color w:val="auto"/>
        </w:rPr>
        <w:tab/>
      </w:r>
      <w:r>
        <w:rPr>
          <w:rFonts w:ascii="Arial" w:cs="Arial" w:eastAsia="Arial" w:hAnsi="Arial"/>
          <w:sz w:val="12"/>
          <w:szCs w:val="12"/>
          <w:color w:val="005A64"/>
        </w:rPr>
        <w:t>Under Delaware law, if the corporation’s</w:t>
      </w:r>
    </w:p>
    <w:p>
      <w:pPr>
        <w:sectPr>
          <w:pgSz w:w="11900" w:h="16840" w:orient="portrait"/>
          <w:cols w:equalWidth="0" w:num="1">
            <w:col w:w="9020"/>
          </w:cols>
          <w:pgMar w:left="1440" w:top="554" w:right="1440" w:bottom="10" w:gutter="0" w:footer="0" w:header="0"/>
          <w:type w:val="continuous"/>
        </w:sectPr>
      </w:pPr>
    </w:p>
    <w:p>
      <w:pPr>
        <w:spacing w:after="0" w:line="8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249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47" w:lineRule="exact"/>
        <w:rPr>
          <w:sz w:val="20"/>
          <w:szCs w:val="20"/>
          <w:color w:val="auto"/>
        </w:rPr>
      </w:pPr>
    </w:p>
    <w:tbl>
      <w:tblPr>
        <w:tblLayout w:type="fixed"/>
        <w:tblInd w:w="380" w:type="dxa"/>
        <w:tblCellMar>
          <w:top w:w="0" w:type="dxa"/>
          <w:left w:w="0" w:type="dxa"/>
          <w:bottom w:w="0" w:type="dxa"/>
          <w:right w:w="0" w:type="dxa"/>
        </w:tblCellMar>
      </w:tblPr>
      <w:tr>
        <w:trPr>
          <w:trHeight w:val="20"/>
        </w:trPr>
        <w:tc>
          <w:tcPr>
            <w:tcW w:w="720" w:type="dxa"/>
            <w:vAlign w:val="bottom"/>
            <w:shd w:val="clear" w:color="auto" w:fill="BECD32"/>
          </w:tcPr>
          <w:p>
            <w:pPr>
              <w:spacing w:after="0" w:line="20" w:lineRule="exact"/>
              <w:rPr>
                <w:sz w:val="1"/>
                <w:szCs w:val="1"/>
                <w:color w:val="auto"/>
              </w:rPr>
            </w:pPr>
          </w:p>
        </w:tc>
        <w:tc>
          <w:tcPr>
            <w:tcW w:w="700" w:type="dxa"/>
            <w:vAlign w:val="bottom"/>
            <w:shd w:val="clear" w:color="auto" w:fill="BECE33"/>
          </w:tcPr>
          <w:p>
            <w:pPr>
              <w:spacing w:after="0" w:line="20" w:lineRule="exact"/>
              <w:rPr>
                <w:sz w:val="1"/>
                <w:szCs w:val="1"/>
                <w:color w:val="auto"/>
              </w:rPr>
            </w:pPr>
          </w:p>
        </w:tc>
        <w:tc>
          <w:tcPr>
            <w:tcW w:w="2480" w:type="dxa"/>
            <w:vAlign w:val="bottom"/>
            <w:shd w:val="clear" w:color="auto" w:fill="BECE3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1"/>
        </w:trPr>
        <w:tc>
          <w:tcPr>
            <w:tcW w:w="1420" w:type="dxa"/>
            <w:vAlign w:val="bottom"/>
            <w:gridSpan w:val="2"/>
          </w:tcPr>
          <w:p>
            <w:pPr>
              <w:ind w:left="20"/>
              <w:spacing w:after="0" w:line="102" w:lineRule="exact"/>
              <w:rPr>
                <w:sz w:val="20"/>
                <w:szCs w:val="20"/>
                <w:color w:val="auto"/>
              </w:rPr>
            </w:pPr>
            <w:r>
              <w:rPr>
                <w:rFonts w:ascii="Arial" w:cs="Arial" w:eastAsia="Arial" w:hAnsi="Arial"/>
                <w:sz w:val="11"/>
                <w:szCs w:val="11"/>
                <w:color w:val="005A64"/>
              </w:rPr>
              <w:t>Liability of Directors and</w:t>
            </w:r>
          </w:p>
        </w:tc>
        <w:tc>
          <w:tcPr>
            <w:tcW w:w="2580" w:type="dxa"/>
            <w:vAlign w:val="bottom"/>
            <w:gridSpan w:val="2"/>
          </w:tcPr>
          <w:p>
            <w:pPr>
              <w:ind w:left="100"/>
              <w:spacing w:after="0" w:line="102" w:lineRule="exact"/>
              <w:rPr>
                <w:sz w:val="20"/>
                <w:szCs w:val="20"/>
                <w:color w:val="auto"/>
              </w:rPr>
            </w:pPr>
            <w:r>
              <w:rPr>
                <w:rFonts w:ascii="Arial" w:cs="Arial" w:eastAsia="Arial" w:hAnsi="Arial"/>
                <w:sz w:val="11"/>
                <w:szCs w:val="11"/>
                <w:color w:val="005A64"/>
              </w:rPr>
              <w:t>Under German law, any provision, whether</w:t>
            </w:r>
          </w:p>
        </w:tc>
      </w:tr>
      <w:tr>
        <w:trPr>
          <w:trHeight w:val="121"/>
        </w:trPr>
        <w:tc>
          <w:tcPr>
            <w:tcW w:w="1420" w:type="dxa"/>
            <w:vAlign w:val="bottom"/>
            <w:gridSpan w:val="2"/>
          </w:tcPr>
          <w:p>
            <w:pPr>
              <w:ind w:left="20"/>
              <w:spacing w:after="0" w:line="121" w:lineRule="exact"/>
              <w:rPr>
                <w:sz w:val="20"/>
                <w:szCs w:val="20"/>
                <w:color w:val="auto"/>
              </w:rPr>
            </w:pPr>
            <w:r>
              <w:rPr>
                <w:rFonts w:ascii="Arial" w:cs="Arial" w:eastAsia="Arial" w:hAnsi="Arial"/>
                <w:sz w:val="12"/>
                <w:szCs w:val="12"/>
                <w:color w:val="005A64"/>
              </w:rPr>
              <w:t>Officers</w:t>
            </w: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contained in the company’s articles of</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association or any contract or otherwise, that</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purports to exempt a Management or</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Supervisory Board member from any liability</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that would otherwise attach to such board</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member in connection with any negligence,</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default, breach of duty or breach of trust in</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relation to the company is void.</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Under German law, members of both the</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Management Board and members of the</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Supervisory Board are liable to the company,</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and in certain cases to third parties or</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shareholders, for any damage caused to them</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due to a breach of such member’s duty of</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care. Apart from insolvency or special</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circumstances, only the company has the</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right to claim damages from members of</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either board. The company may waive or</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settle claims for damages against a negligent</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Management or Supervisory Board member</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only after the expiry of three years and only if</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the company’s shareholder meeting approves</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thereof and no minority holding at least 10%</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of the capital stock raises an objection. In</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case a third party raises claims directly</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against members of the Management Board</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or of the Supervisory Board, such members</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may claim from the company under additional</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requirements indemnification regarding</w:t>
            </w:r>
          </w:p>
        </w:tc>
      </w:tr>
      <w:tr>
        <w:trPr>
          <w:trHeight w:val="121"/>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80" w:type="dxa"/>
            <w:vAlign w:val="bottom"/>
            <w:gridSpan w:val="2"/>
          </w:tcPr>
          <w:p>
            <w:pPr>
              <w:ind w:left="100"/>
              <w:spacing w:after="0" w:line="121" w:lineRule="exact"/>
              <w:rPr>
                <w:sz w:val="20"/>
                <w:szCs w:val="20"/>
                <w:color w:val="auto"/>
              </w:rPr>
            </w:pPr>
            <w:r>
              <w:rPr>
                <w:rFonts w:ascii="Arial" w:cs="Arial" w:eastAsia="Arial" w:hAnsi="Arial"/>
                <w:sz w:val="12"/>
                <w:szCs w:val="12"/>
                <w:color w:val="005A64"/>
              </w:rPr>
              <w:t>liabilities arising out of or in connection with</w:t>
            </w:r>
          </w:p>
        </w:tc>
      </w:tr>
      <w:tr>
        <w:trPr>
          <w:trHeight w:val="160"/>
        </w:trPr>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80" w:type="dxa"/>
            <w:vAlign w:val="bottom"/>
            <w:gridSpan w:val="2"/>
          </w:tcPr>
          <w:p>
            <w:pPr>
              <w:ind w:left="100"/>
              <w:spacing w:after="0"/>
              <w:rPr>
                <w:sz w:val="20"/>
                <w:szCs w:val="20"/>
                <w:color w:val="auto"/>
              </w:rPr>
            </w:pPr>
            <w:r>
              <w:rPr>
                <w:rFonts w:ascii="Arial" w:cs="Arial" w:eastAsia="Arial" w:hAnsi="Arial"/>
                <w:sz w:val="12"/>
                <w:szCs w:val="12"/>
                <w:color w:val="005A64"/>
              </w:rPr>
              <w:t>their services to the company.</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2" w:right="2080"/>
        <w:spacing w:after="0" w:line="213" w:lineRule="auto"/>
        <w:rPr>
          <w:sz w:val="20"/>
          <w:szCs w:val="20"/>
          <w:color w:val="auto"/>
        </w:rPr>
      </w:pPr>
      <w:r>
        <w:rPr>
          <w:rFonts w:ascii="Arial" w:cs="Arial" w:eastAsia="Arial" w:hAnsi="Arial"/>
          <w:sz w:val="12"/>
          <w:szCs w:val="12"/>
          <w:color w:val="005A64"/>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-621030</wp:posOffset>
            </wp:positionV>
            <wp:extent cx="2753360"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753360" cy="6350"/>
                    </a:xfrm>
                    <a:prstGeom prst="rect">
                      <a:avLst/>
                    </a:prstGeom>
                    <a:noFill/>
                  </pic:spPr>
                </pic:pic>
              </a:graphicData>
            </a:graphic>
          </wp:anchor>
        </w:drawing>
      </w:r>
    </w:p>
    <w:p>
      <w:pPr>
        <w:ind w:left="2" w:right="2140" w:hanging="2"/>
        <w:spacing w:after="0" w:line="210" w:lineRule="auto"/>
        <w:tabs>
          <w:tab w:leader="none" w:pos="112" w:val="left"/>
        </w:tabs>
        <w:numPr>
          <w:ilvl w:val="0"/>
          <w:numId w:val="40"/>
        </w:numPr>
        <w:rPr>
          <w:rFonts w:ascii="Arial" w:cs="Arial" w:eastAsia="Arial" w:hAnsi="Arial"/>
          <w:sz w:val="12"/>
          <w:szCs w:val="12"/>
          <w:color w:val="005A64"/>
        </w:rPr>
      </w:pPr>
      <w:r>
        <w:rPr>
          <w:rFonts w:ascii="Arial" w:cs="Arial" w:eastAsia="Arial" w:hAnsi="Arial"/>
          <w:sz w:val="12"/>
          <w:szCs w:val="12"/>
          <w:color w:val="005A64"/>
        </w:rPr>
        <w:t>any breach of the director’s duty of loyalty to the corporation or its stockholders;</w:t>
      </w:r>
    </w:p>
    <w:p>
      <w:pPr>
        <w:spacing w:after="0" w:line="1" w:lineRule="exact"/>
        <w:rPr>
          <w:rFonts w:ascii="Arial" w:cs="Arial" w:eastAsia="Arial" w:hAnsi="Arial"/>
          <w:sz w:val="12"/>
          <w:szCs w:val="12"/>
          <w:color w:val="005A64"/>
        </w:rPr>
      </w:pPr>
    </w:p>
    <w:p>
      <w:pPr>
        <w:jc w:val="both"/>
        <w:ind w:left="2" w:right="2120" w:hanging="2"/>
        <w:spacing w:after="0" w:line="210" w:lineRule="auto"/>
        <w:tabs>
          <w:tab w:leader="none" w:pos="145" w:val="left"/>
        </w:tabs>
        <w:numPr>
          <w:ilvl w:val="0"/>
          <w:numId w:val="40"/>
        </w:numPr>
        <w:rPr>
          <w:rFonts w:ascii="Arial" w:cs="Arial" w:eastAsia="Arial" w:hAnsi="Arial"/>
          <w:sz w:val="12"/>
          <w:szCs w:val="12"/>
          <w:color w:val="005A64"/>
        </w:rPr>
      </w:pPr>
      <w:r>
        <w:rPr>
          <w:rFonts w:ascii="Arial" w:cs="Arial" w:eastAsia="Arial" w:hAnsi="Arial"/>
          <w:sz w:val="12"/>
          <w:szCs w:val="12"/>
          <w:color w:val="005A64"/>
        </w:rPr>
        <w:t>acts or omissions not in good faith or that involve intentional misconduct or a knowing violation of law;</w:t>
      </w:r>
    </w:p>
    <w:p>
      <w:pPr>
        <w:spacing w:after="0" w:line="1" w:lineRule="exact"/>
        <w:rPr>
          <w:rFonts w:ascii="Arial" w:cs="Arial" w:eastAsia="Arial" w:hAnsi="Arial"/>
          <w:sz w:val="12"/>
          <w:szCs w:val="12"/>
          <w:color w:val="005A64"/>
        </w:rPr>
      </w:pPr>
    </w:p>
    <w:p>
      <w:pPr>
        <w:jc w:val="both"/>
        <w:ind w:left="2" w:right="2040" w:hanging="2"/>
        <w:spacing w:after="0" w:line="210" w:lineRule="auto"/>
        <w:tabs>
          <w:tab w:leader="none" w:pos="112" w:val="left"/>
        </w:tabs>
        <w:numPr>
          <w:ilvl w:val="0"/>
          <w:numId w:val="40"/>
        </w:numPr>
        <w:rPr>
          <w:rFonts w:ascii="Arial" w:cs="Arial" w:eastAsia="Arial" w:hAnsi="Arial"/>
          <w:sz w:val="12"/>
          <w:szCs w:val="12"/>
          <w:color w:val="005A64"/>
        </w:rPr>
      </w:pPr>
      <w:r>
        <w:rPr>
          <w:rFonts w:ascii="Arial" w:cs="Arial" w:eastAsia="Arial" w:hAnsi="Arial"/>
          <w:sz w:val="12"/>
          <w:szCs w:val="12"/>
          <w:color w:val="005A64"/>
        </w:rPr>
        <w:t>intentional or negligent payment of unlawful dividends or stock purchases or redemptions; or</w:t>
      </w:r>
    </w:p>
    <w:p>
      <w:pPr>
        <w:spacing w:after="0" w:line="1" w:lineRule="exact"/>
        <w:rPr>
          <w:rFonts w:ascii="Arial" w:cs="Arial" w:eastAsia="Arial" w:hAnsi="Arial"/>
          <w:sz w:val="12"/>
          <w:szCs w:val="12"/>
          <w:color w:val="005A64"/>
        </w:rPr>
      </w:pPr>
    </w:p>
    <w:p>
      <w:pPr>
        <w:ind w:left="2" w:right="2200" w:hanging="2"/>
        <w:spacing w:after="0" w:line="233" w:lineRule="auto"/>
        <w:tabs>
          <w:tab w:leader="none" w:pos="213" w:val="left"/>
        </w:tabs>
        <w:numPr>
          <w:ilvl w:val="0"/>
          <w:numId w:val="40"/>
        </w:numPr>
        <w:rPr>
          <w:rFonts w:ascii="Arial" w:cs="Arial" w:eastAsia="Arial" w:hAnsi="Arial"/>
          <w:sz w:val="12"/>
          <w:szCs w:val="12"/>
          <w:color w:val="005A64"/>
        </w:rPr>
      </w:pPr>
      <w:r>
        <w:rPr>
          <w:rFonts w:ascii="Arial" w:cs="Arial" w:eastAsia="Arial" w:hAnsi="Arial"/>
          <w:sz w:val="12"/>
          <w:szCs w:val="12"/>
          <w:color w:val="005A64"/>
        </w:rPr>
        <w:t>any transaction from which the director derives an improper personal benefit.</w:t>
      </w:r>
    </w:p>
    <w:p>
      <w:pPr>
        <w:spacing w:after="0" w:line="1899" w:lineRule="exact"/>
        <w:rPr>
          <w:sz w:val="20"/>
          <w:szCs w:val="20"/>
          <w:color w:val="auto"/>
        </w:rPr>
      </w:pPr>
    </w:p>
    <w:p>
      <w:pPr>
        <w:sectPr>
          <w:pgSz w:w="11900" w:h="16840" w:orient="portrait"/>
          <w:cols w:equalWidth="0" w:num="2">
            <w:col w:w="4380" w:space="158"/>
            <w:col w:w="4482"/>
          </w:cols>
          <w:pgMar w:left="1440" w:top="554" w:right="1440" w:bottom="1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ind w:left="400"/>
        <w:spacing w:after="0"/>
        <w:tabs>
          <w:tab w:leader="none" w:pos="1880" w:val="left"/>
        </w:tabs>
        <w:rPr>
          <w:sz w:val="20"/>
          <w:szCs w:val="20"/>
          <w:color w:val="auto"/>
        </w:rPr>
      </w:pPr>
      <w:r>
        <w:rPr>
          <w:rFonts w:ascii="Arial" w:cs="Arial" w:eastAsia="Arial" w:hAnsi="Arial"/>
          <w:sz w:val="12"/>
          <w:szCs w:val="12"/>
          <w:color w:val="005A64"/>
        </w:rPr>
        <w:t>Voting Rights</w:t>
      </w:r>
      <w:r>
        <w:rPr>
          <w:sz w:val="20"/>
          <w:szCs w:val="20"/>
          <w:color w:val="auto"/>
        </w:rPr>
        <w:tab/>
      </w:r>
      <w:r>
        <w:rPr>
          <w:rFonts w:ascii="Arial" w:cs="Arial" w:eastAsia="Arial" w:hAnsi="Arial"/>
          <w:sz w:val="12"/>
          <w:szCs w:val="12"/>
          <w:color w:val="005A64"/>
        </w:rPr>
        <w:t>Under the relevant European and German</w:t>
      </w:r>
    </w:p>
    <w:p>
      <w:pPr>
        <w:ind w:left="1900"/>
        <w:spacing w:after="0" w:line="214" w:lineRule="auto"/>
        <w:rPr>
          <w:sz w:val="20"/>
          <w:szCs w:val="20"/>
          <w:color w:val="auto"/>
        </w:rPr>
      </w:pPr>
      <w:r>
        <w:rPr>
          <w:rFonts w:ascii="Arial" w:cs="Arial" w:eastAsia="Arial" w:hAnsi="Arial"/>
          <w:sz w:val="12"/>
          <w:szCs w:val="12"/>
          <w:color w:val="005A64"/>
        </w:rPr>
        <w:t>law, each share, except for statutory non-voting preferred shares (</w:t>
      </w:r>
      <w:r>
        <w:rPr>
          <w:rFonts w:ascii="Arial" w:cs="Arial" w:eastAsia="Arial" w:hAnsi="Arial"/>
          <w:sz w:val="12"/>
          <w:szCs w:val="12"/>
          <w:i w:val="1"/>
          <w:iCs w:val="1"/>
          <w:color w:val="005A64"/>
        </w:rPr>
        <w:t>nicht</w:t>
      </w:r>
      <w:r>
        <w:rPr>
          <w:rFonts w:ascii="Arial" w:cs="Arial" w:eastAsia="Arial" w:hAnsi="Arial"/>
          <w:sz w:val="12"/>
          <w:szCs w:val="12"/>
          <w:color w:val="005A64"/>
        </w:rPr>
        <w:t xml:space="preserve"> </w:t>
      </w:r>
      <w:r>
        <w:rPr>
          <w:rFonts w:ascii="Arial" w:cs="Arial" w:eastAsia="Arial" w:hAnsi="Arial"/>
          <w:sz w:val="12"/>
          <w:szCs w:val="12"/>
          <w:i w:val="1"/>
          <w:iCs w:val="1"/>
          <w:color w:val="005A64"/>
        </w:rPr>
        <w:t>stimmberechtigte Vorzugsaktien</w:t>
      </w:r>
      <w:r>
        <w:rPr>
          <w:rFonts w:ascii="Arial" w:cs="Arial" w:eastAsia="Arial" w:hAnsi="Arial"/>
          <w:sz w:val="12"/>
          <w:szCs w:val="12"/>
          <w:color w:val="005A64"/>
        </w:rPr>
        <w:t>), entitles its</w:t>
      </w:r>
      <w:r>
        <w:rPr>
          <w:rFonts w:ascii="Arial" w:cs="Arial" w:eastAsia="Arial" w:hAnsi="Arial"/>
          <w:sz w:val="12"/>
          <w:szCs w:val="12"/>
          <w:i w:val="1"/>
          <w:iCs w:val="1"/>
          <w:color w:val="005A64"/>
        </w:rPr>
        <w:t xml:space="preserve"> </w:t>
      </w:r>
      <w:r>
        <w:rPr>
          <w:rFonts w:ascii="Arial" w:cs="Arial" w:eastAsia="Arial" w:hAnsi="Arial"/>
          <w:sz w:val="12"/>
          <w:szCs w:val="12"/>
          <w:color w:val="005A64"/>
        </w:rPr>
        <w:t>holder to vote at the shareholders’ meeting with, in the case of no-par value shares, each share conferring one vote. While German law does not provide for a minimum attendance quorum for shareholders’ meetings, the company’s articles of association may so provide. In general, resolutions adopted at a shareholders’ meeting may be passed by a simple majority of votes cast, unless a higher majority is required by law or under the company’s articles of association.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ind w:right="2060"/>
        <w:spacing w:after="0" w:line="224" w:lineRule="auto"/>
        <w:rPr>
          <w:sz w:val="20"/>
          <w:szCs w:val="20"/>
          <w:color w:val="auto"/>
        </w:rPr>
      </w:pPr>
      <w:r>
        <w:rPr>
          <w:rFonts w:ascii="Arial" w:cs="Arial" w:eastAsia="Arial" w:hAnsi="Arial"/>
          <w:sz w:val="12"/>
          <w:szCs w:val="12"/>
          <w:color w:val="005A64"/>
        </w:rPr>
        <w:t>Delaware law provides that, unless otherwise provided in the certificate of incorporation, each stockholder is entitled to one vote for each share of capital stock held by such stockholder.</w:t>
      </w:r>
    </w:p>
    <w:p>
      <w:pPr>
        <w:spacing w:after="0" w:line="1411" w:lineRule="exact"/>
        <w:rPr>
          <w:sz w:val="20"/>
          <w:szCs w:val="20"/>
          <w:color w:val="auto"/>
        </w:rPr>
      </w:pPr>
    </w:p>
    <w:p>
      <w:pPr>
        <w:sectPr>
          <w:pgSz w:w="11900" w:h="16840" w:orient="portrait"/>
          <w:cols w:equalWidth="0" w:num="2">
            <w:col w:w="4340" w:space="200"/>
            <w:col w:w="4480"/>
          </w:cols>
          <w:pgMar w:left="1440" w:top="554" w:right="1440" w:bottom="1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250</w:t>
      </w:r>
    </w:p>
    <w:p>
      <w:pPr>
        <w:sectPr>
          <w:pgSz w:w="11900" w:h="16840" w:orient="portrait"/>
          <w:cols w:equalWidth="0" w:num="1">
            <w:col w:w="9020"/>
          </w:cols>
          <w:pgMar w:left="1440" w:top="554" w:right="1440" w:bottom="10" w:gutter="0" w:footer="0" w:header="0"/>
          <w:type w:val="continuous"/>
        </w:sectPr>
      </w:pPr>
    </w:p>
    <w:p>
      <w:pPr>
        <w:ind w:left="380"/>
        <w:spacing w:after="0"/>
        <w:rPr>
          <w:sz w:val="20"/>
          <w:szCs w:val="20"/>
          <w:color w:val="auto"/>
        </w:rPr>
      </w:pPr>
      <w:r>
        <w:rPr>
          <w:rFonts w:ascii="Arial" w:cs="Arial" w:eastAsia="Arial" w:hAnsi="Arial"/>
          <w:sz w:val="12"/>
          <w:szCs w:val="12"/>
          <w:b w:val="1"/>
          <w:bCs w:val="1"/>
          <w:color w:val="3C9673"/>
        </w:rPr>
        <w:t>Annual Report on Form 20-F for the year ended December 31, 2024</w:t>
      </w:r>
    </w:p>
    <w:p>
      <w:pPr>
        <w:sectPr>
          <w:pgSz w:w="11900" w:h="16840" w:orient="portrait"/>
          <w:cols w:equalWidth="0" w:num="1">
            <w:col w:w="9020"/>
          </w:cols>
          <w:pgMar w:left="1440" w:top="554" w:right="1440" w:bottom="10" w:gutter="0" w:footer="0" w:header="0"/>
          <w:type w:val="continuous"/>
        </w:sectPr>
      </w:pPr>
    </w:p>
    <w:bookmarkStart w:id="173" w:name="page174"/>
    <w:bookmarkEnd w:id="173"/>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57" w:lineRule="exact"/>
        <w:rPr>
          <w:sz w:val="20"/>
          <w:szCs w:val="20"/>
          <w:color w:val="auto"/>
        </w:rPr>
      </w:pPr>
    </w:p>
    <w:tbl>
      <w:tblPr>
        <w:tblLayout w:type="fixed"/>
        <w:tblInd w:w="380" w:type="dxa"/>
        <w:tblCellMar>
          <w:top w:w="0" w:type="dxa"/>
          <w:left w:w="0" w:type="dxa"/>
          <w:bottom w:w="0" w:type="dxa"/>
          <w:right w:w="0" w:type="dxa"/>
        </w:tblCellMar>
      </w:tblPr>
      <w:tr>
        <w:trPr>
          <w:trHeight w:val="20"/>
        </w:trPr>
        <w:tc>
          <w:tcPr>
            <w:tcW w:w="700" w:type="dxa"/>
            <w:vAlign w:val="bottom"/>
            <w:shd w:val="clear" w:color="auto" w:fill="BECD3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BECE33"/>
          </w:tcPr>
          <w:p>
            <w:pPr>
              <w:spacing w:after="0" w:line="20" w:lineRule="exact"/>
              <w:rPr>
                <w:sz w:val="1"/>
                <w:szCs w:val="1"/>
                <w:color w:val="auto"/>
              </w:rPr>
            </w:pPr>
          </w:p>
        </w:tc>
        <w:tc>
          <w:tcPr>
            <w:tcW w:w="60" w:type="dxa"/>
            <w:vAlign w:val="bottom"/>
            <w:shd w:val="clear" w:color="auto" w:fill="BECE33"/>
          </w:tcPr>
          <w:p>
            <w:pPr>
              <w:spacing w:after="0" w:line="20" w:lineRule="exact"/>
              <w:rPr>
                <w:sz w:val="1"/>
                <w:szCs w:val="1"/>
                <w:color w:val="auto"/>
              </w:rPr>
            </w:pPr>
          </w:p>
        </w:tc>
        <w:tc>
          <w:tcPr>
            <w:tcW w:w="2380" w:type="dxa"/>
            <w:vAlign w:val="bottom"/>
            <w:shd w:val="clear" w:color="auto" w:fill="BECE3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1"/>
        </w:trPr>
        <w:tc>
          <w:tcPr>
            <w:tcW w:w="1460" w:type="dxa"/>
            <w:vAlign w:val="bottom"/>
            <w:gridSpan w:val="3"/>
          </w:tcPr>
          <w:p>
            <w:pPr>
              <w:ind w:left="20"/>
              <w:spacing w:after="0" w:line="102" w:lineRule="exact"/>
              <w:rPr>
                <w:sz w:val="20"/>
                <w:szCs w:val="20"/>
                <w:color w:val="auto"/>
              </w:rPr>
            </w:pPr>
            <w:r>
              <w:rPr>
                <w:rFonts w:ascii="Arial" w:cs="Arial" w:eastAsia="Arial" w:hAnsi="Arial"/>
                <w:sz w:val="11"/>
                <w:szCs w:val="11"/>
                <w:color w:val="005A64"/>
              </w:rPr>
              <w:t>Shareholder Vote on</w:t>
            </w:r>
          </w:p>
        </w:tc>
        <w:tc>
          <w:tcPr>
            <w:tcW w:w="60" w:type="dxa"/>
            <w:vAlign w:val="bottom"/>
          </w:tcPr>
          <w:p>
            <w:pPr>
              <w:spacing w:after="0"/>
              <w:rPr>
                <w:sz w:val="8"/>
                <w:szCs w:val="8"/>
                <w:color w:val="auto"/>
              </w:rPr>
            </w:pPr>
          </w:p>
        </w:tc>
        <w:tc>
          <w:tcPr>
            <w:tcW w:w="2580" w:type="dxa"/>
            <w:vAlign w:val="bottom"/>
            <w:gridSpan w:val="2"/>
          </w:tcPr>
          <w:p>
            <w:pPr>
              <w:spacing w:after="0" w:line="102" w:lineRule="exact"/>
              <w:rPr>
                <w:sz w:val="20"/>
                <w:szCs w:val="20"/>
                <w:color w:val="auto"/>
              </w:rPr>
            </w:pPr>
            <w:r>
              <w:rPr>
                <w:rFonts w:ascii="Arial" w:cs="Arial" w:eastAsia="Arial" w:hAnsi="Arial"/>
                <w:sz w:val="11"/>
                <w:szCs w:val="11"/>
                <w:color w:val="005A64"/>
              </w:rPr>
              <w:t>Under applicable European and German law,</w:t>
            </w:r>
          </w:p>
        </w:tc>
      </w:tr>
      <w:tr>
        <w:trPr>
          <w:trHeight w:val="121"/>
        </w:trPr>
        <w:tc>
          <w:tcPr>
            <w:tcW w:w="1460" w:type="dxa"/>
            <w:vAlign w:val="bottom"/>
            <w:gridSpan w:val="3"/>
          </w:tcPr>
          <w:p>
            <w:pPr>
              <w:ind w:left="20"/>
              <w:spacing w:after="0" w:line="121" w:lineRule="exact"/>
              <w:rPr>
                <w:sz w:val="20"/>
                <w:szCs w:val="20"/>
                <w:color w:val="auto"/>
              </w:rPr>
            </w:pPr>
            <w:r>
              <w:rPr>
                <w:rFonts w:ascii="Arial" w:cs="Arial" w:eastAsia="Arial" w:hAnsi="Arial"/>
                <w:sz w:val="12"/>
                <w:szCs w:val="12"/>
                <w:color w:val="005A64"/>
              </w:rPr>
              <w:t>Certain Transactions</w:t>
            </w:r>
          </w:p>
        </w:tc>
        <w:tc>
          <w:tcPr>
            <w:tcW w:w="60" w:type="dxa"/>
            <w:vAlign w:val="bottom"/>
          </w:tcPr>
          <w:p>
            <w:pPr>
              <w:spacing w:after="0"/>
              <w:rPr>
                <w:sz w:val="10"/>
                <w:szCs w:val="10"/>
                <w:color w:val="auto"/>
              </w:rPr>
            </w:pPr>
          </w:p>
        </w:tc>
        <w:tc>
          <w:tcPr>
            <w:tcW w:w="2580" w:type="dxa"/>
            <w:vAlign w:val="bottom"/>
            <w:gridSpan w:val="2"/>
          </w:tcPr>
          <w:p>
            <w:pPr>
              <w:spacing w:after="0" w:line="121" w:lineRule="exact"/>
              <w:rPr>
                <w:sz w:val="20"/>
                <w:szCs w:val="20"/>
                <w:color w:val="auto"/>
              </w:rPr>
            </w:pPr>
            <w:r>
              <w:rPr>
                <w:rFonts w:ascii="Arial" w:cs="Arial" w:eastAsia="Arial" w:hAnsi="Arial"/>
                <w:sz w:val="12"/>
                <w:szCs w:val="12"/>
                <w:color w:val="005A64"/>
              </w:rPr>
              <w:t>certain shareholders’ resolutions of</w:t>
            </w:r>
          </w:p>
        </w:tc>
      </w:tr>
      <w:tr>
        <w:trPr>
          <w:trHeight w:val="121"/>
        </w:trPr>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gridSpan w:val="2"/>
          </w:tcPr>
          <w:p>
            <w:pPr>
              <w:spacing w:after="0" w:line="121" w:lineRule="exact"/>
              <w:rPr>
                <w:sz w:val="20"/>
                <w:szCs w:val="20"/>
                <w:color w:val="auto"/>
              </w:rPr>
            </w:pPr>
            <w:r>
              <w:rPr>
                <w:rFonts w:ascii="Arial" w:cs="Arial" w:eastAsia="Arial" w:hAnsi="Arial"/>
                <w:sz w:val="12"/>
                <w:szCs w:val="12"/>
                <w:color w:val="005A64"/>
              </w:rPr>
              <w:t>fundamental importance require the vote of at</w:t>
            </w:r>
          </w:p>
        </w:tc>
      </w:tr>
      <w:tr>
        <w:trPr>
          <w:trHeight w:val="121"/>
        </w:trPr>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gridSpan w:val="2"/>
          </w:tcPr>
          <w:p>
            <w:pPr>
              <w:spacing w:after="0" w:line="121" w:lineRule="exact"/>
              <w:rPr>
                <w:sz w:val="20"/>
                <w:szCs w:val="20"/>
                <w:color w:val="auto"/>
              </w:rPr>
            </w:pPr>
            <w:r>
              <w:rPr>
                <w:rFonts w:ascii="Arial" w:cs="Arial" w:eastAsia="Arial" w:hAnsi="Arial"/>
                <w:sz w:val="12"/>
                <w:szCs w:val="12"/>
                <w:color w:val="005A64"/>
              </w:rPr>
              <w:t>least three-quarters of the share capital</w:t>
            </w:r>
          </w:p>
        </w:tc>
      </w:tr>
      <w:tr>
        <w:trPr>
          <w:trHeight w:val="121"/>
        </w:trPr>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gridSpan w:val="2"/>
          </w:tcPr>
          <w:p>
            <w:pPr>
              <w:spacing w:after="0" w:line="121" w:lineRule="exact"/>
              <w:rPr>
                <w:sz w:val="20"/>
                <w:szCs w:val="20"/>
                <w:color w:val="auto"/>
              </w:rPr>
            </w:pPr>
            <w:r>
              <w:rPr>
                <w:rFonts w:ascii="Arial" w:cs="Arial" w:eastAsia="Arial" w:hAnsi="Arial"/>
                <w:sz w:val="12"/>
                <w:szCs w:val="12"/>
                <w:color w:val="005A64"/>
              </w:rPr>
              <w:t>present or represented in the voting at the</w:t>
            </w:r>
          </w:p>
        </w:tc>
      </w:tr>
      <w:tr>
        <w:trPr>
          <w:trHeight w:val="121"/>
        </w:trPr>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gridSpan w:val="2"/>
          </w:tcPr>
          <w:p>
            <w:pPr>
              <w:spacing w:after="0" w:line="121" w:lineRule="exact"/>
              <w:rPr>
                <w:sz w:val="20"/>
                <w:szCs w:val="20"/>
                <w:color w:val="auto"/>
              </w:rPr>
            </w:pPr>
            <w:r>
              <w:rPr>
                <w:rFonts w:ascii="Arial" w:cs="Arial" w:eastAsia="Arial" w:hAnsi="Arial"/>
                <w:sz w:val="12"/>
                <w:szCs w:val="12"/>
                <w:color w:val="005A64"/>
              </w:rPr>
              <w:t>time of adoption of the resolution. Resolutions</w:t>
            </w:r>
          </w:p>
        </w:tc>
      </w:tr>
      <w:tr>
        <w:trPr>
          <w:trHeight w:val="121"/>
        </w:trPr>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gridSpan w:val="2"/>
          </w:tcPr>
          <w:p>
            <w:pPr>
              <w:spacing w:after="0" w:line="121" w:lineRule="exact"/>
              <w:rPr>
                <w:sz w:val="20"/>
                <w:szCs w:val="20"/>
                <w:color w:val="auto"/>
              </w:rPr>
            </w:pPr>
            <w:r>
              <w:rPr>
                <w:rFonts w:ascii="Arial" w:cs="Arial" w:eastAsia="Arial" w:hAnsi="Arial"/>
                <w:sz w:val="12"/>
                <w:szCs w:val="12"/>
                <w:color w:val="005A64"/>
              </w:rPr>
              <w:t>of fundamental importance include, in</w:t>
            </w:r>
          </w:p>
        </w:tc>
      </w:tr>
      <w:tr>
        <w:trPr>
          <w:trHeight w:val="121"/>
        </w:trPr>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gridSpan w:val="2"/>
          </w:tcPr>
          <w:p>
            <w:pPr>
              <w:spacing w:after="0" w:line="121" w:lineRule="exact"/>
              <w:rPr>
                <w:sz w:val="20"/>
                <w:szCs w:val="20"/>
                <w:color w:val="auto"/>
              </w:rPr>
            </w:pPr>
            <w:r>
              <w:rPr>
                <w:rFonts w:ascii="Arial" w:cs="Arial" w:eastAsia="Arial" w:hAnsi="Arial"/>
                <w:sz w:val="12"/>
                <w:szCs w:val="12"/>
                <w:color w:val="005A64"/>
              </w:rPr>
              <w:t>particular, capital increases with exclusion of</w:t>
            </w:r>
          </w:p>
        </w:tc>
      </w:tr>
      <w:tr>
        <w:trPr>
          <w:trHeight w:val="121"/>
        </w:trPr>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gridSpan w:val="2"/>
          </w:tcPr>
          <w:p>
            <w:pPr>
              <w:spacing w:after="0" w:line="121" w:lineRule="exact"/>
              <w:rPr>
                <w:sz w:val="20"/>
                <w:szCs w:val="20"/>
                <w:color w:val="auto"/>
              </w:rPr>
            </w:pPr>
            <w:r>
              <w:rPr>
                <w:rFonts w:ascii="Arial" w:cs="Arial" w:eastAsia="Arial" w:hAnsi="Arial"/>
                <w:sz w:val="12"/>
                <w:szCs w:val="12"/>
                <w:color w:val="005A64"/>
              </w:rPr>
              <w:t>subscription rights, capital decreases, the</w:t>
            </w:r>
          </w:p>
        </w:tc>
      </w:tr>
      <w:tr>
        <w:trPr>
          <w:trHeight w:val="121"/>
        </w:trPr>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gridSpan w:val="2"/>
          </w:tcPr>
          <w:p>
            <w:pPr>
              <w:spacing w:after="0" w:line="121" w:lineRule="exact"/>
              <w:rPr>
                <w:sz w:val="20"/>
                <w:szCs w:val="20"/>
                <w:color w:val="auto"/>
              </w:rPr>
            </w:pPr>
            <w:r>
              <w:rPr>
                <w:rFonts w:ascii="Arial" w:cs="Arial" w:eastAsia="Arial" w:hAnsi="Arial"/>
                <w:sz w:val="12"/>
                <w:szCs w:val="12"/>
                <w:color w:val="005A64"/>
              </w:rPr>
              <w:t>creation of authorized or conditional share</w:t>
            </w:r>
          </w:p>
        </w:tc>
      </w:tr>
      <w:tr>
        <w:trPr>
          <w:trHeight w:val="121"/>
        </w:trPr>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gridSpan w:val="2"/>
          </w:tcPr>
          <w:p>
            <w:pPr>
              <w:spacing w:after="0" w:line="121" w:lineRule="exact"/>
              <w:rPr>
                <w:sz w:val="20"/>
                <w:szCs w:val="20"/>
                <w:color w:val="auto"/>
              </w:rPr>
            </w:pPr>
            <w:r>
              <w:rPr>
                <w:rFonts w:ascii="Arial" w:cs="Arial" w:eastAsia="Arial" w:hAnsi="Arial"/>
                <w:sz w:val="12"/>
                <w:szCs w:val="12"/>
                <w:color w:val="005A64"/>
              </w:rPr>
              <w:t>capital, the dissolution of a company, a</w:t>
            </w:r>
          </w:p>
        </w:tc>
      </w:tr>
      <w:tr>
        <w:trPr>
          <w:trHeight w:val="121"/>
        </w:trPr>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gridSpan w:val="2"/>
          </w:tcPr>
          <w:p>
            <w:pPr>
              <w:spacing w:after="0" w:line="121" w:lineRule="exact"/>
              <w:rPr>
                <w:sz w:val="20"/>
                <w:szCs w:val="20"/>
                <w:color w:val="auto"/>
              </w:rPr>
            </w:pPr>
            <w:r>
              <w:rPr>
                <w:rFonts w:ascii="Arial" w:cs="Arial" w:eastAsia="Arial" w:hAnsi="Arial"/>
                <w:sz w:val="12"/>
                <w:szCs w:val="12"/>
                <w:color w:val="005A64"/>
              </w:rPr>
              <w:t>merger into or with another company, split-offs</w:t>
            </w:r>
          </w:p>
        </w:tc>
      </w:tr>
      <w:tr>
        <w:trPr>
          <w:trHeight w:val="121"/>
        </w:trPr>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gridSpan w:val="2"/>
          </w:tcPr>
          <w:p>
            <w:pPr>
              <w:spacing w:after="0" w:line="121" w:lineRule="exact"/>
              <w:rPr>
                <w:sz w:val="20"/>
                <w:szCs w:val="20"/>
                <w:color w:val="auto"/>
              </w:rPr>
            </w:pPr>
            <w:r>
              <w:rPr>
                <w:rFonts w:ascii="Arial" w:cs="Arial" w:eastAsia="Arial" w:hAnsi="Arial"/>
                <w:sz w:val="12"/>
                <w:szCs w:val="12"/>
                <w:color w:val="005A64"/>
              </w:rPr>
              <w:t>and split-ups, the conclusion of inter-company</w:t>
            </w:r>
          </w:p>
        </w:tc>
      </w:tr>
      <w:tr>
        <w:trPr>
          <w:trHeight w:val="121"/>
        </w:trPr>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gridSpan w:val="2"/>
          </w:tcPr>
          <w:p>
            <w:pPr>
              <w:spacing w:after="0" w:line="121" w:lineRule="exact"/>
              <w:rPr>
                <w:sz w:val="20"/>
                <w:szCs w:val="20"/>
                <w:color w:val="auto"/>
              </w:rPr>
            </w:pPr>
            <w:r>
              <w:rPr>
                <w:rFonts w:ascii="Arial" w:cs="Arial" w:eastAsia="Arial" w:hAnsi="Arial"/>
                <w:sz w:val="12"/>
                <w:szCs w:val="12"/>
                <w:color w:val="005A64"/>
              </w:rPr>
              <w:t>agreements (</w:t>
            </w:r>
            <w:r>
              <w:rPr>
                <w:rFonts w:ascii="Arial" w:cs="Arial" w:eastAsia="Arial" w:hAnsi="Arial"/>
                <w:sz w:val="12"/>
                <w:szCs w:val="12"/>
                <w:i w:val="1"/>
                <w:iCs w:val="1"/>
                <w:color w:val="005A64"/>
              </w:rPr>
              <w:t>Unternehmensverträge</w:t>
            </w:r>
            <w:r>
              <w:rPr>
                <w:rFonts w:ascii="Arial" w:cs="Arial" w:eastAsia="Arial" w:hAnsi="Arial"/>
                <w:sz w:val="12"/>
                <w:szCs w:val="12"/>
                <w:color w:val="005A64"/>
              </w:rPr>
              <w:t>), in</w:t>
            </w:r>
          </w:p>
        </w:tc>
      </w:tr>
      <w:tr>
        <w:trPr>
          <w:trHeight w:val="121"/>
        </w:trPr>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gridSpan w:val="2"/>
          </w:tcPr>
          <w:p>
            <w:pPr>
              <w:spacing w:after="0" w:line="121" w:lineRule="exact"/>
              <w:rPr>
                <w:sz w:val="20"/>
                <w:szCs w:val="20"/>
                <w:color w:val="auto"/>
              </w:rPr>
            </w:pPr>
            <w:r>
              <w:rPr>
                <w:rFonts w:ascii="Arial" w:cs="Arial" w:eastAsia="Arial" w:hAnsi="Arial"/>
                <w:sz w:val="12"/>
                <w:szCs w:val="12"/>
                <w:color w:val="005A64"/>
              </w:rPr>
              <w:t>particular domination agreements</w:t>
            </w:r>
          </w:p>
        </w:tc>
      </w:tr>
      <w:tr>
        <w:trPr>
          <w:trHeight w:val="121"/>
        </w:trPr>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gridSpan w:val="2"/>
          </w:tcPr>
          <w:p>
            <w:pPr>
              <w:spacing w:after="0" w:line="121" w:lineRule="exact"/>
              <w:rPr>
                <w:sz w:val="20"/>
                <w:szCs w:val="20"/>
                <w:color w:val="auto"/>
              </w:rPr>
            </w:pPr>
            <w:r>
              <w:rPr>
                <w:rFonts w:ascii="Arial" w:cs="Arial" w:eastAsia="Arial" w:hAnsi="Arial"/>
                <w:sz w:val="12"/>
                <w:szCs w:val="12"/>
                <w:color w:val="005A64"/>
              </w:rPr>
              <w:t>(</w:t>
            </w:r>
            <w:r>
              <w:rPr>
                <w:rFonts w:ascii="Arial" w:cs="Arial" w:eastAsia="Arial" w:hAnsi="Arial"/>
                <w:sz w:val="12"/>
                <w:szCs w:val="12"/>
                <w:i w:val="1"/>
                <w:iCs w:val="1"/>
                <w:color w:val="005A64"/>
              </w:rPr>
              <w:t>Beherrschungsverträge</w:t>
            </w:r>
            <w:r>
              <w:rPr>
                <w:rFonts w:ascii="Arial" w:cs="Arial" w:eastAsia="Arial" w:hAnsi="Arial"/>
                <w:sz w:val="12"/>
                <w:szCs w:val="12"/>
                <w:color w:val="005A64"/>
              </w:rPr>
              <w:t>) and profit and loss</w:t>
            </w:r>
          </w:p>
        </w:tc>
      </w:tr>
      <w:tr>
        <w:trPr>
          <w:trHeight w:val="121"/>
        </w:trPr>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gridSpan w:val="2"/>
          </w:tcPr>
          <w:p>
            <w:pPr>
              <w:spacing w:after="0" w:line="121" w:lineRule="exact"/>
              <w:rPr>
                <w:sz w:val="20"/>
                <w:szCs w:val="20"/>
                <w:color w:val="auto"/>
              </w:rPr>
            </w:pPr>
            <w:r>
              <w:rPr>
                <w:rFonts w:ascii="Arial" w:cs="Arial" w:eastAsia="Arial" w:hAnsi="Arial"/>
                <w:sz w:val="12"/>
                <w:szCs w:val="12"/>
                <w:color w:val="005A64"/>
              </w:rPr>
              <w:t>transfer agreements</w:t>
            </w:r>
          </w:p>
        </w:tc>
      </w:tr>
      <w:tr>
        <w:trPr>
          <w:trHeight w:val="160"/>
        </w:trPr>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80" w:type="dxa"/>
            <w:vAlign w:val="bottom"/>
            <w:gridSpan w:val="2"/>
          </w:tcPr>
          <w:p>
            <w:pPr>
              <w:spacing w:after="0"/>
              <w:rPr>
                <w:sz w:val="20"/>
                <w:szCs w:val="20"/>
                <w:color w:val="auto"/>
              </w:rPr>
            </w:pPr>
            <w:r>
              <w:rPr>
                <w:rFonts w:ascii="Arial" w:cs="Arial" w:eastAsia="Arial" w:hAnsi="Arial"/>
                <w:sz w:val="12"/>
                <w:szCs w:val="12"/>
                <w:color w:val="005A64"/>
              </w:rPr>
              <w:t>(</w:t>
            </w:r>
            <w:r>
              <w:rPr>
                <w:rFonts w:ascii="Arial" w:cs="Arial" w:eastAsia="Arial" w:hAnsi="Arial"/>
                <w:sz w:val="12"/>
                <w:szCs w:val="12"/>
                <w:i w:val="1"/>
                <w:iCs w:val="1"/>
                <w:color w:val="005A64"/>
              </w:rPr>
              <w:t>Ergebnisabführungsverträge</w:t>
            </w:r>
            <w:r>
              <w:rPr>
                <w:rFonts w:ascii="Arial" w:cs="Arial" w:eastAsia="Arial" w:hAnsi="Arial"/>
                <w:sz w:val="12"/>
                <w:szCs w:val="12"/>
                <w:color w:val="005A64"/>
              </w:rPr>
              <w:t>).</w:t>
            </w:r>
          </w:p>
        </w:tc>
      </w:tr>
      <w:tr>
        <w:trPr>
          <w:trHeight w:val="447"/>
        </w:trPr>
        <w:tc>
          <w:tcPr>
            <w:tcW w:w="700" w:type="dxa"/>
            <w:vAlign w:val="bottom"/>
            <w:tcBorders>
              <w:bottom w:val="single" w:sz="8" w:color="005A64"/>
            </w:tcBorders>
          </w:tcPr>
          <w:p>
            <w:pPr>
              <w:spacing w:after="0"/>
              <w:rPr>
                <w:sz w:val="24"/>
                <w:szCs w:val="24"/>
                <w:color w:val="auto"/>
              </w:rPr>
            </w:pPr>
          </w:p>
        </w:tc>
        <w:tc>
          <w:tcPr>
            <w:tcW w:w="20" w:type="dxa"/>
            <w:vAlign w:val="bottom"/>
            <w:tcBorders>
              <w:bottom w:val="single" w:sz="8" w:color="005A64"/>
            </w:tcBorders>
          </w:tcPr>
          <w:p>
            <w:pPr>
              <w:spacing w:after="0"/>
              <w:rPr>
                <w:sz w:val="24"/>
                <w:szCs w:val="24"/>
                <w:color w:val="auto"/>
              </w:rPr>
            </w:pPr>
          </w:p>
        </w:tc>
        <w:tc>
          <w:tcPr>
            <w:tcW w:w="740" w:type="dxa"/>
            <w:vAlign w:val="bottom"/>
            <w:tcBorders>
              <w:bottom w:val="single" w:sz="8" w:color="005A64"/>
            </w:tcBorders>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tcBorders>
              <w:bottom w:val="single" w:sz="8" w:color="005A64"/>
            </w:tcBorders>
          </w:tcPr>
          <w:p>
            <w:pPr>
              <w:spacing w:after="0"/>
              <w:rPr>
                <w:sz w:val="24"/>
                <w:szCs w:val="24"/>
                <w:color w:val="auto"/>
              </w:rPr>
            </w:pPr>
          </w:p>
        </w:tc>
        <w:tc>
          <w:tcPr>
            <w:tcW w:w="200" w:type="dxa"/>
            <w:vAlign w:val="bottom"/>
            <w:tcBorders>
              <w:bottom w:val="single" w:sz="8" w:color="005A64"/>
            </w:tcBorders>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2" w:right="2060"/>
        <w:spacing w:after="0" w:line="214" w:lineRule="auto"/>
        <w:rPr>
          <w:sz w:val="20"/>
          <w:szCs w:val="20"/>
          <w:color w:val="auto"/>
        </w:rPr>
      </w:pPr>
      <w:r>
        <w:rPr>
          <w:rFonts w:ascii="Arial" w:cs="Arial" w:eastAsia="Arial" w:hAnsi="Arial"/>
          <w:sz w:val="12"/>
          <w:szCs w:val="12"/>
          <w:color w:val="005A64"/>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-467995</wp:posOffset>
            </wp:positionV>
            <wp:extent cx="2753360"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753360" cy="6350"/>
                    </a:xfrm>
                    <a:prstGeom prst="rect">
                      <a:avLst/>
                    </a:prstGeom>
                    <a:noFill/>
                  </pic:spPr>
                </pic:pic>
              </a:graphicData>
            </a:graphic>
          </wp:anchor>
        </w:drawing>
      </w:r>
    </w:p>
    <w:p>
      <w:pPr>
        <w:ind w:left="182" w:hanging="182"/>
        <w:spacing w:after="0" w:line="213" w:lineRule="auto"/>
        <w:tabs>
          <w:tab w:leader="none" w:pos="182" w:val="left"/>
        </w:tabs>
        <w:numPr>
          <w:ilvl w:val="0"/>
          <w:numId w:val="41"/>
        </w:numPr>
        <w:rPr>
          <w:rFonts w:ascii="Arial" w:cs="Arial" w:eastAsia="Arial" w:hAnsi="Arial"/>
          <w:sz w:val="12"/>
          <w:szCs w:val="12"/>
          <w:color w:val="005A64"/>
        </w:rPr>
      </w:pPr>
      <w:r>
        <w:rPr>
          <w:rFonts w:ascii="Arial" w:cs="Arial" w:eastAsia="Arial" w:hAnsi="Arial"/>
          <w:sz w:val="12"/>
          <w:szCs w:val="12"/>
          <w:color w:val="005A64"/>
        </w:rPr>
        <w:t>the approval of the board of directors; and</w:t>
      </w:r>
    </w:p>
    <w:p>
      <w:pPr>
        <w:ind w:left="2" w:right="2080" w:hanging="2"/>
        <w:spacing w:after="0" w:line="218" w:lineRule="auto"/>
        <w:tabs>
          <w:tab w:leader="none" w:pos="179" w:val="left"/>
        </w:tabs>
        <w:numPr>
          <w:ilvl w:val="0"/>
          <w:numId w:val="41"/>
        </w:numPr>
        <w:rPr>
          <w:rFonts w:ascii="Arial" w:cs="Arial" w:eastAsia="Arial" w:hAnsi="Arial"/>
          <w:sz w:val="12"/>
          <w:szCs w:val="12"/>
          <w:color w:val="005A64"/>
        </w:rPr>
      </w:pPr>
      <w:r>
        <w:rPr>
          <w:rFonts w:ascii="Arial" w:cs="Arial" w:eastAsia="Arial" w:hAnsi="Arial"/>
          <w:sz w:val="12"/>
          <w:szCs w:val="12"/>
          <w:color w:val="005A64"/>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670560</wp:posOffset>
            </wp:positionV>
            <wp:extent cx="1630045"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630045" cy="6350"/>
                    </a:xfrm>
                    <a:prstGeom prst="rect">
                      <a:avLst/>
                    </a:prstGeom>
                    <a:noFill/>
                  </pic:spPr>
                </pic:pic>
              </a:graphicData>
            </a:graphic>
          </wp:anchor>
        </w:drawing>
      </w:r>
    </w:p>
    <w:p>
      <w:pPr>
        <w:spacing w:after="0" w:line="1265" w:lineRule="exact"/>
        <w:rPr>
          <w:sz w:val="20"/>
          <w:szCs w:val="20"/>
          <w:color w:val="auto"/>
        </w:rPr>
      </w:pPr>
    </w:p>
    <w:p>
      <w:pPr>
        <w:sectPr>
          <w:pgSz w:w="11900" w:h="16840" w:orient="portrait"/>
          <w:cols w:equalWidth="0" w:num="2">
            <w:col w:w="4480" w:space="58"/>
            <w:col w:w="4482"/>
          </w:cols>
          <w:pgMar w:left="1440" w:top="5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251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29845</wp:posOffset>
            </wp:positionV>
            <wp:extent cx="5231130"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569" w:right="1440" w:bottom="1440" w:gutter="0" w:footer="0" w:header="0"/>
          <w:type w:val="continuous"/>
        </w:sectPr>
      </w:pPr>
    </w:p>
    <w:bookmarkStart w:id="174" w:name="page175"/>
    <w:bookmarkEnd w:id="174"/>
    <w:tbl>
      <w:tblPr>
        <w:tblLayout w:type="fixed"/>
        <w:tblInd w:w="380" w:type="dxa"/>
        <w:tblCellMar>
          <w:top w:w="0" w:type="dxa"/>
          <w:left w:w="0" w:type="dxa"/>
          <w:bottom w:w="0" w:type="dxa"/>
          <w:right w:w="0" w:type="dxa"/>
        </w:tblCellMar>
      </w:tblPr>
      <w:tr>
        <w:trPr>
          <w:trHeight w:val="121"/>
        </w:trPr>
        <w:tc>
          <w:tcPr>
            <w:tcW w:w="1460" w:type="dxa"/>
            <w:vAlign w:val="bottom"/>
            <w:tcBorders>
              <w:top w:val="single" w:sz="8" w:color="005A64"/>
            </w:tcBorders>
          </w:tcPr>
          <w:p>
            <w:pPr>
              <w:ind w:left="20"/>
              <w:spacing w:after="0" w:line="121" w:lineRule="exact"/>
              <w:rPr>
                <w:sz w:val="20"/>
                <w:szCs w:val="20"/>
                <w:color w:val="auto"/>
              </w:rPr>
            </w:pPr>
            <w:r>
              <w:rPr>
                <w:rFonts w:ascii="Arial" w:cs="Arial" w:eastAsia="Arial" w:hAnsi="Arial"/>
                <w:sz w:val="12"/>
                <w:szCs w:val="12"/>
                <w:color w:val="005A64"/>
              </w:rPr>
              <w:t>Standard of Conduct for</w:t>
            </w:r>
          </w:p>
        </w:tc>
        <w:tc>
          <w:tcPr>
            <w:tcW w:w="60" w:type="dxa"/>
            <w:vAlign w:val="bottom"/>
          </w:tcPr>
          <w:p>
            <w:pPr>
              <w:spacing w:after="0"/>
              <w:rPr>
                <w:sz w:val="10"/>
                <w:szCs w:val="10"/>
                <w:color w:val="auto"/>
              </w:rPr>
            </w:pPr>
          </w:p>
        </w:tc>
        <w:tc>
          <w:tcPr>
            <w:tcW w:w="2580" w:type="dxa"/>
            <w:vAlign w:val="bottom"/>
            <w:tcBorders>
              <w:top w:val="single" w:sz="8" w:color="005A64"/>
            </w:tcBorders>
          </w:tcPr>
          <w:p>
            <w:pPr>
              <w:spacing w:after="0" w:line="121" w:lineRule="exact"/>
              <w:rPr>
                <w:sz w:val="20"/>
                <w:szCs w:val="20"/>
                <w:color w:val="auto"/>
              </w:rPr>
            </w:pPr>
            <w:r>
              <w:rPr>
                <w:rFonts w:ascii="Arial" w:cs="Arial" w:eastAsia="Arial" w:hAnsi="Arial"/>
                <w:sz w:val="12"/>
                <w:szCs w:val="12"/>
                <w:color w:val="005A64"/>
              </w:rPr>
              <w:t>Under applicable European and German law,</w:t>
            </w:r>
          </w:p>
        </w:tc>
      </w:tr>
      <w:tr>
        <w:trPr>
          <w:trHeight w:val="121"/>
        </w:trPr>
        <w:tc>
          <w:tcPr>
            <w:tcW w:w="1460" w:type="dxa"/>
            <w:vAlign w:val="bottom"/>
          </w:tcPr>
          <w:p>
            <w:pPr>
              <w:ind w:left="20"/>
              <w:spacing w:after="0" w:line="121" w:lineRule="exact"/>
              <w:rPr>
                <w:sz w:val="20"/>
                <w:szCs w:val="20"/>
                <w:color w:val="auto"/>
              </w:rPr>
            </w:pPr>
            <w:r>
              <w:rPr>
                <w:rFonts w:ascii="Arial" w:cs="Arial" w:eastAsia="Arial" w:hAnsi="Arial"/>
                <w:sz w:val="12"/>
                <w:szCs w:val="12"/>
                <w:color w:val="005A64"/>
              </w:rPr>
              <w:t>Directors</w:t>
            </w: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both Management and Supervisory Board</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members must conduct their affairs with “the</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care and diligence of a prudent business man”</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and act in the best interest of the company.</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The scope of the fiduciary duties of</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Management and Supervisory Board</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members is generally determined by</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European and German legislation and by the</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courts.</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Statutory and fiduciary duties of members of</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the Management Board to the company</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include, among others:</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 to act in accordance with the law, the</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company’s articles of association and the</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rules of procedure for the Management Board,</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if any;</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 to report to the Supervisory Board on a</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regular basis as well as on certain important</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occasions;</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 to exercise reasonable care, skill and</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diligence;</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 to maintain a proper accounting system;</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 to not compete, directly or indirectly, with the</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company without permission by the</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supervisory board; and</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 to secure that no further transactions are</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made in case of insolvency.</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Statutory and fiduciary duties of members of</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the Supervisory Board to the company</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include, among others:</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 to effectively supervise the Management</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Board’s handling of the company’s affairs;</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 to evaluate and issue a resolution on certain</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transactions which can only be conducted by</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the Management Board after approval of the</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Supervisory Board;</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 to approve the company’s financial</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statements;</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 to appoint the Management Board members</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and to represent the company in transactions</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between the company and members of the</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Management Board; and</w:t>
            </w:r>
          </w:p>
        </w:tc>
      </w:tr>
      <w:tr>
        <w:trPr>
          <w:trHeight w:val="121"/>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tcPr>
          <w:p>
            <w:pPr>
              <w:spacing w:after="0" w:line="121" w:lineRule="exact"/>
              <w:rPr>
                <w:sz w:val="20"/>
                <w:szCs w:val="20"/>
                <w:color w:val="auto"/>
              </w:rPr>
            </w:pPr>
            <w:r>
              <w:rPr>
                <w:rFonts w:ascii="Arial" w:cs="Arial" w:eastAsia="Arial" w:hAnsi="Arial"/>
                <w:sz w:val="12"/>
                <w:szCs w:val="12"/>
                <w:color w:val="005A64"/>
              </w:rPr>
              <w:t>• to approve service contracts between</w:t>
            </w:r>
          </w:p>
        </w:tc>
      </w:tr>
      <w:tr>
        <w:trPr>
          <w:trHeight w:val="160"/>
        </w:trPr>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80" w:type="dxa"/>
            <w:vAlign w:val="bottom"/>
          </w:tcPr>
          <w:p>
            <w:pPr>
              <w:spacing w:after="0"/>
              <w:rPr>
                <w:sz w:val="20"/>
                <w:szCs w:val="20"/>
                <w:color w:val="auto"/>
              </w:rPr>
            </w:pPr>
            <w:r>
              <w:rPr>
                <w:rFonts w:ascii="Arial" w:cs="Arial" w:eastAsia="Arial" w:hAnsi="Arial"/>
                <w:sz w:val="12"/>
                <w:szCs w:val="12"/>
                <w:color w:val="005A64"/>
              </w:rPr>
              <w:t>individual members of the Management Board</w:t>
            </w:r>
          </w:p>
        </w:tc>
      </w:tr>
    </w:tbl>
    <w:p>
      <w:pPr>
        <w:spacing w:after="0" w:line="20" w:lineRule="exact"/>
        <w:rPr>
          <w:sz w:val="20"/>
          <w:szCs w:val="20"/>
          <w:color w:val="auto"/>
        </w:rPr>
      </w:pPr>
      <w:r>
        <w:rPr>
          <w:sz w:val="20"/>
          <w:szCs w:val="20"/>
          <w:color w:val="auto"/>
        </w:rPr>
        <w:br w:type="column"/>
      </w:r>
    </w:p>
    <w:p>
      <w:pPr>
        <w:ind w:right="2040"/>
        <w:spacing w:after="0" w:line="213" w:lineRule="auto"/>
        <w:rPr>
          <w:sz w:val="20"/>
          <w:szCs w:val="20"/>
          <w:color w:val="auto"/>
        </w:rPr>
      </w:pPr>
      <w:r>
        <w:rPr>
          <w:rFonts w:ascii="Arial" w:cs="Arial" w:eastAsia="Arial" w:hAnsi="Arial"/>
          <w:sz w:val="12"/>
          <w:szCs w:val="12"/>
          <w:color w:val="005A64"/>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 informed basis and in a manner they reasonably believe to be in the best interest of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1630045"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630045" cy="6350"/>
                    </a:xfrm>
                    <a:prstGeom prst="rect">
                      <a:avLst/>
                    </a:prstGeom>
                    <a:noFill/>
                  </pic:spPr>
                </pic:pic>
              </a:graphicData>
            </a:graphic>
          </wp:anchor>
        </w:drawing>
      </w:r>
    </w:p>
    <w:p>
      <w:pPr>
        <w:ind w:right="2020"/>
        <w:spacing w:after="0" w:line="210" w:lineRule="auto"/>
        <w:rPr>
          <w:sz w:val="20"/>
          <w:szCs w:val="20"/>
          <w:color w:val="auto"/>
        </w:rPr>
      </w:pPr>
      <w:r>
        <w:rPr>
          <w:rFonts w:ascii="Arial" w:cs="Arial" w:eastAsia="Arial" w:hAnsi="Arial"/>
          <w:sz w:val="12"/>
          <w:szCs w:val="12"/>
          <w:color w:val="005A64"/>
        </w:rPr>
        <w:t>Directors of a Delaware corporation owe fiduciary duties of care and loyalty to the corporation and to its stockholders.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5" w:lineRule="exact"/>
        <w:rPr>
          <w:sz w:val="20"/>
          <w:szCs w:val="20"/>
          <w:color w:val="auto"/>
        </w:rPr>
      </w:pPr>
    </w:p>
    <w:p>
      <w:pPr>
        <w:ind w:right="2100"/>
        <w:spacing w:after="0" w:line="217" w:lineRule="auto"/>
        <w:rPr>
          <w:sz w:val="20"/>
          <w:szCs w:val="20"/>
          <w:color w:val="auto"/>
        </w:rPr>
      </w:pPr>
      <w:r>
        <w:rPr>
          <w:rFonts w:ascii="Arial" w:cs="Arial" w:eastAsia="Arial" w:hAnsi="Arial"/>
          <w:sz w:val="12"/>
          <w:szCs w:val="12"/>
          <w:color w:val="005A64"/>
        </w:rPr>
        <w:t>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189" w:lineRule="exact"/>
        <w:rPr>
          <w:sz w:val="20"/>
          <w:szCs w:val="20"/>
          <w:color w:val="auto"/>
        </w:rPr>
      </w:pPr>
    </w:p>
    <w:p>
      <w:pPr>
        <w:sectPr>
          <w:pgSz w:w="11900" w:h="16840" w:orient="portrait"/>
          <w:cols w:equalWidth="0" w:num="2">
            <w:col w:w="4480" w:space="60"/>
            <w:col w:w="4480"/>
          </w:cols>
          <w:pgMar w:left="1440" w:top="550" w:right="1440" w:bottom="1440" w:gutter="0" w:footer="0" w:header="0"/>
        </w:sectPr>
      </w:pPr>
    </w:p>
    <w:p>
      <w:pPr>
        <w:ind w:left="380"/>
        <w:spacing w:after="0"/>
        <w:rPr>
          <w:sz w:val="20"/>
          <w:szCs w:val="20"/>
          <w:color w:val="auto"/>
        </w:rPr>
      </w:pPr>
      <w:r>
        <w:rPr>
          <w:rFonts w:ascii="Arial" w:cs="Arial" w:eastAsia="Arial" w:hAnsi="Arial"/>
          <w:sz w:val="13"/>
          <w:szCs w:val="13"/>
          <w:color w:val="auto"/>
        </w:rPr>
        <w:t>252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47" w:lineRule="exact"/>
        <w:rPr>
          <w:sz w:val="20"/>
          <w:szCs w:val="20"/>
          <w:color w:val="auto"/>
        </w:rPr>
      </w:pPr>
    </w:p>
    <w:tbl>
      <w:tblPr>
        <w:tblLayout w:type="fixed"/>
        <w:tblInd w:w="380" w:type="dxa"/>
        <w:tblCellMar>
          <w:top w:w="0" w:type="dxa"/>
          <w:left w:w="0" w:type="dxa"/>
          <w:bottom w:w="0" w:type="dxa"/>
          <w:right w:w="0" w:type="dxa"/>
        </w:tblCellMar>
      </w:tblPr>
      <w:tr>
        <w:trPr>
          <w:trHeight w:val="20"/>
        </w:trPr>
        <w:tc>
          <w:tcPr>
            <w:tcW w:w="720" w:type="dxa"/>
            <w:vAlign w:val="bottom"/>
            <w:shd w:val="clear" w:color="auto" w:fill="BECD32"/>
          </w:tcPr>
          <w:p>
            <w:pPr>
              <w:spacing w:after="0" w:line="20" w:lineRule="exact"/>
              <w:rPr>
                <w:sz w:val="1"/>
                <w:szCs w:val="1"/>
                <w:color w:val="auto"/>
              </w:rPr>
            </w:pPr>
          </w:p>
        </w:tc>
        <w:tc>
          <w:tcPr>
            <w:tcW w:w="580" w:type="dxa"/>
            <w:vAlign w:val="bottom"/>
            <w:shd w:val="clear" w:color="auto" w:fill="BECE33"/>
          </w:tcPr>
          <w:p>
            <w:pPr>
              <w:spacing w:after="0" w:line="20" w:lineRule="exact"/>
              <w:rPr>
                <w:sz w:val="1"/>
                <w:szCs w:val="1"/>
                <w:color w:val="auto"/>
              </w:rPr>
            </w:pPr>
          </w:p>
        </w:tc>
        <w:tc>
          <w:tcPr>
            <w:tcW w:w="2600" w:type="dxa"/>
            <w:vAlign w:val="bottom"/>
            <w:shd w:val="clear" w:color="auto" w:fill="BECE3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1"/>
        </w:trPr>
        <w:tc>
          <w:tcPr>
            <w:tcW w:w="1300" w:type="dxa"/>
            <w:vAlign w:val="bottom"/>
            <w:gridSpan w:val="2"/>
          </w:tcPr>
          <w:p>
            <w:pPr>
              <w:ind w:left="20"/>
              <w:spacing w:after="0" w:line="102" w:lineRule="exact"/>
              <w:rPr>
                <w:sz w:val="20"/>
                <w:szCs w:val="20"/>
                <w:color w:val="auto"/>
              </w:rPr>
            </w:pPr>
            <w:r>
              <w:rPr>
                <w:rFonts w:ascii="Arial" w:cs="Arial" w:eastAsia="Arial" w:hAnsi="Arial"/>
                <w:sz w:val="11"/>
                <w:szCs w:val="11"/>
                <w:color w:val="005A64"/>
              </w:rPr>
              <w:t>Stockholder Actions</w:t>
            </w:r>
          </w:p>
        </w:tc>
        <w:tc>
          <w:tcPr>
            <w:tcW w:w="2720" w:type="dxa"/>
            <w:vAlign w:val="bottom"/>
            <w:gridSpan w:val="2"/>
          </w:tcPr>
          <w:p>
            <w:pPr>
              <w:ind w:left="220"/>
              <w:spacing w:after="0" w:line="102" w:lineRule="exact"/>
              <w:rPr>
                <w:sz w:val="20"/>
                <w:szCs w:val="20"/>
                <w:color w:val="auto"/>
              </w:rPr>
            </w:pPr>
            <w:r>
              <w:rPr>
                <w:rFonts w:ascii="Arial" w:cs="Arial" w:eastAsia="Arial" w:hAnsi="Arial"/>
                <w:sz w:val="11"/>
                <w:szCs w:val="11"/>
                <w:color w:val="005A64"/>
              </w:rPr>
              <w:t>Under German law, generally, the company,</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rather than its shareholders, is the proper</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claimant in an action with respect to a wrong</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committed against the company, or in cases</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where there is an irregularity in the company’s</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internal management or supervision.</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Therefore, such claims may only be raised by</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the company represented by its Management</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Board, or, in the case of a wrong committed</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by a member of the Management Board, by</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the Supervisory Board.</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Additionally, pursuant to German case law,</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the Supervisory Board is obliged to pursue the</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company’s claims against the Management</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Board, unless the interest of the company</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keeps them from doing so.</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The Management Board, or, if a claim is</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against a member of the Management Board,</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the Supervisory Board, is obliged to pursue</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the company’s claims against the designated</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individuals if so resolved by a simple majority</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of votes cast during a shareholders’ meeting.</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With a simple majority of votes, shareholders</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can request that a representative pursues the</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claim on behalf of the company.</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If the company is unable to fulfill its third-</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party obligations, the company’s creditors</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may pursue the company’s damage claims</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against members of the Management Board</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for certain wrongdoings.</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Under certain circumstances, shareholders</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can bring forward damage claims of the</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company against its management on their</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own behalf. In order to bring forward such a</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claim one shareholder alone or together with</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other shareholders needs to hold at least one</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percent of the company’s share capital or a</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participation of €100,000 in the share capital.</w:t>
            </w:r>
          </w:p>
        </w:tc>
      </w:tr>
      <w:tr>
        <w:trPr>
          <w:trHeight w:val="121"/>
        </w:trPr>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gridSpan w:val="2"/>
          </w:tcPr>
          <w:p>
            <w:pPr>
              <w:ind w:left="220"/>
              <w:spacing w:after="0" w:line="121" w:lineRule="exact"/>
              <w:rPr>
                <w:sz w:val="20"/>
                <w:szCs w:val="20"/>
                <w:color w:val="auto"/>
              </w:rPr>
            </w:pPr>
            <w:r>
              <w:rPr>
                <w:rFonts w:ascii="Arial" w:cs="Arial" w:eastAsia="Arial" w:hAnsi="Arial"/>
                <w:sz w:val="12"/>
                <w:szCs w:val="12"/>
                <w:color w:val="005A64"/>
              </w:rPr>
              <w:t>Additionally, the claimant(s) need(s) to pass</w:t>
            </w:r>
          </w:p>
        </w:tc>
      </w:tr>
      <w:tr>
        <w:trPr>
          <w:trHeight w:val="160"/>
        </w:trPr>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720" w:type="dxa"/>
            <w:vAlign w:val="bottom"/>
            <w:gridSpan w:val="2"/>
          </w:tcPr>
          <w:p>
            <w:pPr>
              <w:ind w:left="220"/>
              <w:spacing w:after="0"/>
              <w:rPr>
                <w:sz w:val="20"/>
                <w:szCs w:val="20"/>
                <w:color w:val="auto"/>
              </w:rPr>
            </w:pPr>
            <w:r>
              <w:rPr>
                <w:rFonts w:ascii="Arial" w:cs="Arial" w:eastAsia="Arial" w:hAnsi="Arial"/>
                <w:sz w:val="12"/>
                <w:szCs w:val="12"/>
                <w:color w:val="005A64"/>
              </w:rPr>
              <w:t>through special claim approval procedures.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2" w:right="2020"/>
        <w:spacing w:after="0" w:line="216" w:lineRule="auto"/>
        <w:rPr>
          <w:sz w:val="20"/>
          <w:szCs w:val="20"/>
          <w:color w:val="auto"/>
        </w:rPr>
      </w:pPr>
      <w:r>
        <w:rPr>
          <w:rFonts w:ascii="Arial" w:cs="Arial" w:eastAsia="Arial" w:hAnsi="Arial"/>
          <w:sz w:val="12"/>
          <w:szCs w:val="12"/>
          <w:color w:val="005A64"/>
        </w:rPr>
        <w:t>Under Delaware law, a stockholder may initiate a derivative action to enforce a right of a corporation if the corporation fails to enforce the right itself. The complaint must: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-314325</wp:posOffset>
            </wp:positionV>
            <wp:extent cx="2753360" cy="6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753360" cy="6350"/>
                    </a:xfrm>
                    <a:prstGeom prst="rect">
                      <a:avLst/>
                    </a:prstGeom>
                    <a:noFill/>
                  </pic:spPr>
                </pic:pic>
              </a:graphicData>
            </a:graphic>
          </wp:anchor>
        </w:drawing>
      </w:r>
    </w:p>
    <w:p>
      <w:pPr>
        <w:ind w:left="2" w:right="2040" w:hanging="2"/>
        <w:spacing w:after="0" w:line="210" w:lineRule="auto"/>
        <w:tabs>
          <w:tab w:leader="none" w:pos="179" w:val="left"/>
        </w:tabs>
        <w:numPr>
          <w:ilvl w:val="0"/>
          <w:numId w:val="42"/>
        </w:numPr>
        <w:rPr>
          <w:rFonts w:ascii="Arial" w:cs="Arial" w:eastAsia="Arial" w:hAnsi="Arial"/>
          <w:sz w:val="12"/>
          <w:szCs w:val="12"/>
          <w:color w:val="005A64"/>
        </w:rPr>
      </w:pPr>
      <w:r>
        <w:rPr>
          <w:rFonts w:ascii="Arial" w:cs="Arial" w:eastAsia="Arial" w:hAnsi="Arial"/>
          <w:sz w:val="12"/>
          <w:szCs w:val="12"/>
          <w:color w:val="005A64"/>
        </w:rPr>
        <w:t>state that the plaintiff was a stockholder at the time of the transaction of which the plaintiff complains or that the plaintiffs shares thereafter devolved on the plaintiff by operation of law; and</w:t>
      </w:r>
    </w:p>
    <w:p>
      <w:pPr>
        <w:spacing w:after="0" w:line="2" w:lineRule="exact"/>
        <w:rPr>
          <w:rFonts w:ascii="Arial" w:cs="Arial" w:eastAsia="Arial" w:hAnsi="Arial"/>
          <w:sz w:val="12"/>
          <w:szCs w:val="12"/>
          <w:color w:val="005A64"/>
        </w:rPr>
      </w:pPr>
    </w:p>
    <w:p>
      <w:pPr>
        <w:ind w:left="2" w:right="2100" w:hanging="2"/>
        <w:spacing w:after="0" w:line="210" w:lineRule="auto"/>
        <w:tabs>
          <w:tab w:leader="none" w:pos="112" w:val="left"/>
        </w:tabs>
        <w:numPr>
          <w:ilvl w:val="0"/>
          <w:numId w:val="42"/>
        </w:numPr>
        <w:rPr>
          <w:rFonts w:ascii="Arial" w:cs="Arial" w:eastAsia="Arial" w:hAnsi="Arial"/>
          <w:sz w:val="12"/>
          <w:szCs w:val="12"/>
          <w:color w:val="005A64"/>
        </w:rPr>
      </w:pPr>
      <w:r>
        <w:rPr>
          <w:rFonts w:ascii="Arial" w:cs="Arial" w:eastAsia="Arial" w:hAnsi="Arial"/>
          <w:sz w:val="12"/>
          <w:szCs w:val="12"/>
          <w:color w:val="005A64"/>
        </w:rPr>
        <w:t>either (i) allege with particularity the efforts made by the plaintiff to obtain the action the plaintiff desires from the directors and the reasons for the plaintiff’s failure to obtain the action, or (ii) or state the reasons for not making the effort.</w:t>
      </w:r>
    </w:p>
    <w:p>
      <w:pPr>
        <w:spacing w:after="0" w:line="3" w:lineRule="exact"/>
        <w:rPr>
          <w:rFonts w:ascii="Arial" w:cs="Arial" w:eastAsia="Arial" w:hAnsi="Arial"/>
          <w:sz w:val="12"/>
          <w:szCs w:val="12"/>
          <w:color w:val="005A64"/>
        </w:rPr>
      </w:pPr>
    </w:p>
    <w:p>
      <w:pPr>
        <w:ind w:left="2" w:right="2080"/>
        <w:spacing w:after="0" w:line="220" w:lineRule="auto"/>
        <w:rPr>
          <w:rFonts w:ascii="Arial" w:cs="Arial" w:eastAsia="Arial" w:hAnsi="Arial"/>
          <w:sz w:val="12"/>
          <w:szCs w:val="12"/>
          <w:color w:val="005A64"/>
        </w:rPr>
      </w:pPr>
      <w:r>
        <w:rPr>
          <w:rFonts w:ascii="Arial" w:cs="Arial" w:eastAsia="Arial" w:hAnsi="Arial"/>
          <w:sz w:val="12"/>
          <w:szCs w:val="12"/>
          <w:color w:val="005A64"/>
        </w:rPr>
        <w:t>Additionally, the plaintiff must remain a stockholder through the duration of the derivative suit. The action will not be dismissed or compromised without the approval of the Delaware Court of Chancery.</w:t>
      </w:r>
    </w:p>
    <w:p>
      <w:pPr>
        <w:spacing w:after="0" w:line="2626" w:lineRule="exact"/>
        <w:rPr>
          <w:sz w:val="20"/>
          <w:szCs w:val="20"/>
          <w:color w:val="auto"/>
        </w:rPr>
      </w:pPr>
    </w:p>
    <w:p>
      <w:pPr>
        <w:sectPr>
          <w:pgSz w:w="11900" w:h="16840" w:orient="portrait"/>
          <w:cols w:equalWidth="0" w:num="2">
            <w:col w:w="4400" w:space="138"/>
            <w:col w:w="4482"/>
          </w:cols>
          <w:pgMar w:left="1440" w:top="55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005A64"/>
        </w:rPr>
        <w:t>Foreign Private Issuer Exemptions</w:t>
      </w:r>
    </w:p>
    <w:p>
      <w:pPr>
        <w:ind w:left="380" w:right="2100"/>
        <w:spacing w:after="0" w:line="210" w:lineRule="auto"/>
        <w:rPr>
          <w:sz w:val="20"/>
          <w:szCs w:val="20"/>
          <w:color w:val="auto"/>
        </w:rPr>
      </w:pPr>
      <w:r>
        <w:rPr>
          <w:rFonts w:ascii="Arial" w:cs="Arial" w:eastAsia="Arial" w:hAnsi="Arial"/>
          <w:sz w:val="13"/>
          <w:szCs w:val="13"/>
          <w:color w:val="auto"/>
        </w:rPr>
        <w:t>As a “foreign private issuer,” as defined by the SEC, although we are permitted to follow certain corporate governance practices of the Federal Republic of Germany, instead of those otherwise required under the rules of the Nasdaq Stock Market LLC, or Nasdaq, for domestic issuers, we follow the Nasdaq corporate governance rules applicable to foreign private issuers. While we voluntarily follow most Nasdaq corporate governance rules, we intend to take advantage of the following limited exemptions:</w:t>
      </w:r>
    </w:p>
    <w:p>
      <w:pPr>
        <w:spacing w:after="0" w:line="3"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•exemption from filing quarterly reports on Form 10-Q and providing current reports on Form 8- K disclosing significant events within four days of their occurrence (however, we intend to furnish quarterly financial information under cover of Form 6-K);</w:t>
      </w:r>
    </w:p>
    <w:p>
      <w:pPr>
        <w:spacing w:after="0" w:line="2" w:lineRule="exact"/>
        <w:rPr>
          <w:sz w:val="20"/>
          <w:szCs w:val="20"/>
          <w:color w:val="auto"/>
        </w:rPr>
      </w:pPr>
    </w:p>
    <w:p>
      <w:pPr>
        <w:ind w:left="380" w:right="2600"/>
        <w:spacing w:after="0" w:line="218" w:lineRule="auto"/>
        <w:rPr>
          <w:sz w:val="20"/>
          <w:szCs w:val="20"/>
          <w:color w:val="auto"/>
        </w:rPr>
      </w:pPr>
      <w:r>
        <w:rPr>
          <w:rFonts w:ascii="Arial" w:cs="Arial" w:eastAsia="Arial" w:hAnsi="Arial"/>
          <w:sz w:val="13"/>
          <w:szCs w:val="13"/>
          <w:color w:val="auto"/>
        </w:rPr>
        <w:t>•exemption from compliance with Regulation FD, which generally requires that when a company intentionally discloses material non-public information, it do so through a public disclosure that is broadly available to all members of the public at the same time. However, we do furnish quarterly financial information and other information on a more frequent basis under cover of Form 6-K, and intend to continue doing so. Moreover, we comply with other securities laws, such as rule 10b-5 (rule targeting securities fraud), among others;</w:t>
      </w:r>
    </w:p>
    <w:p>
      <w:pPr>
        <w:sectPr>
          <w:pgSz w:w="11900" w:h="16840" w:orient="portrait"/>
          <w:cols w:equalWidth="0" w:num="1">
            <w:col w:w="9020"/>
          </w:cols>
          <w:pgMar w:left="1440" w:top="550" w:right="1440" w:bottom="1440" w:gutter="0" w:footer="0" w:header="0"/>
          <w:type w:val="continuous"/>
        </w:sectPr>
      </w:pPr>
    </w:p>
    <w:bookmarkStart w:id="175" w:name="page176"/>
    <w:bookmarkEnd w:id="175"/>
    <w:p>
      <w:pPr>
        <w:ind w:left="380"/>
        <w:spacing w:after="0"/>
        <w:rPr>
          <w:sz w:val="20"/>
          <w:szCs w:val="20"/>
          <w:color w:val="auto"/>
        </w:rPr>
      </w:pPr>
      <w:r>
        <w:rPr>
          <w:rFonts w:ascii="Arial" w:cs="Arial" w:eastAsia="Arial" w:hAnsi="Arial"/>
          <w:sz w:val="13"/>
          <w:szCs w:val="13"/>
          <w:color w:val="auto"/>
        </w:rPr>
        <w:t>253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660"/>
        <w:spacing w:after="0" w:line="217" w:lineRule="auto"/>
        <w:rPr>
          <w:sz w:val="20"/>
          <w:szCs w:val="20"/>
          <w:color w:val="auto"/>
        </w:rPr>
      </w:pPr>
      <w:r>
        <w:rPr>
          <w:rFonts w:ascii="Arial" w:cs="Arial" w:eastAsia="Arial" w:hAnsi="Arial"/>
          <w:sz w:val="13"/>
          <w:szCs w:val="13"/>
          <w:color w:val="auto"/>
        </w:rPr>
        <w:t>•exemption from Section 16 rules regarding sales of ordinary shares by insiders, which will provide less data in this regard than the data provided to shareholders of U.S. companies that are subject to the Exchange 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560"/>
        <w:spacing w:after="0"/>
        <w:rPr>
          <w:sz w:val="20"/>
          <w:szCs w:val="20"/>
          <w:color w:val="auto"/>
        </w:rPr>
      </w:pPr>
      <w:r>
        <w:rPr>
          <w:rFonts w:ascii="Arial" w:cs="Arial" w:eastAsia="Arial" w:hAnsi="Arial"/>
          <w:sz w:val="13"/>
          <w:szCs w:val="13"/>
          <w:color w:val="auto"/>
        </w:rPr>
        <w:t>•exemption from the Nasdaq rules applicable to domestic issuers requiring disclosure within four business days of any determination to grant a waiver of the code of business conduct and ethics to directors and officers. Although we will require board approval of any such waiver, we may choose not to disclose the waiver in the manner set forth in the Nasdaq rules, as permitted by the foreign private issuer exemption.</w:t>
      </w:r>
    </w:p>
    <w:p>
      <w:pPr>
        <w:spacing w:after="0" w:line="59" w:lineRule="exact"/>
        <w:rPr>
          <w:sz w:val="20"/>
          <w:szCs w:val="20"/>
          <w:color w:val="auto"/>
        </w:rPr>
      </w:pPr>
    </w:p>
    <w:p>
      <w:pPr>
        <w:ind w:left="380" w:right="2100"/>
        <w:spacing w:after="0" w:line="211" w:lineRule="auto"/>
        <w:rPr>
          <w:sz w:val="20"/>
          <w:szCs w:val="20"/>
          <w:color w:val="auto"/>
        </w:rPr>
      </w:pPr>
      <w:r>
        <w:rPr>
          <w:rFonts w:ascii="Arial" w:cs="Arial" w:eastAsia="Arial" w:hAnsi="Arial"/>
          <w:sz w:val="13"/>
          <w:szCs w:val="13"/>
          <w:color w:val="auto"/>
        </w:rPr>
        <w:t>Furthermore, Nasdaq Rule 5615(a)(3) provides that, as a foreign private issuer, we may rely on home country corporate governance practices in lieu of certain of the rules in the Nasdaq Rule 5600 Series and Rule 5250(d), provided that we nevertheless comply with Nasdaq’s Notification of Noncompliance requirement (Rule 5625) and the Voting Rights requirement (Rule 5640) and that we have an audit committee that satisfies Rule 5605(c)(3), consisting of committee members that meet the independence requirements of Rule 5605(c)(2)(A)(ii). Although we are permitted to follow certain corporate governance rules that conform to German requirements in lieu of many of the Nasdaq corporate governance rules, we comply with the Nasdaq corporate governance rules applicable to foreign private issuers. We may utilize these exemptions for as long as we continue to qualify as a foreign private issuer.</w:t>
      </w:r>
    </w:p>
    <w:p>
      <w:pPr>
        <w:ind w:left="380"/>
        <w:spacing w:after="0" w:line="210" w:lineRule="auto"/>
        <w:rPr>
          <w:sz w:val="20"/>
          <w:szCs w:val="20"/>
          <w:color w:val="auto"/>
        </w:rPr>
      </w:pPr>
      <w:r>
        <w:rPr>
          <w:rFonts w:ascii="Arial" w:cs="Arial" w:eastAsia="Arial" w:hAnsi="Arial"/>
          <w:sz w:val="16"/>
          <w:szCs w:val="16"/>
          <w:b w:val="1"/>
          <w:bCs w:val="1"/>
          <w:color w:val="005A64"/>
        </w:rPr>
        <w:t>Item 16H. Mine Safety Disclosure</w:t>
      </w:r>
    </w:p>
    <w:p>
      <w:pPr>
        <w:ind w:left="380"/>
        <w:spacing w:after="0" w:line="216" w:lineRule="auto"/>
        <w:rPr>
          <w:sz w:val="20"/>
          <w:szCs w:val="20"/>
          <w:color w:val="auto"/>
        </w:rPr>
      </w:pPr>
      <w:r>
        <w:rPr>
          <w:rFonts w:ascii="Arial" w:cs="Arial" w:eastAsia="Arial" w:hAnsi="Arial"/>
          <w:sz w:val="13"/>
          <w:szCs w:val="13"/>
          <w:color w:val="auto"/>
        </w:rPr>
        <w:t>Not applicable.</w:t>
      </w:r>
    </w:p>
    <w:p>
      <w:pPr>
        <w:ind w:left="380"/>
        <w:spacing w:after="0" w:line="207" w:lineRule="auto"/>
        <w:rPr>
          <w:sz w:val="20"/>
          <w:szCs w:val="20"/>
          <w:color w:val="auto"/>
        </w:rPr>
      </w:pPr>
      <w:r>
        <w:rPr>
          <w:rFonts w:ascii="Arial" w:cs="Arial" w:eastAsia="Arial" w:hAnsi="Arial"/>
          <w:sz w:val="16"/>
          <w:szCs w:val="16"/>
          <w:b w:val="1"/>
          <w:bCs w:val="1"/>
          <w:color w:val="005A64"/>
        </w:rPr>
        <w:t>Item 16I. Disclosure Regarding Foreign Jurisdictions that Prevent Inspections</w:t>
      </w:r>
    </w:p>
    <w:p>
      <w:pPr>
        <w:ind w:left="380"/>
        <w:spacing w:after="0" w:line="216" w:lineRule="auto"/>
        <w:rPr>
          <w:sz w:val="20"/>
          <w:szCs w:val="20"/>
          <w:color w:val="auto"/>
        </w:rPr>
      </w:pPr>
      <w:r>
        <w:rPr>
          <w:rFonts w:ascii="Arial" w:cs="Arial" w:eastAsia="Arial" w:hAnsi="Arial"/>
          <w:sz w:val="13"/>
          <w:szCs w:val="13"/>
          <w:color w:val="auto"/>
        </w:rPr>
        <w:t>Not applicable.</w:t>
      </w:r>
    </w:p>
    <w:p>
      <w:pPr>
        <w:ind w:left="380"/>
        <w:spacing w:after="0" w:line="207" w:lineRule="auto"/>
        <w:rPr>
          <w:sz w:val="20"/>
          <w:szCs w:val="20"/>
          <w:color w:val="auto"/>
        </w:rPr>
      </w:pPr>
      <w:r>
        <w:rPr>
          <w:rFonts w:ascii="Arial" w:cs="Arial" w:eastAsia="Arial" w:hAnsi="Arial"/>
          <w:sz w:val="16"/>
          <w:szCs w:val="16"/>
          <w:b w:val="1"/>
          <w:bCs w:val="1"/>
          <w:color w:val="005A64"/>
        </w:rPr>
        <w:t>Item 16J. Insider Trading Policies</w:t>
      </w:r>
    </w:p>
    <w:p>
      <w:pPr>
        <w:jc w:val="both"/>
        <w:ind w:left="380" w:right="2260"/>
        <w:spacing w:after="0" w:line="212" w:lineRule="auto"/>
        <w:rPr>
          <w:sz w:val="20"/>
          <w:szCs w:val="20"/>
          <w:color w:val="auto"/>
        </w:rPr>
      </w:pPr>
      <w:r>
        <w:rPr>
          <w:rFonts w:ascii="Arial" w:cs="Arial" w:eastAsia="Arial" w:hAnsi="Arial"/>
          <w:sz w:val="13"/>
          <w:szCs w:val="13"/>
          <w:color w:val="auto"/>
        </w:rPr>
        <w:t>We have adopted an insider trading policy that is reasonably designed to promote compliance with applicable insider trading laws, rules and regulations, and any listing standards applicable to us. A copy is included as an exhibit to this Annual Report.</w:t>
      </w:r>
    </w:p>
    <w:p>
      <w:pPr>
        <w:ind w:left="380"/>
        <w:spacing w:after="0" w:line="208" w:lineRule="auto"/>
        <w:rPr>
          <w:sz w:val="20"/>
          <w:szCs w:val="20"/>
          <w:color w:val="auto"/>
        </w:rPr>
      </w:pPr>
      <w:r>
        <w:rPr>
          <w:rFonts w:ascii="Arial" w:cs="Arial" w:eastAsia="Arial" w:hAnsi="Arial"/>
          <w:sz w:val="16"/>
          <w:szCs w:val="16"/>
          <w:b w:val="1"/>
          <w:bCs w:val="1"/>
          <w:color w:val="005A64"/>
        </w:rPr>
        <w:t>Item 16K. Cybersecurity</w:t>
      </w:r>
    </w:p>
    <w:p>
      <w:pPr>
        <w:ind w:left="380"/>
        <w:spacing w:after="0" w:line="211" w:lineRule="auto"/>
        <w:rPr>
          <w:sz w:val="20"/>
          <w:szCs w:val="20"/>
          <w:color w:val="auto"/>
        </w:rPr>
      </w:pPr>
      <w:r>
        <w:rPr>
          <w:rFonts w:ascii="Arial" w:cs="Arial" w:eastAsia="Arial" w:hAnsi="Arial"/>
          <w:sz w:val="13"/>
          <w:szCs w:val="13"/>
          <w:b w:val="1"/>
          <w:bCs w:val="1"/>
          <w:color w:val="005A64"/>
        </w:rPr>
        <w:t>Risk Management and Strategy</w:t>
      </w:r>
    </w:p>
    <w:p>
      <w:pPr>
        <w:ind w:left="380" w:right="2100"/>
        <w:spacing w:after="0" w:line="210" w:lineRule="auto"/>
        <w:rPr>
          <w:sz w:val="20"/>
          <w:szCs w:val="20"/>
          <w:color w:val="auto"/>
        </w:rPr>
      </w:pPr>
      <w:r>
        <w:rPr>
          <w:rFonts w:ascii="Arial" w:cs="Arial" w:eastAsia="Arial" w:hAnsi="Arial"/>
          <w:sz w:val="13"/>
          <w:szCs w:val="13"/>
          <w:color w:val="auto"/>
        </w:rPr>
        <w:t>Our cybersecurity approach strives to adequately protect our information, systems, assets, physical locations, and people. From a business perspective, this means protecting key information assets and complying with applicable international and national privacy laws, information security policies and contractual obligations. Our Information Security Policy, adopted in 2023, defines our information security management objectives and principles, and our Data Privacy Policy, effective since 2021, provides for a consistent level of company-wide data privacy and data protection. In addition, our Information Classification Policy, introduced internally during the year ended December 31, 2023, provides a system for classifying and protecting our physical and digital assets. These policies are applicable to BioNTech SE and its affiliates, including all Supervisory Board and Management Board members, as well as all other officers and employees, and are part of our overall Information Security Management System, or ISMS, that became effective in 2024 as part of the preparation for the ISO 27001 certification, which is expected to be completed in the first quarter of 2025.</w:t>
      </w:r>
    </w:p>
    <w:p>
      <w:pPr>
        <w:spacing w:after="0" w:line="7" w:lineRule="exact"/>
        <w:rPr>
          <w:sz w:val="20"/>
          <w:szCs w:val="20"/>
          <w:color w:val="auto"/>
        </w:rPr>
      </w:pPr>
    </w:p>
    <w:p>
      <w:pPr>
        <w:ind w:left="380" w:right="2200"/>
        <w:spacing w:after="0" w:line="220" w:lineRule="auto"/>
        <w:rPr>
          <w:sz w:val="20"/>
          <w:szCs w:val="20"/>
          <w:color w:val="auto"/>
        </w:rPr>
      </w:pPr>
      <w:r>
        <w:rPr>
          <w:rFonts w:ascii="Arial" w:cs="Arial" w:eastAsia="Arial" w:hAnsi="Arial"/>
          <w:sz w:val="13"/>
          <w:szCs w:val="13"/>
          <w:color w:val="auto"/>
        </w:rPr>
        <w:t>The ISMS enables us to systematically manage information security through defined processes and structures. This helps to reduce the risks of business interruptions, disclosure of sensitive data or intellectual property, and other damages caused by IT security incidents. Additionally, as an operator of an essential service, we are regulated by the IT Security Act and must comply with legislative requirements, including the implementation of security measures to reduce the information security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254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5" w:lineRule="auto"/>
        <w:rPr>
          <w:sz w:val="20"/>
          <w:szCs w:val="20"/>
          <w:color w:val="auto"/>
        </w:rPr>
      </w:pPr>
      <w:r>
        <w:rPr>
          <w:rFonts w:ascii="Arial" w:cs="Arial" w:eastAsia="Arial" w:hAnsi="Arial"/>
          <w:sz w:val="13"/>
          <w:szCs w:val="13"/>
          <w:color w:val="auto"/>
        </w:rPr>
        <w:t>We aim to prevent the implementation of overly complicated and time -consuming procedures that may lead to an unnecessary increase in effort. We are striving to align the protection of data and the provision of essential service with our organizational context and economic approach. We aim to create an ISMS that is not limited to documentation but is fully integrated into daily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jc w:val="both"/>
        <w:ind w:left="380" w:right="2200"/>
        <w:spacing w:after="0" w:line="210" w:lineRule="auto"/>
        <w:rPr>
          <w:sz w:val="20"/>
          <w:szCs w:val="20"/>
          <w:color w:val="auto"/>
        </w:rPr>
      </w:pPr>
      <w:r>
        <w:rPr>
          <w:rFonts w:ascii="Arial" w:cs="Arial" w:eastAsia="Arial" w:hAnsi="Arial"/>
          <w:sz w:val="13"/>
          <w:szCs w:val="13"/>
          <w:color w:val="auto"/>
        </w:rPr>
        <w:t>Our processes for assessing, identifying, and managing material risks from cybersecurity threats are integrated into our overall enterprise risk management system, which was developed with input from internal and external experts.</w:t>
      </w:r>
    </w:p>
    <w:p>
      <w:pPr>
        <w:spacing w:after="0" w:line="2"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To achieve and preserve information security, we strive for the orderly planning, implementation, control, and optimization of all activities required for the protection of data privacy and the detection, response and recovery of data privacy risks. We are committed to the continual improvement of our ISMS based on the results of the performance evaluation. We will initially seek certifications for our main manufacturing facility and an R&amp;D site in addition to the cybersecurity organization.</w:t>
      </w:r>
    </w:p>
    <w:p>
      <w:pPr>
        <w:spacing w:after="0" w:line="3"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We take responsibility for the transparent communication and proper processing of personal data. This includes the storage, access, retention, and security of all personal data when engaging with patients, employees, customers, business partners, and vendors. We communicate our practices in a data privacy statement on our corporate website. We require the third parties with which we contract to adhere to contractual privacy and security provisions, and we request specific information from major vendors about their practices in protecting data privacy.</w:t>
      </w:r>
    </w:p>
    <w:p>
      <w:pPr>
        <w:spacing w:after="0" w:line="4" w:lineRule="exact"/>
        <w:rPr>
          <w:sz w:val="20"/>
          <w:szCs w:val="20"/>
          <w:color w:val="auto"/>
        </w:rPr>
      </w:pPr>
    </w:p>
    <w:p>
      <w:pPr>
        <w:ind w:left="380" w:right="2100"/>
        <w:spacing w:after="0" w:line="215" w:lineRule="auto"/>
        <w:rPr>
          <w:sz w:val="20"/>
          <w:szCs w:val="20"/>
          <w:color w:val="auto"/>
        </w:rPr>
      </w:pPr>
      <w:r>
        <w:rPr>
          <w:rFonts w:ascii="Arial" w:cs="Arial" w:eastAsia="Arial" w:hAnsi="Arial"/>
          <w:sz w:val="13"/>
          <w:szCs w:val="13"/>
          <w:color w:val="auto"/>
        </w:rPr>
        <w:t xml:space="preserve">When processing personal data, we are responsible for ensuring that we comply with applicable data protection laws. These include the European Union’s General Data Protection Regulation ( </w:t>
      </w:r>
      <w:r>
        <w:rPr>
          <w:rFonts w:ascii="Arial" w:cs="Arial" w:eastAsia="Arial" w:hAnsi="Arial"/>
          <w:sz w:val="13"/>
          <w:szCs w:val="13"/>
          <w:i w:val="1"/>
          <w:iCs w:val="1"/>
          <w:color w:val="auto"/>
        </w:rPr>
        <w:t>GDPR</w:t>
      </w:r>
      <w:r>
        <w:rPr>
          <w:rFonts w:ascii="Arial" w:cs="Arial" w:eastAsia="Arial" w:hAnsi="Arial"/>
          <w:sz w:val="13"/>
          <w:szCs w:val="13"/>
          <w:color w:val="auto"/>
        </w:rPr>
        <w:t>), the German Commercial Code (</w:t>
      </w:r>
      <w:r>
        <w:rPr>
          <w:rFonts w:ascii="Arial" w:cs="Arial" w:eastAsia="Arial" w:hAnsi="Arial"/>
          <w:sz w:val="13"/>
          <w:szCs w:val="13"/>
          <w:i w:val="1"/>
          <w:iCs w:val="1"/>
          <w:color w:val="auto"/>
        </w:rPr>
        <w:t>HGB</w:t>
      </w:r>
      <w:r>
        <w:rPr>
          <w:rFonts w:ascii="Arial" w:cs="Arial" w:eastAsia="Arial" w:hAnsi="Arial"/>
          <w:sz w:val="13"/>
          <w:szCs w:val="13"/>
          <w:color w:val="auto"/>
        </w:rPr>
        <w:t>), the German Federal Data Protection Act (</w:t>
      </w:r>
      <w:r>
        <w:rPr>
          <w:rFonts w:ascii="Arial" w:cs="Arial" w:eastAsia="Arial" w:hAnsi="Arial"/>
          <w:sz w:val="13"/>
          <w:szCs w:val="13"/>
          <w:i w:val="1"/>
          <w:iCs w:val="1"/>
          <w:color w:val="auto"/>
        </w:rPr>
        <w:t>BDSG</w:t>
      </w:r>
      <w:r>
        <w:rPr>
          <w:rFonts w:ascii="Arial" w:cs="Arial" w:eastAsia="Arial" w:hAnsi="Arial"/>
          <w:sz w:val="13"/>
          <w:szCs w:val="13"/>
          <w:color w:val="auto"/>
        </w:rPr>
        <w:t xml:space="preserve">), the German IT Security Act 2.0 (IT-SiG 2.0), the German Federal Office for Information Security Act ( </w:t>
      </w:r>
      <w:r>
        <w:rPr>
          <w:rFonts w:ascii="Arial" w:cs="Arial" w:eastAsia="Arial" w:hAnsi="Arial"/>
          <w:sz w:val="13"/>
          <w:szCs w:val="13"/>
          <w:i w:val="1"/>
          <w:iCs w:val="1"/>
          <w:color w:val="auto"/>
        </w:rPr>
        <w:t>BSIG</w:t>
      </w:r>
      <w:r>
        <w:rPr>
          <w:rFonts w:ascii="Arial" w:cs="Arial" w:eastAsia="Arial" w:hAnsi="Arial"/>
          <w:sz w:val="13"/>
          <w:szCs w:val="13"/>
          <w:color w:val="auto"/>
        </w:rPr>
        <w:t>), and other privacy and data security laws in the jurisdictions where we operate. In April 2023, we were designated as a part of Germany’s critical infrastructure (</w:t>
      </w:r>
      <w:r>
        <w:rPr>
          <w:rFonts w:ascii="Arial" w:cs="Arial" w:eastAsia="Arial" w:hAnsi="Arial"/>
          <w:sz w:val="13"/>
          <w:szCs w:val="13"/>
          <w:i w:val="1"/>
          <w:iCs w:val="1"/>
          <w:color w:val="auto"/>
        </w:rPr>
        <w:t>KRITIS</w:t>
      </w:r>
      <w:r>
        <w:rPr>
          <w:rFonts w:ascii="Arial" w:cs="Arial" w:eastAsia="Arial" w:hAnsi="Arial"/>
          <w:sz w:val="13"/>
          <w:szCs w:val="13"/>
          <w:color w:val="auto"/>
        </w:rPr>
        <w:t>) under the BSIG, which has resulted in heightened reporting and verification obligations. We are in the process of implementing a global data privacy framework that sets out the requirements and standards applicable to processing personal data. The framework is being designed to foster compliance with the applicable regulations and sets minimum standards for the Company. As part of our global strategy, privacy-related documents, such as informed consent forms for clinical trials, are being standardized company-wide. The forms facilitate the user-friendly implementation of the standards we have established and provide transparency</w:t>
      </w:r>
    </w:p>
    <w:p>
      <w:pPr>
        <w:sectPr>
          <w:pgSz w:w="11900" w:h="16840" w:orient="portrait"/>
          <w:cols w:equalWidth="0" w:num="1">
            <w:col w:w="9020"/>
          </w:cols>
          <w:pgMar w:left="1440" w:top="1210" w:right="1440" w:bottom="8" w:gutter="0" w:footer="0" w:header="0"/>
        </w:sectPr>
      </w:pPr>
    </w:p>
    <w:bookmarkStart w:id="176" w:name="page177"/>
    <w:bookmarkEnd w:id="176"/>
    <w:p>
      <w:pPr>
        <w:ind w:left="380"/>
        <w:spacing w:after="0"/>
        <w:rPr>
          <w:sz w:val="20"/>
          <w:szCs w:val="20"/>
          <w:color w:val="auto"/>
        </w:rPr>
      </w:pPr>
      <w:r>
        <w:rPr>
          <w:rFonts w:ascii="Arial" w:cs="Arial" w:eastAsia="Arial" w:hAnsi="Arial"/>
          <w:sz w:val="13"/>
          <w:szCs w:val="13"/>
          <w:color w:val="auto"/>
        </w:rPr>
        <w:t>on how and why we process personal data.</w:t>
      </w:r>
    </w:p>
    <w:p>
      <w:pPr>
        <w:ind w:left="380" w:right="2100"/>
        <w:spacing w:after="0" w:line="210" w:lineRule="auto"/>
        <w:rPr>
          <w:sz w:val="20"/>
          <w:szCs w:val="20"/>
          <w:color w:val="auto"/>
        </w:rPr>
      </w:pPr>
      <w:r>
        <w:rPr>
          <w:rFonts w:ascii="Arial" w:cs="Arial" w:eastAsia="Arial" w:hAnsi="Arial"/>
          <w:sz w:val="13"/>
          <w:szCs w:val="13"/>
          <w:color w:val="auto"/>
        </w:rPr>
        <w:t>In 2024, there were no substantiated complaints concerning material data breaches, including leaks, thefts, or losses of personal data such as patient or customer data. Contracts and confidentiality agreements with clinical trial sites were compliant with relevant regulations. We do not believe that any cybersecurity threats in 2024, including as a result of any previous cybersecurity incidents, have materially aﬀected or are reasonably likely to materially aﬀect us, including our business strategy, results of operations, or financial condition. For a discussion of cybersecurity and data privacy-related risks and uncertainties, see Item 3.D, “Risk Factors,” of this Annual Report on Form 20-F.</w:t>
      </w:r>
    </w:p>
    <w:p>
      <w:pPr>
        <w:ind w:left="380"/>
        <w:spacing w:after="0" w:line="217" w:lineRule="auto"/>
        <w:rPr>
          <w:sz w:val="20"/>
          <w:szCs w:val="20"/>
          <w:color w:val="auto"/>
        </w:rPr>
      </w:pPr>
      <w:r>
        <w:rPr>
          <w:rFonts w:ascii="Arial" w:cs="Arial" w:eastAsia="Arial" w:hAnsi="Arial"/>
          <w:sz w:val="13"/>
          <w:szCs w:val="13"/>
          <w:b w:val="1"/>
          <w:bCs w:val="1"/>
          <w:color w:val="005A64"/>
        </w:rPr>
        <w:t>Governance</w:t>
      </w:r>
    </w:p>
    <w:p>
      <w:pPr>
        <w:ind w:left="380" w:right="2120"/>
        <w:spacing w:after="0" w:line="212" w:lineRule="auto"/>
        <w:rPr>
          <w:sz w:val="20"/>
          <w:szCs w:val="20"/>
          <w:color w:val="auto"/>
        </w:rPr>
      </w:pPr>
      <w:r>
        <w:rPr>
          <w:rFonts w:ascii="Arial" w:cs="Arial" w:eastAsia="Arial" w:hAnsi="Arial"/>
          <w:sz w:val="13"/>
          <w:szCs w:val="13"/>
          <w:color w:val="auto"/>
        </w:rPr>
        <w:t>We take a centralized approach to managing cyber and information security to facilitate consistent compliance across entities and locations. Our overarching strategy was developed in 2021 by the Chief Operating Officer, or COO, and Chief Information Security Officer, or CISO, in alignment with the Data Protection Officer and Head of Global Security and Protection, and is regularly updated. The ISMS was implemented in 2024.</w:t>
      </w:r>
    </w:p>
    <w:p>
      <w:pPr>
        <w:ind w:left="380" w:right="2500"/>
        <w:spacing w:after="0" w:line="221" w:lineRule="auto"/>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The ISMS audit committee (the Committee) is comprised of three people from the supervisory board and</w:t>
      </w:r>
      <w:r>
        <w:rPr>
          <w:rFonts w:ascii="Arial" w:cs="Arial" w:eastAsia="Arial" w:hAnsi="Arial"/>
          <w:sz w:val="16"/>
          <w:szCs w:val="16"/>
          <w:color w:val="auto"/>
        </w:rPr>
        <w:t xml:space="preserve"> </w:t>
      </w:r>
      <w:r>
        <w:rPr>
          <w:rFonts w:ascii="Arial" w:cs="Arial" w:eastAsia="Arial" w:hAnsi="Arial"/>
          <w:sz w:val="13"/>
          <w:szCs w:val="13"/>
          <w:color w:val="auto"/>
        </w:rPr>
        <w:t>the CFO. The Committee supports the ISMS and approves related policies and IT security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255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580"/>
        <w:spacing w:after="0" w:line="215" w:lineRule="auto"/>
        <w:rPr>
          <w:sz w:val="20"/>
          <w:szCs w:val="20"/>
          <w:color w:val="auto"/>
        </w:rPr>
      </w:pPr>
      <w:r>
        <w:rPr>
          <w:rFonts w:ascii="Arial" w:cs="Arial" w:eastAsia="Arial" w:hAnsi="Arial"/>
          <w:sz w:val="13"/>
          <w:szCs w:val="13"/>
          <w:color w:val="auto"/>
        </w:rPr>
        <w:t>measures. They are informed about the implementation progress and functioning of the ISMS and determine the risk appetite as well as our risk strategy. The progress of the ISMS, along with related Key Performance Indicators, is presented to the Committee on an annual basis. The Committee also informs the entire Management Board about the outcome of its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20"/>
        <w:spacing w:after="0" w:line="210" w:lineRule="auto"/>
        <w:rPr>
          <w:sz w:val="20"/>
          <w:szCs w:val="20"/>
          <w:color w:val="auto"/>
        </w:rPr>
      </w:pPr>
      <w:r>
        <w:rPr>
          <w:rFonts w:ascii="Arial" w:cs="Arial" w:eastAsia="Arial" w:hAnsi="Arial"/>
          <w:sz w:val="13"/>
          <w:szCs w:val="13"/>
          <w:color w:val="auto"/>
        </w:rPr>
        <w:t>Our COO and Management Board member, Sierk Poetting, is responsible for assessing and managing our material risks from cybersecurity threats. His ambit includes reviewing our information security capabilities, reporting data privacy issues to the Management Board, and supporting our Information Security Organization, or ISO, in obtaining the resources it needs. The COO’s extensive experience in risk management, operations and corporate governance, with over 11 years of experience in the pharmaceutical industry in particular, are critical to the management of cyber and information security at the Company.</w:t>
      </w:r>
    </w:p>
    <w:p>
      <w:pPr>
        <w:spacing w:after="0" w:line="4" w:lineRule="exact"/>
        <w:rPr>
          <w:sz w:val="20"/>
          <w:szCs w:val="20"/>
          <w:color w:val="auto"/>
        </w:rPr>
      </w:pPr>
    </w:p>
    <w:p>
      <w:pPr>
        <w:ind w:left="380" w:right="2600"/>
        <w:spacing w:after="0" w:line="210" w:lineRule="auto"/>
        <w:rPr>
          <w:sz w:val="20"/>
          <w:szCs w:val="20"/>
          <w:color w:val="auto"/>
        </w:rPr>
      </w:pPr>
      <w:r>
        <w:rPr>
          <w:rFonts w:ascii="Arial" w:cs="Arial" w:eastAsia="Arial" w:hAnsi="Arial"/>
          <w:sz w:val="13"/>
          <w:szCs w:val="13"/>
          <w:color w:val="auto"/>
        </w:rPr>
        <w:t>•The COO is supported by the CISO, who leads the ISO and is accountable for security strategy, operations, and policy development and implementation. Our CISO, Raimond Jähn, was the department lead of our IT security team starting in 2016, has led the cyber and information security transformation program towards a new operating model since 2021, and was formally designated as CISO by the COO in 2023. Our Head of Cyber and Information Security, Data Protection Officer, and Head of Global Security and Protection each bring in additional expertise.</w:t>
      </w:r>
    </w:p>
    <w:p>
      <w:pPr>
        <w:spacing w:after="0" w:line="4"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 xml:space="preserve">•Data privacy matters fall under the purview of our Chief Legal Officer </w:t>
      </w:r>
      <w:r>
        <w:rPr>
          <w:rFonts w:ascii="Arial" w:cs="Arial" w:eastAsia="Arial" w:hAnsi="Arial"/>
          <w:sz w:val="13"/>
          <w:szCs w:val="13"/>
          <w:b w:val="1"/>
          <w:bCs w:val="1"/>
          <w:color w:val="auto"/>
        </w:rPr>
        <w:t>,</w:t>
      </w:r>
      <w:r>
        <w:rPr>
          <w:rFonts w:ascii="Arial" w:cs="Arial" w:eastAsia="Arial" w:hAnsi="Arial"/>
          <w:sz w:val="13"/>
          <w:szCs w:val="13"/>
          <w:color w:val="auto"/>
        </w:rPr>
        <w:t xml:space="preserve"> or CLO, and Management Board member, James Ryan, who is supported by our Senior Director, Data Privacy. Dr. Ryan’s qualifications include close to twenty years of expertise in legal and intellectual property matters, both within the pharmaceutical industry as well as as an outside counsel with a focus on strategic life sciences transactions. Together with his deep familiarity with the Company’s history, operations, and processes, James Ryan is uniquely positioned to advise on data privacy matters.</w:t>
      </w:r>
    </w:p>
    <w:p>
      <w:pPr>
        <w:spacing w:after="0" w:line="4" w:lineRule="exact"/>
        <w:rPr>
          <w:sz w:val="20"/>
          <w:szCs w:val="20"/>
          <w:color w:val="auto"/>
        </w:rPr>
      </w:pPr>
    </w:p>
    <w:p>
      <w:pPr>
        <w:ind w:left="380" w:right="2100"/>
        <w:spacing w:after="0" w:line="208" w:lineRule="auto"/>
        <w:rPr>
          <w:sz w:val="20"/>
          <w:szCs w:val="20"/>
          <w:color w:val="auto"/>
        </w:rPr>
      </w:pPr>
      <w:r>
        <w:rPr>
          <w:rFonts w:ascii="Arial" w:cs="Arial" w:eastAsia="Arial" w:hAnsi="Arial"/>
          <w:sz w:val="13"/>
          <w:szCs w:val="13"/>
          <w:color w:val="auto"/>
        </w:rPr>
        <w:t>For additional information on Sierk Poetting’s and James Ryan’s experience, see Item 6.A, “Directors and Senior Management”.</w:t>
      </w:r>
    </w:p>
    <w:p>
      <w:pPr>
        <w:ind w:left="380"/>
        <w:spacing w:after="0" w:line="217" w:lineRule="auto"/>
        <w:rPr>
          <w:sz w:val="20"/>
          <w:szCs w:val="20"/>
          <w:color w:val="auto"/>
        </w:rPr>
      </w:pPr>
      <w:r>
        <w:rPr>
          <w:rFonts w:ascii="Arial" w:cs="Arial" w:eastAsia="Arial" w:hAnsi="Arial"/>
          <w:sz w:val="20"/>
          <w:szCs w:val="20"/>
          <w:b w:val="1"/>
          <w:bCs w:val="1"/>
          <w:color w:val="005A64"/>
        </w:rPr>
        <w:t>PART III</w:t>
      </w:r>
    </w:p>
    <w:p>
      <w:pPr>
        <w:ind w:left="380"/>
        <w:spacing w:after="0" w:line="208" w:lineRule="auto"/>
        <w:rPr>
          <w:sz w:val="20"/>
          <w:szCs w:val="20"/>
          <w:color w:val="auto"/>
        </w:rPr>
      </w:pPr>
      <w:r>
        <w:rPr>
          <w:rFonts w:ascii="Arial" w:cs="Arial" w:eastAsia="Arial" w:hAnsi="Arial"/>
          <w:sz w:val="16"/>
          <w:szCs w:val="16"/>
          <w:b w:val="1"/>
          <w:bCs w:val="1"/>
          <w:color w:val="005A64"/>
        </w:rPr>
        <w:t>Item 17. Financial Statements</w:t>
      </w:r>
    </w:p>
    <w:p>
      <w:pPr>
        <w:ind w:left="380"/>
        <w:spacing w:after="0" w:line="215" w:lineRule="auto"/>
        <w:rPr>
          <w:sz w:val="20"/>
          <w:szCs w:val="20"/>
          <w:color w:val="auto"/>
        </w:rPr>
      </w:pPr>
      <w:r>
        <w:rPr>
          <w:rFonts w:ascii="Arial" w:cs="Arial" w:eastAsia="Arial" w:hAnsi="Arial"/>
          <w:sz w:val="13"/>
          <w:szCs w:val="13"/>
          <w:color w:val="auto"/>
        </w:rPr>
        <w:t>See Item 18.</w:t>
      </w:r>
    </w:p>
    <w:p>
      <w:pPr>
        <w:ind w:left="380"/>
        <w:spacing w:after="0" w:line="207" w:lineRule="auto"/>
        <w:rPr>
          <w:sz w:val="20"/>
          <w:szCs w:val="20"/>
          <w:color w:val="auto"/>
        </w:rPr>
      </w:pPr>
      <w:r>
        <w:rPr>
          <w:rFonts w:ascii="Arial" w:cs="Arial" w:eastAsia="Arial" w:hAnsi="Arial"/>
          <w:sz w:val="16"/>
          <w:szCs w:val="16"/>
          <w:b w:val="1"/>
          <w:bCs w:val="1"/>
          <w:color w:val="005A64"/>
        </w:rPr>
        <w:t>Item 18. Financial Statements</w:t>
      </w:r>
    </w:p>
    <w:p>
      <w:pPr>
        <w:ind w:left="380"/>
        <w:spacing w:after="0" w:line="216" w:lineRule="auto"/>
        <w:rPr>
          <w:sz w:val="20"/>
          <w:szCs w:val="20"/>
          <w:color w:val="auto"/>
        </w:rPr>
      </w:pPr>
      <w:r>
        <w:rPr>
          <w:rFonts w:ascii="Arial" w:cs="Arial" w:eastAsia="Arial" w:hAnsi="Arial"/>
          <w:sz w:val="13"/>
          <w:szCs w:val="13"/>
          <w:color w:val="auto"/>
        </w:rPr>
        <w:t>The financial statements are filed as part of this Annual Report beginning on page F-1.</w:t>
      </w:r>
    </w:p>
    <w:p>
      <w:pPr>
        <w:ind w:left="380"/>
        <w:spacing w:after="0"/>
        <w:rPr>
          <w:sz w:val="20"/>
          <w:szCs w:val="20"/>
          <w:color w:val="auto"/>
        </w:rPr>
      </w:pPr>
      <w:r>
        <w:rPr>
          <w:rFonts w:ascii="Arial" w:cs="Arial" w:eastAsia="Arial" w:hAnsi="Arial"/>
          <w:sz w:val="16"/>
          <w:szCs w:val="16"/>
          <w:b w:val="1"/>
          <w:bCs w:val="1"/>
          <w:color w:val="005A64"/>
        </w:rPr>
        <w:t>Item 19.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-10160</wp:posOffset>
            </wp:positionV>
            <wp:extent cx="4262120" cy="127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262120" cy="12700"/>
                    </a:xfrm>
                    <a:prstGeom prst="rect">
                      <a:avLst/>
                    </a:prstGeom>
                    <a:noFill/>
                  </pic:spPr>
                </pic:pic>
              </a:graphicData>
            </a:graphic>
          </wp:anchor>
        </w:drawing>
      </w:r>
    </w:p>
    <w:p>
      <w:pPr>
        <w:spacing w:after="0" w:line="77"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720" w:type="dxa"/>
            <w:vAlign w:val="bottom"/>
          </w:tcPr>
          <w:p>
            <w:pPr>
              <w:ind w:left="20"/>
              <w:spacing w:after="0"/>
              <w:rPr>
                <w:sz w:val="20"/>
                <w:szCs w:val="20"/>
                <w:color w:val="auto"/>
              </w:rPr>
            </w:pPr>
            <w:r>
              <w:rPr>
                <w:rFonts w:ascii="Arial" w:cs="Arial" w:eastAsia="Arial" w:hAnsi="Arial"/>
                <w:sz w:val="12"/>
                <w:szCs w:val="12"/>
                <w:b w:val="1"/>
                <w:bCs w:val="1"/>
                <w:color w:val="005A64"/>
              </w:rPr>
              <w:t>Exhibit</w:t>
            </w:r>
          </w:p>
        </w:tc>
        <w:tc>
          <w:tcPr>
            <w:tcW w:w="40" w:type="dxa"/>
            <w:vAlign w:val="bottom"/>
          </w:tcPr>
          <w:p>
            <w:pPr>
              <w:spacing w:after="0"/>
              <w:rPr>
                <w:sz w:val="12"/>
                <w:szCs w:val="12"/>
                <w:color w:val="auto"/>
              </w:rPr>
            </w:pPr>
          </w:p>
        </w:tc>
        <w:tc>
          <w:tcPr>
            <w:tcW w:w="5960" w:type="dxa"/>
            <w:vAlign w:val="bottom"/>
          </w:tcPr>
          <w:p>
            <w:pPr>
              <w:ind w:left="20"/>
              <w:spacing w:after="0"/>
              <w:rPr>
                <w:sz w:val="20"/>
                <w:szCs w:val="20"/>
                <w:color w:val="auto"/>
              </w:rPr>
            </w:pPr>
            <w:r>
              <w:rPr>
                <w:rFonts w:ascii="Arial" w:cs="Arial" w:eastAsia="Arial" w:hAnsi="Arial"/>
                <w:sz w:val="12"/>
                <w:szCs w:val="12"/>
                <w:b w:val="1"/>
                <w:bCs w:val="1"/>
                <w:color w:val="005A64"/>
              </w:rPr>
              <w:t>Description</w:t>
            </w:r>
          </w:p>
        </w:tc>
      </w:tr>
      <w:tr>
        <w:trPr>
          <w:trHeight w:val="166"/>
        </w:trPr>
        <w:tc>
          <w:tcPr>
            <w:tcW w:w="720" w:type="dxa"/>
            <w:vAlign w:val="bottom"/>
          </w:tcPr>
          <w:p>
            <w:pPr>
              <w:ind w:left="20"/>
              <w:spacing w:after="0"/>
              <w:rPr>
                <w:sz w:val="20"/>
                <w:szCs w:val="20"/>
                <w:color w:val="auto"/>
              </w:rPr>
            </w:pPr>
            <w:r>
              <w:rPr>
                <w:rFonts w:ascii="Arial" w:cs="Arial" w:eastAsia="Arial" w:hAnsi="Arial"/>
                <w:sz w:val="12"/>
                <w:szCs w:val="12"/>
                <w:b w:val="1"/>
                <w:bCs w:val="1"/>
                <w:color w:val="005A64"/>
              </w:rPr>
              <w:t>Number</w:t>
            </w:r>
          </w:p>
        </w:tc>
        <w:tc>
          <w:tcPr>
            <w:tcW w:w="40" w:type="dxa"/>
            <w:vAlign w:val="bottom"/>
          </w:tcPr>
          <w:p>
            <w:pPr>
              <w:spacing w:after="0"/>
              <w:rPr>
                <w:sz w:val="14"/>
                <w:szCs w:val="14"/>
                <w:color w:val="auto"/>
              </w:rPr>
            </w:pPr>
          </w:p>
        </w:tc>
        <w:tc>
          <w:tcPr>
            <w:tcW w:w="5960" w:type="dxa"/>
            <w:vAlign w:val="bottom"/>
          </w:tcPr>
          <w:p>
            <w:pPr>
              <w:spacing w:after="0"/>
              <w:rPr>
                <w:sz w:val="14"/>
                <w:szCs w:val="14"/>
                <w:color w:val="auto"/>
              </w:rPr>
            </w:pPr>
          </w:p>
        </w:tc>
      </w:tr>
      <w:tr>
        <w:trPr>
          <w:trHeight w:val="57"/>
        </w:trPr>
        <w:tc>
          <w:tcPr>
            <w:tcW w:w="72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5960" w:type="dxa"/>
            <w:vAlign w:val="bottom"/>
            <w:tcBorders>
              <w:bottom w:val="single" w:sz="8" w:color="005A64"/>
            </w:tcBorders>
          </w:tcPr>
          <w:p>
            <w:pPr>
              <w:spacing w:after="0"/>
              <w:rPr>
                <w:sz w:val="4"/>
                <w:szCs w:val="4"/>
                <w:color w:val="auto"/>
              </w:rPr>
            </w:pPr>
          </w:p>
        </w:tc>
      </w:tr>
      <w:tr>
        <w:trPr>
          <w:trHeight w:val="132"/>
        </w:trPr>
        <w:tc>
          <w:tcPr>
            <w:tcW w:w="720" w:type="dxa"/>
            <w:vAlign w:val="bottom"/>
          </w:tcPr>
          <w:p>
            <w:pPr>
              <w:ind w:left="20"/>
              <w:spacing w:after="0" w:line="132" w:lineRule="exact"/>
              <w:rPr>
                <w:sz w:val="20"/>
                <w:szCs w:val="20"/>
                <w:color w:val="auto"/>
              </w:rPr>
            </w:pPr>
            <w:r>
              <w:rPr>
                <w:rFonts w:ascii="Arial" w:cs="Arial" w:eastAsia="Arial" w:hAnsi="Arial"/>
                <w:sz w:val="12"/>
                <w:szCs w:val="12"/>
                <w:color w:val="005A64"/>
              </w:rPr>
              <w:t>1.1</w:t>
            </w:r>
          </w:p>
        </w:tc>
        <w:tc>
          <w:tcPr>
            <w:tcW w:w="40" w:type="dxa"/>
            <w:vAlign w:val="bottom"/>
          </w:tcPr>
          <w:p>
            <w:pPr>
              <w:spacing w:after="0"/>
              <w:rPr>
                <w:sz w:val="11"/>
                <w:szCs w:val="11"/>
                <w:color w:val="auto"/>
              </w:rPr>
            </w:pPr>
          </w:p>
        </w:tc>
        <w:tc>
          <w:tcPr>
            <w:tcW w:w="5960" w:type="dxa"/>
            <w:vAlign w:val="bottom"/>
          </w:tcPr>
          <w:p>
            <w:pPr>
              <w:ind w:left="20"/>
              <w:spacing w:after="0" w:line="132" w:lineRule="exact"/>
              <w:rPr>
                <w:rFonts w:ascii="Arial" w:cs="Arial" w:eastAsia="Arial" w:hAnsi="Arial"/>
                <w:sz w:val="12"/>
                <w:szCs w:val="12"/>
                <w:color w:val="005A64"/>
              </w:rPr>
            </w:pPr>
            <w:hyperlink r:id="rId325">
              <w:r>
                <w:rPr>
                  <w:rFonts w:ascii="Arial" w:cs="Arial" w:eastAsia="Arial" w:hAnsi="Arial"/>
                  <w:sz w:val="12"/>
                  <w:szCs w:val="12"/>
                  <w:color w:val="005A64"/>
                </w:rPr>
                <w:t xml:space="preserve">Articles of Association of the Registrant (incorporated herein by reference to Exhibit </w:t>
              </w:r>
            </w:hyperlink>
            <w:r>
              <w:rPr>
                <w:rFonts w:ascii="Arial" w:cs="Arial" w:eastAsia="Arial" w:hAnsi="Arial"/>
                <w:sz w:val="12"/>
                <w:szCs w:val="12"/>
                <w:color w:val="005A64"/>
              </w:rPr>
              <w:t xml:space="preserve">99.2 </w:t>
            </w:r>
            <w:hyperlink r:id="rId325">
              <w:r>
                <w:rPr>
                  <w:rFonts w:ascii="Arial" w:cs="Arial" w:eastAsia="Arial" w:hAnsi="Arial"/>
                  <w:sz w:val="12"/>
                  <w:szCs w:val="12"/>
                  <w:color w:val="005A64"/>
                </w:rPr>
                <w:t>to the Registrant’s</w:t>
              </w:r>
            </w:hyperlink>
          </w:p>
        </w:tc>
      </w:tr>
      <w:tr>
        <w:trPr>
          <w:trHeight w:val="160"/>
        </w:trPr>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960" w:type="dxa"/>
            <w:vAlign w:val="bottom"/>
          </w:tcPr>
          <w:p>
            <w:pPr>
              <w:ind w:left="20"/>
              <w:spacing w:after="0"/>
              <w:rPr>
                <w:rFonts w:ascii="Arial" w:cs="Arial" w:eastAsia="Arial" w:hAnsi="Arial"/>
                <w:sz w:val="12"/>
                <w:szCs w:val="12"/>
                <w:color w:val="005A64"/>
              </w:rPr>
            </w:pPr>
            <w:r>
              <w:rPr>
                <w:rFonts w:ascii="Arial" w:cs="Arial" w:eastAsia="Arial" w:hAnsi="Arial"/>
                <w:sz w:val="12"/>
                <w:szCs w:val="12"/>
                <w:color w:val="005A64"/>
              </w:rPr>
              <w:t xml:space="preserve">Report </w:t>
            </w:r>
            <w:hyperlink r:id="rId325">
              <w:r>
                <w:rPr>
                  <w:rFonts w:ascii="Arial" w:cs="Arial" w:eastAsia="Arial" w:hAnsi="Arial"/>
                  <w:sz w:val="12"/>
                  <w:szCs w:val="12"/>
                  <w:color w:val="005A64"/>
                </w:rPr>
                <w:t xml:space="preserve">on Form </w:t>
              </w:r>
            </w:hyperlink>
            <w:r>
              <w:rPr>
                <w:rFonts w:ascii="Arial" w:cs="Arial" w:eastAsia="Arial" w:hAnsi="Arial"/>
                <w:sz w:val="12"/>
                <w:szCs w:val="12"/>
                <w:color w:val="005A64"/>
              </w:rPr>
              <w:t xml:space="preserve">6-K </w:t>
            </w:r>
            <w:hyperlink r:id="rId325">
              <w:r>
                <w:rPr>
                  <w:rFonts w:ascii="Arial" w:cs="Arial" w:eastAsia="Arial" w:hAnsi="Arial"/>
                  <w:sz w:val="12"/>
                  <w:szCs w:val="12"/>
                  <w:color w:val="005A64"/>
                </w:rPr>
                <w:t xml:space="preserve">(File No. </w:t>
              </w:r>
            </w:hyperlink>
            <w:r>
              <w:rPr>
                <w:rFonts w:ascii="Arial" w:cs="Arial" w:eastAsia="Arial" w:hAnsi="Arial"/>
                <w:sz w:val="12"/>
                <w:szCs w:val="12"/>
                <w:color w:val="005A64"/>
              </w:rPr>
              <w:t xml:space="preserve">001-39081), </w:t>
            </w:r>
            <w:hyperlink r:id="rId325">
              <w:r>
                <w:rPr>
                  <w:rFonts w:ascii="Arial" w:cs="Arial" w:eastAsia="Arial" w:hAnsi="Arial"/>
                  <w:sz w:val="12"/>
                  <w:szCs w:val="12"/>
                  <w:color w:val="005A64"/>
                </w:rPr>
                <w:t xml:space="preserve">filed with the SEC on </w:t>
              </w:r>
            </w:hyperlink>
            <w:r>
              <w:rPr>
                <w:rFonts w:ascii="Arial" w:cs="Arial" w:eastAsia="Arial" w:hAnsi="Arial"/>
                <w:sz w:val="12"/>
                <w:szCs w:val="12"/>
                <w:color w:val="005A64"/>
              </w:rPr>
              <w:t xml:space="preserve">November 4, </w:t>
            </w:r>
            <w:hyperlink r:id="rId325">
              <w:r>
                <w:rPr>
                  <w:rFonts w:ascii="Arial" w:cs="Arial" w:eastAsia="Arial" w:hAnsi="Arial"/>
                  <w:sz w:val="12"/>
                  <w:szCs w:val="12"/>
                  <w:color w:val="005A64"/>
                </w:rPr>
                <w:t>2024)</w:t>
              </w:r>
            </w:hyperlink>
          </w:p>
        </w:tc>
      </w:tr>
      <w:tr>
        <w:trPr>
          <w:trHeight w:val="202"/>
        </w:trPr>
        <w:tc>
          <w:tcPr>
            <w:tcW w:w="720" w:type="dxa"/>
            <w:vAlign w:val="bottom"/>
          </w:tcPr>
          <w:p>
            <w:pPr>
              <w:ind w:left="20"/>
              <w:spacing w:after="0"/>
              <w:rPr>
                <w:sz w:val="20"/>
                <w:szCs w:val="20"/>
                <w:color w:val="auto"/>
              </w:rPr>
            </w:pPr>
            <w:r>
              <w:rPr>
                <w:rFonts w:ascii="Arial" w:cs="Arial" w:eastAsia="Arial" w:hAnsi="Arial"/>
                <w:sz w:val="12"/>
                <w:szCs w:val="12"/>
                <w:color w:val="005A64"/>
              </w:rPr>
              <w:t>2.1</w:t>
            </w:r>
          </w:p>
        </w:tc>
        <w:tc>
          <w:tcPr>
            <w:tcW w:w="40" w:type="dxa"/>
            <w:vAlign w:val="bottom"/>
          </w:tcPr>
          <w:p>
            <w:pPr>
              <w:spacing w:after="0"/>
              <w:rPr>
                <w:sz w:val="17"/>
                <w:szCs w:val="17"/>
                <w:color w:val="auto"/>
              </w:rPr>
            </w:pPr>
          </w:p>
        </w:tc>
        <w:tc>
          <w:tcPr>
            <w:tcW w:w="5960" w:type="dxa"/>
            <w:vAlign w:val="bottom"/>
          </w:tcPr>
          <w:p>
            <w:pPr>
              <w:ind w:left="20"/>
              <w:spacing w:after="0"/>
              <w:rPr>
                <w:rFonts w:ascii="Arial" w:cs="Arial" w:eastAsia="Arial" w:hAnsi="Arial"/>
                <w:sz w:val="12"/>
                <w:szCs w:val="12"/>
                <w:color w:val="005A64"/>
              </w:rPr>
            </w:pPr>
            <w:hyperlink r:id="rId326">
              <w:r>
                <w:rPr>
                  <w:rFonts w:ascii="Arial" w:cs="Arial" w:eastAsia="Arial" w:hAnsi="Arial"/>
                  <w:sz w:val="12"/>
                  <w:szCs w:val="12"/>
                  <w:color w:val="005A64"/>
                </w:rPr>
                <w:t>Form of Specimen American Depositary Receipt (included in Exhibit 2.3)</w:t>
              </w:r>
            </w:hyperlink>
          </w:p>
        </w:tc>
      </w:tr>
      <w:tr>
        <w:trPr>
          <w:trHeight w:val="134"/>
        </w:trPr>
        <w:tc>
          <w:tcPr>
            <w:tcW w:w="720" w:type="dxa"/>
            <w:vAlign w:val="bottom"/>
          </w:tcPr>
          <w:p>
            <w:pPr>
              <w:ind w:left="20"/>
              <w:spacing w:after="0" w:line="134" w:lineRule="exact"/>
              <w:rPr>
                <w:sz w:val="20"/>
                <w:szCs w:val="20"/>
                <w:color w:val="auto"/>
              </w:rPr>
            </w:pPr>
            <w:r>
              <w:rPr>
                <w:rFonts w:ascii="Arial" w:cs="Arial" w:eastAsia="Arial" w:hAnsi="Arial"/>
                <w:sz w:val="12"/>
                <w:szCs w:val="12"/>
                <w:color w:val="005A64"/>
              </w:rPr>
              <w:t>2.2</w:t>
            </w:r>
          </w:p>
        </w:tc>
        <w:tc>
          <w:tcPr>
            <w:tcW w:w="40" w:type="dxa"/>
            <w:vAlign w:val="bottom"/>
          </w:tcPr>
          <w:p>
            <w:pPr>
              <w:spacing w:after="0"/>
              <w:rPr>
                <w:sz w:val="11"/>
                <w:szCs w:val="11"/>
                <w:color w:val="auto"/>
              </w:rPr>
            </w:pPr>
          </w:p>
        </w:tc>
        <w:tc>
          <w:tcPr>
            <w:tcW w:w="5960" w:type="dxa"/>
            <w:vAlign w:val="bottom"/>
          </w:tcPr>
          <w:p>
            <w:pPr>
              <w:ind w:left="20"/>
              <w:spacing w:after="0" w:line="134" w:lineRule="exact"/>
              <w:rPr>
                <w:rFonts w:ascii="Arial" w:cs="Arial" w:eastAsia="Arial" w:hAnsi="Arial"/>
                <w:sz w:val="12"/>
                <w:szCs w:val="12"/>
                <w:color w:val="005A64"/>
              </w:rPr>
            </w:pPr>
            <w:hyperlink r:id="rId327">
              <w:r>
                <w:rPr>
                  <w:rFonts w:ascii="Arial" w:cs="Arial" w:eastAsia="Arial" w:hAnsi="Arial"/>
                  <w:sz w:val="12"/>
                  <w:szCs w:val="12"/>
                  <w:color w:val="005A64"/>
                </w:rPr>
                <w:t>Registrant’s Specimen Certificate for Ordinary Shares (incorporated herein by reference to Exhibit 4.2 to the</w:t>
              </w:r>
            </w:hyperlink>
          </w:p>
        </w:tc>
      </w:tr>
      <w:tr>
        <w:trPr>
          <w:trHeight w:val="121"/>
        </w:trPr>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960" w:type="dxa"/>
            <w:vAlign w:val="bottom"/>
          </w:tcPr>
          <w:p>
            <w:pPr>
              <w:ind w:left="20"/>
              <w:spacing w:after="0" w:line="121" w:lineRule="exact"/>
              <w:rPr>
                <w:rFonts w:ascii="Arial" w:cs="Arial" w:eastAsia="Arial" w:hAnsi="Arial"/>
                <w:sz w:val="12"/>
                <w:szCs w:val="12"/>
                <w:color w:val="005A64"/>
              </w:rPr>
            </w:pPr>
            <w:hyperlink r:id="rId327">
              <w:r>
                <w:rPr>
                  <w:rFonts w:ascii="Arial" w:cs="Arial" w:eastAsia="Arial" w:hAnsi="Arial"/>
                  <w:sz w:val="12"/>
                  <w:szCs w:val="12"/>
                  <w:color w:val="005A64"/>
                </w:rPr>
                <w:t>Registrant’s Registration Statement on Form F-1 (File No. 333-233688), filed with the SEC on September 9,</w:t>
              </w:r>
            </w:hyperlink>
          </w:p>
        </w:tc>
      </w:tr>
      <w:tr>
        <w:trPr>
          <w:trHeight w:val="160"/>
        </w:trPr>
        <w:tc>
          <w:tcPr>
            <w:tcW w:w="720" w:type="dxa"/>
            <w:vAlign w:val="bottom"/>
          </w:tcPr>
          <w:p>
            <w:pPr>
              <w:spacing w:after="0"/>
              <w:rPr>
                <w:sz w:val="13"/>
                <w:szCs w:val="13"/>
                <w:color w:val="auto"/>
              </w:rPr>
            </w:pPr>
          </w:p>
        </w:tc>
        <w:tc>
          <w:tcPr>
            <w:tcW w:w="6000" w:type="dxa"/>
            <w:vAlign w:val="bottom"/>
            <w:gridSpan w:val="2"/>
          </w:tcPr>
          <w:p>
            <w:pPr>
              <w:ind w:left="60"/>
              <w:spacing w:after="0"/>
              <w:rPr>
                <w:rFonts w:ascii="Arial" w:cs="Arial" w:eastAsia="Arial" w:hAnsi="Arial"/>
                <w:sz w:val="12"/>
                <w:szCs w:val="12"/>
                <w:color w:val="005A64"/>
              </w:rPr>
            </w:pPr>
            <w:hyperlink r:id="rId327">
              <w:r>
                <w:rPr>
                  <w:rFonts w:ascii="Arial" w:cs="Arial" w:eastAsia="Arial" w:hAnsi="Arial"/>
                  <w:sz w:val="12"/>
                  <w:szCs w:val="12"/>
                  <w:color w:val="005A64"/>
                </w:rPr>
                <w:t>2019)</w:t>
              </w:r>
            </w:hyperlink>
          </w:p>
        </w:tc>
      </w:tr>
      <w:tr>
        <w:trPr>
          <w:trHeight w:val="194"/>
        </w:trPr>
        <w:tc>
          <w:tcPr>
            <w:tcW w:w="720" w:type="dxa"/>
            <w:vAlign w:val="bottom"/>
          </w:tcPr>
          <w:p>
            <w:pPr>
              <w:ind w:left="20"/>
              <w:spacing w:after="0"/>
              <w:rPr>
                <w:sz w:val="20"/>
                <w:szCs w:val="20"/>
                <w:color w:val="auto"/>
              </w:rPr>
            </w:pPr>
            <w:r>
              <w:rPr>
                <w:rFonts w:ascii="Arial" w:cs="Arial" w:eastAsia="Arial" w:hAnsi="Arial"/>
                <w:sz w:val="12"/>
                <w:szCs w:val="12"/>
                <w:color w:val="005A64"/>
              </w:rPr>
              <w:t>2.3</w:t>
            </w:r>
          </w:p>
        </w:tc>
        <w:tc>
          <w:tcPr>
            <w:tcW w:w="40" w:type="dxa"/>
            <w:vAlign w:val="bottom"/>
          </w:tcPr>
          <w:p>
            <w:pPr>
              <w:spacing w:after="0"/>
              <w:rPr>
                <w:sz w:val="16"/>
                <w:szCs w:val="16"/>
                <w:color w:val="auto"/>
              </w:rPr>
            </w:pPr>
          </w:p>
        </w:tc>
        <w:tc>
          <w:tcPr>
            <w:tcW w:w="5960" w:type="dxa"/>
            <w:vAlign w:val="bottom"/>
          </w:tcPr>
          <w:p>
            <w:pPr>
              <w:ind w:left="20"/>
              <w:spacing w:after="0"/>
              <w:rPr>
                <w:rFonts w:ascii="Arial" w:cs="Arial" w:eastAsia="Arial" w:hAnsi="Arial"/>
                <w:sz w:val="12"/>
                <w:szCs w:val="12"/>
                <w:color w:val="005A64"/>
              </w:rPr>
            </w:pPr>
            <w:hyperlink r:id="rId326">
              <w:r>
                <w:rPr>
                  <w:rFonts w:ascii="Arial" w:cs="Arial" w:eastAsia="Arial" w:hAnsi="Arial"/>
                  <w:sz w:val="12"/>
                  <w:szCs w:val="12"/>
                  <w:color w:val="005A64"/>
                </w:rPr>
                <w:t>Form of Deposit Agreement among the Registrant, the depositary and holders and beneficial owners of the</w:t>
              </w:r>
            </w:hyperlink>
          </w:p>
        </w:tc>
      </w:tr>
      <w:tr>
        <w:trPr>
          <w:trHeight w:val="121"/>
        </w:trPr>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960" w:type="dxa"/>
            <w:vAlign w:val="bottom"/>
          </w:tcPr>
          <w:p>
            <w:pPr>
              <w:ind w:left="20"/>
              <w:spacing w:after="0" w:line="121" w:lineRule="exact"/>
              <w:rPr>
                <w:rFonts w:ascii="Arial" w:cs="Arial" w:eastAsia="Arial" w:hAnsi="Arial"/>
                <w:sz w:val="12"/>
                <w:szCs w:val="12"/>
                <w:color w:val="005A64"/>
              </w:rPr>
            </w:pPr>
            <w:hyperlink r:id="rId326">
              <w:r>
                <w:rPr>
                  <w:rFonts w:ascii="Arial" w:cs="Arial" w:eastAsia="Arial" w:hAnsi="Arial"/>
                  <w:sz w:val="12"/>
                  <w:szCs w:val="12"/>
                  <w:color w:val="005A64"/>
                </w:rPr>
                <w:t>American Depositary Shares (incorporated herein by reference to Exhibit 1 to the Registration Statement on</w:t>
              </w:r>
            </w:hyperlink>
          </w:p>
        </w:tc>
      </w:tr>
      <w:tr>
        <w:trPr>
          <w:trHeight w:val="160"/>
        </w:trPr>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960" w:type="dxa"/>
            <w:vAlign w:val="bottom"/>
          </w:tcPr>
          <w:p>
            <w:pPr>
              <w:ind w:left="20"/>
              <w:spacing w:after="0"/>
              <w:rPr>
                <w:rFonts w:ascii="Arial" w:cs="Arial" w:eastAsia="Arial" w:hAnsi="Arial"/>
                <w:sz w:val="12"/>
                <w:szCs w:val="12"/>
                <w:color w:val="005A64"/>
              </w:rPr>
            </w:pPr>
            <w:hyperlink r:id="rId326">
              <w:r>
                <w:rPr>
                  <w:rFonts w:ascii="Arial" w:cs="Arial" w:eastAsia="Arial" w:hAnsi="Arial"/>
                  <w:sz w:val="12"/>
                  <w:szCs w:val="12"/>
                  <w:color w:val="005A64"/>
                </w:rPr>
                <w:t>Form F-6 (File No. 333-233898), filed with the SEC on September 23, 2019)</w:t>
              </w:r>
            </w:hyperlink>
          </w:p>
        </w:tc>
      </w:tr>
      <w:tr>
        <w:trPr>
          <w:trHeight w:val="232"/>
        </w:trPr>
        <w:tc>
          <w:tcPr>
            <w:tcW w:w="720" w:type="dxa"/>
            <w:vAlign w:val="bottom"/>
          </w:tcPr>
          <w:p>
            <w:pPr>
              <w:ind w:left="20"/>
              <w:spacing w:after="0"/>
              <w:rPr>
                <w:sz w:val="20"/>
                <w:szCs w:val="20"/>
                <w:color w:val="auto"/>
              </w:rPr>
            </w:pPr>
            <w:r>
              <w:rPr>
                <w:rFonts w:ascii="Arial" w:cs="Arial" w:eastAsia="Arial" w:hAnsi="Arial"/>
                <w:sz w:val="12"/>
                <w:szCs w:val="12"/>
                <w:color w:val="005A64"/>
              </w:rPr>
              <w:t>2.4*</w:t>
            </w:r>
          </w:p>
        </w:tc>
        <w:tc>
          <w:tcPr>
            <w:tcW w:w="40" w:type="dxa"/>
            <w:vAlign w:val="bottom"/>
          </w:tcPr>
          <w:p>
            <w:pPr>
              <w:spacing w:after="0"/>
              <w:rPr>
                <w:sz w:val="20"/>
                <w:szCs w:val="20"/>
                <w:color w:val="auto"/>
              </w:rPr>
            </w:pPr>
          </w:p>
        </w:tc>
        <w:tc>
          <w:tcPr>
            <w:tcW w:w="5960" w:type="dxa"/>
            <w:vAlign w:val="bottom"/>
          </w:tcPr>
          <w:p>
            <w:pPr>
              <w:ind w:left="20"/>
              <w:spacing w:after="0"/>
              <w:rPr>
                <w:rFonts w:ascii="Arial" w:cs="Arial" w:eastAsia="Arial" w:hAnsi="Arial"/>
                <w:sz w:val="12"/>
                <w:szCs w:val="12"/>
                <w:color w:val="005A64"/>
              </w:rPr>
            </w:pPr>
            <w:hyperlink w:anchor="page1">
              <w:r>
                <w:rPr>
                  <w:rFonts w:ascii="Arial" w:cs="Arial" w:eastAsia="Arial" w:hAnsi="Arial"/>
                  <w:sz w:val="12"/>
                  <w:szCs w:val="12"/>
                  <w:color w:val="005A64"/>
                </w:rPr>
                <w:t>Description of Securities of the Registrant</w:t>
              </w:r>
            </w:hyperlink>
          </w:p>
        </w:tc>
      </w:tr>
    </w:tbl>
    <w:p>
      <w:pPr>
        <w:sectPr>
          <w:pgSz w:w="11900" w:h="16840" w:orient="portrait"/>
          <w:cols w:equalWidth="0" w:num="1">
            <w:col w:w="9020"/>
          </w:cols>
          <w:pgMar w:left="1440" w:top="554" w:right="1440" w:bottom="1440" w:gutter="0" w:footer="0" w:header="0"/>
        </w:sectPr>
      </w:pPr>
    </w:p>
    <w:bookmarkStart w:id="177" w:name="page178"/>
    <w:bookmarkEnd w:id="177"/>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256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tbl>
      <w:tblPr>
        <w:tblLayout w:type="fixed"/>
        <w:tblInd w:w="380" w:type="dxa"/>
        <w:tblCellMar>
          <w:top w:w="0" w:type="dxa"/>
          <w:left w:w="0" w:type="dxa"/>
          <w:bottom w:w="0" w:type="dxa"/>
          <w:right w:w="0" w:type="dxa"/>
        </w:tblCellMar>
      </w:tblPr>
      <w:tr>
        <w:trPr>
          <w:trHeight w:val="137"/>
        </w:trPr>
        <w:tc>
          <w:tcPr>
            <w:tcW w:w="720" w:type="dxa"/>
            <w:vAlign w:val="bottom"/>
          </w:tcPr>
          <w:p>
            <w:pPr>
              <w:spacing w:after="0"/>
              <w:rPr>
                <w:sz w:val="11"/>
                <w:szCs w:val="11"/>
                <w:color w:val="auto"/>
              </w:rPr>
            </w:pPr>
          </w:p>
        </w:tc>
        <w:tc>
          <w:tcPr>
            <w:tcW w:w="7520" w:type="dxa"/>
            <w:vAlign w:val="bottom"/>
            <w:gridSpan w:val="2"/>
          </w:tcPr>
          <w:p>
            <w:pPr>
              <w:ind w:left="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tc>
      </w:tr>
      <w:tr>
        <w:trPr>
          <w:trHeight w:val="25"/>
        </w:trPr>
        <w:tc>
          <w:tcPr>
            <w:tcW w:w="720" w:type="dxa"/>
            <w:vAlign w:val="bottom"/>
            <w:tcBorders>
              <w:bottom w:val="single" w:sz="8" w:color="BECD32"/>
            </w:tcBorders>
          </w:tcPr>
          <w:p>
            <w:pPr>
              <w:spacing w:after="0"/>
              <w:rPr>
                <w:sz w:val="2"/>
                <w:szCs w:val="2"/>
                <w:color w:val="auto"/>
              </w:rPr>
            </w:pPr>
          </w:p>
        </w:tc>
        <w:tc>
          <w:tcPr>
            <w:tcW w:w="3180" w:type="dxa"/>
            <w:vAlign w:val="bottom"/>
            <w:tcBorders>
              <w:bottom w:val="single" w:sz="8" w:color="BECE33"/>
            </w:tcBorders>
          </w:tcPr>
          <w:p>
            <w:pPr>
              <w:spacing w:after="0"/>
              <w:rPr>
                <w:sz w:val="2"/>
                <w:szCs w:val="2"/>
                <w:color w:val="auto"/>
              </w:rPr>
            </w:pPr>
          </w:p>
        </w:tc>
        <w:tc>
          <w:tcPr>
            <w:tcW w:w="4340" w:type="dxa"/>
            <w:vAlign w:val="bottom"/>
            <w:tcBorders>
              <w:bottom w:val="single" w:sz="8" w:color="BECD32"/>
            </w:tcBorders>
          </w:tcPr>
          <w:p>
            <w:pPr>
              <w:spacing w:after="0"/>
              <w:rPr>
                <w:sz w:val="2"/>
                <w:szCs w:val="2"/>
                <w:color w:val="auto"/>
              </w:rPr>
            </w:pPr>
          </w:p>
        </w:tc>
      </w:tr>
      <w:tr>
        <w:trPr>
          <w:trHeight w:val="101"/>
        </w:trPr>
        <w:tc>
          <w:tcPr>
            <w:tcW w:w="720" w:type="dxa"/>
            <w:vAlign w:val="bottom"/>
          </w:tcPr>
          <w:p>
            <w:pPr>
              <w:ind w:left="20"/>
              <w:spacing w:after="0" w:line="102" w:lineRule="exact"/>
              <w:rPr>
                <w:sz w:val="20"/>
                <w:szCs w:val="20"/>
                <w:color w:val="auto"/>
              </w:rPr>
            </w:pPr>
            <w:r>
              <w:rPr>
                <w:rFonts w:ascii="Arial" w:cs="Arial" w:eastAsia="Arial" w:hAnsi="Arial"/>
                <w:sz w:val="11"/>
                <w:szCs w:val="11"/>
                <w:color w:val="005A64"/>
              </w:rPr>
              <w:t>4.1†</w:t>
            </w:r>
          </w:p>
        </w:tc>
        <w:tc>
          <w:tcPr>
            <w:tcW w:w="7520" w:type="dxa"/>
            <w:vAlign w:val="bottom"/>
            <w:gridSpan w:val="2"/>
          </w:tcPr>
          <w:p>
            <w:pPr>
              <w:ind w:left="60"/>
              <w:spacing w:after="0" w:line="102" w:lineRule="exact"/>
              <w:rPr>
                <w:rFonts w:ascii="Arial" w:cs="Arial" w:eastAsia="Arial" w:hAnsi="Arial"/>
                <w:sz w:val="11"/>
                <w:szCs w:val="11"/>
                <w:color w:val="005A64"/>
              </w:rPr>
            </w:pPr>
            <w:hyperlink r:id="rId328">
              <w:r>
                <w:rPr>
                  <w:rFonts w:ascii="Arial" w:cs="Arial" w:eastAsia="Arial" w:hAnsi="Arial"/>
                  <w:sz w:val="11"/>
                  <w:szCs w:val="11"/>
                  <w:color w:val="005A64"/>
                </w:rPr>
                <w:t>Master Agreement for Research Services by and among the Registrant, BioNTech RNA Pharmaceuticals</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28">
              <w:r>
                <w:rPr>
                  <w:rFonts w:ascii="Arial" w:cs="Arial" w:eastAsia="Arial" w:hAnsi="Arial"/>
                  <w:sz w:val="12"/>
                  <w:szCs w:val="12"/>
                  <w:color w:val="005A64"/>
                </w:rPr>
                <w:t>GmbH, BioNTech Diagnostics GmbH, BioNTech Protein Therapeutics GmbH, BioNTech Cell &amp; Gene</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28">
              <w:r>
                <w:rPr>
                  <w:rFonts w:ascii="Arial" w:cs="Arial" w:eastAsia="Arial" w:hAnsi="Arial"/>
                  <w:sz w:val="12"/>
                  <w:szCs w:val="12"/>
                  <w:color w:val="005A64"/>
                </w:rPr>
                <w:t>Therapies GmbH, Eufets GmbH, JPT Peptide Technologies GmbH and TRON-Translationale Onkologie an</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28">
              <w:r>
                <w:rPr>
                  <w:rFonts w:ascii="Arial" w:cs="Arial" w:eastAsia="Arial" w:hAnsi="Arial"/>
                  <w:sz w:val="12"/>
                  <w:szCs w:val="12"/>
                  <w:color w:val="005A64"/>
                </w:rPr>
                <w:t>der Universitätsmedizin der Johannes Gutenberg Universität Mainz gemeinnützige GmbH, dated January 1,</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28">
              <w:r>
                <w:rPr>
                  <w:rFonts w:ascii="Arial" w:cs="Arial" w:eastAsia="Arial" w:hAnsi="Arial"/>
                  <w:sz w:val="12"/>
                  <w:szCs w:val="12"/>
                  <w:color w:val="005A64"/>
                </w:rPr>
                <w:t>2015 (incorporated herein by reference to Exhibit 10.1 to the Registrant’s Registration Statement on Form</w:t>
              </w:r>
            </w:hyperlink>
          </w:p>
        </w:tc>
      </w:tr>
      <w:tr>
        <w:trPr>
          <w:trHeight w:val="160"/>
        </w:trPr>
        <w:tc>
          <w:tcPr>
            <w:tcW w:w="720" w:type="dxa"/>
            <w:vAlign w:val="bottom"/>
          </w:tcPr>
          <w:p>
            <w:pPr>
              <w:spacing w:after="0"/>
              <w:rPr>
                <w:sz w:val="13"/>
                <w:szCs w:val="13"/>
                <w:color w:val="auto"/>
              </w:rPr>
            </w:pPr>
          </w:p>
        </w:tc>
        <w:tc>
          <w:tcPr>
            <w:tcW w:w="7520" w:type="dxa"/>
            <w:vAlign w:val="bottom"/>
            <w:gridSpan w:val="2"/>
          </w:tcPr>
          <w:p>
            <w:pPr>
              <w:ind w:left="60"/>
              <w:spacing w:after="0"/>
              <w:rPr>
                <w:rFonts w:ascii="Arial" w:cs="Arial" w:eastAsia="Arial" w:hAnsi="Arial"/>
                <w:sz w:val="12"/>
                <w:szCs w:val="12"/>
                <w:color w:val="005A64"/>
              </w:rPr>
            </w:pPr>
            <w:hyperlink r:id="rId328">
              <w:r>
                <w:rPr>
                  <w:rFonts w:ascii="Arial" w:cs="Arial" w:eastAsia="Arial" w:hAnsi="Arial"/>
                  <w:sz w:val="12"/>
                  <w:szCs w:val="12"/>
                  <w:color w:val="005A64"/>
                </w:rPr>
                <w:t>F-1 (File No. 333-233688), filed with the SEC on September 9, 2019)</w:t>
              </w:r>
            </w:hyperlink>
          </w:p>
        </w:tc>
      </w:tr>
      <w:tr>
        <w:trPr>
          <w:trHeight w:val="255"/>
        </w:trPr>
        <w:tc>
          <w:tcPr>
            <w:tcW w:w="720" w:type="dxa"/>
            <w:vAlign w:val="bottom"/>
          </w:tcPr>
          <w:p>
            <w:pPr>
              <w:ind w:left="20"/>
              <w:spacing w:after="0"/>
              <w:rPr>
                <w:sz w:val="20"/>
                <w:szCs w:val="20"/>
                <w:color w:val="auto"/>
              </w:rPr>
            </w:pPr>
            <w:r>
              <w:rPr>
                <w:rFonts w:ascii="Arial" w:cs="Arial" w:eastAsia="Arial" w:hAnsi="Arial"/>
                <w:sz w:val="12"/>
                <w:szCs w:val="12"/>
                <w:color w:val="005A64"/>
              </w:rPr>
              <w:t>4.2†</w:t>
            </w:r>
          </w:p>
        </w:tc>
        <w:tc>
          <w:tcPr>
            <w:tcW w:w="7520" w:type="dxa"/>
            <w:vAlign w:val="bottom"/>
            <w:gridSpan w:val="2"/>
          </w:tcPr>
          <w:p>
            <w:pPr>
              <w:ind w:left="60"/>
              <w:spacing w:after="0"/>
              <w:rPr>
                <w:rFonts w:ascii="Arial" w:cs="Arial" w:eastAsia="Arial" w:hAnsi="Arial"/>
                <w:sz w:val="12"/>
                <w:szCs w:val="12"/>
                <w:color w:val="005A64"/>
              </w:rPr>
            </w:pPr>
            <w:hyperlink r:id="rId329">
              <w:r>
                <w:rPr>
                  <w:rFonts w:ascii="Arial" w:cs="Arial" w:eastAsia="Arial" w:hAnsi="Arial"/>
                  <w:sz w:val="12"/>
                  <w:szCs w:val="12"/>
                  <w:color w:val="005A64"/>
                </w:rPr>
                <w:t>Confirmation Letter by and among the Registrant, BioNTech RNA Pharmaceuticals GmbH and TRON</w:t>
              </w:r>
            </w:hyperlink>
            <w:r>
              <w:rPr>
                <w:rFonts w:ascii="Arial" w:cs="Arial" w:eastAsia="Arial" w:hAnsi="Arial"/>
                <w:sz w:val="12"/>
                <w:szCs w:val="12"/>
                <w:color w:val="005A64"/>
              </w:rPr>
              <w:t>-</w:t>
            </w:r>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29">
              <w:r>
                <w:rPr>
                  <w:rFonts w:ascii="Arial" w:cs="Arial" w:eastAsia="Arial" w:hAnsi="Arial"/>
                  <w:sz w:val="12"/>
                  <w:szCs w:val="12"/>
                  <w:color w:val="005A64"/>
                </w:rPr>
                <w:t>Translationale Onkologie an der Universitätsmedizin der Johannes Gutenberg Universität Mainz</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29">
              <w:r>
                <w:rPr>
                  <w:rFonts w:ascii="Arial" w:cs="Arial" w:eastAsia="Arial" w:hAnsi="Arial"/>
                  <w:sz w:val="12"/>
                  <w:szCs w:val="12"/>
                  <w:color w:val="005A64"/>
                </w:rPr>
                <w:t>gemeinnützige GmbH dated September 15, 2016 (incorporated herein by reference to Exhibit 10.2 to the</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29">
              <w:r>
                <w:rPr>
                  <w:rFonts w:ascii="Arial" w:cs="Arial" w:eastAsia="Arial" w:hAnsi="Arial"/>
                  <w:sz w:val="12"/>
                  <w:szCs w:val="12"/>
                  <w:color w:val="005A64"/>
                </w:rPr>
                <w:t>Registrant’s Registration Statement on Form F-1 (File No. 333-233688), filed with the SEC on September 9,</w:t>
              </w:r>
            </w:hyperlink>
          </w:p>
        </w:tc>
      </w:tr>
      <w:tr>
        <w:trPr>
          <w:trHeight w:val="160"/>
        </w:trPr>
        <w:tc>
          <w:tcPr>
            <w:tcW w:w="720" w:type="dxa"/>
            <w:vAlign w:val="bottom"/>
          </w:tcPr>
          <w:p>
            <w:pPr>
              <w:spacing w:after="0"/>
              <w:rPr>
                <w:sz w:val="13"/>
                <w:szCs w:val="13"/>
                <w:color w:val="auto"/>
              </w:rPr>
            </w:pPr>
          </w:p>
        </w:tc>
        <w:tc>
          <w:tcPr>
            <w:tcW w:w="3180" w:type="dxa"/>
            <w:vAlign w:val="bottom"/>
          </w:tcPr>
          <w:p>
            <w:pPr>
              <w:ind w:left="60"/>
              <w:spacing w:after="0"/>
              <w:rPr>
                <w:rFonts w:ascii="Arial" w:cs="Arial" w:eastAsia="Arial" w:hAnsi="Arial"/>
                <w:sz w:val="12"/>
                <w:szCs w:val="12"/>
                <w:color w:val="005A64"/>
              </w:rPr>
            </w:pPr>
            <w:hyperlink r:id="rId329">
              <w:r>
                <w:rPr>
                  <w:rFonts w:ascii="Arial" w:cs="Arial" w:eastAsia="Arial" w:hAnsi="Arial"/>
                  <w:sz w:val="12"/>
                  <w:szCs w:val="12"/>
                  <w:color w:val="005A64"/>
                </w:rPr>
                <w:t>2019)</w:t>
              </w:r>
            </w:hyperlink>
          </w:p>
        </w:tc>
        <w:tc>
          <w:tcPr>
            <w:tcW w:w="4340" w:type="dxa"/>
            <w:vAlign w:val="bottom"/>
          </w:tcPr>
          <w:p>
            <w:pPr>
              <w:spacing w:after="0"/>
              <w:rPr>
                <w:sz w:val="13"/>
                <w:szCs w:val="13"/>
                <w:color w:val="auto"/>
              </w:rPr>
            </w:pPr>
          </w:p>
        </w:tc>
      </w:tr>
      <w:tr>
        <w:trPr>
          <w:trHeight w:val="234"/>
        </w:trPr>
        <w:tc>
          <w:tcPr>
            <w:tcW w:w="720" w:type="dxa"/>
            <w:vAlign w:val="bottom"/>
          </w:tcPr>
          <w:p>
            <w:pPr>
              <w:ind w:left="20"/>
              <w:spacing w:after="0"/>
              <w:rPr>
                <w:sz w:val="20"/>
                <w:szCs w:val="20"/>
                <w:color w:val="auto"/>
              </w:rPr>
            </w:pPr>
            <w:r>
              <w:rPr>
                <w:rFonts w:ascii="Arial" w:cs="Arial" w:eastAsia="Arial" w:hAnsi="Arial"/>
                <w:sz w:val="12"/>
                <w:szCs w:val="12"/>
                <w:color w:val="005A64"/>
              </w:rPr>
              <w:t>4.3†</w:t>
            </w:r>
          </w:p>
        </w:tc>
        <w:tc>
          <w:tcPr>
            <w:tcW w:w="7520" w:type="dxa"/>
            <w:vAlign w:val="bottom"/>
            <w:gridSpan w:val="2"/>
          </w:tcPr>
          <w:p>
            <w:pPr>
              <w:ind w:left="60"/>
              <w:spacing w:after="0"/>
              <w:rPr>
                <w:rFonts w:ascii="Arial" w:cs="Arial" w:eastAsia="Arial" w:hAnsi="Arial"/>
                <w:sz w:val="12"/>
                <w:szCs w:val="12"/>
                <w:color w:val="005A64"/>
              </w:rPr>
            </w:pPr>
            <w:hyperlink r:id="rId330">
              <w:r>
                <w:rPr>
                  <w:rFonts w:ascii="Arial" w:cs="Arial" w:eastAsia="Arial" w:hAnsi="Arial"/>
                  <w:sz w:val="12"/>
                  <w:szCs w:val="12"/>
                  <w:color w:val="005A64"/>
                </w:rPr>
                <w:t>Supplementary Agreement for [***] Developments to the Master Agreement for Research Services by and</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0">
              <w:r>
                <w:rPr>
                  <w:rFonts w:ascii="Arial" w:cs="Arial" w:eastAsia="Arial" w:hAnsi="Arial"/>
                  <w:sz w:val="12"/>
                  <w:szCs w:val="12"/>
                  <w:color w:val="005A64"/>
                </w:rPr>
                <w:t>among the Registrant, BioNTech RNA Pharmaceuticals GmbH, BioNTech Diagnostics GmbH, BioNTech</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0">
              <w:r>
                <w:rPr>
                  <w:rFonts w:ascii="Arial" w:cs="Arial" w:eastAsia="Arial" w:hAnsi="Arial"/>
                  <w:sz w:val="12"/>
                  <w:szCs w:val="12"/>
                  <w:color w:val="005A64"/>
                </w:rPr>
                <w:t>Protein Therapeutics GmbH, BioNTech Cell &amp; Gene Therapies GmbH, BioNTech Innovative Manufacturing</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0">
              <w:r>
                <w:rPr>
                  <w:rFonts w:ascii="Arial" w:cs="Arial" w:eastAsia="Arial" w:hAnsi="Arial"/>
                  <w:sz w:val="12"/>
                  <w:szCs w:val="12"/>
                  <w:color w:val="005A64"/>
                </w:rPr>
                <w:t>Services GmbH (f/k/a Eufets GmbH), JPT Peptide Technologies GmbH and TRON-Translationale Onkologie</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0">
              <w:r>
                <w:rPr>
                  <w:rFonts w:ascii="Arial" w:cs="Arial" w:eastAsia="Arial" w:hAnsi="Arial"/>
                  <w:sz w:val="12"/>
                  <w:szCs w:val="12"/>
                  <w:color w:val="005A64"/>
                </w:rPr>
                <w:t>an der Universitätsmedizin der Johannes Gutenberg Universität Mainz gemeinnützige GmbH, dated</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0">
              <w:r>
                <w:rPr>
                  <w:rFonts w:ascii="Arial" w:cs="Arial" w:eastAsia="Arial" w:hAnsi="Arial"/>
                  <w:sz w:val="12"/>
                  <w:szCs w:val="12"/>
                  <w:color w:val="005A64"/>
                </w:rPr>
                <w:t>November 28, 2017 (incorporated herein by reference to Exhibit 10.3 to the Registrant’s Registration</w:t>
              </w:r>
            </w:hyperlink>
          </w:p>
        </w:tc>
      </w:tr>
      <w:tr>
        <w:trPr>
          <w:trHeight w:val="160"/>
        </w:trPr>
        <w:tc>
          <w:tcPr>
            <w:tcW w:w="720" w:type="dxa"/>
            <w:vAlign w:val="bottom"/>
          </w:tcPr>
          <w:p>
            <w:pPr>
              <w:spacing w:after="0"/>
              <w:rPr>
                <w:sz w:val="13"/>
                <w:szCs w:val="13"/>
                <w:color w:val="auto"/>
              </w:rPr>
            </w:pPr>
          </w:p>
        </w:tc>
        <w:tc>
          <w:tcPr>
            <w:tcW w:w="7520" w:type="dxa"/>
            <w:vAlign w:val="bottom"/>
            <w:gridSpan w:val="2"/>
          </w:tcPr>
          <w:p>
            <w:pPr>
              <w:ind w:left="60"/>
              <w:spacing w:after="0"/>
              <w:rPr>
                <w:rFonts w:ascii="Arial" w:cs="Arial" w:eastAsia="Arial" w:hAnsi="Arial"/>
                <w:sz w:val="12"/>
                <w:szCs w:val="12"/>
                <w:color w:val="005A64"/>
              </w:rPr>
            </w:pPr>
            <w:hyperlink r:id="rId330">
              <w:r>
                <w:rPr>
                  <w:rFonts w:ascii="Arial" w:cs="Arial" w:eastAsia="Arial" w:hAnsi="Arial"/>
                  <w:sz w:val="12"/>
                  <w:szCs w:val="12"/>
                  <w:color w:val="005A64"/>
                </w:rPr>
                <w:t>Statement on Form F-1 (File No. 333-233688), filed with the SEC on September 9, 2019)</w:t>
              </w:r>
            </w:hyperlink>
          </w:p>
        </w:tc>
      </w:tr>
      <w:tr>
        <w:trPr>
          <w:trHeight w:val="285"/>
        </w:trPr>
        <w:tc>
          <w:tcPr>
            <w:tcW w:w="720" w:type="dxa"/>
            <w:vAlign w:val="bottom"/>
          </w:tcPr>
          <w:p>
            <w:pPr>
              <w:ind w:left="20"/>
              <w:spacing w:after="0"/>
              <w:rPr>
                <w:sz w:val="20"/>
                <w:szCs w:val="20"/>
                <w:color w:val="auto"/>
              </w:rPr>
            </w:pPr>
            <w:r>
              <w:rPr>
                <w:rFonts w:ascii="Arial" w:cs="Arial" w:eastAsia="Arial" w:hAnsi="Arial"/>
                <w:sz w:val="12"/>
                <w:szCs w:val="12"/>
                <w:color w:val="005A64"/>
              </w:rPr>
              <w:t>4.4†</w:t>
            </w:r>
          </w:p>
        </w:tc>
        <w:tc>
          <w:tcPr>
            <w:tcW w:w="7520" w:type="dxa"/>
            <w:vAlign w:val="bottom"/>
            <w:gridSpan w:val="2"/>
          </w:tcPr>
          <w:p>
            <w:pPr>
              <w:ind w:left="60"/>
              <w:spacing w:after="0"/>
              <w:rPr>
                <w:rFonts w:ascii="Arial" w:cs="Arial" w:eastAsia="Arial" w:hAnsi="Arial"/>
                <w:sz w:val="12"/>
                <w:szCs w:val="12"/>
                <w:color w:val="005A64"/>
              </w:rPr>
            </w:pPr>
            <w:hyperlink r:id="rId331">
              <w:r>
                <w:rPr>
                  <w:rFonts w:ascii="Arial" w:cs="Arial" w:eastAsia="Arial" w:hAnsi="Arial"/>
                  <w:sz w:val="12"/>
                  <w:szCs w:val="12"/>
                  <w:color w:val="005A64"/>
                </w:rPr>
                <w:t>License Agreement by and among the Registrant, TRON-Translationale Onkologie an der</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1">
              <w:r>
                <w:rPr>
                  <w:rFonts w:ascii="Arial" w:cs="Arial" w:eastAsia="Arial" w:hAnsi="Arial"/>
                  <w:sz w:val="12"/>
                  <w:szCs w:val="12"/>
                  <w:color w:val="005A64"/>
                </w:rPr>
                <w:t>Universitätsmedizin der Johannes Gutenberg Universität Mainz gemeinnützige GmbH, Johannes Gutenberg</w:t>
              </w:r>
            </w:hyperlink>
            <w:r>
              <w:rPr>
                <w:rFonts w:ascii="Arial" w:cs="Arial" w:eastAsia="Arial" w:hAnsi="Arial"/>
                <w:sz w:val="12"/>
                <w:szCs w:val="12"/>
                <w:color w:val="005A64"/>
              </w:rPr>
              <w:t>-</w:t>
            </w:r>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1">
              <w:r>
                <w:rPr>
                  <w:rFonts w:ascii="Arial" w:cs="Arial" w:eastAsia="Arial" w:hAnsi="Arial"/>
                  <w:sz w:val="12"/>
                  <w:szCs w:val="12"/>
                  <w:color w:val="005A64"/>
                </w:rPr>
                <w:t>Universität Mainz, Universitätsmedizin der Johannes Gutenberg-Universität and Ganymed Pharmaceuticals</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1">
              <w:r>
                <w:rPr>
                  <w:rFonts w:ascii="Arial" w:cs="Arial" w:eastAsia="Arial" w:hAnsi="Arial"/>
                  <w:sz w:val="12"/>
                  <w:szCs w:val="12"/>
                  <w:color w:val="005A64"/>
                </w:rPr>
                <w:t>AG, dated January 1, 2015 (incorporated herein by reference to Exhibit 10.4 to the Registrant’s Registration</w:t>
              </w:r>
            </w:hyperlink>
          </w:p>
        </w:tc>
      </w:tr>
      <w:tr>
        <w:trPr>
          <w:trHeight w:val="160"/>
        </w:trPr>
        <w:tc>
          <w:tcPr>
            <w:tcW w:w="720" w:type="dxa"/>
            <w:vAlign w:val="bottom"/>
          </w:tcPr>
          <w:p>
            <w:pPr>
              <w:spacing w:after="0"/>
              <w:rPr>
                <w:sz w:val="13"/>
                <w:szCs w:val="13"/>
                <w:color w:val="auto"/>
              </w:rPr>
            </w:pPr>
          </w:p>
        </w:tc>
        <w:tc>
          <w:tcPr>
            <w:tcW w:w="7520" w:type="dxa"/>
            <w:vAlign w:val="bottom"/>
            <w:gridSpan w:val="2"/>
          </w:tcPr>
          <w:p>
            <w:pPr>
              <w:ind w:left="60"/>
              <w:spacing w:after="0"/>
              <w:rPr>
                <w:rFonts w:ascii="Arial" w:cs="Arial" w:eastAsia="Arial" w:hAnsi="Arial"/>
                <w:sz w:val="12"/>
                <w:szCs w:val="12"/>
                <w:color w:val="005A64"/>
              </w:rPr>
            </w:pPr>
            <w:hyperlink r:id="rId331">
              <w:r>
                <w:rPr>
                  <w:rFonts w:ascii="Arial" w:cs="Arial" w:eastAsia="Arial" w:hAnsi="Arial"/>
                  <w:sz w:val="12"/>
                  <w:szCs w:val="12"/>
                  <w:color w:val="005A64"/>
                </w:rPr>
                <w:t>Statement on Form F-1 (File No. 333-233688), filed with the SEC on September 9, 2019)</w:t>
              </w:r>
            </w:hyperlink>
          </w:p>
        </w:tc>
      </w:tr>
      <w:tr>
        <w:trPr>
          <w:trHeight w:val="234"/>
        </w:trPr>
        <w:tc>
          <w:tcPr>
            <w:tcW w:w="720" w:type="dxa"/>
            <w:vAlign w:val="bottom"/>
          </w:tcPr>
          <w:p>
            <w:pPr>
              <w:ind w:left="20"/>
              <w:spacing w:after="0"/>
              <w:rPr>
                <w:sz w:val="20"/>
                <w:szCs w:val="20"/>
                <w:color w:val="auto"/>
              </w:rPr>
            </w:pPr>
            <w:r>
              <w:rPr>
                <w:rFonts w:ascii="Arial" w:cs="Arial" w:eastAsia="Arial" w:hAnsi="Arial"/>
                <w:sz w:val="12"/>
                <w:szCs w:val="12"/>
                <w:color w:val="005A64"/>
              </w:rPr>
              <w:t>4.5†</w:t>
            </w:r>
          </w:p>
        </w:tc>
        <w:tc>
          <w:tcPr>
            <w:tcW w:w="7520" w:type="dxa"/>
            <w:vAlign w:val="bottom"/>
            <w:gridSpan w:val="2"/>
          </w:tcPr>
          <w:p>
            <w:pPr>
              <w:ind w:left="60"/>
              <w:spacing w:after="0"/>
              <w:rPr>
                <w:rFonts w:ascii="Arial" w:cs="Arial" w:eastAsia="Arial" w:hAnsi="Arial"/>
                <w:sz w:val="12"/>
                <w:szCs w:val="12"/>
                <w:color w:val="005A64"/>
              </w:rPr>
            </w:pPr>
            <w:hyperlink r:id="rId332">
              <w:r>
                <w:rPr>
                  <w:rFonts w:ascii="Arial" w:cs="Arial" w:eastAsia="Arial" w:hAnsi="Arial"/>
                  <w:sz w:val="12"/>
                  <w:szCs w:val="12"/>
                  <w:color w:val="005A64"/>
                </w:rPr>
                <w:t>Framework Collaboration Agreement by and among the Registrant, BioNTech RNA Pharmaceuticals GmbH,</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2">
              <w:r>
                <w:rPr>
                  <w:rFonts w:ascii="Arial" w:cs="Arial" w:eastAsia="Arial" w:hAnsi="Arial"/>
                  <w:sz w:val="12"/>
                  <w:szCs w:val="12"/>
                  <w:color w:val="005A64"/>
                </w:rPr>
                <w:t>BioNTech Diagnostics GmbH, BioNTech Protein Therapeutics GmbH, BioNTech Cell &amp; Gene Therapies</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2">
              <w:r>
                <w:rPr>
                  <w:rFonts w:ascii="Arial" w:cs="Arial" w:eastAsia="Arial" w:hAnsi="Arial"/>
                  <w:sz w:val="12"/>
                  <w:szCs w:val="12"/>
                  <w:color w:val="005A64"/>
                </w:rPr>
                <w:t>GmbH, BioNTech Innovative Manufacturing Services GmbH, JPT Peptide Technologies GmbH and TRON</w:t>
              </w:r>
            </w:hyperlink>
            <w:r>
              <w:rPr>
                <w:rFonts w:ascii="Arial" w:cs="Arial" w:eastAsia="Arial" w:hAnsi="Arial"/>
                <w:sz w:val="12"/>
                <w:szCs w:val="12"/>
                <w:color w:val="005A64"/>
              </w:rPr>
              <w:t>-</w:t>
            </w:r>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2">
              <w:r>
                <w:rPr>
                  <w:rFonts w:ascii="Arial" w:cs="Arial" w:eastAsia="Arial" w:hAnsi="Arial"/>
                  <w:sz w:val="12"/>
                  <w:szCs w:val="12"/>
                  <w:color w:val="005A64"/>
                </w:rPr>
                <w:t>Translationale Onkologie an der Universitätsmedizin der Johannes Gutenberg Universität Mainz</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2">
              <w:r>
                <w:rPr>
                  <w:rFonts w:ascii="Arial" w:cs="Arial" w:eastAsia="Arial" w:hAnsi="Arial"/>
                  <w:sz w:val="12"/>
                  <w:szCs w:val="12"/>
                  <w:color w:val="005A64"/>
                </w:rPr>
                <w:t>gemeinnützige GmbH, dated August 29, 2019 (incorporated herein by reference to Exhibit 10.5 to the</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2">
              <w:r>
                <w:rPr>
                  <w:rFonts w:ascii="Arial" w:cs="Arial" w:eastAsia="Arial" w:hAnsi="Arial"/>
                  <w:sz w:val="12"/>
                  <w:szCs w:val="12"/>
                  <w:color w:val="005A64"/>
                </w:rPr>
                <w:t>Registrant’s Registration Statement on Form F-1 (File No. 333-233688), filed with the SEC on September 9,</w:t>
              </w:r>
            </w:hyperlink>
          </w:p>
        </w:tc>
      </w:tr>
      <w:tr>
        <w:trPr>
          <w:trHeight w:val="160"/>
        </w:trPr>
        <w:tc>
          <w:tcPr>
            <w:tcW w:w="720" w:type="dxa"/>
            <w:vAlign w:val="bottom"/>
          </w:tcPr>
          <w:p>
            <w:pPr>
              <w:spacing w:after="0"/>
              <w:rPr>
                <w:sz w:val="13"/>
                <w:szCs w:val="13"/>
                <w:color w:val="auto"/>
              </w:rPr>
            </w:pPr>
          </w:p>
        </w:tc>
        <w:tc>
          <w:tcPr>
            <w:tcW w:w="3180" w:type="dxa"/>
            <w:vAlign w:val="bottom"/>
          </w:tcPr>
          <w:p>
            <w:pPr>
              <w:ind w:left="60"/>
              <w:spacing w:after="0"/>
              <w:rPr>
                <w:rFonts w:ascii="Arial" w:cs="Arial" w:eastAsia="Arial" w:hAnsi="Arial"/>
                <w:sz w:val="12"/>
                <w:szCs w:val="12"/>
                <w:color w:val="005A64"/>
              </w:rPr>
            </w:pPr>
            <w:hyperlink r:id="rId332">
              <w:r>
                <w:rPr>
                  <w:rFonts w:ascii="Arial" w:cs="Arial" w:eastAsia="Arial" w:hAnsi="Arial"/>
                  <w:sz w:val="12"/>
                  <w:szCs w:val="12"/>
                  <w:color w:val="005A64"/>
                </w:rPr>
                <w:t>2019)</w:t>
              </w:r>
            </w:hyperlink>
          </w:p>
        </w:tc>
        <w:tc>
          <w:tcPr>
            <w:tcW w:w="4340" w:type="dxa"/>
            <w:vAlign w:val="bottom"/>
          </w:tcPr>
          <w:p>
            <w:pPr>
              <w:spacing w:after="0"/>
              <w:rPr>
                <w:sz w:val="13"/>
                <w:szCs w:val="13"/>
                <w:color w:val="auto"/>
              </w:rPr>
            </w:pPr>
          </w:p>
        </w:tc>
      </w:tr>
      <w:tr>
        <w:trPr>
          <w:trHeight w:val="285"/>
        </w:trPr>
        <w:tc>
          <w:tcPr>
            <w:tcW w:w="720" w:type="dxa"/>
            <w:vAlign w:val="bottom"/>
          </w:tcPr>
          <w:p>
            <w:pPr>
              <w:ind w:left="20"/>
              <w:spacing w:after="0"/>
              <w:rPr>
                <w:sz w:val="20"/>
                <w:szCs w:val="20"/>
                <w:color w:val="auto"/>
              </w:rPr>
            </w:pPr>
            <w:r>
              <w:rPr>
                <w:rFonts w:ascii="Arial" w:cs="Arial" w:eastAsia="Arial" w:hAnsi="Arial"/>
                <w:sz w:val="12"/>
                <w:szCs w:val="12"/>
                <w:color w:val="005A64"/>
              </w:rPr>
              <w:t>4.6†</w:t>
            </w:r>
          </w:p>
        </w:tc>
        <w:tc>
          <w:tcPr>
            <w:tcW w:w="7520" w:type="dxa"/>
            <w:vAlign w:val="bottom"/>
            <w:gridSpan w:val="2"/>
          </w:tcPr>
          <w:p>
            <w:pPr>
              <w:ind w:left="60"/>
              <w:spacing w:after="0"/>
              <w:rPr>
                <w:rFonts w:ascii="Arial" w:cs="Arial" w:eastAsia="Arial" w:hAnsi="Arial"/>
                <w:sz w:val="12"/>
                <w:szCs w:val="12"/>
                <w:color w:val="005A64"/>
              </w:rPr>
            </w:pPr>
            <w:hyperlink r:id="rId333">
              <w:r>
                <w:rPr>
                  <w:rFonts w:ascii="Arial" w:cs="Arial" w:eastAsia="Arial" w:hAnsi="Arial"/>
                  <w:sz w:val="12"/>
                  <w:szCs w:val="12"/>
                  <w:color w:val="005A64"/>
                </w:rPr>
                <w:t>Amended Patent License Agreement by and among the Registrant, the Board of Supervisors of Louisiana</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3">
              <w:r>
                <w:rPr>
                  <w:rFonts w:ascii="Arial" w:cs="Arial" w:eastAsia="Arial" w:hAnsi="Arial"/>
                  <w:sz w:val="12"/>
                  <w:szCs w:val="12"/>
                  <w:color w:val="005A64"/>
                </w:rPr>
                <w:t>State University and Agricultural and Mechanical College and Uniwersytet Warszawski, dated May 12, 2015</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3">
              <w:r>
                <w:rPr>
                  <w:rFonts w:ascii="Arial" w:cs="Arial" w:eastAsia="Arial" w:hAnsi="Arial"/>
                  <w:sz w:val="12"/>
                  <w:szCs w:val="12"/>
                  <w:color w:val="005A64"/>
                </w:rPr>
                <w:t>(incorporated herein by reference to Exhibit 10.6 to the Registrant’s Registration Statement on Form F-1 (File</w:t>
              </w:r>
            </w:hyperlink>
          </w:p>
        </w:tc>
      </w:tr>
      <w:tr>
        <w:trPr>
          <w:trHeight w:val="160"/>
        </w:trPr>
        <w:tc>
          <w:tcPr>
            <w:tcW w:w="720" w:type="dxa"/>
            <w:vAlign w:val="bottom"/>
          </w:tcPr>
          <w:p>
            <w:pPr>
              <w:spacing w:after="0"/>
              <w:rPr>
                <w:sz w:val="13"/>
                <w:szCs w:val="13"/>
                <w:color w:val="auto"/>
              </w:rPr>
            </w:pPr>
          </w:p>
        </w:tc>
        <w:tc>
          <w:tcPr>
            <w:tcW w:w="7520" w:type="dxa"/>
            <w:vAlign w:val="bottom"/>
            <w:gridSpan w:val="2"/>
          </w:tcPr>
          <w:p>
            <w:pPr>
              <w:ind w:left="60"/>
              <w:spacing w:after="0"/>
              <w:rPr>
                <w:rFonts w:ascii="Arial" w:cs="Arial" w:eastAsia="Arial" w:hAnsi="Arial"/>
                <w:sz w:val="12"/>
                <w:szCs w:val="12"/>
                <w:color w:val="005A64"/>
              </w:rPr>
            </w:pPr>
            <w:hyperlink r:id="rId333">
              <w:r>
                <w:rPr>
                  <w:rFonts w:ascii="Arial" w:cs="Arial" w:eastAsia="Arial" w:hAnsi="Arial"/>
                  <w:sz w:val="12"/>
                  <w:szCs w:val="12"/>
                  <w:color w:val="005A64"/>
                </w:rPr>
                <w:t>No. 333-233688), filed with the SEC on September 9, 2019)</w:t>
              </w:r>
            </w:hyperlink>
          </w:p>
        </w:tc>
      </w:tr>
      <w:tr>
        <w:trPr>
          <w:trHeight w:val="204"/>
        </w:trPr>
        <w:tc>
          <w:tcPr>
            <w:tcW w:w="720" w:type="dxa"/>
            <w:vAlign w:val="bottom"/>
          </w:tcPr>
          <w:p>
            <w:pPr>
              <w:ind w:left="20"/>
              <w:spacing w:after="0"/>
              <w:rPr>
                <w:sz w:val="20"/>
                <w:szCs w:val="20"/>
                <w:color w:val="auto"/>
              </w:rPr>
            </w:pPr>
            <w:r>
              <w:rPr>
                <w:rFonts w:ascii="Arial" w:cs="Arial" w:eastAsia="Arial" w:hAnsi="Arial"/>
                <w:sz w:val="12"/>
                <w:szCs w:val="12"/>
                <w:color w:val="005A64"/>
              </w:rPr>
              <w:t>4.7†</w:t>
            </w:r>
          </w:p>
        </w:tc>
        <w:tc>
          <w:tcPr>
            <w:tcW w:w="7520" w:type="dxa"/>
            <w:vAlign w:val="bottom"/>
            <w:gridSpan w:val="2"/>
          </w:tcPr>
          <w:p>
            <w:pPr>
              <w:ind w:left="60"/>
              <w:spacing w:after="0"/>
              <w:rPr>
                <w:rFonts w:ascii="Arial" w:cs="Arial" w:eastAsia="Arial" w:hAnsi="Arial"/>
                <w:sz w:val="12"/>
                <w:szCs w:val="12"/>
                <w:color w:val="005A64"/>
              </w:rPr>
            </w:pPr>
            <w:hyperlink r:id="rId334">
              <w:r>
                <w:rPr>
                  <w:rFonts w:ascii="Arial" w:cs="Arial" w:eastAsia="Arial" w:hAnsi="Arial"/>
                  <w:sz w:val="12"/>
                  <w:szCs w:val="12"/>
                  <w:color w:val="005A64"/>
                </w:rPr>
                <w:t>Collaboration Agreement by and among the Registrant, BioNTech RNA Pharmaceuticals GmbH, Genentech,</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4">
              <w:r>
                <w:rPr>
                  <w:rFonts w:ascii="Arial" w:cs="Arial" w:eastAsia="Arial" w:hAnsi="Arial"/>
                  <w:sz w:val="12"/>
                  <w:szCs w:val="12"/>
                  <w:color w:val="005A64"/>
                </w:rPr>
                <w:t>Inc. and F. Hoffman-La Roche Ltd, dated September 20, 2016 (incorporated herein by reference to Exhibit</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4">
              <w:r>
                <w:rPr>
                  <w:rFonts w:ascii="Arial" w:cs="Arial" w:eastAsia="Arial" w:hAnsi="Arial"/>
                  <w:sz w:val="12"/>
                  <w:szCs w:val="12"/>
                  <w:color w:val="005A64"/>
                </w:rPr>
                <w:t>10.14 to the Registrant’s Registration Statement on Form F-1 (File No. 333-233688), filed with the SEC on</w:t>
              </w:r>
            </w:hyperlink>
          </w:p>
        </w:tc>
      </w:tr>
      <w:tr>
        <w:trPr>
          <w:trHeight w:val="160"/>
        </w:trPr>
        <w:tc>
          <w:tcPr>
            <w:tcW w:w="720" w:type="dxa"/>
            <w:vAlign w:val="bottom"/>
          </w:tcPr>
          <w:p>
            <w:pPr>
              <w:spacing w:after="0"/>
              <w:rPr>
                <w:sz w:val="13"/>
                <w:szCs w:val="13"/>
                <w:color w:val="auto"/>
              </w:rPr>
            </w:pPr>
          </w:p>
        </w:tc>
        <w:tc>
          <w:tcPr>
            <w:tcW w:w="7520" w:type="dxa"/>
            <w:vAlign w:val="bottom"/>
            <w:gridSpan w:val="2"/>
          </w:tcPr>
          <w:p>
            <w:pPr>
              <w:ind w:left="60"/>
              <w:spacing w:after="0"/>
              <w:rPr>
                <w:rFonts w:ascii="Arial" w:cs="Arial" w:eastAsia="Arial" w:hAnsi="Arial"/>
                <w:sz w:val="12"/>
                <w:szCs w:val="12"/>
                <w:color w:val="005A64"/>
              </w:rPr>
            </w:pPr>
            <w:hyperlink r:id="rId334">
              <w:r>
                <w:rPr>
                  <w:rFonts w:ascii="Arial" w:cs="Arial" w:eastAsia="Arial" w:hAnsi="Arial"/>
                  <w:sz w:val="12"/>
                  <w:szCs w:val="12"/>
                  <w:color w:val="005A64"/>
                </w:rPr>
                <w:t>September 9, 2019)</w:t>
              </w:r>
            </w:hyperlink>
          </w:p>
        </w:tc>
      </w:tr>
      <w:tr>
        <w:trPr>
          <w:trHeight w:val="204"/>
        </w:trPr>
        <w:tc>
          <w:tcPr>
            <w:tcW w:w="720" w:type="dxa"/>
            <w:vAlign w:val="bottom"/>
          </w:tcPr>
          <w:p>
            <w:pPr>
              <w:ind w:left="20"/>
              <w:spacing w:after="0"/>
              <w:rPr>
                <w:sz w:val="20"/>
                <w:szCs w:val="20"/>
                <w:color w:val="auto"/>
              </w:rPr>
            </w:pPr>
            <w:r>
              <w:rPr>
                <w:rFonts w:ascii="Arial" w:cs="Arial" w:eastAsia="Arial" w:hAnsi="Arial"/>
                <w:sz w:val="12"/>
                <w:szCs w:val="12"/>
                <w:color w:val="005A64"/>
              </w:rPr>
              <w:t>4.8†</w:t>
            </w:r>
          </w:p>
        </w:tc>
        <w:tc>
          <w:tcPr>
            <w:tcW w:w="7520" w:type="dxa"/>
            <w:vAlign w:val="bottom"/>
            <w:gridSpan w:val="2"/>
          </w:tcPr>
          <w:p>
            <w:pPr>
              <w:ind w:left="60"/>
              <w:spacing w:after="0"/>
              <w:rPr>
                <w:rFonts w:ascii="Arial" w:cs="Arial" w:eastAsia="Arial" w:hAnsi="Arial"/>
                <w:sz w:val="12"/>
                <w:szCs w:val="12"/>
                <w:color w:val="005A64"/>
              </w:rPr>
            </w:pPr>
            <w:hyperlink r:id="rId335">
              <w:r>
                <w:rPr>
                  <w:rFonts w:ascii="Arial" w:cs="Arial" w:eastAsia="Arial" w:hAnsi="Arial"/>
                  <w:sz w:val="12"/>
                  <w:szCs w:val="12"/>
                  <w:color w:val="005A64"/>
                </w:rPr>
                <w:t>First Amendment to the Collaboration Agreement by and among the Registrant, BioNTech RNA</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5">
              <w:r>
                <w:rPr>
                  <w:rFonts w:ascii="Arial" w:cs="Arial" w:eastAsia="Arial" w:hAnsi="Arial"/>
                  <w:sz w:val="12"/>
                  <w:szCs w:val="12"/>
                  <w:color w:val="005A64"/>
                </w:rPr>
                <w:t>Pharmaceuticals GmbH, Genentech, Inc. and F. Hoffman-La Roche Ltd, dated June 1, 2018 (incorporated</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5">
              <w:r>
                <w:rPr>
                  <w:rFonts w:ascii="Arial" w:cs="Arial" w:eastAsia="Arial" w:hAnsi="Arial"/>
                  <w:sz w:val="12"/>
                  <w:szCs w:val="12"/>
                  <w:color w:val="005A64"/>
                </w:rPr>
                <w:t>herein by reference to Exhibit 4.15 to the Registrant’s Annual Report on Form 20-F (File No. 001-39081), filed</w:t>
              </w:r>
            </w:hyperlink>
          </w:p>
        </w:tc>
      </w:tr>
      <w:tr>
        <w:trPr>
          <w:trHeight w:val="160"/>
        </w:trPr>
        <w:tc>
          <w:tcPr>
            <w:tcW w:w="720" w:type="dxa"/>
            <w:vAlign w:val="bottom"/>
          </w:tcPr>
          <w:p>
            <w:pPr>
              <w:spacing w:after="0"/>
              <w:rPr>
                <w:sz w:val="13"/>
                <w:szCs w:val="13"/>
                <w:color w:val="auto"/>
              </w:rPr>
            </w:pPr>
          </w:p>
        </w:tc>
        <w:tc>
          <w:tcPr>
            <w:tcW w:w="7520" w:type="dxa"/>
            <w:vAlign w:val="bottom"/>
            <w:gridSpan w:val="2"/>
          </w:tcPr>
          <w:p>
            <w:pPr>
              <w:ind w:left="60"/>
              <w:spacing w:after="0"/>
              <w:rPr>
                <w:rFonts w:ascii="Arial" w:cs="Arial" w:eastAsia="Arial" w:hAnsi="Arial"/>
                <w:sz w:val="12"/>
                <w:szCs w:val="12"/>
                <w:color w:val="005A64"/>
              </w:rPr>
            </w:pPr>
            <w:hyperlink r:id="rId335">
              <w:r>
                <w:rPr>
                  <w:rFonts w:ascii="Arial" w:cs="Arial" w:eastAsia="Arial" w:hAnsi="Arial"/>
                  <w:sz w:val="12"/>
                  <w:szCs w:val="12"/>
                  <w:color w:val="005A64"/>
                </w:rPr>
                <w:t>with the SEC on March 31, 2020)</w:t>
              </w:r>
            </w:hyperlink>
          </w:p>
        </w:tc>
      </w:tr>
      <w:tr>
        <w:trPr>
          <w:trHeight w:val="204"/>
        </w:trPr>
        <w:tc>
          <w:tcPr>
            <w:tcW w:w="720" w:type="dxa"/>
            <w:vAlign w:val="bottom"/>
          </w:tcPr>
          <w:p>
            <w:pPr>
              <w:ind w:left="20"/>
              <w:spacing w:after="0"/>
              <w:rPr>
                <w:sz w:val="20"/>
                <w:szCs w:val="20"/>
                <w:color w:val="auto"/>
              </w:rPr>
            </w:pPr>
            <w:r>
              <w:rPr>
                <w:rFonts w:ascii="Arial" w:cs="Arial" w:eastAsia="Arial" w:hAnsi="Arial"/>
                <w:sz w:val="12"/>
                <w:szCs w:val="12"/>
                <w:color w:val="005A64"/>
              </w:rPr>
              <w:t>4.9†</w:t>
            </w:r>
          </w:p>
        </w:tc>
        <w:tc>
          <w:tcPr>
            <w:tcW w:w="7520" w:type="dxa"/>
            <w:vAlign w:val="bottom"/>
            <w:gridSpan w:val="2"/>
          </w:tcPr>
          <w:p>
            <w:pPr>
              <w:ind w:left="60"/>
              <w:spacing w:after="0"/>
              <w:rPr>
                <w:rFonts w:ascii="Arial" w:cs="Arial" w:eastAsia="Arial" w:hAnsi="Arial"/>
                <w:sz w:val="12"/>
                <w:szCs w:val="12"/>
                <w:color w:val="005A64"/>
              </w:rPr>
            </w:pPr>
            <w:hyperlink r:id="rId336">
              <w:r>
                <w:rPr>
                  <w:rFonts w:ascii="Arial" w:cs="Arial" w:eastAsia="Arial" w:hAnsi="Arial"/>
                  <w:sz w:val="12"/>
                  <w:szCs w:val="12"/>
                  <w:color w:val="005A64"/>
                </w:rPr>
                <w:t>Second Amendment to the Collaboration Agreement by and among the Registrant, BioNTech RNA</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6">
              <w:r>
                <w:rPr>
                  <w:rFonts w:ascii="Arial" w:cs="Arial" w:eastAsia="Arial" w:hAnsi="Arial"/>
                  <w:sz w:val="12"/>
                  <w:szCs w:val="12"/>
                  <w:color w:val="005A64"/>
                </w:rPr>
                <w:t>Pharmaceuticals GmbH, Genentech, Inc. and F. Hoffman-La Roche Ltd, dated December 6, 2019</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6">
              <w:r>
                <w:rPr>
                  <w:rFonts w:ascii="Arial" w:cs="Arial" w:eastAsia="Arial" w:hAnsi="Arial"/>
                  <w:sz w:val="12"/>
                  <w:szCs w:val="12"/>
                  <w:color w:val="005A64"/>
                </w:rPr>
                <w:t>(incorporated herein by reference to Exhibit 4.16 to the Registrant’s Annual Report on Form 20-F (File No.</w:t>
              </w:r>
            </w:hyperlink>
          </w:p>
        </w:tc>
      </w:tr>
      <w:tr>
        <w:trPr>
          <w:trHeight w:val="160"/>
        </w:trPr>
        <w:tc>
          <w:tcPr>
            <w:tcW w:w="720" w:type="dxa"/>
            <w:vAlign w:val="bottom"/>
          </w:tcPr>
          <w:p>
            <w:pPr>
              <w:spacing w:after="0"/>
              <w:rPr>
                <w:sz w:val="13"/>
                <w:szCs w:val="13"/>
                <w:color w:val="auto"/>
              </w:rPr>
            </w:pPr>
          </w:p>
        </w:tc>
        <w:tc>
          <w:tcPr>
            <w:tcW w:w="7520" w:type="dxa"/>
            <w:vAlign w:val="bottom"/>
            <w:gridSpan w:val="2"/>
          </w:tcPr>
          <w:p>
            <w:pPr>
              <w:ind w:left="60"/>
              <w:spacing w:after="0"/>
              <w:rPr>
                <w:rFonts w:ascii="Arial" w:cs="Arial" w:eastAsia="Arial" w:hAnsi="Arial"/>
                <w:sz w:val="12"/>
                <w:szCs w:val="12"/>
                <w:color w:val="005A64"/>
              </w:rPr>
            </w:pPr>
            <w:hyperlink r:id="rId336">
              <w:r>
                <w:rPr>
                  <w:rFonts w:ascii="Arial" w:cs="Arial" w:eastAsia="Arial" w:hAnsi="Arial"/>
                  <w:sz w:val="12"/>
                  <w:szCs w:val="12"/>
                  <w:color w:val="005A64"/>
                </w:rPr>
                <w:t>001-39081), filed with the SEC on March 31, 2020)</w:t>
              </w:r>
            </w:hyperlink>
          </w:p>
        </w:tc>
      </w:tr>
      <w:tr>
        <w:trPr>
          <w:trHeight w:val="204"/>
        </w:trPr>
        <w:tc>
          <w:tcPr>
            <w:tcW w:w="720" w:type="dxa"/>
            <w:vAlign w:val="bottom"/>
          </w:tcPr>
          <w:p>
            <w:pPr>
              <w:ind w:left="20"/>
              <w:spacing w:after="0"/>
              <w:rPr>
                <w:sz w:val="20"/>
                <w:szCs w:val="20"/>
                <w:color w:val="auto"/>
              </w:rPr>
            </w:pPr>
            <w:r>
              <w:rPr>
                <w:rFonts w:ascii="Arial" w:cs="Arial" w:eastAsia="Arial" w:hAnsi="Arial"/>
                <w:sz w:val="12"/>
                <w:szCs w:val="12"/>
                <w:color w:val="005A64"/>
              </w:rPr>
              <w:t>4.10</w:t>
            </w:r>
          </w:p>
        </w:tc>
        <w:tc>
          <w:tcPr>
            <w:tcW w:w="7520" w:type="dxa"/>
            <w:vAlign w:val="bottom"/>
            <w:gridSpan w:val="2"/>
          </w:tcPr>
          <w:p>
            <w:pPr>
              <w:ind w:left="60"/>
              <w:spacing w:after="0"/>
              <w:rPr>
                <w:rFonts w:ascii="Arial" w:cs="Arial" w:eastAsia="Arial" w:hAnsi="Arial"/>
                <w:sz w:val="12"/>
                <w:szCs w:val="12"/>
                <w:color w:val="005A64"/>
              </w:rPr>
            </w:pPr>
            <w:hyperlink r:id="rId337">
              <w:r>
                <w:rPr>
                  <w:rFonts w:ascii="Arial" w:cs="Arial" w:eastAsia="Arial" w:hAnsi="Arial"/>
                  <w:sz w:val="12"/>
                  <w:szCs w:val="12"/>
                  <w:color w:val="005A64"/>
                </w:rPr>
                <w:t>Joinder and Third Amendment to the Collaboration Agreement by and among the Registrant, BioNTech RNA</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7">
              <w:r>
                <w:rPr>
                  <w:rFonts w:ascii="Arial" w:cs="Arial" w:eastAsia="Arial" w:hAnsi="Arial"/>
                  <w:sz w:val="12"/>
                  <w:szCs w:val="12"/>
                  <w:color w:val="005A64"/>
                </w:rPr>
                <w:t>Pharmaceuticals GmbH, BioNTech Manufacturing GmbH, Genentech, Inc. and F. Hoffman-La Roche Ltd,</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7">
              <w:r>
                <w:rPr>
                  <w:rFonts w:ascii="Arial" w:cs="Arial" w:eastAsia="Arial" w:hAnsi="Arial"/>
                  <w:sz w:val="12"/>
                  <w:szCs w:val="12"/>
                  <w:color w:val="005A64"/>
                </w:rPr>
                <w:t>effective as of October 1, 2020 (incorporated herein by reference to Exhibit 4.16 to the Registrant’s Annual</w:t>
              </w:r>
            </w:hyperlink>
          </w:p>
        </w:tc>
      </w:tr>
      <w:tr>
        <w:trPr>
          <w:trHeight w:val="160"/>
        </w:trPr>
        <w:tc>
          <w:tcPr>
            <w:tcW w:w="720" w:type="dxa"/>
            <w:vAlign w:val="bottom"/>
          </w:tcPr>
          <w:p>
            <w:pPr>
              <w:spacing w:after="0"/>
              <w:rPr>
                <w:sz w:val="13"/>
                <w:szCs w:val="13"/>
                <w:color w:val="auto"/>
              </w:rPr>
            </w:pPr>
          </w:p>
        </w:tc>
        <w:tc>
          <w:tcPr>
            <w:tcW w:w="7520" w:type="dxa"/>
            <w:vAlign w:val="bottom"/>
            <w:gridSpan w:val="2"/>
          </w:tcPr>
          <w:p>
            <w:pPr>
              <w:ind w:left="60"/>
              <w:spacing w:after="0"/>
              <w:rPr>
                <w:rFonts w:ascii="Arial" w:cs="Arial" w:eastAsia="Arial" w:hAnsi="Arial"/>
                <w:sz w:val="12"/>
                <w:szCs w:val="12"/>
                <w:color w:val="005A64"/>
              </w:rPr>
            </w:pPr>
            <w:hyperlink r:id="rId337">
              <w:r>
                <w:rPr>
                  <w:rFonts w:ascii="Arial" w:cs="Arial" w:eastAsia="Arial" w:hAnsi="Arial"/>
                  <w:sz w:val="12"/>
                  <w:szCs w:val="12"/>
                  <w:color w:val="005A64"/>
                </w:rPr>
                <w:t>Report on Form 20-F (File No. 001-39081) filed with the SEC on March 30, 2022)</w:t>
              </w:r>
            </w:hyperlink>
          </w:p>
        </w:tc>
      </w:tr>
      <w:tr>
        <w:trPr>
          <w:trHeight w:val="204"/>
        </w:trPr>
        <w:tc>
          <w:tcPr>
            <w:tcW w:w="720" w:type="dxa"/>
            <w:vAlign w:val="bottom"/>
          </w:tcPr>
          <w:p>
            <w:pPr>
              <w:ind w:left="20"/>
              <w:spacing w:after="0"/>
              <w:rPr>
                <w:sz w:val="20"/>
                <w:szCs w:val="20"/>
                <w:color w:val="auto"/>
              </w:rPr>
            </w:pPr>
            <w:r>
              <w:rPr>
                <w:rFonts w:ascii="Arial" w:cs="Arial" w:eastAsia="Arial" w:hAnsi="Arial"/>
                <w:sz w:val="12"/>
                <w:szCs w:val="12"/>
                <w:color w:val="005A64"/>
              </w:rPr>
              <w:t>4.11†</w:t>
            </w:r>
          </w:p>
        </w:tc>
        <w:tc>
          <w:tcPr>
            <w:tcW w:w="7520" w:type="dxa"/>
            <w:vAlign w:val="bottom"/>
            <w:gridSpan w:val="2"/>
          </w:tcPr>
          <w:p>
            <w:pPr>
              <w:ind w:left="60"/>
              <w:spacing w:after="0"/>
              <w:rPr>
                <w:rFonts w:ascii="Arial" w:cs="Arial" w:eastAsia="Arial" w:hAnsi="Arial"/>
                <w:sz w:val="12"/>
                <w:szCs w:val="12"/>
                <w:color w:val="005A64"/>
              </w:rPr>
            </w:pPr>
            <w:hyperlink r:id="rId338">
              <w:r>
                <w:rPr>
                  <w:rFonts w:ascii="Arial" w:cs="Arial" w:eastAsia="Arial" w:hAnsi="Arial"/>
                  <w:sz w:val="12"/>
                  <w:szCs w:val="12"/>
                  <w:color w:val="005A64"/>
                </w:rPr>
                <w:t>Fourth Amendment to the Collaboration Agreement by and among the Registrant, BioNTech RNA</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8">
              <w:r>
                <w:rPr>
                  <w:rFonts w:ascii="Arial" w:cs="Arial" w:eastAsia="Arial" w:hAnsi="Arial"/>
                  <w:sz w:val="12"/>
                  <w:szCs w:val="12"/>
                  <w:color w:val="005A64"/>
                </w:rPr>
                <w:t>Pharmaceuticals GmbH, BioNTech Manufacturing GmbH, Genentech, Inc. and F. Hoffman-La Roche Ltd,</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8">
              <w:r>
                <w:rPr>
                  <w:rFonts w:ascii="Arial" w:cs="Arial" w:eastAsia="Arial" w:hAnsi="Arial"/>
                  <w:sz w:val="12"/>
                  <w:szCs w:val="12"/>
                  <w:color w:val="005A64"/>
                </w:rPr>
                <w:t>effective as of October 26, 2020 (incorporated herein by reference to Exhibit 4.17 to the Registrant’s Annual</w:t>
              </w:r>
            </w:hyperlink>
          </w:p>
        </w:tc>
      </w:tr>
      <w:tr>
        <w:trPr>
          <w:trHeight w:val="160"/>
        </w:trPr>
        <w:tc>
          <w:tcPr>
            <w:tcW w:w="720" w:type="dxa"/>
            <w:vAlign w:val="bottom"/>
          </w:tcPr>
          <w:p>
            <w:pPr>
              <w:spacing w:after="0"/>
              <w:rPr>
                <w:sz w:val="13"/>
                <w:szCs w:val="13"/>
                <w:color w:val="auto"/>
              </w:rPr>
            </w:pPr>
          </w:p>
        </w:tc>
        <w:tc>
          <w:tcPr>
            <w:tcW w:w="7520" w:type="dxa"/>
            <w:vAlign w:val="bottom"/>
            <w:gridSpan w:val="2"/>
          </w:tcPr>
          <w:p>
            <w:pPr>
              <w:ind w:left="60"/>
              <w:spacing w:after="0"/>
              <w:rPr>
                <w:rFonts w:ascii="Arial" w:cs="Arial" w:eastAsia="Arial" w:hAnsi="Arial"/>
                <w:sz w:val="12"/>
                <w:szCs w:val="12"/>
                <w:color w:val="005A64"/>
              </w:rPr>
            </w:pPr>
            <w:hyperlink r:id="rId338">
              <w:r>
                <w:rPr>
                  <w:rFonts w:ascii="Arial" w:cs="Arial" w:eastAsia="Arial" w:hAnsi="Arial"/>
                  <w:sz w:val="12"/>
                  <w:szCs w:val="12"/>
                  <w:color w:val="005A64"/>
                </w:rPr>
                <w:t>Report on Form 20-F (File No. 001-39081) filed with the SEC on March 30, 2022)</w:t>
              </w:r>
            </w:hyperlink>
          </w:p>
        </w:tc>
      </w:tr>
      <w:tr>
        <w:trPr>
          <w:trHeight w:val="204"/>
        </w:trPr>
        <w:tc>
          <w:tcPr>
            <w:tcW w:w="720" w:type="dxa"/>
            <w:vAlign w:val="bottom"/>
          </w:tcPr>
          <w:p>
            <w:pPr>
              <w:ind w:left="20"/>
              <w:spacing w:after="0"/>
              <w:rPr>
                <w:sz w:val="20"/>
                <w:szCs w:val="20"/>
                <w:color w:val="auto"/>
              </w:rPr>
            </w:pPr>
            <w:r>
              <w:rPr>
                <w:rFonts w:ascii="Arial" w:cs="Arial" w:eastAsia="Arial" w:hAnsi="Arial"/>
                <w:sz w:val="12"/>
                <w:szCs w:val="12"/>
                <w:color w:val="005A64"/>
              </w:rPr>
              <w:t>4.12†</w:t>
            </w:r>
          </w:p>
        </w:tc>
        <w:tc>
          <w:tcPr>
            <w:tcW w:w="7520" w:type="dxa"/>
            <w:vAlign w:val="bottom"/>
            <w:gridSpan w:val="2"/>
          </w:tcPr>
          <w:p>
            <w:pPr>
              <w:ind w:left="60"/>
              <w:spacing w:after="0"/>
              <w:rPr>
                <w:rFonts w:ascii="Arial" w:cs="Arial" w:eastAsia="Arial" w:hAnsi="Arial"/>
                <w:sz w:val="12"/>
                <w:szCs w:val="12"/>
                <w:color w:val="005A64"/>
              </w:rPr>
            </w:pPr>
            <w:hyperlink r:id="rId339">
              <w:r>
                <w:rPr>
                  <w:rFonts w:ascii="Arial" w:cs="Arial" w:eastAsia="Arial" w:hAnsi="Arial"/>
                  <w:sz w:val="12"/>
                  <w:szCs w:val="12"/>
                  <w:color w:val="005A64"/>
                </w:rPr>
                <w:t>Patent Sublicense Agreement by and between CellScript, LLC and BioNTech RNA Pharmaceuticals GmbH,</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39">
              <w:r>
                <w:rPr>
                  <w:rFonts w:ascii="Arial" w:cs="Arial" w:eastAsia="Arial" w:hAnsi="Arial"/>
                  <w:sz w:val="12"/>
                  <w:szCs w:val="12"/>
                  <w:color w:val="005A64"/>
                </w:rPr>
                <w:t>dated July 14, 2017 (incorporated herein by reference to Exhibit 10.15 to the Registrant’s Registration</w:t>
              </w:r>
            </w:hyperlink>
          </w:p>
        </w:tc>
      </w:tr>
      <w:tr>
        <w:trPr>
          <w:trHeight w:val="160"/>
        </w:trPr>
        <w:tc>
          <w:tcPr>
            <w:tcW w:w="720" w:type="dxa"/>
            <w:vAlign w:val="bottom"/>
          </w:tcPr>
          <w:p>
            <w:pPr>
              <w:spacing w:after="0"/>
              <w:rPr>
                <w:sz w:val="13"/>
                <w:szCs w:val="13"/>
                <w:color w:val="auto"/>
              </w:rPr>
            </w:pPr>
          </w:p>
        </w:tc>
        <w:tc>
          <w:tcPr>
            <w:tcW w:w="7520" w:type="dxa"/>
            <w:vAlign w:val="bottom"/>
            <w:gridSpan w:val="2"/>
          </w:tcPr>
          <w:p>
            <w:pPr>
              <w:ind w:left="60"/>
              <w:spacing w:after="0"/>
              <w:rPr>
                <w:rFonts w:ascii="Arial" w:cs="Arial" w:eastAsia="Arial" w:hAnsi="Arial"/>
                <w:sz w:val="12"/>
                <w:szCs w:val="12"/>
                <w:color w:val="005A64"/>
              </w:rPr>
            </w:pPr>
            <w:hyperlink r:id="rId339">
              <w:r>
                <w:rPr>
                  <w:rFonts w:ascii="Arial" w:cs="Arial" w:eastAsia="Arial" w:hAnsi="Arial"/>
                  <w:sz w:val="12"/>
                  <w:szCs w:val="12"/>
                  <w:color w:val="005A64"/>
                </w:rPr>
                <w:t>Statement on Form F-1 (File No. 333-233688), filed with the SEC on September 9, 2019)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257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29845</wp:posOffset>
            </wp:positionV>
            <wp:extent cx="5231130"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78" w:name="page179"/>
    <w:bookmarkEnd w:id="178"/>
    <w:tbl>
      <w:tblPr>
        <w:tblLayout w:type="fixed"/>
        <w:tblInd w:w="400" w:type="dxa"/>
        <w:tblCellMar>
          <w:top w:w="0" w:type="dxa"/>
          <w:left w:w="0" w:type="dxa"/>
          <w:bottom w:w="0" w:type="dxa"/>
          <w:right w:w="0" w:type="dxa"/>
        </w:tblCellMar>
      </w:tblPr>
      <w:tr>
        <w:trPr>
          <w:trHeight w:val="138"/>
        </w:trPr>
        <w:tc>
          <w:tcPr>
            <w:tcW w:w="520" w:type="dxa"/>
            <w:vAlign w:val="bottom"/>
          </w:tcPr>
          <w:p>
            <w:pPr>
              <w:spacing w:after="0"/>
              <w:rPr>
                <w:sz w:val="20"/>
                <w:szCs w:val="20"/>
                <w:color w:val="auto"/>
              </w:rPr>
            </w:pPr>
            <w:r>
              <w:rPr>
                <w:rFonts w:ascii="Arial" w:cs="Arial" w:eastAsia="Arial" w:hAnsi="Arial"/>
                <w:sz w:val="12"/>
                <w:szCs w:val="12"/>
                <w:color w:val="005A64"/>
              </w:rPr>
              <w:t>4.13†</w:t>
            </w:r>
          </w:p>
        </w:tc>
        <w:tc>
          <w:tcPr>
            <w:tcW w:w="6080" w:type="dxa"/>
            <w:vAlign w:val="bottom"/>
          </w:tcPr>
          <w:p>
            <w:pPr>
              <w:ind w:left="240"/>
              <w:spacing w:after="0"/>
              <w:rPr>
                <w:rFonts w:ascii="Arial" w:cs="Arial" w:eastAsia="Arial" w:hAnsi="Arial"/>
                <w:sz w:val="12"/>
                <w:szCs w:val="12"/>
                <w:color w:val="005A64"/>
              </w:rPr>
            </w:pPr>
            <w:hyperlink r:id="rId341">
              <w:r>
                <w:rPr>
                  <w:rFonts w:ascii="Arial" w:cs="Arial" w:eastAsia="Arial" w:hAnsi="Arial"/>
                  <w:sz w:val="12"/>
                  <w:szCs w:val="12"/>
                  <w:color w:val="005A64"/>
                </w:rPr>
                <w:t>Second Amendment to Patent Sublicense Agreement by and between CellScript, LLC and BioNTech RNA</w:t>
              </w:r>
            </w:hyperlink>
          </w:p>
        </w:tc>
      </w:tr>
      <w:tr>
        <w:trPr>
          <w:trHeight w:val="121"/>
        </w:trPr>
        <w:tc>
          <w:tcPr>
            <w:tcW w:w="520" w:type="dxa"/>
            <w:vAlign w:val="bottom"/>
          </w:tcPr>
          <w:p>
            <w:pPr>
              <w:spacing w:after="0"/>
              <w:rPr>
                <w:sz w:val="10"/>
                <w:szCs w:val="10"/>
                <w:color w:val="auto"/>
              </w:rPr>
            </w:pPr>
          </w:p>
        </w:tc>
        <w:tc>
          <w:tcPr>
            <w:tcW w:w="6080" w:type="dxa"/>
            <w:vAlign w:val="bottom"/>
          </w:tcPr>
          <w:p>
            <w:pPr>
              <w:ind w:left="240"/>
              <w:spacing w:after="0" w:line="121" w:lineRule="exact"/>
              <w:rPr>
                <w:rFonts w:ascii="Arial" w:cs="Arial" w:eastAsia="Arial" w:hAnsi="Arial"/>
                <w:sz w:val="12"/>
                <w:szCs w:val="12"/>
                <w:color w:val="005A64"/>
              </w:rPr>
            </w:pPr>
            <w:hyperlink r:id="rId341">
              <w:r>
                <w:rPr>
                  <w:rFonts w:ascii="Arial" w:cs="Arial" w:eastAsia="Arial" w:hAnsi="Arial"/>
                  <w:sz w:val="12"/>
                  <w:szCs w:val="12"/>
                  <w:color w:val="005A64"/>
                </w:rPr>
                <w:t>Pharmaceuticals GmbH, effective as of August 1, 2020 (incorporated herein by reference to Exhibit 4.19 to</w:t>
              </w:r>
            </w:hyperlink>
          </w:p>
        </w:tc>
      </w:tr>
      <w:tr>
        <w:trPr>
          <w:trHeight w:val="160"/>
        </w:trPr>
        <w:tc>
          <w:tcPr>
            <w:tcW w:w="520" w:type="dxa"/>
            <w:vAlign w:val="bottom"/>
          </w:tcPr>
          <w:p>
            <w:pPr>
              <w:spacing w:after="0"/>
              <w:rPr>
                <w:sz w:val="13"/>
                <w:szCs w:val="13"/>
                <w:color w:val="auto"/>
              </w:rPr>
            </w:pPr>
          </w:p>
        </w:tc>
        <w:tc>
          <w:tcPr>
            <w:tcW w:w="6080" w:type="dxa"/>
            <w:vAlign w:val="bottom"/>
          </w:tcPr>
          <w:p>
            <w:pPr>
              <w:ind w:left="240"/>
              <w:spacing w:after="0"/>
              <w:rPr>
                <w:rFonts w:ascii="Arial" w:cs="Arial" w:eastAsia="Arial" w:hAnsi="Arial"/>
                <w:sz w:val="12"/>
                <w:szCs w:val="12"/>
                <w:color w:val="005A64"/>
              </w:rPr>
            </w:pPr>
            <w:hyperlink r:id="rId341">
              <w:r>
                <w:rPr>
                  <w:rFonts w:ascii="Arial" w:cs="Arial" w:eastAsia="Arial" w:hAnsi="Arial"/>
                  <w:sz w:val="12"/>
                  <w:szCs w:val="12"/>
                  <w:color w:val="005A64"/>
                </w:rPr>
                <w:t>the Registrant’s Annual Report on Form 20-F (File No. 001-39081) filed with the SEC on March 30, 2022)</w:t>
              </w:r>
            </w:hyperlink>
          </w:p>
        </w:tc>
      </w:tr>
      <w:tr>
        <w:trPr>
          <w:trHeight w:val="194"/>
        </w:trPr>
        <w:tc>
          <w:tcPr>
            <w:tcW w:w="520" w:type="dxa"/>
            <w:vAlign w:val="bottom"/>
          </w:tcPr>
          <w:p>
            <w:pPr>
              <w:spacing w:after="0"/>
              <w:rPr>
                <w:sz w:val="20"/>
                <w:szCs w:val="20"/>
                <w:color w:val="auto"/>
              </w:rPr>
            </w:pPr>
            <w:r>
              <w:rPr>
                <w:rFonts w:ascii="Arial" w:cs="Arial" w:eastAsia="Arial" w:hAnsi="Arial"/>
                <w:sz w:val="12"/>
                <w:szCs w:val="12"/>
                <w:color w:val="005A64"/>
              </w:rPr>
              <w:t>4.14†</w:t>
            </w:r>
          </w:p>
        </w:tc>
        <w:tc>
          <w:tcPr>
            <w:tcW w:w="6080" w:type="dxa"/>
            <w:vAlign w:val="bottom"/>
          </w:tcPr>
          <w:p>
            <w:pPr>
              <w:ind w:left="240"/>
              <w:spacing w:after="0"/>
              <w:rPr>
                <w:rFonts w:ascii="Arial" w:cs="Arial" w:eastAsia="Arial" w:hAnsi="Arial"/>
                <w:sz w:val="12"/>
                <w:szCs w:val="12"/>
                <w:color w:val="005A64"/>
              </w:rPr>
            </w:pPr>
            <w:hyperlink r:id="rId342">
              <w:r>
                <w:rPr>
                  <w:rFonts w:ascii="Arial" w:cs="Arial" w:eastAsia="Arial" w:hAnsi="Arial"/>
                  <w:sz w:val="12"/>
                  <w:szCs w:val="12"/>
                  <w:color w:val="005A64"/>
                </w:rPr>
                <w:t>Patent Sublicense Agreement by and between mRNA RiboTherapeutics, Inc. and BioNTech RNA</w:t>
              </w:r>
            </w:hyperlink>
          </w:p>
        </w:tc>
      </w:tr>
      <w:tr>
        <w:trPr>
          <w:trHeight w:val="121"/>
        </w:trPr>
        <w:tc>
          <w:tcPr>
            <w:tcW w:w="520" w:type="dxa"/>
            <w:vAlign w:val="bottom"/>
          </w:tcPr>
          <w:p>
            <w:pPr>
              <w:spacing w:after="0"/>
              <w:rPr>
                <w:sz w:val="10"/>
                <w:szCs w:val="10"/>
                <w:color w:val="auto"/>
              </w:rPr>
            </w:pPr>
          </w:p>
        </w:tc>
        <w:tc>
          <w:tcPr>
            <w:tcW w:w="6080" w:type="dxa"/>
            <w:vAlign w:val="bottom"/>
          </w:tcPr>
          <w:p>
            <w:pPr>
              <w:ind w:left="240"/>
              <w:spacing w:after="0" w:line="121" w:lineRule="exact"/>
              <w:rPr>
                <w:rFonts w:ascii="Arial" w:cs="Arial" w:eastAsia="Arial" w:hAnsi="Arial"/>
                <w:sz w:val="12"/>
                <w:szCs w:val="12"/>
                <w:color w:val="005A64"/>
              </w:rPr>
            </w:pPr>
            <w:hyperlink r:id="rId342">
              <w:r>
                <w:rPr>
                  <w:rFonts w:ascii="Arial" w:cs="Arial" w:eastAsia="Arial" w:hAnsi="Arial"/>
                  <w:sz w:val="12"/>
                  <w:szCs w:val="12"/>
                  <w:color w:val="005A64"/>
                </w:rPr>
                <w:t>Pharmaceuticals GmbH, dated July 14, 2017 (incorporated herein by reference to Exhibit 10.16 to the</w:t>
              </w:r>
            </w:hyperlink>
          </w:p>
        </w:tc>
      </w:tr>
      <w:tr>
        <w:trPr>
          <w:trHeight w:val="121"/>
        </w:trPr>
        <w:tc>
          <w:tcPr>
            <w:tcW w:w="520" w:type="dxa"/>
            <w:vAlign w:val="bottom"/>
          </w:tcPr>
          <w:p>
            <w:pPr>
              <w:spacing w:after="0"/>
              <w:rPr>
                <w:sz w:val="10"/>
                <w:szCs w:val="10"/>
                <w:color w:val="auto"/>
              </w:rPr>
            </w:pPr>
          </w:p>
        </w:tc>
        <w:tc>
          <w:tcPr>
            <w:tcW w:w="6080" w:type="dxa"/>
            <w:vAlign w:val="bottom"/>
          </w:tcPr>
          <w:p>
            <w:pPr>
              <w:ind w:left="240"/>
              <w:spacing w:after="0" w:line="121" w:lineRule="exact"/>
              <w:rPr>
                <w:rFonts w:ascii="Arial" w:cs="Arial" w:eastAsia="Arial" w:hAnsi="Arial"/>
                <w:sz w:val="12"/>
                <w:szCs w:val="12"/>
                <w:color w:val="005A64"/>
              </w:rPr>
            </w:pPr>
            <w:hyperlink r:id="rId342">
              <w:r>
                <w:rPr>
                  <w:rFonts w:ascii="Arial" w:cs="Arial" w:eastAsia="Arial" w:hAnsi="Arial"/>
                  <w:sz w:val="12"/>
                  <w:szCs w:val="12"/>
                  <w:color w:val="005A64"/>
                </w:rPr>
                <w:t>Registrant’s Registration Statement on Form F-1 (File No. 333-233688), filed with the SEC on September 9,</w:t>
              </w:r>
            </w:hyperlink>
          </w:p>
        </w:tc>
      </w:tr>
      <w:tr>
        <w:trPr>
          <w:trHeight w:val="160"/>
        </w:trPr>
        <w:tc>
          <w:tcPr>
            <w:tcW w:w="520" w:type="dxa"/>
            <w:vAlign w:val="bottom"/>
          </w:tcPr>
          <w:p>
            <w:pPr>
              <w:spacing w:after="0"/>
              <w:rPr>
                <w:sz w:val="13"/>
                <w:szCs w:val="13"/>
                <w:color w:val="auto"/>
              </w:rPr>
            </w:pPr>
          </w:p>
        </w:tc>
        <w:tc>
          <w:tcPr>
            <w:tcW w:w="6080" w:type="dxa"/>
            <w:vAlign w:val="bottom"/>
          </w:tcPr>
          <w:p>
            <w:pPr>
              <w:ind w:left="240"/>
              <w:spacing w:after="0"/>
              <w:rPr>
                <w:rFonts w:ascii="Arial" w:cs="Arial" w:eastAsia="Arial" w:hAnsi="Arial"/>
                <w:sz w:val="12"/>
                <w:szCs w:val="12"/>
                <w:color w:val="005A64"/>
              </w:rPr>
            </w:pPr>
            <w:hyperlink r:id="rId342">
              <w:r>
                <w:rPr>
                  <w:rFonts w:ascii="Arial" w:cs="Arial" w:eastAsia="Arial" w:hAnsi="Arial"/>
                  <w:sz w:val="12"/>
                  <w:szCs w:val="12"/>
                  <w:color w:val="005A64"/>
                </w:rPr>
                <w:t>2019)</w:t>
              </w:r>
            </w:hyperlink>
          </w:p>
        </w:tc>
      </w:tr>
      <w:tr>
        <w:trPr>
          <w:trHeight w:val="204"/>
        </w:trPr>
        <w:tc>
          <w:tcPr>
            <w:tcW w:w="520" w:type="dxa"/>
            <w:vAlign w:val="bottom"/>
          </w:tcPr>
          <w:p>
            <w:pPr>
              <w:spacing w:after="0"/>
              <w:rPr>
                <w:sz w:val="20"/>
                <w:szCs w:val="20"/>
                <w:color w:val="auto"/>
              </w:rPr>
            </w:pPr>
            <w:r>
              <w:rPr>
                <w:rFonts w:ascii="Arial" w:cs="Arial" w:eastAsia="Arial" w:hAnsi="Arial"/>
                <w:sz w:val="12"/>
                <w:szCs w:val="12"/>
                <w:color w:val="005A64"/>
              </w:rPr>
              <w:t>4.15†</w:t>
            </w:r>
          </w:p>
        </w:tc>
        <w:tc>
          <w:tcPr>
            <w:tcW w:w="6080" w:type="dxa"/>
            <w:vAlign w:val="bottom"/>
          </w:tcPr>
          <w:p>
            <w:pPr>
              <w:ind w:left="240"/>
              <w:spacing w:after="0"/>
              <w:rPr>
                <w:rFonts w:ascii="Arial" w:cs="Arial" w:eastAsia="Arial" w:hAnsi="Arial"/>
                <w:sz w:val="12"/>
                <w:szCs w:val="12"/>
                <w:color w:val="005A64"/>
              </w:rPr>
            </w:pPr>
            <w:hyperlink r:id="rId343">
              <w:r>
                <w:rPr>
                  <w:rFonts w:ascii="Arial" w:cs="Arial" w:eastAsia="Arial" w:hAnsi="Arial"/>
                  <w:sz w:val="12"/>
                  <w:szCs w:val="12"/>
                  <w:color w:val="005A64"/>
                </w:rPr>
                <w:t>Second Amendment to Patent Sublicense Agreement by and between mRNA RiboTherapeutics, Inc. and</w:t>
              </w:r>
            </w:hyperlink>
          </w:p>
        </w:tc>
      </w:tr>
      <w:tr>
        <w:trPr>
          <w:trHeight w:val="121"/>
        </w:trPr>
        <w:tc>
          <w:tcPr>
            <w:tcW w:w="520" w:type="dxa"/>
            <w:vAlign w:val="bottom"/>
          </w:tcPr>
          <w:p>
            <w:pPr>
              <w:spacing w:after="0"/>
              <w:rPr>
                <w:sz w:val="10"/>
                <w:szCs w:val="10"/>
                <w:color w:val="auto"/>
              </w:rPr>
            </w:pPr>
          </w:p>
        </w:tc>
        <w:tc>
          <w:tcPr>
            <w:tcW w:w="6080" w:type="dxa"/>
            <w:vAlign w:val="bottom"/>
          </w:tcPr>
          <w:p>
            <w:pPr>
              <w:ind w:left="240"/>
              <w:spacing w:after="0" w:line="121" w:lineRule="exact"/>
              <w:rPr>
                <w:rFonts w:ascii="Arial" w:cs="Arial" w:eastAsia="Arial" w:hAnsi="Arial"/>
                <w:sz w:val="12"/>
                <w:szCs w:val="12"/>
                <w:color w:val="005A64"/>
              </w:rPr>
            </w:pPr>
            <w:hyperlink r:id="rId343">
              <w:r>
                <w:rPr>
                  <w:rFonts w:ascii="Arial" w:cs="Arial" w:eastAsia="Arial" w:hAnsi="Arial"/>
                  <w:sz w:val="12"/>
                  <w:szCs w:val="12"/>
                  <w:color w:val="005A64"/>
                </w:rPr>
                <w:t>BioNTech RNA Pharmaceuticals GmbH, effective as of August 1, 2020 (incorporated herein by reference to</w:t>
              </w:r>
            </w:hyperlink>
          </w:p>
        </w:tc>
      </w:tr>
      <w:tr>
        <w:trPr>
          <w:trHeight w:val="121"/>
        </w:trPr>
        <w:tc>
          <w:tcPr>
            <w:tcW w:w="520" w:type="dxa"/>
            <w:vAlign w:val="bottom"/>
          </w:tcPr>
          <w:p>
            <w:pPr>
              <w:spacing w:after="0"/>
              <w:rPr>
                <w:sz w:val="10"/>
                <w:szCs w:val="10"/>
                <w:color w:val="auto"/>
              </w:rPr>
            </w:pPr>
          </w:p>
        </w:tc>
        <w:tc>
          <w:tcPr>
            <w:tcW w:w="6080" w:type="dxa"/>
            <w:vAlign w:val="bottom"/>
          </w:tcPr>
          <w:p>
            <w:pPr>
              <w:ind w:left="240"/>
              <w:spacing w:after="0" w:line="121" w:lineRule="exact"/>
              <w:rPr>
                <w:rFonts w:ascii="Arial" w:cs="Arial" w:eastAsia="Arial" w:hAnsi="Arial"/>
                <w:sz w:val="12"/>
                <w:szCs w:val="12"/>
                <w:color w:val="005A64"/>
              </w:rPr>
            </w:pPr>
            <w:hyperlink r:id="rId343">
              <w:r>
                <w:rPr>
                  <w:rFonts w:ascii="Arial" w:cs="Arial" w:eastAsia="Arial" w:hAnsi="Arial"/>
                  <w:sz w:val="12"/>
                  <w:szCs w:val="12"/>
                  <w:color w:val="005A64"/>
                </w:rPr>
                <w:t>Exhibit 4.21 to the Registrant’s Annual Report on Form 20-F (File No. 001-39081), filed with the SEC on</w:t>
              </w:r>
            </w:hyperlink>
          </w:p>
        </w:tc>
      </w:tr>
      <w:tr>
        <w:trPr>
          <w:trHeight w:val="160"/>
        </w:trPr>
        <w:tc>
          <w:tcPr>
            <w:tcW w:w="520" w:type="dxa"/>
            <w:vAlign w:val="bottom"/>
          </w:tcPr>
          <w:p>
            <w:pPr>
              <w:spacing w:after="0"/>
              <w:rPr>
                <w:sz w:val="13"/>
                <w:szCs w:val="13"/>
                <w:color w:val="auto"/>
              </w:rPr>
            </w:pPr>
          </w:p>
        </w:tc>
        <w:tc>
          <w:tcPr>
            <w:tcW w:w="6080" w:type="dxa"/>
            <w:vAlign w:val="bottom"/>
          </w:tcPr>
          <w:p>
            <w:pPr>
              <w:ind w:left="240"/>
              <w:spacing w:after="0"/>
              <w:rPr>
                <w:rFonts w:ascii="Arial" w:cs="Arial" w:eastAsia="Arial" w:hAnsi="Arial"/>
                <w:sz w:val="12"/>
                <w:szCs w:val="12"/>
                <w:color w:val="005A64"/>
              </w:rPr>
            </w:pPr>
            <w:hyperlink r:id="rId343">
              <w:r>
                <w:rPr>
                  <w:rFonts w:ascii="Arial" w:cs="Arial" w:eastAsia="Arial" w:hAnsi="Arial"/>
                  <w:sz w:val="12"/>
                  <w:szCs w:val="12"/>
                  <w:color w:val="005A64"/>
                </w:rPr>
                <w:t>March 30, 2022)</w:t>
              </w:r>
            </w:hyperlink>
          </w:p>
        </w:tc>
      </w:tr>
      <w:tr>
        <w:trPr>
          <w:trHeight w:val="204"/>
        </w:trPr>
        <w:tc>
          <w:tcPr>
            <w:tcW w:w="520" w:type="dxa"/>
            <w:vAlign w:val="bottom"/>
          </w:tcPr>
          <w:p>
            <w:pPr>
              <w:spacing w:after="0"/>
              <w:rPr>
                <w:sz w:val="20"/>
                <w:szCs w:val="20"/>
                <w:color w:val="auto"/>
              </w:rPr>
            </w:pPr>
            <w:r>
              <w:rPr>
                <w:rFonts w:ascii="Arial" w:cs="Arial" w:eastAsia="Arial" w:hAnsi="Arial"/>
                <w:sz w:val="12"/>
                <w:szCs w:val="12"/>
                <w:color w:val="005A64"/>
              </w:rPr>
              <w:t>4.16†</w:t>
            </w:r>
          </w:p>
        </w:tc>
        <w:tc>
          <w:tcPr>
            <w:tcW w:w="6080" w:type="dxa"/>
            <w:vAlign w:val="bottom"/>
          </w:tcPr>
          <w:p>
            <w:pPr>
              <w:ind w:left="240"/>
              <w:spacing w:after="0"/>
              <w:rPr>
                <w:rFonts w:ascii="Arial" w:cs="Arial" w:eastAsia="Arial" w:hAnsi="Arial"/>
                <w:sz w:val="12"/>
                <w:szCs w:val="12"/>
                <w:color w:val="005A64"/>
              </w:rPr>
            </w:pPr>
            <w:hyperlink r:id="rId344">
              <w:r>
                <w:rPr>
                  <w:rFonts w:ascii="Arial" w:cs="Arial" w:eastAsia="Arial" w:hAnsi="Arial"/>
                  <w:sz w:val="12"/>
                  <w:szCs w:val="12"/>
                  <w:color w:val="005A64"/>
                </w:rPr>
                <w:t>Research Collaboration and License Agreement by and among the Registrant, BioNTech RNA</w:t>
              </w:r>
            </w:hyperlink>
          </w:p>
        </w:tc>
      </w:tr>
      <w:tr>
        <w:trPr>
          <w:trHeight w:val="121"/>
        </w:trPr>
        <w:tc>
          <w:tcPr>
            <w:tcW w:w="520" w:type="dxa"/>
            <w:vAlign w:val="bottom"/>
          </w:tcPr>
          <w:p>
            <w:pPr>
              <w:spacing w:after="0"/>
              <w:rPr>
                <w:sz w:val="10"/>
                <w:szCs w:val="10"/>
                <w:color w:val="auto"/>
              </w:rPr>
            </w:pPr>
          </w:p>
        </w:tc>
        <w:tc>
          <w:tcPr>
            <w:tcW w:w="6080" w:type="dxa"/>
            <w:vAlign w:val="bottom"/>
          </w:tcPr>
          <w:p>
            <w:pPr>
              <w:ind w:left="240"/>
              <w:spacing w:after="0" w:line="121" w:lineRule="exact"/>
              <w:rPr>
                <w:rFonts w:ascii="Arial" w:cs="Arial" w:eastAsia="Arial" w:hAnsi="Arial"/>
                <w:sz w:val="12"/>
                <w:szCs w:val="12"/>
                <w:color w:val="005A64"/>
              </w:rPr>
            </w:pPr>
            <w:hyperlink r:id="rId344">
              <w:r>
                <w:rPr>
                  <w:rFonts w:ascii="Arial" w:cs="Arial" w:eastAsia="Arial" w:hAnsi="Arial"/>
                  <w:sz w:val="12"/>
                  <w:szCs w:val="12"/>
                  <w:color w:val="005A64"/>
                </w:rPr>
                <w:t>Pharmaceuticals GmbH and Pfizer Inc., dated July 20, 2018 (incorporated herein by reference to Exhibit</w:t>
              </w:r>
            </w:hyperlink>
          </w:p>
        </w:tc>
      </w:tr>
      <w:tr>
        <w:trPr>
          <w:trHeight w:val="121"/>
        </w:trPr>
        <w:tc>
          <w:tcPr>
            <w:tcW w:w="520" w:type="dxa"/>
            <w:vAlign w:val="bottom"/>
          </w:tcPr>
          <w:p>
            <w:pPr>
              <w:spacing w:after="0"/>
              <w:rPr>
                <w:sz w:val="10"/>
                <w:szCs w:val="10"/>
                <w:color w:val="auto"/>
              </w:rPr>
            </w:pPr>
          </w:p>
        </w:tc>
        <w:tc>
          <w:tcPr>
            <w:tcW w:w="6080" w:type="dxa"/>
            <w:vAlign w:val="bottom"/>
          </w:tcPr>
          <w:p>
            <w:pPr>
              <w:ind w:left="240"/>
              <w:spacing w:after="0" w:line="121" w:lineRule="exact"/>
              <w:rPr>
                <w:rFonts w:ascii="Arial" w:cs="Arial" w:eastAsia="Arial" w:hAnsi="Arial"/>
                <w:sz w:val="12"/>
                <w:szCs w:val="12"/>
                <w:color w:val="005A64"/>
              </w:rPr>
            </w:pPr>
            <w:hyperlink r:id="rId344">
              <w:r>
                <w:rPr>
                  <w:rFonts w:ascii="Arial" w:cs="Arial" w:eastAsia="Arial" w:hAnsi="Arial"/>
                  <w:sz w:val="12"/>
                  <w:szCs w:val="12"/>
                  <w:color w:val="005A64"/>
                </w:rPr>
                <w:t>10.18 to the Registrant’s Registration Statement on Form F-1 (File No. 333-233688), filed with the SEC on</w:t>
              </w:r>
            </w:hyperlink>
          </w:p>
        </w:tc>
      </w:tr>
      <w:tr>
        <w:trPr>
          <w:trHeight w:val="160"/>
        </w:trPr>
        <w:tc>
          <w:tcPr>
            <w:tcW w:w="520" w:type="dxa"/>
            <w:vAlign w:val="bottom"/>
          </w:tcPr>
          <w:p>
            <w:pPr>
              <w:spacing w:after="0"/>
              <w:rPr>
                <w:sz w:val="13"/>
                <w:szCs w:val="13"/>
                <w:color w:val="auto"/>
              </w:rPr>
            </w:pPr>
          </w:p>
        </w:tc>
        <w:tc>
          <w:tcPr>
            <w:tcW w:w="6080" w:type="dxa"/>
            <w:vAlign w:val="bottom"/>
          </w:tcPr>
          <w:p>
            <w:pPr>
              <w:ind w:left="240"/>
              <w:spacing w:after="0"/>
              <w:rPr>
                <w:rFonts w:ascii="Arial" w:cs="Arial" w:eastAsia="Arial" w:hAnsi="Arial"/>
                <w:sz w:val="12"/>
                <w:szCs w:val="12"/>
                <w:color w:val="005A64"/>
              </w:rPr>
            </w:pPr>
            <w:hyperlink r:id="rId344">
              <w:r>
                <w:rPr>
                  <w:rFonts w:ascii="Arial" w:cs="Arial" w:eastAsia="Arial" w:hAnsi="Arial"/>
                  <w:sz w:val="12"/>
                  <w:szCs w:val="12"/>
                  <w:color w:val="005A64"/>
                </w:rPr>
                <w:t>September 9, 2019)</w:t>
              </w:r>
            </w:hyperlink>
          </w:p>
        </w:tc>
      </w:tr>
      <w:tr>
        <w:trPr>
          <w:trHeight w:val="204"/>
        </w:trPr>
        <w:tc>
          <w:tcPr>
            <w:tcW w:w="520" w:type="dxa"/>
            <w:vAlign w:val="bottom"/>
          </w:tcPr>
          <w:p>
            <w:pPr>
              <w:spacing w:after="0"/>
              <w:rPr>
                <w:sz w:val="20"/>
                <w:szCs w:val="20"/>
                <w:color w:val="auto"/>
              </w:rPr>
            </w:pPr>
            <w:r>
              <w:rPr>
                <w:rFonts w:ascii="Arial" w:cs="Arial" w:eastAsia="Arial" w:hAnsi="Arial"/>
                <w:sz w:val="12"/>
                <w:szCs w:val="12"/>
                <w:color w:val="005A64"/>
              </w:rPr>
              <w:t>4.17†</w:t>
            </w:r>
          </w:p>
        </w:tc>
        <w:tc>
          <w:tcPr>
            <w:tcW w:w="6080" w:type="dxa"/>
            <w:vAlign w:val="bottom"/>
          </w:tcPr>
          <w:p>
            <w:pPr>
              <w:ind w:left="240"/>
              <w:spacing w:after="0"/>
              <w:rPr>
                <w:rFonts w:ascii="Arial" w:cs="Arial" w:eastAsia="Arial" w:hAnsi="Arial"/>
                <w:sz w:val="12"/>
                <w:szCs w:val="12"/>
                <w:color w:val="005A64"/>
              </w:rPr>
            </w:pPr>
            <w:hyperlink r:id="rId345">
              <w:r>
                <w:rPr>
                  <w:rFonts w:ascii="Arial" w:cs="Arial" w:eastAsia="Arial" w:hAnsi="Arial"/>
                  <w:sz w:val="12"/>
                  <w:szCs w:val="12"/>
                  <w:color w:val="005A64"/>
                </w:rPr>
                <w:t>Collaboration and License Agreement by and between the Trustees of the University of Pennsylvania and</w:t>
              </w:r>
            </w:hyperlink>
          </w:p>
        </w:tc>
      </w:tr>
      <w:tr>
        <w:trPr>
          <w:trHeight w:val="121"/>
        </w:trPr>
        <w:tc>
          <w:tcPr>
            <w:tcW w:w="520" w:type="dxa"/>
            <w:vAlign w:val="bottom"/>
          </w:tcPr>
          <w:p>
            <w:pPr>
              <w:spacing w:after="0"/>
              <w:rPr>
                <w:sz w:val="10"/>
                <w:szCs w:val="10"/>
                <w:color w:val="auto"/>
              </w:rPr>
            </w:pPr>
          </w:p>
        </w:tc>
        <w:tc>
          <w:tcPr>
            <w:tcW w:w="6080" w:type="dxa"/>
            <w:vAlign w:val="bottom"/>
          </w:tcPr>
          <w:p>
            <w:pPr>
              <w:ind w:left="240"/>
              <w:spacing w:after="0" w:line="121" w:lineRule="exact"/>
              <w:rPr>
                <w:rFonts w:ascii="Arial" w:cs="Arial" w:eastAsia="Arial" w:hAnsi="Arial"/>
                <w:sz w:val="12"/>
                <w:szCs w:val="12"/>
                <w:color w:val="005A64"/>
              </w:rPr>
            </w:pPr>
            <w:hyperlink r:id="rId345">
              <w:r>
                <w:rPr>
                  <w:rFonts w:ascii="Arial" w:cs="Arial" w:eastAsia="Arial" w:hAnsi="Arial"/>
                  <w:sz w:val="12"/>
                  <w:szCs w:val="12"/>
                  <w:color w:val="005A64"/>
                </w:rPr>
                <w:t>BioNTech RNA Pharmaceuticals GmbH, dated October 9, 2018 (incorporated herein by reference to Exhibit</w:t>
              </w:r>
            </w:hyperlink>
          </w:p>
        </w:tc>
      </w:tr>
      <w:tr>
        <w:trPr>
          <w:trHeight w:val="121"/>
        </w:trPr>
        <w:tc>
          <w:tcPr>
            <w:tcW w:w="520" w:type="dxa"/>
            <w:vAlign w:val="bottom"/>
          </w:tcPr>
          <w:p>
            <w:pPr>
              <w:spacing w:after="0"/>
              <w:rPr>
                <w:sz w:val="10"/>
                <w:szCs w:val="10"/>
                <w:color w:val="auto"/>
              </w:rPr>
            </w:pPr>
          </w:p>
        </w:tc>
        <w:tc>
          <w:tcPr>
            <w:tcW w:w="6080" w:type="dxa"/>
            <w:vAlign w:val="bottom"/>
          </w:tcPr>
          <w:p>
            <w:pPr>
              <w:ind w:left="240"/>
              <w:spacing w:after="0" w:line="121" w:lineRule="exact"/>
              <w:rPr>
                <w:rFonts w:ascii="Arial" w:cs="Arial" w:eastAsia="Arial" w:hAnsi="Arial"/>
                <w:sz w:val="12"/>
                <w:szCs w:val="12"/>
                <w:color w:val="005A64"/>
              </w:rPr>
            </w:pPr>
            <w:hyperlink r:id="rId345">
              <w:r>
                <w:rPr>
                  <w:rFonts w:ascii="Arial" w:cs="Arial" w:eastAsia="Arial" w:hAnsi="Arial"/>
                  <w:sz w:val="12"/>
                  <w:szCs w:val="12"/>
                  <w:color w:val="005A64"/>
                </w:rPr>
                <w:t>10.19 to the Registrant’s Registration Statement on Form F-1 (File No. 333-233688), filed with the SEC on</w:t>
              </w:r>
            </w:hyperlink>
          </w:p>
        </w:tc>
      </w:tr>
      <w:tr>
        <w:trPr>
          <w:trHeight w:val="160"/>
        </w:trPr>
        <w:tc>
          <w:tcPr>
            <w:tcW w:w="520" w:type="dxa"/>
            <w:vAlign w:val="bottom"/>
          </w:tcPr>
          <w:p>
            <w:pPr>
              <w:spacing w:after="0"/>
              <w:rPr>
                <w:sz w:val="13"/>
                <w:szCs w:val="13"/>
                <w:color w:val="auto"/>
              </w:rPr>
            </w:pPr>
          </w:p>
        </w:tc>
        <w:tc>
          <w:tcPr>
            <w:tcW w:w="6080" w:type="dxa"/>
            <w:vAlign w:val="bottom"/>
          </w:tcPr>
          <w:p>
            <w:pPr>
              <w:ind w:left="240"/>
              <w:spacing w:after="0"/>
              <w:rPr>
                <w:rFonts w:ascii="Arial" w:cs="Arial" w:eastAsia="Arial" w:hAnsi="Arial"/>
                <w:sz w:val="12"/>
                <w:szCs w:val="12"/>
                <w:color w:val="005A64"/>
              </w:rPr>
            </w:pPr>
            <w:hyperlink r:id="rId345">
              <w:r>
                <w:rPr>
                  <w:rFonts w:ascii="Arial" w:cs="Arial" w:eastAsia="Arial" w:hAnsi="Arial"/>
                  <w:sz w:val="12"/>
                  <w:szCs w:val="12"/>
                  <w:color w:val="005A64"/>
                </w:rPr>
                <w:t>September 9, 2019)</w:t>
              </w:r>
            </w:hyperlink>
          </w:p>
        </w:tc>
      </w:tr>
      <w:tr>
        <w:trPr>
          <w:trHeight w:val="204"/>
        </w:trPr>
        <w:tc>
          <w:tcPr>
            <w:tcW w:w="520" w:type="dxa"/>
            <w:vAlign w:val="bottom"/>
          </w:tcPr>
          <w:p>
            <w:pPr>
              <w:spacing w:after="0"/>
              <w:rPr>
                <w:sz w:val="20"/>
                <w:szCs w:val="20"/>
                <w:color w:val="auto"/>
              </w:rPr>
            </w:pPr>
            <w:r>
              <w:rPr>
                <w:rFonts w:ascii="Arial" w:cs="Arial" w:eastAsia="Arial" w:hAnsi="Arial"/>
                <w:sz w:val="12"/>
                <w:szCs w:val="12"/>
                <w:color w:val="005A64"/>
              </w:rPr>
              <w:t>4.18†</w:t>
            </w:r>
          </w:p>
        </w:tc>
        <w:tc>
          <w:tcPr>
            <w:tcW w:w="6080" w:type="dxa"/>
            <w:vAlign w:val="bottom"/>
          </w:tcPr>
          <w:p>
            <w:pPr>
              <w:ind w:left="240"/>
              <w:spacing w:after="0"/>
              <w:rPr>
                <w:rFonts w:ascii="Arial" w:cs="Arial" w:eastAsia="Arial" w:hAnsi="Arial"/>
                <w:sz w:val="12"/>
                <w:szCs w:val="12"/>
                <w:color w:val="005A64"/>
              </w:rPr>
            </w:pPr>
            <w:hyperlink r:id="rId346">
              <w:r>
                <w:rPr>
                  <w:rFonts w:ascii="Arial" w:cs="Arial" w:eastAsia="Arial" w:hAnsi="Arial"/>
                  <w:sz w:val="12"/>
                  <w:szCs w:val="12"/>
                  <w:color w:val="005A64"/>
                </w:rPr>
                <w:t>Lease Agreement by and among the Registrant and Wolfram Richter, dated August 17, 2011 (incorporated</w:t>
              </w:r>
            </w:hyperlink>
          </w:p>
        </w:tc>
      </w:tr>
      <w:tr>
        <w:trPr>
          <w:trHeight w:val="121"/>
        </w:trPr>
        <w:tc>
          <w:tcPr>
            <w:tcW w:w="520" w:type="dxa"/>
            <w:vAlign w:val="bottom"/>
          </w:tcPr>
          <w:p>
            <w:pPr>
              <w:spacing w:after="0"/>
              <w:rPr>
                <w:sz w:val="10"/>
                <w:szCs w:val="10"/>
                <w:color w:val="auto"/>
              </w:rPr>
            </w:pPr>
          </w:p>
        </w:tc>
        <w:tc>
          <w:tcPr>
            <w:tcW w:w="6080" w:type="dxa"/>
            <w:vAlign w:val="bottom"/>
          </w:tcPr>
          <w:p>
            <w:pPr>
              <w:ind w:left="240"/>
              <w:spacing w:after="0" w:line="121" w:lineRule="exact"/>
              <w:rPr>
                <w:rFonts w:ascii="Arial" w:cs="Arial" w:eastAsia="Arial" w:hAnsi="Arial"/>
                <w:sz w:val="12"/>
                <w:szCs w:val="12"/>
                <w:color w:val="005A64"/>
              </w:rPr>
            </w:pPr>
            <w:hyperlink r:id="rId346">
              <w:r>
                <w:rPr>
                  <w:rFonts w:ascii="Arial" w:cs="Arial" w:eastAsia="Arial" w:hAnsi="Arial"/>
                  <w:sz w:val="12"/>
                  <w:szCs w:val="12"/>
                  <w:color w:val="005A64"/>
                </w:rPr>
                <w:t>herein by reference to Exhibit 10.25 to the Registrant’s Registration Statement on Form F-1 (File No.</w:t>
              </w:r>
            </w:hyperlink>
          </w:p>
        </w:tc>
      </w:tr>
      <w:tr>
        <w:trPr>
          <w:trHeight w:val="160"/>
        </w:trPr>
        <w:tc>
          <w:tcPr>
            <w:tcW w:w="520" w:type="dxa"/>
            <w:vAlign w:val="bottom"/>
          </w:tcPr>
          <w:p>
            <w:pPr>
              <w:spacing w:after="0"/>
              <w:rPr>
                <w:sz w:val="13"/>
                <w:szCs w:val="13"/>
                <w:color w:val="auto"/>
              </w:rPr>
            </w:pPr>
          </w:p>
        </w:tc>
        <w:tc>
          <w:tcPr>
            <w:tcW w:w="6080" w:type="dxa"/>
            <w:vAlign w:val="bottom"/>
          </w:tcPr>
          <w:p>
            <w:pPr>
              <w:ind w:left="240"/>
              <w:spacing w:after="0"/>
              <w:rPr>
                <w:rFonts w:ascii="Arial" w:cs="Arial" w:eastAsia="Arial" w:hAnsi="Arial"/>
                <w:sz w:val="12"/>
                <w:szCs w:val="12"/>
                <w:color w:val="005A64"/>
              </w:rPr>
            </w:pPr>
            <w:hyperlink r:id="rId346">
              <w:r>
                <w:rPr>
                  <w:rFonts w:ascii="Arial" w:cs="Arial" w:eastAsia="Arial" w:hAnsi="Arial"/>
                  <w:sz w:val="12"/>
                  <w:szCs w:val="12"/>
                  <w:color w:val="005A64"/>
                </w:rPr>
                <w:t>333-233688), filed with the SEC on September 9, 2019)</w:t>
              </w:r>
            </w:hyperlink>
          </w:p>
        </w:tc>
      </w:tr>
      <w:tr>
        <w:trPr>
          <w:trHeight w:val="194"/>
        </w:trPr>
        <w:tc>
          <w:tcPr>
            <w:tcW w:w="520" w:type="dxa"/>
            <w:vAlign w:val="bottom"/>
          </w:tcPr>
          <w:p>
            <w:pPr>
              <w:spacing w:after="0"/>
              <w:rPr>
                <w:sz w:val="20"/>
                <w:szCs w:val="20"/>
                <w:color w:val="auto"/>
              </w:rPr>
            </w:pPr>
            <w:r>
              <w:rPr>
                <w:rFonts w:ascii="Arial" w:cs="Arial" w:eastAsia="Arial" w:hAnsi="Arial"/>
                <w:sz w:val="12"/>
                <w:szCs w:val="12"/>
                <w:color w:val="005A64"/>
              </w:rPr>
              <w:t>4.19†</w:t>
            </w:r>
          </w:p>
        </w:tc>
        <w:tc>
          <w:tcPr>
            <w:tcW w:w="6080" w:type="dxa"/>
            <w:vAlign w:val="bottom"/>
          </w:tcPr>
          <w:p>
            <w:pPr>
              <w:ind w:left="240"/>
              <w:spacing w:after="0"/>
              <w:rPr>
                <w:rFonts w:ascii="Arial" w:cs="Arial" w:eastAsia="Arial" w:hAnsi="Arial"/>
                <w:sz w:val="12"/>
                <w:szCs w:val="12"/>
                <w:color w:val="005A64"/>
              </w:rPr>
            </w:pPr>
            <w:hyperlink r:id="rId347">
              <w:r>
                <w:rPr>
                  <w:rFonts w:ascii="Arial" w:cs="Arial" w:eastAsia="Arial" w:hAnsi="Arial"/>
                  <w:sz w:val="12"/>
                  <w:szCs w:val="12"/>
                  <w:color w:val="005A64"/>
                </w:rPr>
                <w:t>Amendment No. 1 to Lease Agreement by and among the Registrant and Wolfram Richter, dated February</w:t>
              </w:r>
            </w:hyperlink>
          </w:p>
        </w:tc>
      </w:tr>
      <w:tr>
        <w:trPr>
          <w:trHeight w:val="121"/>
        </w:trPr>
        <w:tc>
          <w:tcPr>
            <w:tcW w:w="520" w:type="dxa"/>
            <w:vAlign w:val="bottom"/>
          </w:tcPr>
          <w:p>
            <w:pPr>
              <w:spacing w:after="0"/>
              <w:rPr>
                <w:sz w:val="10"/>
                <w:szCs w:val="10"/>
                <w:color w:val="auto"/>
              </w:rPr>
            </w:pPr>
          </w:p>
        </w:tc>
        <w:tc>
          <w:tcPr>
            <w:tcW w:w="6080" w:type="dxa"/>
            <w:vAlign w:val="bottom"/>
          </w:tcPr>
          <w:p>
            <w:pPr>
              <w:ind w:left="240"/>
              <w:spacing w:after="0" w:line="121" w:lineRule="exact"/>
              <w:rPr>
                <w:rFonts w:ascii="Arial" w:cs="Arial" w:eastAsia="Arial" w:hAnsi="Arial"/>
                <w:sz w:val="12"/>
                <w:szCs w:val="12"/>
                <w:color w:val="005A64"/>
              </w:rPr>
            </w:pPr>
            <w:hyperlink r:id="rId347">
              <w:r>
                <w:rPr>
                  <w:rFonts w:ascii="Arial" w:cs="Arial" w:eastAsia="Arial" w:hAnsi="Arial"/>
                  <w:sz w:val="12"/>
                  <w:szCs w:val="12"/>
                  <w:color w:val="005A64"/>
                </w:rPr>
                <w:t>17, 2012 (incorporated herein by reference to Exhibit 10.26 to the Registrant’s Registration Statement on</w:t>
              </w:r>
            </w:hyperlink>
          </w:p>
        </w:tc>
      </w:tr>
      <w:tr>
        <w:trPr>
          <w:trHeight w:val="160"/>
        </w:trPr>
        <w:tc>
          <w:tcPr>
            <w:tcW w:w="520" w:type="dxa"/>
            <w:vAlign w:val="bottom"/>
          </w:tcPr>
          <w:p>
            <w:pPr>
              <w:spacing w:after="0"/>
              <w:rPr>
                <w:sz w:val="13"/>
                <w:szCs w:val="13"/>
                <w:color w:val="auto"/>
              </w:rPr>
            </w:pPr>
          </w:p>
        </w:tc>
        <w:tc>
          <w:tcPr>
            <w:tcW w:w="6080" w:type="dxa"/>
            <w:vAlign w:val="bottom"/>
          </w:tcPr>
          <w:p>
            <w:pPr>
              <w:ind w:left="240"/>
              <w:spacing w:after="0"/>
              <w:rPr>
                <w:rFonts w:ascii="Arial" w:cs="Arial" w:eastAsia="Arial" w:hAnsi="Arial"/>
                <w:sz w:val="12"/>
                <w:szCs w:val="12"/>
                <w:color w:val="005A64"/>
              </w:rPr>
            </w:pPr>
            <w:hyperlink r:id="rId347">
              <w:r>
                <w:rPr>
                  <w:rFonts w:ascii="Arial" w:cs="Arial" w:eastAsia="Arial" w:hAnsi="Arial"/>
                  <w:sz w:val="12"/>
                  <w:szCs w:val="12"/>
                  <w:color w:val="005A64"/>
                </w:rPr>
                <w:t>Form F-1 (File No. 333-233688), filed with the SEC on September 9, 2019)</w:t>
              </w:r>
            </w:hyperlink>
          </w:p>
        </w:tc>
      </w:tr>
      <w:tr>
        <w:trPr>
          <w:trHeight w:val="194"/>
        </w:trPr>
        <w:tc>
          <w:tcPr>
            <w:tcW w:w="520" w:type="dxa"/>
            <w:vAlign w:val="bottom"/>
          </w:tcPr>
          <w:p>
            <w:pPr>
              <w:spacing w:after="0"/>
              <w:rPr>
                <w:sz w:val="20"/>
                <w:szCs w:val="20"/>
                <w:color w:val="auto"/>
              </w:rPr>
            </w:pPr>
            <w:r>
              <w:rPr>
                <w:rFonts w:ascii="Arial" w:cs="Arial" w:eastAsia="Arial" w:hAnsi="Arial"/>
                <w:sz w:val="12"/>
                <w:szCs w:val="12"/>
                <w:color w:val="005A64"/>
              </w:rPr>
              <w:t>4.20†</w:t>
            </w:r>
          </w:p>
        </w:tc>
        <w:tc>
          <w:tcPr>
            <w:tcW w:w="6080" w:type="dxa"/>
            <w:vAlign w:val="bottom"/>
          </w:tcPr>
          <w:p>
            <w:pPr>
              <w:ind w:left="240"/>
              <w:spacing w:after="0"/>
              <w:rPr>
                <w:rFonts w:ascii="Arial" w:cs="Arial" w:eastAsia="Arial" w:hAnsi="Arial"/>
                <w:sz w:val="12"/>
                <w:szCs w:val="12"/>
                <w:color w:val="005A64"/>
              </w:rPr>
            </w:pPr>
            <w:hyperlink r:id="rId348">
              <w:r>
                <w:rPr>
                  <w:rFonts w:ascii="Arial" w:cs="Arial" w:eastAsia="Arial" w:hAnsi="Arial"/>
                  <w:sz w:val="12"/>
                  <w:szCs w:val="12"/>
                  <w:color w:val="005A64"/>
                </w:rPr>
                <w:t>Amendment No. 2 to Lease Agreement by and among the Registrant and Wolfram Richter, dated February 1,</w:t>
              </w:r>
            </w:hyperlink>
          </w:p>
        </w:tc>
      </w:tr>
      <w:tr>
        <w:trPr>
          <w:trHeight w:val="121"/>
        </w:trPr>
        <w:tc>
          <w:tcPr>
            <w:tcW w:w="520" w:type="dxa"/>
            <w:vAlign w:val="bottom"/>
          </w:tcPr>
          <w:p>
            <w:pPr>
              <w:spacing w:after="0"/>
              <w:rPr>
                <w:sz w:val="10"/>
                <w:szCs w:val="10"/>
                <w:color w:val="auto"/>
              </w:rPr>
            </w:pPr>
          </w:p>
        </w:tc>
        <w:tc>
          <w:tcPr>
            <w:tcW w:w="6080" w:type="dxa"/>
            <w:vAlign w:val="bottom"/>
          </w:tcPr>
          <w:p>
            <w:pPr>
              <w:ind w:left="240"/>
              <w:spacing w:after="0" w:line="121" w:lineRule="exact"/>
              <w:rPr>
                <w:rFonts w:ascii="Arial" w:cs="Arial" w:eastAsia="Arial" w:hAnsi="Arial"/>
                <w:sz w:val="12"/>
                <w:szCs w:val="12"/>
                <w:color w:val="005A64"/>
              </w:rPr>
            </w:pPr>
            <w:hyperlink r:id="rId348">
              <w:r>
                <w:rPr>
                  <w:rFonts w:ascii="Arial" w:cs="Arial" w:eastAsia="Arial" w:hAnsi="Arial"/>
                  <w:sz w:val="12"/>
                  <w:szCs w:val="12"/>
                  <w:color w:val="005A64"/>
                </w:rPr>
                <w:t>2013 (incorporated herein by reference to Exhibit 10.27 to the Registrant’s Registration Statement on Form</w:t>
              </w:r>
            </w:hyperlink>
          </w:p>
        </w:tc>
      </w:tr>
      <w:tr>
        <w:trPr>
          <w:trHeight w:val="160"/>
        </w:trPr>
        <w:tc>
          <w:tcPr>
            <w:tcW w:w="520" w:type="dxa"/>
            <w:vAlign w:val="bottom"/>
          </w:tcPr>
          <w:p>
            <w:pPr>
              <w:spacing w:after="0"/>
              <w:rPr>
                <w:sz w:val="13"/>
                <w:szCs w:val="13"/>
                <w:color w:val="auto"/>
              </w:rPr>
            </w:pPr>
          </w:p>
        </w:tc>
        <w:tc>
          <w:tcPr>
            <w:tcW w:w="6080" w:type="dxa"/>
            <w:vAlign w:val="bottom"/>
          </w:tcPr>
          <w:p>
            <w:pPr>
              <w:ind w:left="240"/>
              <w:spacing w:after="0"/>
              <w:rPr>
                <w:rFonts w:ascii="Arial" w:cs="Arial" w:eastAsia="Arial" w:hAnsi="Arial"/>
                <w:sz w:val="12"/>
                <w:szCs w:val="12"/>
                <w:color w:val="005A64"/>
              </w:rPr>
            </w:pPr>
            <w:hyperlink r:id="rId348">
              <w:r>
                <w:rPr>
                  <w:rFonts w:ascii="Arial" w:cs="Arial" w:eastAsia="Arial" w:hAnsi="Arial"/>
                  <w:sz w:val="12"/>
                  <w:szCs w:val="12"/>
                  <w:color w:val="005A64"/>
                </w:rPr>
                <w:t>F-1 (File No. 333-233688), filed with the SEC on September 9, 2019)</w:t>
              </w:r>
            </w:hyperlink>
          </w:p>
        </w:tc>
      </w:tr>
      <w:tr>
        <w:trPr>
          <w:trHeight w:val="194"/>
        </w:trPr>
        <w:tc>
          <w:tcPr>
            <w:tcW w:w="520" w:type="dxa"/>
            <w:vAlign w:val="bottom"/>
          </w:tcPr>
          <w:p>
            <w:pPr>
              <w:spacing w:after="0"/>
              <w:rPr>
                <w:sz w:val="20"/>
                <w:szCs w:val="20"/>
                <w:color w:val="auto"/>
              </w:rPr>
            </w:pPr>
            <w:r>
              <w:rPr>
                <w:rFonts w:ascii="Arial" w:cs="Arial" w:eastAsia="Arial" w:hAnsi="Arial"/>
                <w:sz w:val="12"/>
                <w:szCs w:val="12"/>
                <w:color w:val="005A64"/>
              </w:rPr>
              <w:t>4.21†</w:t>
            </w:r>
          </w:p>
        </w:tc>
        <w:tc>
          <w:tcPr>
            <w:tcW w:w="6080" w:type="dxa"/>
            <w:vAlign w:val="bottom"/>
          </w:tcPr>
          <w:p>
            <w:pPr>
              <w:ind w:left="240"/>
              <w:spacing w:after="0"/>
              <w:rPr>
                <w:rFonts w:ascii="Arial" w:cs="Arial" w:eastAsia="Arial" w:hAnsi="Arial"/>
                <w:sz w:val="12"/>
                <w:szCs w:val="12"/>
                <w:color w:val="005A64"/>
              </w:rPr>
            </w:pPr>
            <w:hyperlink r:id="rId349">
              <w:r>
                <w:rPr>
                  <w:rFonts w:ascii="Arial" w:cs="Arial" w:eastAsia="Arial" w:hAnsi="Arial"/>
                  <w:sz w:val="12"/>
                  <w:szCs w:val="12"/>
                  <w:color w:val="005A64"/>
                </w:rPr>
                <w:t>Amendment No. 3 to Lease Agreement by and among the Registrant and Wolfram Richter, dated March 6,</w:t>
              </w:r>
            </w:hyperlink>
          </w:p>
        </w:tc>
      </w:tr>
      <w:tr>
        <w:trPr>
          <w:trHeight w:val="121"/>
        </w:trPr>
        <w:tc>
          <w:tcPr>
            <w:tcW w:w="520" w:type="dxa"/>
            <w:vAlign w:val="bottom"/>
          </w:tcPr>
          <w:p>
            <w:pPr>
              <w:spacing w:after="0"/>
              <w:rPr>
                <w:sz w:val="10"/>
                <w:szCs w:val="10"/>
                <w:color w:val="auto"/>
              </w:rPr>
            </w:pPr>
          </w:p>
        </w:tc>
        <w:tc>
          <w:tcPr>
            <w:tcW w:w="6080" w:type="dxa"/>
            <w:vAlign w:val="bottom"/>
          </w:tcPr>
          <w:p>
            <w:pPr>
              <w:ind w:left="240"/>
              <w:spacing w:after="0" w:line="121" w:lineRule="exact"/>
              <w:rPr>
                <w:rFonts w:ascii="Arial" w:cs="Arial" w:eastAsia="Arial" w:hAnsi="Arial"/>
                <w:sz w:val="12"/>
                <w:szCs w:val="12"/>
                <w:color w:val="005A64"/>
              </w:rPr>
            </w:pPr>
            <w:hyperlink r:id="rId349">
              <w:r>
                <w:rPr>
                  <w:rFonts w:ascii="Arial" w:cs="Arial" w:eastAsia="Arial" w:hAnsi="Arial"/>
                  <w:sz w:val="12"/>
                  <w:szCs w:val="12"/>
                  <w:color w:val="005A64"/>
                </w:rPr>
                <w:t>2013 (incorporated herein by reference to Exhibit 10.28 to the Registrant’s Registration Statement on Form</w:t>
              </w:r>
            </w:hyperlink>
          </w:p>
        </w:tc>
      </w:tr>
      <w:tr>
        <w:trPr>
          <w:trHeight w:val="160"/>
        </w:trPr>
        <w:tc>
          <w:tcPr>
            <w:tcW w:w="520" w:type="dxa"/>
            <w:vAlign w:val="bottom"/>
          </w:tcPr>
          <w:p>
            <w:pPr>
              <w:spacing w:after="0"/>
              <w:rPr>
                <w:sz w:val="13"/>
                <w:szCs w:val="13"/>
                <w:color w:val="auto"/>
              </w:rPr>
            </w:pPr>
          </w:p>
        </w:tc>
        <w:tc>
          <w:tcPr>
            <w:tcW w:w="6080" w:type="dxa"/>
            <w:vAlign w:val="bottom"/>
          </w:tcPr>
          <w:p>
            <w:pPr>
              <w:ind w:left="240"/>
              <w:spacing w:after="0"/>
              <w:rPr>
                <w:rFonts w:ascii="Arial" w:cs="Arial" w:eastAsia="Arial" w:hAnsi="Arial"/>
                <w:sz w:val="12"/>
                <w:szCs w:val="12"/>
                <w:color w:val="005A64"/>
              </w:rPr>
            </w:pPr>
            <w:hyperlink r:id="rId349">
              <w:r>
                <w:rPr>
                  <w:rFonts w:ascii="Arial" w:cs="Arial" w:eastAsia="Arial" w:hAnsi="Arial"/>
                  <w:sz w:val="12"/>
                  <w:szCs w:val="12"/>
                  <w:color w:val="005A64"/>
                </w:rPr>
                <w:t>F-1 (File No. 333-233688), filed with the SEC on September 9, 2019)</w:t>
              </w:r>
            </w:hyperlink>
          </w:p>
        </w:tc>
      </w:tr>
      <w:tr>
        <w:trPr>
          <w:trHeight w:val="194"/>
        </w:trPr>
        <w:tc>
          <w:tcPr>
            <w:tcW w:w="520" w:type="dxa"/>
            <w:vAlign w:val="bottom"/>
          </w:tcPr>
          <w:p>
            <w:pPr>
              <w:spacing w:after="0"/>
              <w:rPr>
                <w:sz w:val="20"/>
                <w:szCs w:val="20"/>
                <w:color w:val="auto"/>
              </w:rPr>
            </w:pPr>
            <w:r>
              <w:rPr>
                <w:rFonts w:ascii="Arial" w:cs="Arial" w:eastAsia="Arial" w:hAnsi="Arial"/>
                <w:sz w:val="12"/>
                <w:szCs w:val="12"/>
                <w:color w:val="005A64"/>
              </w:rPr>
              <w:t>4.22†</w:t>
            </w:r>
          </w:p>
        </w:tc>
        <w:tc>
          <w:tcPr>
            <w:tcW w:w="6080" w:type="dxa"/>
            <w:vAlign w:val="bottom"/>
          </w:tcPr>
          <w:p>
            <w:pPr>
              <w:ind w:left="240"/>
              <w:spacing w:after="0"/>
              <w:rPr>
                <w:rFonts w:ascii="Arial" w:cs="Arial" w:eastAsia="Arial" w:hAnsi="Arial"/>
                <w:sz w:val="12"/>
                <w:szCs w:val="12"/>
                <w:color w:val="005A64"/>
              </w:rPr>
            </w:pPr>
            <w:hyperlink r:id="rId350">
              <w:r>
                <w:rPr>
                  <w:rFonts w:ascii="Arial" w:cs="Arial" w:eastAsia="Arial" w:hAnsi="Arial"/>
                  <w:sz w:val="12"/>
                  <w:szCs w:val="12"/>
                  <w:color w:val="005A64"/>
                </w:rPr>
                <w:t>Amendment No. 4 to Lease Agreement by and among the Registrant and Wolfram Richter, dated December</w:t>
              </w:r>
            </w:hyperlink>
          </w:p>
        </w:tc>
      </w:tr>
      <w:tr>
        <w:trPr>
          <w:trHeight w:val="121"/>
        </w:trPr>
        <w:tc>
          <w:tcPr>
            <w:tcW w:w="520" w:type="dxa"/>
            <w:vAlign w:val="bottom"/>
          </w:tcPr>
          <w:p>
            <w:pPr>
              <w:spacing w:after="0"/>
              <w:rPr>
                <w:sz w:val="10"/>
                <w:szCs w:val="10"/>
                <w:color w:val="auto"/>
              </w:rPr>
            </w:pPr>
          </w:p>
        </w:tc>
        <w:tc>
          <w:tcPr>
            <w:tcW w:w="6080" w:type="dxa"/>
            <w:vAlign w:val="bottom"/>
          </w:tcPr>
          <w:p>
            <w:pPr>
              <w:ind w:left="240"/>
              <w:spacing w:after="0" w:line="121" w:lineRule="exact"/>
              <w:rPr>
                <w:rFonts w:ascii="Arial" w:cs="Arial" w:eastAsia="Arial" w:hAnsi="Arial"/>
                <w:sz w:val="12"/>
                <w:szCs w:val="12"/>
                <w:color w:val="005A64"/>
              </w:rPr>
            </w:pPr>
            <w:hyperlink r:id="rId350">
              <w:r>
                <w:rPr>
                  <w:rFonts w:ascii="Arial" w:cs="Arial" w:eastAsia="Arial" w:hAnsi="Arial"/>
                  <w:sz w:val="12"/>
                  <w:szCs w:val="12"/>
                  <w:color w:val="005A64"/>
                </w:rPr>
                <w:t>10, 2013 (incorporated herein by reference to Exhibit 10.29 to the Registrant’s Registration Statement on</w:t>
              </w:r>
            </w:hyperlink>
          </w:p>
        </w:tc>
      </w:tr>
      <w:tr>
        <w:trPr>
          <w:trHeight w:val="160"/>
        </w:trPr>
        <w:tc>
          <w:tcPr>
            <w:tcW w:w="520" w:type="dxa"/>
            <w:vAlign w:val="bottom"/>
          </w:tcPr>
          <w:p>
            <w:pPr>
              <w:spacing w:after="0"/>
              <w:rPr>
                <w:sz w:val="13"/>
                <w:szCs w:val="13"/>
                <w:color w:val="auto"/>
              </w:rPr>
            </w:pPr>
          </w:p>
        </w:tc>
        <w:tc>
          <w:tcPr>
            <w:tcW w:w="6080" w:type="dxa"/>
            <w:vAlign w:val="bottom"/>
          </w:tcPr>
          <w:p>
            <w:pPr>
              <w:ind w:left="240"/>
              <w:spacing w:after="0"/>
              <w:rPr>
                <w:rFonts w:ascii="Arial" w:cs="Arial" w:eastAsia="Arial" w:hAnsi="Arial"/>
                <w:sz w:val="12"/>
                <w:szCs w:val="12"/>
                <w:color w:val="005A64"/>
              </w:rPr>
            </w:pPr>
            <w:hyperlink r:id="rId350">
              <w:r>
                <w:rPr>
                  <w:rFonts w:ascii="Arial" w:cs="Arial" w:eastAsia="Arial" w:hAnsi="Arial"/>
                  <w:sz w:val="12"/>
                  <w:szCs w:val="12"/>
                  <w:color w:val="005A64"/>
                </w:rPr>
                <w:t>Form F-1 (File No. 333-233688), filed with the SEC on September 9, 2019)</w:t>
              </w:r>
            </w:hyperlink>
          </w:p>
        </w:tc>
      </w:tr>
      <w:tr>
        <w:trPr>
          <w:trHeight w:val="194"/>
        </w:trPr>
        <w:tc>
          <w:tcPr>
            <w:tcW w:w="520" w:type="dxa"/>
            <w:vAlign w:val="bottom"/>
          </w:tcPr>
          <w:p>
            <w:pPr>
              <w:spacing w:after="0"/>
              <w:rPr>
                <w:sz w:val="20"/>
                <w:szCs w:val="20"/>
                <w:color w:val="auto"/>
              </w:rPr>
            </w:pPr>
            <w:r>
              <w:rPr>
                <w:rFonts w:ascii="Arial" w:cs="Arial" w:eastAsia="Arial" w:hAnsi="Arial"/>
                <w:sz w:val="12"/>
                <w:szCs w:val="12"/>
                <w:color w:val="005A64"/>
              </w:rPr>
              <w:t>4.23†</w:t>
            </w:r>
          </w:p>
        </w:tc>
        <w:tc>
          <w:tcPr>
            <w:tcW w:w="6080" w:type="dxa"/>
            <w:vAlign w:val="bottom"/>
          </w:tcPr>
          <w:p>
            <w:pPr>
              <w:ind w:left="240"/>
              <w:spacing w:after="0"/>
              <w:rPr>
                <w:rFonts w:ascii="Arial" w:cs="Arial" w:eastAsia="Arial" w:hAnsi="Arial"/>
                <w:sz w:val="12"/>
                <w:szCs w:val="12"/>
                <w:color w:val="005A64"/>
              </w:rPr>
            </w:pPr>
            <w:hyperlink r:id="rId351">
              <w:r>
                <w:rPr>
                  <w:rFonts w:ascii="Arial" w:cs="Arial" w:eastAsia="Arial" w:hAnsi="Arial"/>
                  <w:sz w:val="12"/>
                  <w:szCs w:val="12"/>
                  <w:color w:val="005A64"/>
                </w:rPr>
                <w:t>Amendment No. 5 to Lease Agreement by and among the Registrant and Wolfram Richter, dated March 29,</w:t>
              </w:r>
            </w:hyperlink>
          </w:p>
        </w:tc>
      </w:tr>
      <w:tr>
        <w:trPr>
          <w:trHeight w:val="121"/>
        </w:trPr>
        <w:tc>
          <w:tcPr>
            <w:tcW w:w="520" w:type="dxa"/>
            <w:vAlign w:val="bottom"/>
          </w:tcPr>
          <w:p>
            <w:pPr>
              <w:spacing w:after="0"/>
              <w:rPr>
                <w:sz w:val="10"/>
                <w:szCs w:val="10"/>
                <w:color w:val="auto"/>
              </w:rPr>
            </w:pPr>
          </w:p>
        </w:tc>
        <w:tc>
          <w:tcPr>
            <w:tcW w:w="6080" w:type="dxa"/>
            <w:vAlign w:val="bottom"/>
          </w:tcPr>
          <w:p>
            <w:pPr>
              <w:ind w:left="240"/>
              <w:spacing w:after="0" w:line="121" w:lineRule="exact"/>
              <w:rPr>
                <w:rFonts w:ascii="Arial" w:cs="Arial" w:eastAsia="Arial" w:hAnsi="Arial"/>
                <w:sz w:val="12"/>
                <w:szCs w:val="12"/>
                <w:color w:val="005A64"/>
              </w:rPr>
            </w:pPr>
            <w:hyperlink r:id="rId351">
              <w:r>
                <w:rPr>
                  <w:rFonts w:ascii="Arial" w:cs="Arial" w:eastAsia="Arial" w:hAnsi="Arial"/>
                  <w:sz w:val="12"/>
                  <w:szCs w:val="12"/>
                  <w:color w:val="005A64"/>
                </w:rPr>
                <w:t>2016 (incorporated herein by reference to Exhibit 10.30 to the Registrant’s Registration Statement on Form</w:t>
              </w:r>
            </w:hyperlink>
          </w:p>
        </w:tc>
      </w:tr>
      <w:tr>
        <w:trPr>
          <w:trHeight w:val="160"/>
        </w:trPr>
        <w:tc>
          <w:tcPr>
            <w:tcW w:w="520" w:type="dxa"/>
            <w:vAlign w:val="bottom"/>
          </w:tcPr>
          <w:p>
            <w:pPr>
              <w:spacing w:after="0"/>
              <w:rPr>
                <w:sz w:val="13"/>
                <w:szCs w:val="13"/>
                <w:color w:val="auto"/>
              </w:rPr>
            </w:pPr>
          </w:p>
        </w:tc>
        <w:tc>
          <w:tcPr>
            <w:tcW w:w="6080" w:type="dxa"/>
            <w:vAlign w:val="bottom"/>
          </w:tcPr>
          <w:p>
            <w:pPr>
              <w:ind w:left="240"/>
              <w:spacing w:after="0"/>
              <w:rPr>
                <w:rFonts w:ascii="Arial" w:cs="Arial" w:eastAsia="Arial" w:hAnsi="Arial"/>
                <w:sz w:val="12"/>
                <w:szCs w:val="12"/>
                <w:color w:val="005A64"/>
              </w:rPr>
            </w:pPr>
            <w:hyperlink r:id="rId351">
              <w:r>
                <w:rPr>
                  <w:rFonts w:ascii="Arial" w:cs="Arial" w:eastAsia="Arial" w:hAnsi="Arial"/>
                  <w:sz w:val="12"/>
                  <w:szCs w:val="12"/>
                  <w:color w:val="005A64"/>
                </w:rPr>
                <w:t>F-1 (File No. 333-233688), filed with the SEC on September 9, 2019)</w:t>
              </w:r>
            </w:hyperlink>
          </w:p>
        </w:tc>
      </w:tr>
      <w:tr>
        <w:trPr>
          <w:trHeight w:val="194"/>
        </w:trPr>
        <w:tc>
          <w:tcPr>
            <w:tcW w:w="520" w:type="dxa"/>
            <w:vAlign w:val="bottom"/>
          </w:tcPr>
          <w:p>
            <w:pPr>
              <w:spacing w:after="0"/>
              <w:rPr>
                <w:sz w:val="20"/>
                <w:szCs w:val="20"/>
                <w:color w:val="auto"/>
              </w:rPr>
            </w:pPr>
            <w:r>
              <w:rPr>
                <w:rFonts w:ascii="Arial" w:cs="Arial" w:eastAsia="Arial" w:hAnsi="Arial"/>
                <w:sz w:val="12"/>
                <w:szCs w:val="12"/>
                <w:color w:val="005A64"/>
              </w:rPr>
              <w:t>4.24†</w:t>
            </w:r>
          </w:p>
        </w:tc>
        <w:tc>
          <w:tcPr>
            <w:tcW w:w="6080" w:type="dxa"/>
            <w:vAlign w:val="bottom"/>
          </w:tcPr>
          <w:p>
            <w:pPr>
              <w:ind w:left="240"/>
              <w:spacing w:after="0"/>
              <w:rPr>
                <w:rFonts w:ascii="Arial" w:cs="Arial" w:eastAsia="Arial" w:hAnsi="Arial"/>
                <w:sz w:val="12"/>
                <w:szCs w:val="12"/>
                <w:color w:val="005A64"/>
              </w:rPr>
            </w:pPr>
            <w:hyperlink r:id="rId352">
              <w:r>
                <w:rPr>
                  <w:rFonts w:ascii="Arial" w:cs="Arial" w:eastAsia="Arial" w:hAnsi="Arial"/>
                  <w:sz w:val="12"/>
                  <w:szCs w:val="12"/>
                  <w:color w:val="005A64"/>
                </w:rPr>
                <w:t>Amendment No. 6 to Lease Agreement by and among the Registrant and Wolfram Richter, dated October 6,</w:t>
              </w:r>
            </w:hyperlink>
          </w:p>
        </w:tc>
      </w:tr>
      <w:tr>
        <w:trPr>
          <w:trHeight w:val="121"/>
        </w:trPr>
        <w:tc>
          <w:tcPr>
            <w:tcW w:w="520" w:type="dxa"/>
            <w:vAlign w:val="bottom"/>
          </w:tcPr>
          <w:p>
            <w:pPr>
              <w:spacing w:after="0"/>
              <w:rPr>
                <w:sz w:val="10"/>
                <w:szCs w:val="10"/>
                <w:color w:val="auto"/>
              </w:rPr>
            </w:pPr>
          </w:p>
        </w:tc>
        <w:tc>
          <w:tcPr>
            <w:tcW w:w="6080" w:type="dxa"/>
            <w:vAlign w:val="bottom"/>
          </w:tcPr>
          <w:p>
            <w:pPr>
              <w:ind w:left="240"/>
              <w:spacing w:after="0" w:line="121" w:lineRule="exact"/>
              <w:rPr>
                <w:rFonts w:ascii="Arial" w:cs="Arial" w:eastAsia="Arial" w:hAnsi="Arial"/>
                <w:sz w:val="12"/>
                <w:szCs w:val="12"/>
                <w:color w:val="005A64"/>
              </w:rPr>
            </w:pPr>
            <w:hyperlink r:id="rId352">
              <w:r>
                <w:rPr>
                  <w:rFonts w:ascii="Arial" w:cs="Arial" w:eastAsia="Arial" w:hAnsi="Arial"/>
                  <w:sz w:val="12"/>
                  <w:szCs w:val="12"/>
                  <w:color w:val="005A64"/>
                </w:rPr>
                <w:t>2017 (incorporated herein by reference to Exhibit 10.31 to the Registrant’s Registration Statement on Form</w:t>
              </w:r>
            </w:hyperlink>
          </w:p>
        </w:tc>
      </w:tr>
      <w:tr>
        <w:trPr>
          <w:trHeight w:val="160"/>
        </w:trPr>
        <w:tc>
          <w:tcPr>
            <w:tcW w:w="520" w:type="dxa"/>
            <w:vAlign w:val="bottom"/>
          </w:tcPr>
          <w:p>
            <w:pPr>
              <w:spacing w:after="0"/>
              <w:rPr>
                <w:sz w:val="13"/>
                <w:szCs w:val="13"/>
                <w:color w:val="auto"/>
              </w:rPr>
            </w:pPr>
          </w:p>
        </w:tc>
        <w:tc>
          <w:tcPr>
            <w:tcW w:w="6080" w:type="dxa"/>
            <w:vAlign w:val="bottom"/>
          </w:tcPr>
          <w:p>
            <w:pPr>
              <w:ind w:left="240"/>
              <w:spacing w:after="0"/>
              <w:rPr>
                <w:rFonts w:ascii="Arial" w:cs="Arial" w:eastAsia="Arial" w:hAnsi="Arial"/>
                <w:sz w:val="12"/>
                <w:szCs w:val="12"/>
                <w:color w:val="005A64"/>
              </w:rPr>
            </w:pPr>
            <w:hyperlink r:id="rId352">
              <w:r>
                <w:rPr>
                  <w:rFonts w:ascii="Arial" w:cs="Arial" w:eastAsia="Arial" w:hAnsi="Arial"/>
                  <w:sz w:val="12"/>
                  <w:szCs w:val="12"/>
                  <w:color w:val="005A64"/>
                </w:rPr>
                <w:t>F-1 (File No. 333-233688), filed with the SEC on September 9, 2019)</w:t>
              </w:r>
            </w:hyperlink>
          </w:p>
        </w:tc>
      </w:tr>
      <w:tr>
        <w:trPr>
          <w:trHeight w:val="194"/>
        </w:trPr>
        <w:tc>
          <w:tcPr>
            <w:tcW w:w="520" w:type="dxa"/>
            <w:vAlign w:val="bottom"/>
          </w:tcPr>
          <w:p>
            <w:pPr>
              <w:spacing w:after="0"/>
              <w:rPr>
                <w:sz w:val="20"/>
                <w:szCs w:val="20"/>
                <w:color w:val="auto"/>
              </w:rPr>
            </w:pPr>
            <w:r>
              <w:rPr>
                <w:rFonts w:ascii="Arial" w:cs="Arial" w:eastAsia="Arial" w:hAnsi="Arial"/>
                <w:sz w:val="12"/>
                <w:szCs w:val="12"/>
                <w:color w:val="005A64"/>
              </w:rPr>
              <w:t>4.25†</w:t>
            </w:r>
          </w:p>
        </w:tc>
        <w:tc>
          <w:tcPr>
            <w:tcW w:w="6080" w:type="dxa"/>
            <w:vAlign w:val="bottom"/>
          </w:tcPr>
          <w:p>
            <w:pPr>
              <w:ind w:left="240"/>
              <w:spacing w:after="0"/>
              <w:rPr>
                <w:rFonts w:ascii="Arial" w:cs="Arial" w:eastAsia="Arial" w:hAnsi="Arial"/>
                <w:sz w:val="12"/>
                <w:szCs w:val="12"/>
                <w:color w:val="005A64"/>
              </w:rPr>
            </w:pPr>
            <w:hyperlink r:id="rId353">
              <w:r>
                <w:rPr>
                  <w:rFonts w:ascii="Arial" w:cs="Arial" w:eastAsia="Arial" w:hAnsi="Arial"/>
                  <w:sz w:val="12"/>
                  <w:szCs w:val="12"/>
                  <w:color w:val="005A64"/>
                </w:rPr>
                <w:t>Lease Agreement by and among the Registrant and Wista-Management GmbH, dated April 12, 2005</w:t>
              </w:r>
            </w:hyperlink>
          </w:p>
        </w:tc>
      </w:tr>
      <w:tr>
        <w:trPr>
          <w:trHeight w:val="121"/>
        </w:trPr>
        <w:tc>
          <w:tcPr>
            <w:tcW w:w="520" w:type="dxa"/>
            <w:vAlign w:val="bottom"/>
          </w:tcPr>
          <w:p>
            <w:pPr>
              <w:spacing w:after="0"/>
              <w:rPr>
                <w:sz w:val="10"/>
                <w:szCs w:val="10"/>
                <w:color w:val="auto"/>
              </w:rPr>
            </w:pPr>
          </w:p>
        </w:tc>
        <w:tc>
          <w:tcPr>
            <w:tcW w:w="6080" w:type="dxa"/>
            <w:vAlign w:val="bottom"/>
          </w:tcPr>
          <w:p>
            <w:pPr>
              <w:ind w:left="240"/>
              <w:spacing w:after="0" w:line="121" w:lineRule="exact"/>
              <w:rPr>
                <w:rFonts w:ascii="Arial" w:cs="Arial" w:eastAsia="Arial" w:hAnsi="Arial"/>
                <w:sz w:val="12"/>
                <w:szCs w:val="12"/>
                <w:color w:val="005A64"/>
              </w:rPr>
            </w:pPr>
            <w:hyperlink r:id="rId353">
              <w:r>
                <w:rPr>
                  <w:rFonts w:ascii="Arial" w:cs="Arial" w:eastAsia="Arial" w:hAnsi="Arial"/>
                  <w:sz w:val="12"/>
                  <w:szCs w:val="12"/>
                  <w:color w:val="005A64"/>
                </w:rPr>
                <w:t>(incorporated herein by reference to Exhibit 10.32 to the Registrant’s Registration Statement on Form F-1</w:t>
              </w:r>
            </w:hyperlink>
          </w:p>
        </w:tc>
      </w:tr>
      <w:tr>
        <w:trPr>
          <w:trHeight w:val="160"/>
        </w:trPr>
        <w:tc>
          <w:tcPr>
            <w:tcW w:w="520" w:type="dxa"/>
            <w:vAlign w:val="bottom"/>
          </w:tcPr>
          <w:p>
            <w:pPr>
              <w:spacing w:after="0"/>
              <w:rPr>
                <w:sz w:val="13"/>
                <w:szCs w:val="13"/>
                <w:color w:val="auto"/>
              </w:rPr>
            </w:pPr>
          </w:p>
        </w:tc>
        <w:tc>
          <w:tcPr>
            <w:tcW w:w="6080" w:type="dxa"/>
            <w:vAlign w:val="bottom"/>
          </w:tcPr>
          <w:p>
            <w:pPr>
              <w:ind w:left="240"/>
              <w:spacing w:after="0"/>
              <w:rPr>
                <w:rFonts w:ascii="Arial" w:cs="Arial" w:eastAsia="Arial" w:hAnsi="Arial"/>
                <w:sz w:val="12"/>
                <w:szCs w:val="12"/>
                <w:color w:val="005A64"/>
              </w:rPr>
            </w:pPr>
            <w:hyperlink r:id="rId353">
              <w:r>
                <w:rPr>
                  <w:rFonts w:ascii="Arial" w:cs="Arial" w:eastAsia="Arial" w:hAnsi="Arial"/>
                  <w:sz w:val="12"/>
                  <w:szCs w:val="12"/>
                  <w:color w:val="005A64"/>
                </w:rPr>
                <w:t>(File No. 333-233688), filed with the SEC on September 9, 2019)</w:t>
              </w:r>
            </w:hyperlink>
          </w:p>
        </w:tc>
      </w:tr>
      <w:tr>
        <w:trPr>
          <w:trHeight w:val="194"/>
        </w:trPr>
        <w:tc>
          <w:tcPr>
            <w:tcW w:w="520" w:type="dxa"/>
            <w:vAlign w:val="bottom"/>
          </w:tcPr>
          <w:p>
            <w:pPr>
              <w:spacing w:after="0"/>
              <w:rPr>
                <w:sz w:val="20"/>
                <w:szCs w:val="20"/>
                <w:color w:val="auto"/>
              </w:rPr>
            </w:pPr>
            <w:r>
              <w:rPr>
                <w:rFonts w:ascii="Arial" w:cs="Arial" w:eastAsia="Arial" w:hAnsi="Arial"/>
                <w:sz w:val="12"/>
                <w:szCs w:val="12"/>
                <w:color w:val="005A64"/>
              </w:rPr>
              <w:t>4.26†</w:t>
            </w:r>
          </w:p>
        </w:tc>
        <w:tc>
          <w:tcPr>
            <w:tcW w:w="6080" w:type="dxa"/>
            <w:vAlign w:val="bottom"/>
          </w:tcPr>
          <w:p>
            <w:pPr>
              <w:ind w:left="240"/>
              <w:spacing w:after="0"/>
              <w:rPr>
                <w:rFonts w:ascii="Arial" w:cs="Arial" w:eastAsia="Arial" w:hAnsi="Arial"/>
                <w:sz w:val="12"/>
                <w:szCs w:val="12"/>
                <w:color w:val="005A64"/>
              </w:rPr>
            </w:pPr>
            <w:hyperlink r:id="rId354">
              <w:r>
                <w:rPr>
                  <w:rFonts w:ascii="Arial" w:cs="Arial" w:eastAsia="Arial" w:hAnsi="Arial"/>
                  <w:sz w:val="12"/>
                  <w:szCs w:val="12"/>
                  <w:color w:val="005A64"/>
                </w:rPr>
                <w:t>Amendment to Lease Agreement by and among the Registrant and Wista-Management GmbH, dated</w:t>
              </w:r>
            </w:hyperlink>
          </w:p>
        </w:tc>
      </w:tr>
      <w:tr>
        <w:trPr>
          <w:trHeight w:val="121"/>
        </w:trPr>
        <w:tc>
          <w:tcPr>
            <w:tcW w:w="520" w:type="dxa"/>
            <w:vAlign w:val="bottom"/>
          </w:tcPr>
          <w:p>
            <w:pPr>
              <w:spacing w:after="0"/>
              <w:rPr>
                <w:sz w:val="10"/>
                <w:szCs w:val="10"/>
                <w:color w:val="auto"/>
              </w:rPr>
            </w:pPr>
          </w:p>
        </w:tc>
        <w:tc>
          <w:tcPr>
            <w:tcW w:w="6080" w:type="dxa"/>
            <w:vAlign w:val="bottom"/>
          </w:tcPr>
          <w:p>
            <w:pPr>
              <w:ind w:left="240"/>
              <w:spacing w:after="0" w:line="121" w:lineRule="exact"/>
              <w:rPr>
                <w:rFonts w:ascii="Arial" w:cs="Arial" w:eastAsia="Arial" w:hAnsi="Arial"/>
                <w:sz w:val="12"/>
                <w:szCs w:val="12"/>
                <w:color w:val="005A64"/>
              </w:rPr>
            </w:pPr>
            <w:hyperlink r:id="rId354">
              <w:r>
                <w:rPr>
                  <w:rFonts w:ascii="Arial" w:cs="Arial" w:eastAsia="Arial" w:hAnsi="Arial"/>
                  <w:sz w:val="12"/>
                  <w:szCs w:val="12"/>
                  <w:color w:val="005A64"/>
                </w:rPr>
                <w:t>December 27, 2018 (incorporated herein by reference to Exhibit 10.33 to the Registrant’s Registration</w:t>
              </w:r>
            </w:hyperlink>
          </w:p>
        </w:tc>
      </w:tr>
      <w:tr>
        <w:trPr>
          <w:trHeight w:val="160"/>
        </w:trPr>
        <w:tc>
          <w:tcPr>
            <w:tcW w:w="520" w:type="dxa"/>
            <w:vAlign w:val="bottom"/>
          </w:tcPr>
          <w:p>
            <w:pPr>
              <w:spacing w:after="0"/>
              <w:rPr>
                <w:sz w:val="13"/>
                <w:szCs w:val="13"/>
                <w:color w:val="auto"/>
              </w:rPr>
            </w:pPr>
          </w:p>
        </w:tc>
        <w:tc>
          <w:tcPr>
            <w:tcW w:w="6080" w:type="dxa"/>
            <w:vAlign w:val="bottom"/>
          </w:tcPr>
          <w:p>
            <w:pPr>
              <w:ind w:left="240"/>
              <w:spacing w:after="0"/>
              <w:rPr>
                <w:rFonts w:ascii="Arial" w:cs="Arial" w:eastAsia="Arial" w:hAnsi="Arial"/>
                <w:sz w:val="12"/>
                <w:szCs w:val="12"/>
                <w:color w:val="005A64"/>
              </w:rPr>
            </w:pPr>
            <w:hyperlink r:id="rId354">
              <w:r>
                <w:rPr>
                  <w:rFonts w:ascii="Arial" w:cs="Arial" w:eastAsia="Arial" w:hAnsi="Arial"/>
                  <w:sz w:val="12"/>
                  <w:szCs w:val="12"/>
                  <w:color w:val="005A64"/>
                </w:rPr>
                <w:t>Statement on Form F-1 (File No. 333-233688), filed with the SEC on September 9, 2019)</w:t>
              </w:r>
            </w:hyperlink>
          </w:p>
        </w:tc>
      </w:tr>
      <w:tr>
        <w:trPr>
          <w:trHeight w:val="232"/>
        </w:trPr>
        <w:tc>
          <w:tcPr>
            <w:tcW w:w="520" w:type="dxa"/>
            <w:vAlign w:val="bottom"/>
          </w:tcPr>
          <w:p>
            <w:pPr>
              <w:spacing w:after="0"/>
              <w:rPr>
                <w:sz w:val="20"/>
                <w:szCs w:val="20"/>
                <w:color w:val="auto"/>
              </w:rPr>
            </w:pPr>
            <w:r>
              <w:rPr>
                <w:rFonts w:ascii="Arial" w:cs="Arial" w:eastAsia="Arial" w:hAnsi="Arial"/>
                <w:sz w:val="12"/>
                <w:szCs w:val="12"/>
                <w:color w:val="005A64"/>
              </w:rPr>
              <w:t>4.27†</w:t>
            </w:r>
          </w:p>
        </w:tc>
        <w:tc>
          <w:tcPr>
            <w:tcW w:w="6080" w:type="dxa"/>
            <w:vAlign w:val="bottom"/>
          </w:tcPr>
          <w:p>
            <w:pPr>
              <w:ind w:left="240"/>
              <w:spacing w:after="0"/>
              <w:rPr>
                <w:rFonts w:ascii="Arial" w:cs="Arial" w:eastAsia="Arial" w:hAnsi="Arial"/>
                <w:sz w:val="12"/>
                <w:szCs w:val="12"/>
                <w:color w:val="005A64"/>
              </w:rPr>
            </w:pPr>
            <w:hyperlink r:id="rId355">
              <w:r>
                <w:rPr>
                  <w:rFonts w:ascii="Arial" w:cs="Arial" w:eastAsia="Arial" w:hAnsi="Arial"/>
                  <w:sz w:val="12"/>
                  <w:szCs w:val="12"/>
                  <w:color w:val="005A64"/>
                </w:rPr>
                <w:t>Amendment to Lease Agreement by and among the Registrant and Wista-Management GmbH, dated</w:t>
              </w:r>
            </w:hyperlink>
          </w:p>
        </w:tc>
      </w:tr>
    </w:tbl>
    <w:p>
      <w:pPr>
        <w:spacing w:after="0" w:line="9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258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 xml:space="preserve">Table </w:t>
        </w:r>
      </w:hyperlink>
      <w:hyperlink r:id="rId356">
        <w:r>
          <w:rPr>
            <w:rFonts w:ascii="Arial" w:cs="Arial" w:eastAsia="Arial" w:hAnsi="Arial"/>
            <w:sz w:val="10"/>
            <w:szCs w:val="10"/>
            <w:b w:val="1"/>
            <w:bCs w:val="1"/>
            <w:color w:val="005A64"/>
          </w:rPr>
          <w:t>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29845</wp:posOffset>
            </wp:positionV>
            <wp:extent cx="5231130"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543" w:right="1440" w:bottom="1440" w:gutter="0" w:footer="0" w:header="0"/>
        </w:sectPr>
      </w:pPr>
    </w:p>
    <w:bookmarkStart w:id="179" w:name="page180"/>
    <w:bookmarkEnd w:id="179"/>
    <w:tbl>
      <w:tblPr>
        <w:tblLayout w:type="fixed"/>
        <w:tblInd w:w="400" w:type="dxa"/>
        <w:tblCellMar>
          <w:top w:w="0" w:type="dxa"/>
          <w:left w:w="0" w:type="dxa"/>
          <w:bottom w:w="0" w:type="dxa"/>
          <w:right w:w="0" w:type="dxa"/>
        </w:tblCellMar>
      </w:tblPr>
      <w:tr>
        <w:trPr>
          <w:trHeight w:val="138"/>
        </w:trPr>
        <w:tc>
          <w:tcPr>
            <w:tcW w:w="520" w:type="dxa"/>
            <w:vAlign w:val="bottom"/>
          </w:tcPr>
          <w:p>
            <w:pPr>
              <w:spacing w:after="0"/>
              <w:rPr>
                <w:sz w:val="20"/>
                <w:szCs w:val="20"/>
                <w:color w:val="auto"/>
              </w:rPr>
            </w:pPr>
            <w:r>
              <w:rPr>
                <w:rFonts w:ascii="Arial" w:cs="Arial" w:eastAsia="Arial" w:hAnsi="Arial"/>
                <w:sz w:val="12"/>
                <w:szCs w:val="12"/>
                <w:color w:val="005A64"/>
              </w:rPr>
              <w:t>4.30†</w:t>
            </w:r>
          </w:p>
        </w:tc>
        <w:tc>
          <w:tcPr>
            <w:tcW w:w="6060" w:type="dxa"/>
            <w:vAlign w:val="bottom"/>
          </w:tcPr>
          <w:p>
            <w:pPr>
              <w:ind w:left="240"/>
              <w:spacing w:after="0"/>
              <w:rPr>
                <w:rFonts w:ascii="Arial" w:cs="Arial" w:eastAsia="Arial" w:hAnsi="Arial"/>
                <w:sz w:val="12"/>
                <w:szCs w:val="12"/>
                <w:color w:val="005A64"/>
              </w:rPr>
            </w:pPr>
            <w:hyperlink r:id="rId358">
              <w:r>
                <w:rPr>
                  <w:rFonts w:ascii="Arial" w:cs="Arial" w:eastAsia="Arial" w:hAnsi="Arial"/>
                  <w:sz w:val="12"/>
                  <w:szCs w:val="12"/>
                  <w:color w:val="005A64"/>
                </w:rPr>
                <w:t>Advance Purchase Agreement by and among BioNTech Manufacturing GmbH, Pfizer Inc., and the European</w:t>
              </w:r>
            </w:hyperlink>
          </w:p>
        </w:tc>
      </w:tr>
      <w:tr>
        <w:trPr>
          <w:trHeight w:val="121"/>
        </w:trPr>
        <w:tc>
          <w:tcPr>
            <w:tcW w:w="520" w:type="dxa"/>
            <w:vAlign w:val="bottom"/>
          </w:tcPr>
          <w:p>
            <w:pPr>
              <w:spacing w:after="0"/>
              <w:rPr>
                <w:sz w:val="10"/>
                <w:szCs w:val="10"/>
                <w:color w:val="auto"/>
              </w:rPr>
            </w:pPr>
          </w:p>
        </w:tc>
        <w:tc>
          <w:tcPr>
            <w:tcW w:w="6060" w:type="dxa"/>
            <w:vAlign w:val="bottom"/>
          </w:tcPr>
          <w:p>
            <w:pPr>
              <w:ind w:left="240"/>
              <w:spacing w:after="0" w:line="121" w:lineRule="exact"/>
              <w:rPr>
                <w:rFonts w:ascii="Arial" w:cs="Arial" w:eastAsia="Arial" w:hAnsi="Arial"/>
                <w:sz w:val="12"/>
                <w:szCs w:val="12"/>
                <w:color w:val="005A64"/>
              </w:rPr>
            </w:pPr>
            <w:hyperlink r:id="rId358">
              <w:r>
                <w:rPr>
                  <w:rFonts w:ascii="Arial" w:cs="Arial" w:eastAsia="Arial" w:hAnsi="Arial"/>
                  <w:sz w:val="12"/>
                  <w:szCs w:val="12"/>
                  <w:color w:val="005A64"/>
                </w:rPr>
                <w:t>Commission, dated November 20, 2020 (incorporated herein by reference to Exhibit 4.51 to the Registrant’s</w:t>
              </w:r>
            </w:hyperlink>
          </w:p>
        </w:tc>
      </w:tr>
      <w:tr>
        <w:trPr>
          <w:trHeight w:val="160"/>
        </w:trPr>
        <w:tc>
          <w:tcPr>
            <w:tcW w:w="520" w:type="dxa"/>
            <w:vAlign w:val="bottom"/>
          </w:tcPr>
          <w:p>
            <w:pPr>
              <w:spacing w:after="0"/>
              <w:rPr>
                <w:sz w:val="13"/>
                <w:szCs w:val="13"/>
                <w:color w:val="auto"/>
              </w:rPr>
            </w:pPr>
          </w:p>
        </w:tc>
        <w:tc>
          <w:tcPr>
            <w:tcW w:w="6060" w:type="dxa"/>
            <w:vAlign w:val="bottom"/>
          </w:tcPr>
          <w:p>
            <w:pPr>
              <w:ind w:left="240"/>
              <w:spacing w:after="0"/>
              <w:rPr>
                <w:rFonts w:ascii="Arial" w:cs="Arial" w:eastAsia="Arial" w:hAnsi="Arial"/>
                <w:sz w:val="12"/>
                <w:szCs w:val="12"/>
                <w:color w:val="005A64"/>
              </w:rPr>
            </w:pPr>
            <w:hyperlink r:id="rId358">
              <w:r>
                <w:rPr>
                  <w:rFonts w:ascii="Arial" w:cs="Arial" w:eastAsia="Arial" w:hAnsi="Arial"/>
                  <w:sz w:val="12"/>
                  <w:szCs w:val="12"/>
                  <w:color w:val="005A64"/>
                </w:rPr>
                <w:t>Annual Report on Form 20-F (File No. 001-39081), filed with the SEC on March 30, 2021)</w:t>
              </w:r>
            </w:hyperlink>
          </w:p>
        </w:tc>
      </w:tr>
      <w:tr>
        <w:trPr>
          <w:trHeight w:val="194"/>
        </w:trPr>
        <w:tc>
          <w:tcPr>
            <w:tcW w:w="520" w:type="dxa"/>
            <w:vAlign w:val="bottom"/>
          </w:tcPr>
          <w:p>
            <w:pPr>
              <w:spacing w:after="0"/>
              <w:rPr>
                <w:sz w:val="20"/>
                <w:szCs w:val="20"/>
                <w:color w:val="auto"/>
              </w:rPr>
            </w:pPr>
            <w:r>
              <w:rPr>
                <w:rFonts w:ascii="Arial" w:cs="Arial" w:eastAsia="Arial" w:hAnsi="Arial"/>
                <w:sz w:val="12"/>
                <w:szCs w:val="12"/>
                <w:color w:val="005A64"/>
              </w:rPr>
              <w:t>4.31†</w:t>
            </w:r>
          </w:p>
        </w:tc>
        <w:tc>
          <w:tcPr>
            <w:tcW w:w="6060" w:type="dxa"/>
            <w:vAlign w:val="bottom"/>
          </w:tcPr>
          <w:p>
            <w:pPr>
              <w:ind w:left="240"/>
              <w:spacing w:after="0"/>
              <w:rPr>
                <w:rFonts w:ascii="Arial" w:cs="Arial" w:eastAsia="Arial" w:hAnsi="Arial"/>
                <w:sz w:val="12"/>
                <w:szCs w:val="12"/>
                <w:color w:val="005A64"/>
              </w:rPr>
            </w:pPr>
            <w:hyperlink r:id="rId359">
              <w:r>
                <w:rPr>
                  <w:rFonts w:ascii="Arial" w:cs="Arial" w:eastAsia="Arial" w:hAnsi="Arial"/>
                  <w:sz w:val="12"/>
                  <w:szCs w:val="12"/>
                  <w:color w:val="005A64"/>
                </w:rPr>
                <w:t>Purchase Agreement by and among BioNTech Manufacturing GmbH, Pfizer Inc., and the European</w:t>
              </w:r>
            </w:hyperlink>
          </w:p>
        </w:tc>
      </w:tr>
      <w:tr>
        <w:trPr>
          <w:trHeight w:val="121"/>
        </w:trPr>
        <w:tc>
          <w:tcPr>
            <w:tcW w:w="520" w:type="dxa"/>
            <w:vAlign w:val="bottom"/>
          </w:tcPr>
          <w:p>
            <w:pPr>
              <w:spacing w:after="0"/>
              <w:rPr>
                <w:sz w:val="10"/>
                <w:szCs w:val="10"/>
                <w:color w:val="auto"/>
              </w:rPr>
            </w:pPr>
          </w:p>
        </w:tc>
        <w:tc>
          <w:tcPr>
            <w:tcW w:w="6060" w:type="dxa"/>
            <w:vAlign w:val="bottom"/>
          </w:tcPr>
          <w:p>
            <w:pPr>
              <w:ind w:left="240"/>
              <w:spacing w:after="0" w:line="121" w:lineRule="exact"/>
              <w:rPr>
                <w:rFonts w:ascii="Arial" w:cs="Arial" w:eastAsia="Arial" w:hAnsi="Arial"/>
                <w:sz w:val="12"/>
                <w:szCs w:val="12"/>
                <w:color w:val="005A64"/>
              </w:rPr>
            </w:pPr>
            <w:hyperlink r:id="rId359">
              <w:r>
                <w:rPr>
                  <w:rFonts w:ascii="Arial" w:cs="Arial" w:eastAsia="Arial" w:hAnsi="Arial"/>
                  <w:sz w:val="12"/>
                  <w:szCs w:val="12"/>
                  <w:color w:val="005A64"/>
                </w:rPr>
                <w:t>Commission, dated February 17, 2021 (incorporated herein by reference to Exhibit 4.52 to the Registrant’s</w:t>
              </w:r>
            </w:hyperlink>
          </w:p>
        </w:tc>
      </w:tr>
      <w:tr>
        <w:trPr>
          <w:trHeight w:val="160"/>
        </w:trPr>
        <w:tc>
          <w:tcPr>
            <w:tcW w:w="520" w:type="dxa"/>
            <w:vAlign w:val="bottom"/>
          </w:tcPr>
          <w:p>
            <w:pPr>
              <w:spacing w:after="0"/>
              <w:rPr>
                <w:sz w:val="13"/>
                <w:szCs w:val="13"/>
                <w:color w:val="auto"/>
              </w:rPr>
            </w:pPr>
          </w:p>
        </w:tc>
        <w:tc>
          <w:tcPr>
            <w:tcW w:w="6060" w:type="dxa"/>
            <w:vAlign w:val="bottom"/>
          </w:tcPr>
          <w:p>
            <w:pPr>
              <w:ind w:left="240"/>
              <w:spacing w:after="0"/>
              <w:rPr>
                <w:rFonts w:ascii="Arial" w:cs="Arial" w:eastAsia="Arial" w:hAnsi="Arial"/>
                <w:sz w:val="12"/>
                <w:szCs w:val="12"/>
                <w:color w:val="005A64"/>
              </w:rPr>
            </w:pPr>
            <w:hyperlink r:id="rId359">
              <w:r>
                <w:rPr>
                  <w:rFonts w:ascii="Arial" w:cs="Arial" w:eastAsia="Arial" w:hAnsi="Arial"/>
                  <w:sz w:val="12"/>
                  <w:szCs w:val="12"/>
                  <w:color w:val="005A64"/>
                </w:rPr>
                <w:t>Annual Report on Form 20-F (File No. 001-39081), filed with the SEC on March 30, 2021)</w:t>
              </w:r>
            </w:hyperlink>
          </w:p>
        </w:tc>
      </w:tr>
      <w:tr>
        <w:trPr>
          <w:trHeight w:val="194"/>
        </w:trPr>
        <w:tc>
          <w:tcPr>
            <w:tcW w:w="520" w:type="dxa"/>
            <w:vAlign w:val="bottom"/>
          </w:tcPr>
          <w:p>
            <w:pPr>
              <w:spacing w:after="0"/>
              <w:rPr>
                <w:sz w:val="20"/>
                <w:szCs w:val="20"/>
                <w:color w:val="auto"/>
              </w:rPr>
            </w:pPr>
            <w:r>
              <w:rPr>
                <w:rFonts w:ascii="Arial" w:cs="Arial" w:eastAsia="Arial" w:hAnsi="Arial"/>
                <w:sz w:val="12"/>
                <w:szCs w:val="12"/>
                <w:color w:val="005A64"/>
              </w:rPr>
              <w:t>4.32†</w:t>
            </w:r>
          </w:p>
        </w:tc>
        <w:tc>
          <w:tcPr>
            <w:tcW w:w="6060" w:type="dxa"/>
            <w:vAlign w:val="bottom"/>
          </w:tcPr>
          <w:p>
            <w:pPr>
              <w:ind w:left="240"/>
              <w:spacing w:after="0"/>
              <w:rPr>
                <w:rFonts w:ascii="Arial" w:cs="Arial" w:eastAsia="Arial" w:hAnsi="Arial"/>
                <w:sz w:val="12"/>
                <w:szCs w:val="12"/>
                <w:color w:val="005A64"/>
              </w:rPr>
            </w:pPr>
            <w:hyperlink r:id="rId360">
              <w:r>
                <w:rPr>
                  <w:rFonts w:ascii="Arial" w:cs="Arial" w:eastAsia="Arial" w:hAnsi="Arial"/>
                  <w:sz w:val="12"/>
                  <w:szCs w:val="12"/>
                  <w:color w:val="005A64"/>
                </w:rPr>
                <w:t>Lease for Buildings H028 and H30 by and between the Pharmaserv GmbH and Novartis Manufacturing</w:t>
              </w:r>
            </w:hyperlink>
          </w:p>
        </w:tc>
      </w:tr>
      <w:tr>
        <w:trPr>
          <w:trHeight w:val="121"/>
        </w:trPr>
        <w:tc>
          <w:tcPr>
            <w:tcW w:w="520" w:type="dxa"/>
            <w:vAlign w:val="bottom"/>
          </w:tcPr>
          <w:p>
            <w:pPr>
              <w:spacing w:after="0"/>
              <w:rPr>
                <w:sz w:val="10"/>
                <w:szCs w:val="10"/>
                <w:color w:val="auto"/>
              </w:rPr>
            </w:pPr>
          </w:p>
        </w:tc>
        <w:tc>
          <w:tcPr>
            <w:tcW w:w="6060" w:type="dxa"/>
            <w:vAlign w:val="bottom"/>
          </w:tcPr>
          <w:p>
            <w:pPr>
              <w:ind w:left="240"/>
              <w:spacing w:after="0" w:line="121" w:lineRule="exact"/>
              <w:rPr>
                <w:rFonts w:ascii="Arial" w:cs="Arial" w:eastAsia="Arial" w:hAnsi="Arial"/>
                <w:sz w:val="12"/>
                <w:szCs w:val="12"/>
                <w:color w:val="005A64"/>
              </w:rPr>
            </w:pPr>
            <w:hyperlink r:id="rId360">
              <w:r>
                <w:rPr>
                  <w:rFonts w:ascii="Arial" w:cs="Arial" w:eastAsia="Arial" w:hAnsi="Arial"/>
                  <w:sz w:val="12"/>
                  <w:szCs w:val="12"/>
                  <w:color w:val="005A64"/>
                </w:rPr>
                <w:t>GmbH (incorporated herein by reference to Exhibit 4.53 to the Registrant’s Annual Report on Form 20-F (File</w:t>
              </w:r>
            </w:hyperlink>
          </w:p>
        </w:tc>
      </w:tr>
      <w:tr>
        <w:trPr>
          <w:trHeight w:val="160"/>
        </w:trPr>
        <w:tc>
          <w:tcPr>
            <w:tcW w:w="520" w:type="dxa"/>
            <w:vAlign w:val="bottom"/>
          </w:tcPr>
          <w:p>
            <w:pPr>
              <w:spacing w:after="0"/>
              <w:rPr>
                <w:sz w:val="13"/>
                <w:szCs w:val="13"/>
                <w:color w:val="auto"/>
              </w:rPr>
            </w:pPr>
          </w:p>
        </w:tc>
        <w:tc>
          <w:tcPr>
            <w:tcW w:w="6060" w:type="dxa"/>
            <w:vAlign w:val="bottom"/>
          </w:tcPr>
          <w:p>
            <w:pPr>
              <w:ind w:left="240"/>
              <w:spacing w:after="0"/>
              <w:rPr>
                <w:rFonts w:ascii="Arial" w:cs="Arial" w:eastAsia="Arial" w:hAnsi="Arial"/>
                <w:sz w:val="12"/>
                <w:szCs w:val="12"/>
                <w:color w:val="005A64"/>
              </w:rPr>
            </w:pPr>
            <w:hyperlink r:id="rId360">
              <w:r>
                <w:rPr>
                  <w:rFonts w:ascii="Arial" w:cs="Arial" w:eastAsia="Arial" w:hAnsi="Arial"/>
                  <w:sz w:val="12"/>
                  <w:szCs w:val="12"/>
                  <w:color w:val="005A64"/>
                </w:rPr>
                <w:t>No. 001-39081), filed with the SEC on March 30, 2021)</w:t>
              </w:r>
            </w:hyperlink>
          </w:p>
        </w:tc>
      </w:tr>
      <w:tr>
        <w:trPr>
          <w:trHeight w:val="194"/>
        </w:trPr>
        <w:tc>
          <w:tcPr>
            <w:tcW w:w="520" w:type="dxa"/>
            <w:vAlign w:val="bottom"/>
          </w:tcPr>
          <w:p>
            <w:pPr>
              <w:spacing w:after="0"/>
              <w:rPr>
                <w:sz w:val="20"/>
                <w:szCs w:val="20"/>
                <w:color w:val="auto"/>
              </w:rPr>
            </w:pPr>
            <w:r>
              <w:rPr>
                <w:rFonts w:ascii="Arial" w:cs="Arial" w:eastAsia="Arial" w:hAnsi="Arial"/>
                <w:sz w:val="12"/>
                <w:szCs w:val="12"/>
                <w:color w:val="005A64"/>
              </w:rPr>
              <w:t>4.33†</w:t>
            </w:r>
          </w:p>
        </w:tc>
        <w:tc>
          <w:tcPr>
            <w:tcW w:w="6060" w:type="dxa"/>
            <w:vAlign w:val="bottom"/>
          </w:tcPr>
          <w:p>
            <w:pPr>
              <w:ind w:left="240"/>
              <w:spacing w:after="0"/>
              <w:rPr>
                <w:rFonts w:ascii="Arial" w:cs="Arial" w:eastAsia="Arial" w:hAnsi="Arial"/>
                <w:sz w:val="12"/>
                <w:szCs w:val="12"/>
                <w:color w:val="005A64"/>
              </w:rPr>
            </w:pPr>
            <w:hyperlink r:id="rId361">
              <w:r>
                <w:rPr>
                  <w:rFonts w:ascii="Arial" w:cs="Arial" w:eastAsia="Arial" w:hAnsi="Arial"/>
                  <w:sz w:val="12"/>
                  <w:szCs w:val="12"/>
                  <w:color w:val="005A64"/>
                </w:rPr>
                <w:t>Lease Agreement by and between the Registrant, as successor-in-interest to Kite Pharma, Inc., and Tech</w:t>
              </w:r>
            </w:hyperlink>
          </w:p>
        </w:tc>
      </w:tr>
      <w:tr>
        <w:trPr>
          <w:trHeight w:val="121"/>
        </w:trPr>
        <w:tc>
          <w:tcPr>
            <w:tcW w:w="520" w:type="dxa"/>
            <w:vAlign w:val="bottom"/>
          </w:tcPr>
          <w:p>
            <w:pPr>
              <w:spacing w:after="0"/>
              <w:rPr>
                <w:sz w:val="10"/>
                <w:szCs w:val="10"/>
                <w:color w:val="auto"/>
              </w:rPr>
            </w:pPr>
          </w:p>
        </w:tc>
        <w:tc>
          <w:tcPr>
            <w:tcW w:w="6060" w:type="dxa"/>
            <w:vAlign w:val="bottom"/>
          </w:tcPr>
          <w:p>
            <w:pPr>
              <w:ind w:left="240"/>
              <w:spacing w:after="0" w:line="121" w:lineRule="exact"/>
              <w:rPr>
                <w:rFonts w:ascii="Arial" w:cs="Arial" w:eastAsia="Arial" w:hAnsi="Arial"/>
                <w:sz w:val="12"/>
                <w:szCs w:val="12"/>
                <w:color w:val="005A64"/>
              </w:rPr>
            </w:pPr>
            <w:hyperlink r:id="rId361">
              <w:r>
                <w:rPr>
                  <w:rFonts w:ascii="Arial" w:cs="Arial" w:eastAsia="Arial" w:hAnsi="Arial"/>
                  <w:sz w:val="12"/>
                  <w:szCs w:val="12"/>
                  <w:color w:val="005A64"/>
                </w:rPr>
                <w:t>Park 270 III, LLC, dated as of December 1, 2017 (incorporated herein by reference to Exhibit 4.34 to the</w:t>
              </w:r>
            </w:hyperlink>
          </w:p>
        </w:tc>
      </w:tr>
      <w:tr>
        <w:trPr>
          <w:trHeight w:val="160"/>
        </w:trPr>
        <w:tc>
          <w:tcPr>
            <w:tcW w:w="520" w:type="dxa"/>
            <w:vAlign w:val="bottom"/>
          </w:tcPr>
          <w:p>
            <w:pPr>
              <w:spacing w:after="0"/>
              <w:rPr>
                <w:sz w:val="13"/>
                <w:szCs w:val="13"/>
                <w:color w:val="auto"/>
              </w:rPr>
            </w:pPr>
          </w:p>
        </w:tc>
        <w:tc>
          <w:tcPr>
            <w:tcW w:w="6060" w:type="dxa"/>
            <w:vAlign w:val="bottom"/>
          </w:tcPr>
          <w:p>
            <w:pPr>
              <w:ind w:left="240"/>
              <w:spacing w:after="0"/>
              <w:rPr>
                <w:rFonts w:ascii="Arial" w:cs="Arial" w:eastAsia="Arial" w:hAnsi="Arial"/>
                <w:sz w:val="12"/>
                <w:szCs w:val="12"/>
                <w:color w:val="005A64"/>
              </w:rPr>
            </w:pPr>
            <w:hyperlink r:id="rId361">
              <w:r>
                <w:rPr>
                  <w:rFonts w:ascii="Arial" w:cs="Arial" w:eastAsia="Arial" w:hAnsi="Arial"/>
                  <w:sz w:val="12"/>
                  <w:szCs w:val="12"/>
                  <w:color w:val="005A64"/>
                </w:rPr>
                <w:t>Registrant's Annual Report on Form 20-F (File No. 001-39081), filed with the SEC on March 27, 2023)</w:t>
              </w:r>
            </w:hyperlink>
          </w:p>
        </w:tc>
      </w:tr>
      <w:tr>
        <w:trPr>
          <w:trHeight w:val="194"/>
        </w:trPr>
        <w:tc>
          <w:tcPr>
            <w:tcW w:w="520" w:type="dxa"/>
            <w:vAlign w:val="bottom"/>
          </w:tcPr>
          <w:p>
            <w:pPr>
              <w:spacing w:after="0"/>
              <w:rPr>
                <w:sz w:val="20"/>
                <w:szCs w:val="20"/>
                <w:color w:val="auto"/>
              </w:rPr>
            </w:pPr>
            <w:r>
              <w:rPr>
                <w:rFonts w:ascii="Arial" w:cs="Arial" w:eastAsia="Arial" w:hAnsi="Arial"/>
                <w:sz w:val="12"/>
                <w:szCs w:val="12"/>
                <w:color w:val="005A64"/>
              </w:rPr>
              <w:t>4.34†</w:t>
            </w:r>
          </w:p>
        </w:tc>
        <w:tc>
          <w:tcPr>
            <w:tcW w:w="6060" w:type="dxa"/>
            <w:vAlign w:val="bottom"/>
          </w:tcPr>
          <w:p>
            <w:pPr>
              <w:ind w:left="240"/>
              <w:spacing w:after="0"/>
              <w:rPr>
                <w:rFonts w:ascii="Arial" w:cs="Arial" w:eastAsia="Arial" w:hAnsi="Arial"/>
                <w:sz w:val="12"/>
                <w:szCs w:val="12"/>
                <w:color w:val="005A64"/>
              </w:rPr>
            </w:pPr>
            <w:hyperlink r:id="rId362">
              <w:r>
                <w:rPr>
                  <w:rFonts w:ascii="Arial" w:cs="Arial" w:eastAsia="Arial" w:hAnsi="Arial"/>
                  <w:sz w:val="12"/>
                  <w:szCs w:val="12"/>
                  <w:color w:val="005A64"/>
                </w:rPr>
                <w:t>Amendment No. 3 to Lease Agreement by and between the Registrant, as successor-in-interest to Kite</w:t>
              </w:r>
            </w:hyperlink>
          </w:p>
        </w:tc>
      </w:tr>
      <w:tr>
        <w:trPr>
          <w:trHeight w:val="121"/>
        </w:trPr>
        <w:tc>
          <w:tcPr>
            <w:tcW w:w="520" w:type="dxa"/>
            <w:vAlign w:val="bottom"/>
          </w:tcPr>
          <w:p>
            <w:pPr>
              <w:spacing w:after="0"/>
              <w:rPr>
                <w:sz w:val="10"/>
                <w:szCs w:val="10"/>
                <w:color w:val="auto"/>
              </w:rPr>
            </w:pPr>
          </w:p>
        </w:tc>
        <w:tc>
          <w:tcPr>
            <w:tcW w:w="6060" w:type="dxa"/>
            <w:vAlign w:val="bottom"/>
          </w:tcPr>
          <w:p>
            <w:pPr>
              <w:ind w:left="240"/>
              <w:spacing w:after="0" w:line="121" w:lineRule="exact"/>
              <w:rPr>
                <w:rFonts w:ascii="Arial" w:cs="Arial" w:eastAsia="Arial" w:hAnsi="Arial"/>
                <w:sz w:val="12"/>
                <w:szCs w:val="12"/>
                <w:color w:val="005A64"/>
              </w:rPr>
            </w:pPr>
            <w:hyperlink r:id="rId362">
              <w:r>
                <w:rPr>
                  <w:rFonts w:ascii="Arial" w:cs="Arial" w:eastAsia="Arial" w:hAnsi="Arial"/>
                  <w:sz w:val="12"/>
                  <w:szCs w:val="12"/>
                  <w:color w:val="005A64"/>
                </w:rPr>
                <w:t>Pharma, Inc., and Tech Park 270 III, LLC, dated as of July 24, 2018 (incorporated herein by reference to</w:t>
              </w:r>
            </w:hyperlink>
          </w:p>
        </w:tc>
      </w:tr>
      <w:tr>
        <w:trPr>
          <w:trHeight w:val="121"/>
        </w:trPr>
        <w:tc>
          <w:tcPr>
            <w:tcW w:w="520" w:type="dxa"/>
            <w:vAlign w:val="bottom"/>
          </w:tcPr>
          <w:p>
            <w:pPr>
              <w:spacing w:after="0"/>
              <w:rPr>
                <w:sz w:val="10"/>
                <w:szCs w:val="10"/>
                <w:color w:val="auto"/>
              </w:rPr>
            </w:pPr>
          </w:p>
        </w:tc>
        <w:tc>
          <w:tcPr>
            <w:tcW w:w="6060" w:type="dxa"/>
            <w:vAlign w:val="bottom"/>
          </w:tcPr>
          <w:p>
            <w:pPr>
              <w:ind w:left="240"/>
              <w:spacing w:after="0" w:line="121" w:lineRule="exact"/>
              <w:rPr>
                <w:rFonts w:ascii="Arial" w:cs="Arial" w:eastAsia="Arial" w:hAnsi="Arial"/>
                <w:sz w:val="12"/>
                <w:szCs w:val="12"/>
                <w:color w:val="005A64"/>
              </w:rPr>
            </w:pPr>
            <w:hyperlink r:id="rId362">
              <w:r>
                <w:rPr>
                  <w:rFonts w:ascii="Arial" w:cs="Arial" w:eastAsia="Arial" w:hAnsi="Arial"/>
                  <w:sz w:val="12"/>
                  <w:szCs w:val="12"/>
                  <w:color w:val="005A64"/>
                </w:rPr>
                <w:t>Exhibit 4.35 to the Registrant’s Annual Report on Form 20-F (File No. 001-39081), filed with the SEC on</w:t>
              </w:r>
            </w:hyperlink>
          </w:p>
        </w:tc>
      </w:tr>
      <w:tr>
        <w:trPr>
          <w:trHeight w:val="160"/>
        </w:trPr>
        <w:tc>
          <w:tcPr>
            <w:tcW w:w="520" w:type="dxa"/>
            <w:vAlign w:val="bottom"/>
          </w:tcPr>
          <w:p>
            <w:pPr>
              <w:spacing w:after="0"/>
              <w:rPr>
                <w:sz w:val="13"/>
                <w:szCs w:val="13"/>
                <w:color w:val="auto"/>
              </w:rPr>
            </w:pPr>
          </w:p>
        </w:tc>
        <w:tc>
          <w:tcPr>
            <w:tcW w:w="6060" w:type="dxa"/>
            <w:vAlign w:val="bottom"/>
          </w:tcPr>
          <w:p>
            <w:pPr>
              <w:ind w:left="240"/>
              <w:spacing w:after="0"/>
              <w:rPr>
                <w:rFonts w:ascii="Arial" w:cs="Arial" w:eastAsia="Arial" w:hAnsi="Arial"/>
                <w:sz w:val="12"/>
                <w:szCs w:val="12"/>
                <w:color w:val="005A64"/>
              </w:rPr>
            </w:pPr>
            <w:hyperlink r:id="rId362">
              <w:r>
                <w:rPr>
                  <w:rFonts w:ascii="Arial" w:cs="Arial" w:eastAsia="Arial" w:hAnsi="Arial"/>
                  <w:sz w:val="12"/>
                  <w:szCs w:val="12"/>
                  <w:color w:val="005A64"/>
                </w:rPr>
                <w:t>March 27, 2023)</w:t>
              </w:r>
            </w:hyperlink>
          </w:p>
        </w:tc>
      </w:tr>
    </w:tbl>
    <w:p>
      <w:pPr>
        <w:spacing w:after="0" w:line="8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259</w:t>
      </w:r>
    </w:p>
    <w:p>
      <w:pPr>
        <w:ind w:left="380"/>
        <w:spacing w:after="0" w:line="225" w:lineRule="auto"/>
        <w:rPr>
          <w:rFonts w:ascii="Arial" w:cs="Arial" w:eastAsia="Arial" w:hAnsi="Arial"/>
          <w:sz w:val="12"/>
          <w:szCs w:val="12"/>
          <w:b w:val="1"/>
          <w:bCs w:val="1"/>
          <w:color w:val="3C9673"/>
        </w:rPr>
      </w:pPr>
      <w:r>
        <w:rPr>
          <w:rFonts w:ascii="Arial" w:cs="Arial" w:eastAsia="Arial" w:hAnsi="Arial"/>
          <w:sz w:val="12"/>
          <w:szCs w:val="12"/>
          <w:b w:val="1"/>
          <w:bCs w:val="1"/>
          <w:color w:val="3C9673"/>
        </w:rPr>
        <w:t xml:space="preserve">Annual Report </w:t>
      </w:r>
      <w:hyperlink r:id="rId363">
        <w:r>
          <w:rPr>
            <w:rFonts w:ascii="Arial" w:cs="Arial" w:eastAsia="Arial" w:hAnsi="Arial"/>
            <w:sz w:val="12"/>
            <w:szCs w:val="12"/>
            <w:b w:val="1"/>
            <w:bCs w:val="1"/>
            <w:color w:val="3C9673"/>
          </w:rPr>
          <w:t>on Form 20-F for the year ended December 31, 2024</w:t>
        </w:r>
      </w:hyperlink>
    </w:p>
    <w:tbl>
      <w:tblPr>
        <w:tblLayout w:type="fixed"/>
        <w:tblInd w:w="380" w:type="dxa"/>
        <w:tblCellMar>
          <w:top w:w="0" w:type="dxa"/>
          <w:left w:w="0" w:type="dxa"/>
          <w:bottom w:w="0" w:type="dxa"/>
          <w:right w:w="0" w:type="dxa"/>
        </w:tblCellMar>
      </w:tblPr>
      <w:tr>
        <w:trPr>
          <w:trHeight w:val="137"/>
        </w:trPr>
        <w:tc>
          <w:tcPr>
            <w:tcW w:w="720" w:type="dxa"/>
            <w:vAlign w:val="bottom"/>
          </w:tcPr>
          <w:p>
            <w:pPr>
              <w:spacing w:after="0"/>
              <w:rPr>
                <w:sz w:val="11"/>
                <w:szCs w:val="11"/>
                <w:color w:val="auto"/>
              </w:rPr>
            </w:pPr>
          </w:p>
        </w:tc>
        <w:tc>
          <w:tcPr>
            <w:tcW w:w="7520" w:type="dxa"/>
            <w:vAlign w:val="bottom"/>
            <w:gridSpan w:val="2"/>
          </w:tcPr>
          <w:p>
            <w:pPr>
              <w:ind w:left="20"/>
              <w:spacing w:after="0"/>
              <w:rPr>
                <w:rFonts w:ascii="Arial" w:cs="Arial" w:eastAsia="Arial" w:hAnsi="Arial"/>
                <w:sz w:val="10"/>
                <w:szCs w:val="10"/>
                <w:b w:val="1"/>
                <w:bCs w:val="1"/>
                <w:color w:val="005A64"/>
              </w:rPr>
            </w:pPr>
            <w:hyperlink r:id="rId363">
              <w:r>
                <w:rPr>
                  <w:rFonts w:ascii="Arial" w:cs="Arial" w:eastAsia="Arial" w:hAnsi="Arial"/>
                  <w:sz w:val="10"/>
                  <w:szCs w:val="10"/>
                  <w:b w:val="1"/>
                  <w:bCs w:val="1"/>
                  <w:color w:val="005A64"/>
                </w:rPr>
                <w:t>Table of Contents</w:t>
              </w:r>
            </w:hyperlink>
          </w:p>
        </w:tc>
      </w:tr>
      <w:tr>
        <w:trPr>
          <w:trHeight w:val="25"/>
        </w:trPr>
        <w:tc>
          <w:tcPr>
            <w:tcW w:w="720" w:type="dxa"/>
            <w:vAlign w:val="bottom"/>
            <w:tcBorders>
              <w:bottom w:val="single" w:sz="8" w:color="BECD32"/>
            </w:tcBorders>
          </w:tcPr>
          <w:p>
            <w:pPr>
              <w:spacing w:after="0"/>
              <w:rPr>
                <w:sz w:val="2"/>
                <w:szCs w:val="2"/>
                <w:color w:val="auto"/>
              </w:rPr>
            </w:pPr>
          </w:p>
        </w:tc>
        <w:tc>
          <w:tcPr>
            <w:tcW w:w="3180" w:type="dxa"/>
            <w:vAlign w:val="bottom"/>
            <w:tcBorders>
              <w:bottom w:val="single" w:sz="8" w:color="BECE33"/>
            </w:tcBorders>
          </w:tcPr>
          <w:p>
            <w:pPr>
              <w:spacing w:after="0"/>
              <w:rPr>
                <w:sz w:val="2"/>
                <w:szCs w:val="2"/>
                <w:color w:val="auto"/>
              </w:rPr>
            </w:pPr>
          </w:p>
        </w:tc>
        <w:tc>
          <w:tcPr>
            <w:tcW w:w="4340" w:type="dxa"/>
            <w:vAlign w:val="bottom"/>
            <w:tcBorders>
              <w:bottom w:val="single" w:sz="8" w:color="BECD32"/>
            </w:tcBorders>
          </w:tcPr>
          <w:p>
            <w:pPr>
              <w:spacing w:after="0"/>
              <w:rPr>
                <w:sz w:val="2"/>
                <w:szCs w:val="2"/>
                <w:color w:val="auto"/>
              </w:rPr>
            </w:pPr>
          </w:p>
        </w:tc>
      </w:tr>
      <w:tr>
        <w:trPr>
          <w:trHeight w:val="101"/>
        </w:trPr>
        <w:tc>
          <w:tcPr>
            <w:tcW w:w="720" w:type="dxa"/>
            <w:vAlign w:val="bottom"/>
          </w:tcPr>
          <w:p>
            <w:pPr>
              <w:ind w:left="20"/>
              <w:spacing w:after="0" w:line="102" w:lineRule="exact"/>
              <w:rPr>
                <w:sz w:val="20"/>
                <w:szCs w:val="20"/>
                <w:color w:val="auto"/>
              </w:rPr>
            </w:pPr>
            <w:r>
              <w:rPr>
                <w:rFonts w:ascii="Arial" w:cs="Arial" w:eastAsia="Arial" w:hAnsi="Arial"/>
                <w:sz w:val="11"/>
                <w:szCs w:val="11"/>
                <w:color w:val="005A64"/>
              </w:rPr>
              <w:t>4.47†</w:t>
            </w:r>
          </w:p>
        </w:tc>
        <w:tc>
          <w:tcPr>
            <w:tcW w:w="3180" w:type="dxa"/>
            <w:vAlign w:val="bottom"/>
          </w:tcPr>
          <w:p>
            <w:pPr>
              <w:ind w:left="60"/>
              <w:spacing w:after="0" w:line="102" w:lineRule="exact"/>
              <w:rPr>
                <w:rFonts w:ascii="Arial" w:cs="Arial" w:eastAsia="Arial" w:hAnsi="Arial"/>
                <w:sz w:val="11"/>
                <w:szCs w:val="11"/>
                <w:color w:val="005A64"/>
              </w:rPr>
            </w:pPr>
            <w:hyperlink r:id="rId364">
              <w:r>
                <w:rPr>
                  <w:rFonts w:ascii="Arial" w:cs="Arial" w:eastAsia="Arial" w:hAnsi="Arial"/>
                  <w:sz w:val="11"/>
                  <w:szCs w:val="11"/>
                  <w:color w:val="005A64"/>
                </w:rPr>
                <w:t>Deed of Amendment of Agreement related to the Sale and</w:t>
              </w:r>
            </w:hyperlink>
          </w:p>
        </w:tc>
        <w:tc>
          <w:tcPr>
            <w:tcW w:w="4340" w:type="dxa"/>
            <w:vAlign w:val="bottom"/>
          </w:tcPr>
          <w:p>
            <w:pPr>
              <w:ind w:left="40"/>
              <w:spacing w:after="0" w:line="102" w:lineRule="exact"/>
              <w:rPr>
                <w:rFonts w:ascii="Arial" w:cs="Arial" w:eastAsia="Arial" w:hAnsi="Arial"/>
                <w:sz w:val="11"/>
                <w:szCs w:val="11"/>
                <w:color w:val="005A64"/>
              </w:rPr>
            </w:pPr>
            <w:hyperlink r:id="rId364">
              <w:r>
                <w:rPr>
                  <w:rFonts w:ascii="Arial" w:cs="Arial" w:eastAsia="Arial" w:hAnsi="Arial"/>
                  <w:sz w:val="11"/>
                  <w:szCs w:val="11"/>
                  <w:color w:val="005A64"/>
                </w:rPr>
                <w:t>Purchase of Certain Shares of the Issued Share</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64">
              <w:r>
                <w:rPr>
                  <w:rFonts w:ascii="Arial" w:cs="Arial" w:eastAsia="Arial" w:hAnsi="Arial"/>
                  <w:sz w:val="12"/>
                  <w:szCs w:val="12"/>
                  <w:color w:val="005A64"/>
                </w:rPr>
                <w:t>Capital of InstaDeep Ltd by and among the Registrant, InstaDeep Ltd and the Sellers set forth therein, dated</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64">
              <w:r>
                <w:rPr>
                  <w:rFonts w:ascii="Arial" w:cs="Arial" w:eastAsia="Arial" w:hAnsi="Arial"/>
                  <w:sz w:val="12"/>
                  <w:szCs w:val="12"/>
                  <w:color w:val="005A64"/>
                </w:rPr>
                <w:t>as of July 31, 2023 (incorporated herein by reference to Exhibit 4.47 to the Registrant’s Annual Report on</w:t>
              </w:r>
            </w:hyperlink>
          </w:p>
        </w:tc>
      </w:tr>
      <w:tr>
        <w:trPr>
          <w:trHeight w:val="160"/>
        </w:trPr>
        <w:tc>
          <w:tcPr>
            <w:tcW w:w="720" w:type="dxa"/>
            <w:vAlign w:val="bottom"/>
          </w:tcPr>
          <w:p>
            <w:pPr>
              <w:spacing w:after="0"/>
              <w:rPr>
                <w:sz w:val="13"/>
                <w:szCs w:val="13"/>
                <w:color w:val="auto"/>
              </w:rPr>
            </w:pPr>
          </w:p>
        </w:tc>
        <w:tc>
          <w:tcPr>
            <w:tcW w:w="7520" w:type="dxa"/>
            <w:vAlign w:val="bottom"/>
            <w:gridSpan w:val="2"/>
          </w:tcPr>
          <w:p>
            <w:pPr>
              <w:ind w:left="60"/>
              <w:spacing w:after="0"/>
              <w:rPr>
                <w:rFonts w:ascii="Arial" w:cs="Arial" w:eastAsia="Arial" w:hAnsi="Arial"/>
                <w:sz w:val="12"/>
                <w:szCs w:val="12"/>
                <w:color w:val="005A64"/>
              </w:rPr>
            </w:pPr>
            <w:hyperlink r:id="rId364">
              <w:r>
                <w:rPr>
                  <w:rFonts w:ascii="Arial" w:cs="Arial" w:eastAsia="Arial" w:hAnsi="Arial"/>
                  <w:sz w:val="12"/>
                  <w:szCs w:val="12"/>
                  <w:color w:val="005A64"/>
                </w:rPr>
                <w:t>Form 20-F (File No. 001-39081), filed with the SEC on March 20, 2024)</w:t>
              </w:r>
            </w:hyperlink>
          </w:p>
        </w:tc>
      </w:tr>
      <w:tr>
        <w:trPr>
          <w:trHeight w:val="204"/>
        </w:trPr>
        <w:tc>
          <w:tcPr>
            <w:tcW w:w="720" w:type="dxa"/>
            <w:vAlign w:val="bottom"/>
          </w:tcPr>
          <w:p>
            <w:pPr>
              <w:ind w:left="20"/>
              <w:spacing w:after="0"/>
              <w:rPr>
                <w:sz w:val="20"/>
                <w:szCs w:val="20"/>
                <w:color w:val="auto"/>
              </w:rPr>
            </w:pPr>
            <w:r>
              <w:rPr>
                <w:rFonts w:ascii="Arial" w:cs="Arial" w:eastAsia="Arial" w:hAnsi="Arial"/>
                <w:sz w:val="12"/>
                <w:szCs w:val="12"/>
                <w:color w:val="005A64"/>
              </w:rPr>
              <w:t>4.48†</w:t>
            </w:r>
          </w:p>
        </w:tc>
        <w:tc>
          <w:tcPr>
            <w:tcW w:w="7520" w:type="dxa"/>
            <w:vAlign w:val="bottom"/>
            <w:gridSpan w:val="2"/>
          </w:tcPr>
          <w:p>
            <w:pPr>
              <w:ind w:left="60"/>
              <w:spacing w:after="0"/>
              <w:rPr>
                <w:rFonts w:ascii="Arial" w:cs="Arial" w:eastAsia="Arial" w:hAnsi="Arial"/>
                <w:sz w:val="12"/>
                <w:szCs w:val="12"/>
                <w:color w:val="005A64"/>
              </w:rPr>
            </w:pPr>
            <w:hyperlink r:id="rId365">
              <w:r>
                <w:rPr>
                  <w:rFonts w:ascii="Arial" w:cs="Arial" w:eastAsia="Arial" w:hAnsi="Arial"/>
                  <w:sz w:val="12"/>
                  <w:szCs w:val="12"/>
                  <w:color w:val="005A64"/>
                </w:rPr>
                <w:t>License and Collaboration Agreement, by and between the Registrant and OncoC4, Inc., dated as of March</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65">
              <w:r>
                <w:rPr>
                  <w:rFonts w:ascii="Arial" w:cs="Arial" w:eastAsia="Arial" w:hAnsi="Arial"/>
                  <w:sz w:val="12"/>
                  <w:szCs w:val="12"/>
                  <w:color w:val="005A64"/>
                </w:rPr>
                <w:t>17, 2023 (incorporated herein by reference to Exhibit 4.48 to the Registrant’s Annual Report on Form 20-F</w:t>
              </w:r>
            </w:hyperlink>
          </w:p>
        </w:tc>
      </w:tr>
      <w:tr>
        <w:trPr>
          <w:trHeight w:val="160"/>
        </w:trPr>
        <w:tc>
          <w:tcPr>
            <w:tcW w:w="720" w:type="dxa"/>
            <w:vAlign w:val="bottom"/>
          </w:tcPr>
          <w:p>
            <w:pPr>
              <w:spacing w:after="0"/>
              <w:rPr>
                <w:sz w:val="13"/>
                <w:szCs w:val="13"/>
                <w:color w:val="auto"/>
              </w:rPr>
            </w:pPr>
          </w:p>
        </w:tc>
        <w:tc>
          <w:tcPr>
            <w:tcW w:w="7520" w:type="dxa"/>
            <w:vAlign w:val="bottom"/>
            <w:gridSpan w:val="2"/>
          </w:tcPr>
          <w:p>
            <w:pPr>
              <w:ind w:left="60"/>
              <w:spacing w:after="0"/>
              <w:rPr>
                <w:rFonts w:ascii="Arial" w:cs="Arial" w:eastAsia="Arial" w:hAnsi="Arial"/>
                <w:sz w:val="12"/>
                <w:szCs w:val="12"/>
                <w:color w:val="005A64"/>
              </w:rPr>
            </w:pPr>
            <w:hyperlink r:id="rId365">
              <w:r>
                <w:rPr>
                  <w:rFonts w:ascii="Arial" w:cs="Arial" w:eastAsia="Arial" w:hAnsi="Arial"/>
                  <w:sz w:val="12"/>
                  <w:szCs w:val="12"/>
                  <w:color w:val="005A64"/>
                </w:rPr>
                <w:t>(File No. 001-39081), filed with the SEC on March 20, 2024)</w:t>
              </w:r>
            </w:hyperlink>
          </w:p>
        </w:tc>
      </w:tr>
      <w:tr>
        <w:trPr>
          <w:trHeight w:val="194"/>
        </w:trPr>
        <w:tc>
          <w:tcPr>
            <w:tcW w:w="720" w:type="dxa"/>
            <w:vAlign w:val="bottom"/>
          </w:tcPr>
          <w:p>
            <w:pPr>
              <w:ind w:left="20"/>
              <w:spacing w:after="0"/>
              <w:rPr>
                <w:sz w:val="20"/>
                <w:szCs w:val="20"/>
                <w:color w:val="auto"/>
              </w:rPr>
            </w:pPr>
            <w:r>
              <w:rPr>
                <w:rFonts w:ascii="Arial" w:cs="Arial" w:eastAsia="Arial" w:hAnsi="Arial"/>
                <w:sz w:val="12"/>
                <w:szCs w:val="12"/>
                <w:color w:val="005A64"/>
              </w:rPr>
              <w:t>4.49†</w:t>
            </w:r>
          </w:p>
        </w:tc>
        <w:tc>
          <w:tcPr>
            <w:tcW w:w="7520" w:type="dxa"/>
            <w:vAlign w:val="bottom"/>
            <w:gridSpan w:val="2"/>
          </w:tcPr>
          <w:p>
            <w:pPr>
              <w:ind w:left="60"/>
              <w:spacing w:after="0"/>
              <w:rPr>
                <w:rFonts w:ascii="Arial" w:cs="Arial" w:eastAsia="Arial" w:hAnsi="Arial"/>
                <w:sz w:val="12"/>
                <w:szCs w:val="12"/>
                <w:color w:val="005A64"/>
              </w:rPr>
            </w:pPr>
            <w:hyperlink r:id="rId366">
              <w:r>
                <w:rPr>
                  <w:rFonts w:ascii="Arial" w:cs="Arial" w:eastAsia="Arial" w:hAnsi="Arial"/>
                  <w:sz w:val="12"/>
                  <w:szCs w:val="12"/>
                  <w:color w:val="005A64"/>
                </w:rPr>
                <w:t>Amendment No. 1 to the License and Collaboration Agreement, by and between the Registrant and OncoC4,</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66">
              <w:r>
                <w:rPr>
                  <w:rFonts w:ascii="Arial" w:cs="Arial" w:eastAsia="Arial" w:hAnsi="Arial"/>
                  <w:sz w:val="12"/>
                  <w:szCs w:val="12"/>
                  <w:color w:val="005A64"/>
                </w:rPr>
                <w:t>Inc., dated as of February 14, 2024 (incorporated herein by reference to Exhibit 4.49 to the Registrant’s</w:t>
              </w:r>
            </w:hyperlink>
          </w:p>
        </w:tc>
      </w:tr>
      <w:tr>
        <w:trPr>
          <w:trHeight w:val="160"/>
        </w:trPr>
        <w:tc>
          <w:tcPr>
            <w:tcW w:w="720" w:type="dxa"/>
            <w:vAlign w:val="bottom"/>
          </w:tcPr>
          <w:p>
            <w:pPr>
              <w:spacing w:after="0"/>
              <w:rPr>
                <w:sz w:val="13"/>
                <w:szCs w:val="13"/>
                <w:color w:val="auto"/>
              </w:rPr>
            </w:pPr>
          </w:p>
        </w:tc>
        <w:tc>
          <w:tcPr>
            <w:tcW w:w="7520" w:type="dxa"/>
            <w:vAlign w:val="bottom"/>
            <w:gridSpan w:val="2"/>
          </w:tcPr>
          <w:p>
            <w:pPr>
              <w:ind w:left="60"/>
              <w:spacing w:after="0"/>
              <w:rPr>
                <w:rFonts w:ascii="Arial" w:cs="Arial" w:eastAsia="Arial" w:hAnsi="Arial"/>
                <w:sz w:val="12"/>
                <w:szCs w:val="12"/>
                <w:color w:val="005A64"/>
              </w:rPr>
            </w:pPr>
            <w:hyperlink r:id="rId366">
              <w:r>
                <w:rPr>
                  <w:rFonts w:ascii="Arial" w:cs="Arial" w:eastAsia="Arial" w:hAnsi="Arial"/>
                  <w:sz w:val="12"/>
                  <w:szCs w:val="12"/>
                  <w:color w:val="005A64"/>
                </w:rPr>
                <w:t>Annual Report on Form 20-F (File No. 001-39081), filed with the SEC on March 20, 2024)</w:t>
              </w:r>
            </w:hyperlink>
          </w:p>
        </w:tc>
      </w:tr>
      <w:tr>
        <w:trPr>
          <w:trHeight w:val="194"/>
        </w:trPr>
        <w:tc>
          <w:tcPr>
            <w:tcW w:w="720" w:type="dxa"/>
            <w:vAlign w:val="bottom"/>
          </w:tcPr>
          <w:p>
            <w:pPr>
              <w:ind w:left="20"/>
              <w:spacing w:after="0"/>
              <w:rPr>
                <w:sz w:val="20"/>
                <w:szCs w:val="20"/>
                <w:color w:val="auto"/>
              </w:rPr>
            </w:pPr>
            <w:r>
              <w:rPr>
                <w:rFonts w:ascii="Arial" w:cs="Arial" w:eastAsia="Arial" w:hAnsi="Arial"/>
                <w:sz w:val="12"/>
                <w:szCs w:val="12"/>
                <w:color w:val="005A64"/>
              </w:rPr>
              <w:t>4.50†</w:t>
            </w:r>
          </w:p>
        </w:tc>
        <w:tc>
          <w:tcPr>
            <w:tcW w:w="7520" w:type="dxa"/>
            <w:vAlign w:val="bottom"/>
            <w:gridSpan w:val="2"/>
          </w:tcPr>
          <w:p>
            <w:pPr>
              <w:ind w:left="60"/>
              <w:spacing w:after="0"/>
              <w:rPr>
                <w:rFonts w:ascii="Arial" w:cs="Arial" w:eastAsia="Arial" w:hAnsi="Arial"/>
                <w:sz w:val="12"/>
                <w:szCs w:val="12"/>
                <w:color w:val="005A64"/>
              </w:rPr>
            </w:pPr>
            <w:hyperlink r:id="rId367">
              <w:r>
                <w:rPr>
                  <w:rFonts w:ascii="Arial" w:cs="Arial" w:eastAsia="Arial" w:hAnsi="Arial"/>
                  <w:sz w:val="12"/>
                  <w:szCs w:val="12"/>
                  <w:color w:val="005A64"/>
                </w:rPr>
                <w:t>License and Collaboration Agreement (HER2), by and between the Registrant and Duality Biologics (Suzhou)</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67">
              <w:r>
                <w:rPr>
                  <w:rFonts w:ascii="Arial" w:cs="Arial" w:eastAsia="Arial" w:hAnsi="Arial"/>
                  <w:sz w:val="12"/>
                  <w:szCs w:val="12"/>
                  <w:color w:val="005A64"/>
                </w:rPr>
                <w:t>Co. Ltd., dated as of March 16, 2023 (incorporated herein by reference to Exhibit 4.50 to the Registrant’s</w:t>
              </w:r>
            </w:hyperlink>
          </w:p>
        </w:tc>
      </w:tr>
      <w:tr>
        <w:trPr>
          <w:trHeight w:val="160"/>
        </w:trPr>
        <w:tc>
          <w:tcPr>
            <w:tcW w:w="720" w:type="dxa"/>
            <w:vAlign w:val="bottom"/>
          </w:tcPr>
          <w:p>
            <w:pPr>
              <w:spacing w:after="0"/>
              <w:rPr>
                <w:sz w:val="13"/>
                <w:szCs w:val="13"/>
                <w:color w:val="auto"/>
              </w:rPr>
            </w:pPr>
          </w:p>
        </w:tc>
        <w:tc>
          <w:tcPr>
            <w:tcW w:w="7520" w:type="dxa"/>
            <w:vAlign w:val="bottom"/>
            <w:gridSpan w:val="2"/>
          </w:tcPr>
          <w:p>
            <w:pPr>
              <w:ind w:left="60"/>
              <w:spacing w:after="0"/>
              <w:rPr>
                <w:rFonts w:ascii="Arial" w:cs="Arial" w:eastAsia="Arial" w:hAnsi="Arial"/>
                <w:sz w:val="12"/>
                <w:szCs w:val="12"/>
                <w:color w:val="005A64"/>
              </w:rPr>
            </w:pPr>
            <w:hyperlink r:id="rId367">
              <w:r>
                <w:rPr>
                  <w:rFonts w:ascii="Arial" w:cs="Arial" w:eastAsia="Arial" w:hAnsi="Arial"/>
                  <w:sz w:val="12"/>
                  <w:szCs w:val="12"/>
                  <w:color w:val="005A64"/>
                </w:rPr>
                <w:t>Annual Report on Form 20-F (File No. 001-39081), filed with the SEC on March 20, 2024)</w:t>
              </w:r>
            </w:hyperlink>
          </w:p>
        </w:tc>
      </w:tr>
      <w:tr>
        <w:trPr>
          <w:trHeight w:val="194"/>
        </w:trPr>
        <w:tc>
          <w:tcPr>
            <w:tcW w:w="720" w:type="dxa"/>
            <w:vAlign w:val="bottom"/>
          </w:tcPr>
          <w:p>
            <w:pPr>
              <w:ind w:left="20"/>
              <w:spacing w:after="0"/>
              <w:rPr>
                <w:sz w:val="20"/>
                <w:szCs w:val="20"/>
                <w:color w:val="auto"/>
              </w:rPr>
            </w:pPr>
            <w:r>
              <w:rPr>
                <w:rFonts w:ascii="Arial" w:cs="Arial" w:eastAsia="Arial" w:hAnsi="Arial"/>
                <w:sz w:val="12"/>
                <w:szCs w:val="12"/>
                <w:color w:val="005A64"/>
              </w:rPr>
              <w:t>4.51†</w:t>
            </w:r>
          </w:p>
        </w:tc>
        <w:tc>
          <w:tcPr>
            <w:tcW w:w="7520" w:type="dxa"/>
            <w:vAlign w:val="bottom"/>
            <w:gridSpan w:val="2"/>
          </w:tcPr>
          <w:p>
            <w:pPr>
              <w:ind w:left="60"/>
              <w:spacing w:after="0"/>
              <w:rPr>
                <w:rFonts w:ascii="Arial" w:cs="Arial" w:eastAsia="Arial" w:hAnsi="Arial"/>
                <w:sz w:val="12"/>
                <w:szCs w:val="12"/>
                <w:color w:val="005A64"/>
              </w:rPr>
            </w:pPr>
            <w:hyperlink r:id="rId368">
              <w:r>
                <w:rPr>
                  <w:rFonts w:ascii="Arial" w:cs="Arial" w:eastAsia="Arial" w:hAnsi="Arial"/>
                  <w:sz w:val="12"/>
                  <w:szCs w:val="12"/>
                  <w:color w:val="005A64"/>
                </w:rPr>
                <w:t>License and Collaboration Agreement (B7H3), by and between the Registrant and Duality Biologics (Suzhou)</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68">
              <w:r>
                <w:rPr>
                  <w:rFonts w:ascii="Arial" w:cs="Arial" w:eastAsia="Arial" w:hAnsi="Arial"/>
                  <w:sz w:val="12"/>
                  <w:szCs w:val="12"/>
                  <w:color w:val="005A64"/>
                </w:rPr>
                <w:t>Co. Ltd., dated as of March 31, 2023 (incorporated herein by reference to Exhibit 4.51 to the Registrant’s</w:t>
              </w:r>
            </w:hyperlink>
          </w:p>
        </w:tc>
      </w:tr>
      <w:tr>
        <w:trPr>
          <w:trHeight w:val="160"/>
        </w:trPr>
        <w:tc>
          <w:tcPr>
            <w:tcW w:w="720" w:type="dxa"/>
            <w:vAlign w:val="bottom"/>
          </w:tcPr>
          <w:p>
            <w:pPr>
              <w:spacing w:after="0"/>
              <w:rPr>
                <w:sz w:val="13"/>
                <w:szCs w:val="13"/>
                <w:color w:val="auto"/>
              </w:rPr>
            </w:pPr>
          </w:p>
        </w:tc>
        <w:tc>
          <w:tcPr>
            <w:tcW w:w="7520" w:type="dxa"/>
            <w:vAlign w:val="bottom"/>
            <w:gridSpan w:val="2"/>
          </w:tcPr>
          <w:p>
            <w:pPr>
              <w:ind w:left="60"/>
              <w:spacing w:after="0"/>
              <w:rPr>
                <w:rFonts w:ascii="Arial" w:cs="Arial" w:eastAsia="Arial" w:hAnsi="Arial"/>
                <w:sz w:val="12"/>
                <w:szCs w:val="12"/>
                <w:color w:val="005A64"/>
              </w:rPr>
            </w:pPr>
            <w:hyperlink r:id="rId368">
              <w:r>
                <w:rPr>
                  <w:rFonts w:ascii="Arial" w:cs="Arial" w:eastAsia="Arial" w:hAnsi="Arial"/>
                  <w:sz w:val="12"/>
                  <w:szCs w:val="12"/>
                  <w:color w:val="005A64"/>
                </w:rPr>
                <w:t>Annual Report on Form 20-F (File No. 001-39081), filed with the SEC on March 20, 2024)</w:t>
              </w:r>
            </w:hyperlink>
          </w:p>
        </w:tc>
      </w:tr>
      <w:tr>
        <w:trPr>
          <w:trHeight w:val="194"/>
        </w:trPr>
        <w:tc>
          <w:tcPr>
            <w:tcW w:w="720" w:type="dxa"/>
            <w:vAlign w:val="bottom"/>
          </w:tcPr>
          <w:p>
            <w:pPr>
              <w:ind w:left="20"/>
              <w:spacing w:after="0"/>
              <w:rPr>
                <w:sz w:val="20"/>
                <w:szCs w:val="20"/>
                <w:color w:val="auto"/>
              </w:rPr>
            </w:pPr>
            <w:r>
              <w:rPr>
                <w:rFonts w:ascii="Arial" w:cs="Arial" w:eastAsia="Arial" w:hAnsi="Arial"/>
                <w:sz w:val="12"/>
                <w:szCs w:val="12"/>
                <w:color w:val="005A64"/>
              </w:rPr>
              <w:t>4.52†</w:t>
            </w:r>
          </w:p>
        </w:tc>
        <w:tc>
          <w:tcPr>
            <w:tcW w:w="7520" w:type="dxa"/>
            <w:vAlign w:val="bottom"/>
            <w:gridSpan w:val="2"/>
          </w:tcPr>
          <w:p>
            <w:pPr>
              <w:ind w:left="60"/>
              <w:spacing w:after="0"/>
              <w:rPr>
                <w:rFonts w:ascii="Arial" w:cs="Arial" w:eastAsia="Arial" w:hAnsi="Arial"/>
                <w:sz w:val="12"/>
                <w:szCs w:val="12"/>
                <w:color w:val="005A64"/>
              </w:rPr>
            </w:pPr>
            <w:hyperlink r:id="rId369">
              <w:r>
                <w:rPr>
                  <w:rFonts w:ascii="Arial" w:cs="Arial" w:eastAsia="Arial" w:hAnsi="Arial"/>
                  <w:sz w:val="12"/>
                  <w:szCs w:val="12"/>
                  <w:color w:val="005A64"/>
                </w:rPr>
                <w:t>License and Collaboration Agreement (TROP2), by and between the Registrant and Duality Biologics</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69">
              <w:r>
                <w:rPr>
                  <w:rFonts w:ascii="Arial" w:cs="Arial" w:eastAsia="Arial" w:hAnsi="Arial"/>
                  <w:sz w:val="12"/>
                  <w:szCs w:val="12"/>
                  <w:color w:val="005A64"/>
                </w:rPr>
                <w:t>(Suzhou) Co. Ltd., dated as of August 4, 2023 (incorporated herein by reference to Exhibit 4.52 to the</w:t>
              </w:r>
            </w:hyperlink>
          </w:p>
        </w:tc>
      </w:tr>
      <w:tr>
        <w:trPr>
          <w:trHeight w:val="160"/>
        </w:trPr>
        <w:tc>
          <w:tcPr>
            <w:tcW w:w="720" w:type="dxa"/>
            <w:vAlign w:val="bottom"/>
          </w:tcPr>
          <w:p>
            <w:pPr>
              <w:spacing w:after="0"/>
              <w:rPr>
                <w:sz w:val="13"/>
                <w:szCs w:val="13"/>
                <w:color w:val="auto"/>
              </w:rPr>
            </w:pPr>
          </w:p>
        </w:tc>
        <w:tc>
          <w:tcPr>
            <w:tcW w:w="7520" w:type="dxa"/>
            <w:vAlign w:val="bottom"/>
            <w:gridSpan w:val="2"/>
          </w:tcPr>
          <w:p>
            <w:pPr>
              <w:ind w:left="60"/>
              <w:spacing w:after="0"/>
              <w:rPr>
                <w:rFonts w:ascii="Arial" w:cs="Arial" w:eastAsia="Arial" w:hAnsi="Arial"/>
                <w:sz w:val="12"/>
                <w:szCs w:val="12"/>
                <w:color w:val="005A64"/>
              </w:rPr>
            </w:pPr>
            <w:hyperlink r:id="rId369">
              <w:r>
                <w:rPr>
                  <w:rFonts w:ascii="Arial" w:cs="Arial" w:eastAsia="Arial" w:hAnsi="Arial"/>
                  <w:sz w:val="12"/>
                  <w:szCs w:val="12"/>
                  <w:color w:val="005A64"/>
                </w:rPr>
                <w:t>Registrant’s Annual Report on Form 20-F (File No. 001-39081), filed with the SEC on March 20, 2024)</w:t>
              </w:r>
            </w:hyperlink>
          </w:p>
        </w:tc>
      </w:tr>
      <w:tr>
        <w:trPr>
          <w:trHeight w:val="194"/>
        </w:trPr>
        <w:tc>
          <w:tcPr>
            <w:tcW w:w="720" w:type="dxa"/>
            <w:vAlign w:val="bottom"/>
          </w:tcPr>
          <w:p>
            <w:pPr>
              <w:ind w:left="20"/>
              <w:spacing w:after="0"/>
              <w:rPr>
                <w:sz w:val="20"/>
                <w:szCs w:val="20"/>
                <w:color w:val="auto"/>
              </w:rPr>
            </w:pPr>
            <w:r>
              <w:rPr>
                <w:rFonts w:ascii="Arial" w:cs="Arial" w:eastAsia="Arial" w:hAnsi="Arial"/>
                <w:sz w:val="12"/>
                <w:szCs w:val="12"/>
                <w:color w:val="005A64"/>
              </w:rPr>
              <w:t>4.53†</w:t>
            </w:r>
          </w:p>
        </w:tc>
        <w:tc>
          <w:tcPr>
            <w:tcW w:w="7520" w:type="dxa"/>
            <w:vAlign w:val="bottom"/>
            <w:gridSpan w:val="2"/>
          </w:tcPr>
          <w:p>
            <w:pPr>
              <w:ind w:left="60"/>
              <w:spacing w:after="0"/>
              <w:rPr>
                <w:rFonts w:ascii="Arial" w:cs="Arial" w:eastAsia="Arial" w:hAnsi="Arial"/>
                <w:sz w:val="12"/>
                <w:szCs w:val="12"/>
                <w:color w:val="005A64"/>
              </w:rPr>
            </w:pPr>
            <w:hyperlink r:id="rId370">
              <w:r>
                <w:rPr>
                  <w:rFonts w:ascii="Arial" w:cs="Arial" w:eastAsia="Arial" w:hAnsi="Arial"/>
                  <w:sz w:val="12"/>
                  <w:szCs w:val="12"/>
                  <w:color w:val="005A64"/>
                </w:rPr>
                <w:t>License and Option Agreement, by and among Autolus Limited, Autolus Holdings (UK) Limited and the</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70">
              <w:r>
                <w:rPr>
                  <w:rFonts w:ascii="Arial" w:cs="Arial" w:eastAsia="Arial" w:hAnsi="Arial"/>
                  <w:sz w:val="12"/>
                  <w:szCs w:val="12"/>
                  <w:color w:val="005A64"/>
                </w:rPr>
                <w:t>Registrant, dated as of February 6, 2024 (incorporated herein by reference to Exhibit 4.54 to the Registrant’s</w:t>
              </w:r>
            </w:hyperlink>
          </w:p>
        </w:tc>
      </w:tr>
      <w:tr>
        <w:trPr>
          <w:trHeight w:val="160"/>
        </w:trPr>
        <w:tc>
          <w:tcPr>
            <w:tcW w:w="720" w:type="dxa"/>
            <w:vAlign w:val="bottom"/>
          </w:tcPr>
          <w:p>
            <w:pPr>
              <w:spacing w:after="0"/>
              <w:rPr>
                <w:sz w:val="13"/>
                <w:szCs w:val="13"/>
                <w:color w:val="auto"/>
              </w:rPr>
            </w:pPr>
          </w:p>
        </w:tc>
        <w:tc>
          <w:tcPr>
            <w:tcW w:w="7520" w:type="dxa"/>
            <w:vAlign w:val="bottom"/>
            <w:gridSpan w:val="2"/>
          </w:tcPr>
          <w:p>
            <w:pPr>
              <w:ind w:left="60"/>
              <w:spacing w:after="0"/>
              <w:rPr>
                <w:rFonts w:ascii="Arial" w:cs="Arial" w:eastAsia="Arial" w:hAnsi="Arial"/>
                <w:sz w:val="12"/>
                <w:szCs w:val="12"/>
                <w:color w:val="005A64"/>
              </w:rPr>
            </w:pPr>
            <w:hyperlink r:id="rId370">
              <w:r>
                <w:rPr>
                  <w:rFonts w:ascii="Arial" w:cs="Arial" w:eastAsia="Arial" w:hAnsi="Arial"/>
                  <w:sz w:val="12"/>
                  <w:szCs w:val="12"/>
                  <w:color w:val="005A64"/>
                </w:rPr>
                <w:t>Annual Report on Form 20-F (File No. 001-39081), filed with the SEC on March 20, 2024)</w:t>
              </w:r>
            </w:hyperlink>
          </w:p>
        </w:tc>
      </w:tr>
      <w:tr>
        <w:trPr>
          <w:trHeight w:val="194"/>
        </w:trPr>
        <w:tc>
          <w:tcPr>
            <w:tcW w:w="720" w:type="dxa"/>
            <w:vAlign w:val="bottom"/>
          </w:tcPr>
          <w:p>
            <w:pPr>
              <w:ind w:left="20"/>
              <w:spacing w:after="0"/>
              <w:rPr>
                <w:sz w:val="20"/>
                <w:szCs w:val="20"/>
                <w:color w:val="auto"/>
              </w:rPr>
            </w:pPr>
            <w:r>
              <w:rPr>
                <w:rFonts w:ascii="Arial" w:cs="Arial" w:eastAsia="Arial" w:hAnsi="Arial"/>
                <w:sz w:val="12"/>
                <w:szCs w:val="12"/>
                <w:color w:val="005A64"/>
              </w:rPr>
              <w:t>4.54*†</w:t>
            </w:r>
          </w:p>
        </w:tc>
        <w:tc>
          <w:tcPr>
            <w:tcW w:w="7520" w:type="dxa"/>
            <w:vAlign w:val="bottom"/>
            <w:gridSpan w:val="2"/>
          </w:tcPr>
          <w:p>
            <w:pPr>
              <w:ind w:left="60"/>
              <w:spacing w:after="0"/>
              <w:rPr>
                <w:rFonts w:ascii="Arial" w:cs="Arial" w:eastAsia="Arial" w:hAnsi="Arial"/>
                <w:sz w:val="12"/>
                <w:szCs w:val="12"/>
                <w:color w:val="005A64"/>
              </w:rPr>
            </w:pPr>
            <w:hyperlink r:id="rId371">
              <w:r>
                <w:rPr>
                  <w:rFonts w:ascii="Arial" w:cs="Arial" w:eastAsia="Arial" w:hAnsi="Arial"/>
                  <w:sz w:val="12"/>
                  <w:szCs w:val="12"/>
                  <w:color w:val="005A64"/>
                </w:rPr>
                <w:t xml:space="preserve">Letter Re: Combination trials under License and Collaboration Agreements </w:t>
              </w:r>
            </w:hyperlink>
            <w:hyperlink w:anchor="page1">
              <w:r>
                <w:rPr>
                  <w:rFonts w:ascii="Arial" w:cs="Arial" w:eastAsia="Arial" w:hAnsi="Arial"/>
                  <w:sz w:val="12"/>
                  <w:szCs w:val="12"/>
                  <w:color w:val="005A64"/>
                </w:rPr>
                <w:t>(HER2, B7H3 and TROP2), by</w:t>
              </w:r>
            </w:hyperlink>
          </w:p>
        </w:tc>
      </w:tr>
      <w:tr>
        <w:trPr>
          <w:trHeight w:val="160"/>
        </w:trPr>
        <w:tc>
          <w:tcPr>
            <w:tcW w:w="720" w:type="dxa"/>
            <w:vAlign w:val="bottom"/>
          </w:tcPr>
          <w:p>
            <w:pPr>
              <w:spacing w:after="0"/>
              <w:rPr>
                <w:sz w:val="13"/>
                <w:szCs w:val="13"/>
                <w:color w:val="auto"/>
              </w:rPr>
            </w:pPr>
          </w:p>
        </w:tc>
        <w:tc>
          <w:tcPr>
            <w:tcW w:w="7520" w:type="dxa"/>
            <w:vAlign w:val="bottom"/>
            <w:gridSpan w:val="2"/>
          </w:tcPr>
          <w:p>
            <w:pPr>
              <w:ind w:left="60"/>
              <w:spacing w:after="0"/>
              <w:rPr>
                <w:rFonts w:ascii="Arial" w:cs="Arial" w:eastAsia="Arial" w:hAnsi="Arial"/>
                <w:sz w:val="12"/>
                <w:szCs w:val="12"/>
                <w:color w:val="005A64"/>
              </w:rPr>
            </w:pPr>
            <w:hyperlink r:id="rId372">
              <w:r>
                <w:rPr>
                  <w:rFonts w:ascii="Arial" w:cs="Arial" w:eastAsia="Arial" w:hAnsi="Arial"/>
                  <w:sz w:val="12"/>
                  <w:szCs w:val="12"/>
                  <w:color w:val="005A64"/>
                </w:rPr>
                <w:t>and between the Registrant and Duality Biologics (Suzhou) Co. Ltd., dated as of November 13, 2024</w:t>
              </w:r>
            </w:hyperlink>
          </w:p>
        </w:tc>
      </w:tr>
      <w:tr>
        <w:trPr>
          <w:trHeight w:val="164"/>
        </w:trPr>
        <w:tc>
          <w:tcPr>
            <w:tcW w:w="720" w:type="dxa"/>
            <w:vAlign w:val="bottom"/>
          </w:tcPr>
          <w:p>
            <w:pPr>
              <w:ind w:left="20"/>
              <w:spacing w:after="0"/>
              <w:rPr>
                <w:sz w:val="20"/>
                <w:szCs w:val="20"/>
                <w:color w:val="auto"/>
              </w:rPr>
            </w:pPr>
            <w:r>
              <w:rPr>
                <w:rFonts w:ascii="Arial" w:cs="Arial" w:eastAsia="Arial" w:hAnsi="Arial"/>
                <w:sz w:val="12"/>
                <w:szCs w:val="12"/>
                <w:color w:val="005A64"/>
              </w:rPr>
              <w:t>4.55*†</w:t>
            </w:r>
          </w:p>
        </w:tc>
        <w:tc>
          <w:tcPr>
            <w:tcW w:w="7520" w:type="dxa"/>
            <w:vAlign w:val="bottom"/>
            <w:gridSpan w:val="2"/>
          </w:tcPr>
          <w:p>
            <w:pPr>
              <w:ind w:left="60"/>
              <w:spacing w:after="0"/>
              <w:rPr>
                <w:rFonts w:ascii="Arial" w:cs="Arial" w:eastAsia="Arial" w:hAnsi="Arial"/>
                <w:sz w:val="12"/>
                <w:szCs w:val="12"/>
                <w:color w:val="005A64"/>
              </w:rPr>
            </w:pPr>
            <w:hyperlink r:id="rId372">
              <w:r>
                <w:rPr>
                  <w:rFonts w:ascii="Arial" w:cs="Arial" w:eastAsia="Arial" w:hAnsi="Arial"/>
                  <w:sz w:val="12"/>
                  <w:szCs w:val="12"/>
                  <w:color w:val="005A64"/>
                </w:rPr>
                <w:t xml:space="preserve">Agreement and Plan of Merger, by and among BioNTech Collaborations GmbH, Simba Merger Sub, </w:t>
              </w:r>
            </w:hyperlink>
            <w:hyperlink w:anchor="page1">
              <w:r>
                <w:rPr>
                  <w:rFonts w:ascii="Arial" w:cs="Arial" w:eastAsia="Arial" w:hAnsi="Arial"/>
                  <w:sz w:val="12"/>
                  <w:szCs w:val="12"/>
                  <w:color w:val="005A64"/>
                </w:rPr>
                <w:t>Biotheus</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72">
              <w:r>
                <w:rPr>
                  <w:rFonts w:ascii="Arial" w:cs="Arial" w:eastAsia="Arial" w:hAnsi="Arial"/>
                  <w:sz w:val="12"/>
                  <w:szCs w:val="12"/>
                  <w:color w:val="005A64"/>
                </w:rPr>
                <w:t xml:space="preserve">and Shareholder Representative Services LLC, solely in its capacity as the Shareholders’ Agent, dated </w:t>
              </w:r>
            </w:hyperlink>
            <w:hyperlink w:anchor="page1">
              <w:r>
                <w:rPr>
                  <w:rFonts w:ascii="Arial" w:cs="Arial" w:eastAsia="Arial" w:hAnsi="Arial"/>
                  <w:sz w:val="12"/>
                  <w:szCs w:val="12"/>
                  <w:color w:val="005A64"/>
                </w:rPr>
                <w:t>as of</w:t>
              </w:r>
            </w:hyperlink>
          </w:p>
        </w:tc>
      </w:tr>
      <w:tr>
        <w:trPr>
          <w:trHeight w:val="160"/>
        </w:trPr>
        <w:tc>
          <w:tcPr>
            <w:tcW w:w="720" w:type="dxa"/>
            <w:vAlign w:val="bottom"/>
          </w:tcPr>
          <w:p>
            <w:pPr>
              <w:spacing w:after="0"/>
              <w:rPr>
                <w:sz w:val="13"/>
                <w:szCs w:val="13"/>
                <w:color w:val="auto"/>
              </w:rPr>
            </w:pPr>
          </w:p>
        </w:tc>
        <w:tc>
          <w:tcPr>
            <w:tcW w:w="7520" w:type="dxa"/>
            <w:vAlign w:val="bottom"/>
            <w:gridSpan w:val="2"/>
          </w:tcPr>
          <w:p>
            <w:pPr>
              <w:ind w:left="60"/>
              <w:spacing w:after="0"/>
              <w:rPr>
                <w:rFonts w:ascii="Arial" w:cs="Arial" w:eastAsia="Arial" w:hAnsi="Arial"/>
                <w:sz w:val="12"/>
                <w:szCs w:val="12"/>
                <w:color w:val="005A64"/>
              </w:rPr>
            </w:pPr>
            <w:hyperlink r:id="rId372">
              <w:r>
                <w:rPr>
                  <w:rFonts w:ascii="Arial" w:cs="Arial" w:eastAsia="Arial" w:hAnsi="Arial"/>
                  <w:sz w:val="12"/>
                  <w:szCs w:val="12"/>
                  <w:color w:val="005A64"/>
                </w:rPr>
                <w:t xml:space="preserve">November 13, </w:t>
              </w:r>
            </w:hyperlink>
            <w:hyperlink w:anchor="page1">
              <w:r>
                <w:rPr>
                  <w:rFonts w:ascii="Arial" w:cs="Arial" w:eastAsia="Arial" w:hAnsi="Arial"/>
                  <w:sz w:val="12"/>
                  <w:szCs w:val="12"/>
                  <w:color w:val="005A64"/>
                </w:rPr>
                <w:t>2024</w:t>
              </w:r>
            </w:hyperlink>
          </w:p>
        </w:tc>
      </w:tr>
      <w:tr>
        <w:trPr>
          <w:trHeight w:val="194"/>
        </w:trPr>
        <w:tc>
          <w:tcPr>
            <w:tcW w:w="720" w:type="dxa"/>
            <w:vAlign w:val="bottom"/>
          </w:tcPr>
          <w:p>
            <w:pPr>
              <w:ind w:left="20"/>
              <w:spacing w:after="0"/>
              <w:rPr>
                <w:sz w:val="20"/>
                <w:szCs w:val="20"/>
                <w:color w:val="auto"/>
              </w:rPr>
            </w:pPr>
            <w:r>
              <w:rPr>
                <w:rFonts w:ascii="Arial" w:cs="Arial" w:eastAsia="Arial" w:hAnsi="Arial"/>
                <w:sz w:val="12"/>
                <w:szCs w:val="12"/>
                <w:color w:val="005A64"/>
              </w:rPr>
              <w:t>4.56*†</w:t>
            </w:r>
          </w:p>
        </w:tc>
        <w:tc>
          <w:tcPr>
            <w:tcW w:w="7520" w:type="dxa"/>
            <w:vAlign w:val="bottom"/>
            <w:gridSpan w:val="2"/>
          </w:tcPr>
          <w:p>
            <w:pPr>
              <w:ind w:left="60"/>
              <w:spacing w:after="0"/>
              <w:rPr>
                <w:rFonts w:ascii="Arial" w:cs="Arial" w:eastAsia="Arial" w:hAnsi="Arial"/>
                <w:sz w:val="12"/>
                <w:szCs w:val="12"/>
                <w:color w:val="005A64"/>
              </w:rPr>
            </w:pPr>
            <w:hyperlink r:id="rId373">
              <w:r>
                <w:rPr>
                  <w:rFonts w:ascii="Arial" w:cs="Arial" w:eastAsia="Arial" w:hAnsi="Arial"/>
                  <w:sz w:val="12"/>
                  <w:szCs w:val="12"/>
                  <w:color w:val="005A64"/>
                </w:rPr>
                <w:t>Amended and Restated Agreement, by and between the Registrant and the U.S. Department of Health and</w:t>
              </w:r>
            </w:hyperlink>
          </w:p>
        </w:tc>
      </w:tr>
      <w:tr>
        <w:trPr>
          <w:trHeight w:val="121"/>
        </w:trPr>
        <w:tc>
          <w:tcPr>
            <w:tcW w:w="720" w:type="dxa"/>
            <w:vAlign w:val="bottom"/>
          </w:tcPr>
          <w:p>
            <w:pPr>
              <w:spacing w:after="0"/>
              <w:rPr>
                <w:sz w:val="10"/>
                <w:szCs w:val="10"/>
                <w:color w:val="auto"/>
              </w:rPr>
            </w:pPr>
          </w:p>
        </w:tc>
        <w:tc>
          <w:tcPr>
            <w:tcW w:w="7520" w:type="dxa"/>
            <w:vAlign w:val="bottom"/>
            <w:gridSpan w:val="2"/>
          </w:tcPr>
          <w:p>
            <w:pPr>
              <w:ind w:left="60"/>
              <w:spacing w:after="0" w:line="121" w:lineRule="exact"/>
              <w:rPr>
                <w:rFonts w:ascii="Arial" w:cs="Arial" w:eastAsia="Arial" w:hAnsi="Arial"/>
                <w:sz w:val="12"/>
                <w:szCs w:val="12"/>
                <w:color w:val="005A64"/>
              </w:rPr>
            </w:pPr>
            <w:hyperlink r:id="rId373">
              <w:r>
                <w:rPr>
                  <w:rFonts w:ascii="Arial" w:cs="Arial" w:eastAsia="Arial" w:hAnsi="Arial"/>
                  <w:sz w:val="12"/>
                  <w:szCs w:val="12"/>
                  <w:color w:val="005A64"/>
                </w:rPr>
                <w:t>Human Services, as represented by the National Institute of Allergy and Infectious Diseases, an Institute or</w:t>
              </w:r>
            </w:hyperlink>
          </w:p>
        </w:tc>
      </w:tr>
      <w:tr>
        <w:trPr>
          <w:trHeight w:val="160"/>
        </w:trPr>
        <w:tc>
          <w:tcPr>
            <w:tcW w:w="720" w:type="dxa"/>
            <w:vAlign w:val="bottom"/>
          </w:tcPr>
          <w:p>
            <w:pPr>
              <w:spacing w:after="0"/>
              <w:rPr>
                <w:sz w:val="13"/>
                <w:szCs w:val="13"/>
                <w:color w:val="auto"/>
              </w:rPr>
            </w:pPr>
          </w:p>
        </w:tc>
        <w:tc>
          <w:tcPr>
            <w:tcW w:w="7520" w:type="dxa"/>
            <w:vAlign w:val="bottom"/>
            <w:gridSpan w:val="2"/>
          </w:tcPr>
          <w:p>
            <w:pPr>
              <w:ind w:left="60"/>
              <w:spacing w:after="0"/>
              <w:rPr>
                <w:rFonts w:ascii="Arial" w:cs="Arial" w:eastAsia="Arial" w:hAnsi="Arial"/>
                <w:sz w:val="12"/>
                <w:szCs w:val="12"/>
                <w:color w:val="005A64"/>
              </w:rPr>
            </w:pPr>
            <w:hyperlink r:id="rId373">
              <w:r>
                <w:rPr>
                  <w:rFonts w:ascii="Arial" w:cs="Arial" w:eastAsia="Arial" w:hAnsi="Arial"/>
                  <w:sz w:val="12"/>
                  <w:szCs w:val="12"/>
                  <w:color w:val="005A64"/>
                </w:rPr>
                <w:t>Center of the National Institutes of Health, dated as of December 20, 2024</w:t>
              </w:r>
            </w:hyperlink>
          </w:p>
        </w:tc>
      </w:tr>
      <w:tr>
        <w:trPr>
          <w:trHeight w:val="232"/>
        </w:trPr>
        <w:tc>
          <w:tcPr>
            <w:tcW w:w="720" w:type="dxa"/>
            <w:vAlign w:val="bottom"/>
          </w:tcPr>
          <w:p>
            <w:pPr>
              <w:ind w:left="20"/>
              <w:spacing w:after="0"/>
              <w:rPr>
                <w:sz w:val="20"/>
                <w:szCs w:val="20"/>
                <w:color w:val="auto"/>
              </w:rPr>
            </w:pPr>
            <w:r>
              <w:rPr>
                <w:rFonts w:ascii="Arial" w:cs="Arial" w:eastAsia="Arial" w:hAnsi="Arial"/>
                <w:sz w:val="12"/>
                <w:szCs w:val="12"/>
                <w:color w:val="005A64"/>
              </w:rPr>
              <w:t>8*</w:t>
            </w:r>
          </w:p>
        </w:tc>
        <w:tc>
          <w:tcPr>
            <w:tcW w:w="7520" w:type="dxa"/>
            <w:vAlign w:val="bottom"/>
            <w:gridSpan w:val="2"/>
          </w:tcPr>
          <w:p>
            <w:pPr>
              <w:ind w:left="60"/>
              <w:spacing w:after="0"/>
              <w:rPr>
                <w:rFonts w:ascii="Arial" w:cs="Arial" w:eastAsia="Arial" w:hAnsi="Arial"/>
                <w:sz w:val="12"/>
                <w:szCs w:val="12"/>
                <w:color w:val="005A64"/>
              </w:rPr>
            </w:pPr>
            <w:hyperlink r:id="rId374">
              <w:r>
                <w:rPr>
                  <w:rFonts w:ascii="Arial" w:cs="Arial" w:eastAsia="Arial" w:hAnsi="Arial"/>
                  <w:sz w:val="12"/>
                  <w:szCs w:val="12"/>
                  <w:color w:val="005A64"/>
                </w:rPr>
                <w:t>List of Subsidiaries of the Registrant</w:t>
              </w:r>
            </w:hyperlink>
          </w:p>
        </w:tc>
      </w:tr>
      <w:tr>
        <w:trPr>
          <w:trHeight w:val="202"/>
        </w:trPr>
        <w:tc>
          <w:tcPr>
            <w:tcW w:w="720" w:type="dxa"/>
            <w:vAlign w:val="bottom"/>
          </w:tcPr>
          <w:p>
            <w:pPr>
              <w:ind w:left="20"/>
              <w:spacing w:after="0"/>
              <w:rPr>
                <w:sz w:val="20"/>
                <w:szCs w:val="20"/>
                <w:color w:val="auto"/>
              </w:rPr>
            </w:pPr>
            <w:r>
              <w:rPr>
                <w:rFonts w:ascii="Arial" w:cs="Arial" w:eastAsia="Arial" w:hAnsi="Arial"/>
                <w:sz w:val="12"/>
                <w:szCs w:val="12"/>
                <w:color w:val="005A64"/>
              </w:rPr>
              <w:t>11.1*†</w:t>
            </w:r>
          </w:p>
        </w:tc>
        <w:tc>
          <w:tcPr>
            <w:tcW w:w="7520" w:type="dxa"/>
            <w:vAlign w:val="bottom"/>
            <w:gridSpan w:val="2"/>
          </w:tcPr>
          <w:p>
            <w:pPr>
              <w:ind w:left="60"/>
              <w:spacing w:after="0"/>
              <w:rPr>
                <w:rFonts w:ascii="Arial" w:cs="Arial" w:eastAsia="Arial" w:hAnsi="Arial"/>
                <w:sz w:val="12"/>
                <w:szCs w:val="12"/>
                <w:color w:val="005A64"/>
              </w:rPr>
            </w:pPr>
            <w:hyperlink r:id="rId374">
              <w:r>
                <w:rPr>
                  <w:rFonts w:ascii="Arial" w:cs="Arial" w:eastAsia="Arial" w:hAnsi="Arial"/>
                  <w:sz w:val="12"/>
                  <w:szCs w:val="12"/>
                  <w:color w:val="005A64"/>
                </w:rPr>
                <w:t>Insider Trading Policy of the Company</w:t>
              </w:r>
            </w:hyperlink>
          </w:p>
        </w:tc>
      </w:tr>
      <w:tr>
        <w:trPr>
          <w:trHeight w:val="164"/>
        </w:trPr>
        <w:tc>
          <w:tcPr>
            <w:tcW w:w="720" w:type="dxa"/>
            <w:vAlign w:val="bottom"/>
          </w:tcPr>
          <w:p>
            <w:pPr>
              <w:ind w:left="20"/>
              <w:spacing w:after="0"/>
              <w:rPr>
                <w:sz w:val="20"/>
                <w:szCs w:val="20"/>
                <w:color w:val="auto"/>
              </w:rPr>
            </w:pPr>
            <w:r>
              <w:rPr>
                <w:rFonts w:ascii="Arial" w:cs="Arial" w:eastAsia="Arial" w:hAnsi="Arial"/>
                <w:sz w:val="12"/>
                <w:szCs w:val="12"/>
                <w:color w:val="005A64"/>
              </w:rPr>
              <w:t>12.1*</w:t>
            </w:r>
          </w:p>
        </w:tc>
        <w:tc>
          <w:tcPr>
            <w:tcW w:w="7520" w:type="dxa"/>
            <w:vAlign w:val="bottom"/>
            <w:gridSpan w:val="2"/>
          </w:tcPr>
          <w:p>
            <w:pPr>
              <w:ind w:left="60"/>
              <w:spacing w:after="0"/>
              <w:rPr>
                <w:rFonts w:ascii="Arial" w:cs="Arial" w:eastAsia="Arial" w:hAnsi="Arial"/>
                <w:sz w:val="12"/>
                <w:szCs w:val="12"/>
                <w:color w:val="005A64"/>
              </w:rPr>
            </w:pPr>
            <w:hyperlink w:anchor="page1">
              <w:r>
                <w:rPr>
                  <w:rFonts w:ascii="Arial" w:cs="Arial" w:eastAsia="Arial" w:hAnsi="Arial"/>
                  <w:sz w:val="12"/>
                  <w:szCs w:val="12"/>
                  <w:color w:val="005A64"/>
                </w:rPr>
                <w:t>Certification of Principal Executive Officer Pursuant to Rules 13a-14(a) and 15d-14(a) under the Securities</w:t>
              </w:r>
            </w:hyperlink>
          </w:p>
        </w:tc>
      </w:tr>
      <w:tr>
        <w:trPr>
          <w:trHeight w:val="160"/>
        </w:trPr>
        <w:tc>
          <w:tcPr>
            <w:tcW w:w="720" w:type="dxa"/>
            <w:vAlign w:val="bottom"/>
          </w:tcPr>
          <w:p>
            <w:pPr>
              <w:spacing w:after="0"/>
              <w:rPr>
                <w:sz w:val="13"/>
                <w:szCs w:val="13"/>
                <w:color w:val="auto"/>
              </w:rPr>
            </w:pPr>
          </w:p>
        </w:tc>
        <w:tc>
          <w:tcPr>
            <w:tcW w:w="7520" w:type="dxa"/>
            <w:vAlign w:val="bottom"/>
            <w:gridSpan w:val="2"/>
          </w:tcPr>
          <w:p>
            <w:pPr>
              <w:ind w:left="60"/>
              <w:spacing w:after="0"/>
              <w:rPr>
                <w:rFonts w:ascii="Arial" w:cs="Arial" w:eastAsia="Arial" w:hAnsi="Arial"/>
                <w:sz w:val="12"/>
                <w:szCs w:val="12"/>
                <w:color w:val="005A64"/>
              </w:rPr>
            </w:pPr>
            <w:hyperlink r:id="rId375">
              <w:r>
                <w:rPr>
                  <w:rFonts w:ascii="Arial" w:cs="Arial" w:eastAsia="Arial" w:hAnsi="Arial"/>
                  <w:sz w:val="12"/>
                  <w:szCs w:val="12"/>
                  <w:color w:val="005A64"/>
                </w:rPr>
                <w:t>Exchange Act of 1934, as Adopted Pursuant to Section 302 of the Sarbanes-Oxley Act of 2002</w:t>
              </w:r>
            </w:hyperlink>
          </w:p>
        </w:tc>
      </w:tr>
      <w:tr>
        <w:trPr>
          <w:trHeight w:val="164"/>
        </w:trPr>
        <w:tc>
          <w:tcPr>
            <w:tcW w:w="720" w:type="dxa"/>
            <w:vAlign w:val="bottom"/>
          </w:tcPr>
          <w:p>
            <w:pPr>
              <w:ind w:left="20"/>
              <w:spacing w:after="0"/>
              <w:rPr>
                <w:sz w:val="20"/>
                <w:szCs w:val="20"/>
                <w:color w:val="auto"/>
              </w:rPr>
            </w:pPr>
            <w:r>
              <w:rPr>
                <w:rFonts w:ascii="Arial" w:cs="Arial" w:eastAsia="Arial" w:hAnsi="Arial"/>
                <w:sz w:val="12"/>
                <w:szCs w:val="12"/>
                <w:color w:val="005A64"/>
              </w:rPr>
              <w:t>12.2*</w:t>
            </w:r>
          </w:p>
        </w:tc>
        <w:tc>
          <w:tcPr>
            <w:tcW w:w="7520" w:type="dxa"/>
            <w:vAlign w:val="bottom"/>
            <w:gridSpan w:val="2"/>
          </w:tcPr>
          <w:p>
            <w:pPr>
              <w:ind w:left="60"/>
              <w:spacing w:after="0"/>
              <w:rPr>
                <w:rFonts w:ascii="Arial" w:cs="Arial" w:eastAsia="Arial" w:hAnsi="Arial"/>
                <w:sz w:val="12"/>
                <w:szCs w:val="12"/>
                <w:color w:val="005A64"/>
              </w:rPr>
            </w:pPr>
            <w:hyperlink r:id="rId375">
              <w:r>
                <w:rPr>
                  <w:rFonts w:ascii="Arial" w:cs="Arial" w:eastAsia="Arial" w:hAnsi="Arial"/>
                  <w:sz w:val="12"/>
                  <w:szCs w:val="12"/>
                  <w:color w:val="005A64"/>
                </w:rPr>
                <w:t xml:space="preserve">Certification of Principal Financial Officer Pursuant to Rules 13a-14(a) and 15d-14(a) under the </w:t>
              </w:r>
            </w:hyperlink>
            <w:hyperlink w:anchor="page1">
              <w:r>
                <w:rPr>
                  <w:rFonts w:ascii="Arial" w:cs="Arial" w:eastAsia="Arial" w:hAnsi="Arial"/>
                  <w:sz w:val="12"/>
                  <w:szCs w:val="12"/>
                  <w:color w:val="005A64"/>
                </w:rPr>
                <w:t>Securities</w:t>
              </w:r>
            </w:hyperlink>
          </w:p>
        </w:tc>
      </w:tr>
      <w:tr>
        <w:trPr>
          <w:trHeight w:val="160"/>
        </w:trPr>
        <w:tc>
          <w:tcPr>
            <w:tcW w:w="720" w:type="dxa"/>
            <w:vAlign w:val="bottom"/>
          </w:tcPr>
          <w:p>
            <w:pPr>
              <w:spacing w:after="0"/>
              <w:rPr>
                <w:sz w:val="13"/>
                <w:szCs w:val="13"/>
                <w:color w:val="auto"/>
              </w:rPr>
            </w:pPr>
          </w:p>
        </w:tc>
        <w:tc>
          <w:tcPr>
            <w:tcW w:w="7520" w:type="dxa"/>
            <w:vAlign w:val="bottom"/>
            <w:gridSpan w:val="2"/>
          </w:tcPr>
          <w:p>
            <w:pPr>
              <w:ind w:left="60"/>
              <w:spacing w:after="0"/>
              <w:rPr>
                <w:rFonts w:ascii="Arial" w:cs="Arial" w:eastAsia="Arial" w:hAnsi="Arial"/>
                <w:sz w:val="12"/>
                <w:szCs w:val="12"/>
                <w:color w:val="005A64"/>
              </w:rPr>
            </w:pPr>
            <w:hyperlink r:id="rId375">
              <w:r>
                <w:rPr>
                  <w:rFonts w:ascii="Arial" w:cs="Arial" w:eastAsia="Arial" w:hAnsi="Arial"/>
                  <w:sz w:val="12"/>
                  <w:szCs w:val="12"/>
                  <w:color w:val="005A64"/>
                </w:rPr>
                <w:t>Exchange Act of 1934, as Adopted Pursuant to Section 302 of the Sarbanes-Oxley Act of 2002</w:t>
              </w:r>
            </w:hyperlink>
          </w:p>
        </w:tc>
      </w:tr>
      <w:tr>
        <w:trPr>
          <w:trHeight w:val="164"/>
        </w:trPr>
        <w:tc>
          <w:tcPr>
            <w:tcW w:w="720" w:type="dxa"/>
            <w:vAlign w:val="bottom"/>
          </w:tcPr>
          <w:p>
            <w:pPr>
              <w:ind w:left="20"/>
              <w:spacing w:after="0"/>
              <w:rPr>
                <w:sz w:val="20"/>
                <w:szCs w:val="20"/>
                <w:color w:val="auto"/>
              </w:rPr>
            </w:pPr>
            <w:r>
              <w:rPr>
                <w:rFonts w:ascii="Arial" w:cs="Arial" w:eastAsia="Arial" w:hAnsi="Arial"/>
                <w:sz w:val="12"/>
                <w:szCs w:val="12"/>
                <w:color w:val="005A64"/>
              </w:rPr>
              <w:t>13.1*</w:t>
            </w:r>
          </w:p>
        </w:tc>
        <w:tc>
          <w:tcPr>
            <w:tcW w:w="7520" w:type="dxa"/>
            <w:vAlign w:val="bottom"/>
            <w:gridSpan w:val="2"/>
          </w:tcPr>
          <w:p>
            <w:pPr>
              <w:ind w:left="60"/>
              <w:spacing w:after="0"/>
              <w:rPr>
                <w:rFonts w:ascii="Arial" w:cs="Arial" w:eastAsia="Arial" w:hAnsi="Arial"/>
                <w:sz w:val="12"/>
                <w:szCs w:val="12"/>
                <w:color w:val="005A64"/>
              </w:rPr>
            </w:pPr>
            <w:hyperlink w:anchor="page1">
              <w:r>
                <w:rPr>
                  <w:rFonts w:ascii="Arial" w:cs="Arial" w:eastAsia="Arial" w:hAnsi="Arial"/>
                  <w:sz w:val="12"/>
                  <w:szCs w:val="12"/>
                  <w:color w:val="005A64"/>
                </w:rPr>
                <w:t>Certification of Principal Executive Officer Pursuant to 18 U.S.C. Section 1350, as Adopted Pursuant to</w:t>
              </w:r>
            </w:hyperlink>
          </w:p>
        </w:tc>
      </w:tr>
      <w:tr>
        <w:trPr>
          <w:trHeight w:val="160"/>
        </w:trPr>
        <w:tc>
          <w:tcPr>
            <w:tcW w:w="720" w:type="dxa"/>
            <w:vAlign w:val="bottom"/>
          </w:tcPr>
          <w:p>
            <w:pPr>
              <w:spacing w:after="0"/>
              <w:rPr>
                <w:sz w:val="13"/>
                <w:szCs w:val="13"/>
                <w:color w:val="auto"/>
              </w:rPr>
            </w:pPr>
          </w:p>
        </w:tc>
        <w:tc>
          <w:tcPr>
            <w:tcW w:w="7520" w:type="dxa"/>
            <w:vAlign w:val="bottom"/>
            <w:gridSpan w:val="2"/>
          </w:tcPr>
          <w:p>
            <w:pPr>
              <w:ind w:left="60"/>
              <w:spacing w:after="0"/>
              <w:rPr>
                <w:rFonts w:ascii="Arial" w:cs="Arial" w:eastAsia="Arial" w:hAnsi="Arial"/>
                <w:sz w:val="12"/>
                <w:szCs w:val="12"/>
                <w:color w:val="005A64"/>
              </w:rPr>
            </w:pPr>
            <w:hyperlink w:anchor="page1">
              <w:r>
                <w:rPr>
                  <w:rFonts w:ascii="Arial" w:cs="Arial" w:eastAsia="Arial" w:hAnsi="Arial"/>
                  <w:sz w:val="12"/>
                  <w:szCs w:val="12"/>
                  <w:color w:val="005A64"/>
                </w:rPr>
                <w:t>Section 906 of the Sarbanes-Oxley Act of 2002</w:t>
              </w:r>
            </w:hyperlink>
          </w:p>
        </w:tc>
      </w:tr>
      <w:tr>
        <w:trPr>
          <w:trHeight w:val="164"/>
        </w:trPr>
        <w:tc>
          <w:tcPr>
            <w:tcW w:w="720" w:type="dxa"/>
            <w:vAlign w:val="bottom"/>
          </w:tcPr>
          <w:p>
            <w:pPr>
              <w:ind w:left="20"/>
              <w:spacing w:after="0"/>
              <w:rPr>
                <w:sz w:val="20"/>
                <w:szCs w:val="20"/>
                <w:color w:val="auto"/>
              </w:rPr>
            </w:pPr>
            <w:r>
              <w:rPr>
                <w:rFonts w:ascii="Arial" w:cs="Arial" w:eastAsia="Arial" w:hAnsi="Arial"/>
                <w:sz w:val="12"/>
                <w:szCs w:val="12"/>
                <w:color w:val="005A64"/>
              </w:rPr>
              <w:t>13.2*</w:t>
            </w:r>
          </w:p>
        </w:tc>
        <w:tc>
          <w:tcPr>
            <w:tcW w:w="7520" w:type="dxa"/>
            <w:vAlign w:val="bottom"/>
            <w:gridSpan w:val="2"/>
          </w:tcPr>
          <w:p>
            <w:pPr>
              <w:ind w:left="60"/>
              <w:spacing w:after="0"/>
              <w:rPr>
                <w:rFonts w:ascii="Arial" w:cs="Arial" w:eastAsia="Arial" w:hAnsi="Arial"/>
                <w:sz w:val="12"/>
                <w:szCs w:val="12"/>
                <w:color w:val="005A64"/>
              </w:rPr>
            </w:pPr>
            <w:hyperlink w:anchor="page1">
              <w:r>
                <w:rPr>
                  <w:rFonts w:ascii="Arial" w:cs="Arial" w:eastAsia="Arial" w:hAnsi="Arial"/>
                  <w:sz w:val="12"/>
                  <w:szCs w:val="12"/>
                  <w:color w:val="005A64"/>
                </w:rPr>
                <w:t>Certification of Principal Financial Officer Pursuant to 18 U.S.C. Section 1350, as Adopted Pursuant to</w:t>
              </w:r>
            </w:hyperlink>
          </w:p>
        </w:tc>
      </w:tr>
      <w:tr>
        <w:trPr>
          <w:trHeight w:val="160"/>
        </w:trPr>
        <w:tc>
          <w:tcPr>
            <w:tcW w:w="720" w:type="dxa"/>
            <w:vAlign w:val="bottom"/>
          </w:tcPr>
          <w:p>
            <w:pPr>
              <w:spacing w:after="0"/>
              <w:rPr>
                <w:sz w:val="13"/>
                <w:szCs w:val="13"/>
                <w:color w:val="auto"/>
              </w:rPr>
            </w:pPr>
          </w:p>
        </w:tc>
        <w:tc>
          <w:tcPr>
            <w:tcW w:w="7520" w:type="dxa"/>
            <w:vAlign w:val="bottom"/>
            <w:gridSpan w:val="2"/>
          </w:tcPr>
          <w:p>
            <w:pPr>
              <w:ind w:left="60"/>
              <w:spacing w:after="0"/>
              <w:rPr>
                <w:rFonts w:ascii="Arial" w:cs="Arial" w:eastAsia="Arial" w:hAnsi="Arial"/>
                <w:sz w:val="12"/>
                <w:szCs w:val="12"/>
                <w:color w:val="005A64"/>
              </w:rPr>
            </w:pPr>
            <w:hyperlink w:anchor="page1">
              <w:r>
                <w:rPr>
                  <w:rFonts w:ascii="Arial" w:cs="Arial" w:eastAsia="Arial" w:hAnsi="Arial"/>
                  <w:sz w:val="12"/>
                  <w:szCs w:val="12"/>
                  <w:color w:val="005A64"/>
                </w:rPr>
                <w:t>Section 906 of the Sarbanes-Oxley Act of 2002</w:t>
              </w:r>
            </w:hyperlink>
          </w:p>
        </w:tc>
      </w:tr>
      <w:tr>
        <w:trPr>
          <w:trHeight w:val="202"/>
        </w:trPr>
        <w:tc>
          <w:tcPr>
            <w:tcW w:w="720" w:type="dxa"/>
            <w:vAlign w:val="bottom"/>
          </w:tcPr>
          <w:p>
            <w:pPr>
              <w:ind w:left="20"/>
              <w:spacing w:after="0"/>
              <w:rPr>
                <w:sz w:val="20"/>
                <w:szCs w:val="20"/>
                <w:color w:val="auto"/>
              </w:rPr>
            </w:pPr>
            <w:r>
              <w:rPr>
                <w:rFonts w:ascii="Arial" w:cs="Arial" w:eastAsia="Arial" w:hAnsi="Arial"/>
                <w:sz w:val="12"/>
                <w:szCs w:val="12"/>
                <w:color w:val="005A64"/>
              </w:rPr>
              <w:t>15.1*</w:t>
            </w:r>
          </w:p>
        </w:tc>
        <w:tc>
          <w:tcPr>
            <w:tcW w:w="7520" w:type="dxa"/>
            <w:vAlign w:val="bottom"/>
            <w:gridSpan w:val="2"/>
          </w:tcPr>
          <w:p>
            <w:pPr>
              <w:ind w:left="60"/>
              <w:spacing w:after="0"/>
              <w:rPr>
                <w:rFonts w:ascii="Arial" w:cs="Arial" w:eastAsia="Arial" w:hAnsi="Arial"/>
                <w:sz w:val="12"/>
                <w:szCs w:val="12"/>
                <w:color w:val="005A64"/>
              </w:rPr>
            </w:pPr>
            <w:hyperlink w:anchor="page1">
              <w:r>
                <w:rPr>
                  <w:rFonts w:ascii="Arial" w:cs="Arial" w:eastAsia="Arial" w:hAnsi="Arial"/>
                  <w:sz w:val="12"/>
                  <w:szCs w:val="12"/>
                  <w:color w:val="005A64"/>
                </w:rPr>
                <w:t>Consent of EY GmbH &amp; Co. KG Wirtschaftsprüfungsgesellschaft</w:t>
              </w:r>
            </w:hyperlink>
          </w:p>
        </w:tc>
      </w:tr>
    </w:tbl>
    <w:p>
      <w:pPr>
        <w:spacing w:after="0" w:line="12" w:lineRule="exact"/>
        <w:rPr>
          <w:sz w:val="20"/>
          <w:szCs w:val="20"/>
          <w:color w:val="auto"/>
        </w:rPr>
      </w:pPr>
    </w:p>
    <w:p>
      <w:pPr>
        <w:ind w:left="1160" w:right="2220" w:hanging="766"/>
        <w:spacing w:after="0" w:line="248" w:lineRule="auto"/>
        <w:tabs>
          <w:tab w:leader="none" w:pos="1160" w:val="left"/>
        </w:tabs>
        <w:numPr>
          <w:ilvl w:val="0"/>
          <w:numId w:val="43"/>
        </w:numPr>
        <w:rPr>
          <w:rFonts w:ascii="Arial" w:cs="Arial" w:eastAsia="Arial" w:hAnsi="Arial"/>
          <w:sz w:val="12"/>
          <w:szCs w:val="12"/>
          <w:color w:val="005A64"/>
        </w:rPr>
      </w:pPr>
      <w:hyperlink r:id="rId376">
        <w:r>
          <w:rPr>
            <w:rFonts w:ascii="Arial" w:cs="Arial" w:eastAsia="Arial" w:hAnsi="Arial"/>
            <w:sz w:val="12"/>
            <w:szCs w:val="12"/>
            <w:color w:val="005A64"/>
          </w:rPr>
          <w:t xml:space="preserve">Compensation Clawback Policy </w:t>
        </w:r>
      </w:hyperlink>
      <w:r>
        <w:rPr>
          <w:rFonts w:ascii="Arial" w:cs="Arial" w:eastAsia="Arial" w:hAnsi="Arial"/>
          <w:sz w:val="12"/>
          <w:szCs w:val="12"/>
          <w:color w:val="005A64"/>
        </w:rPr>
        <w:t>(incorporated herein by reference to Exhibit 97 to the Registrant’s Annual Report on Form 20-F (File No. 001-39081), filed with the SEC on March 20, 2024)</w:t>
      </w:r>
    </w:p>
    <w:p>
      <w:pPr>
        <w:spacing w:after="0" w:line="38" w:lineRule="exact"/>
        <w:rPr>
          <w:sz w:val="20"/>
          <w:szCs w:val="20"/>
          <w:color w:val="auto"/>
        </w:rPr>
      </w:pPr>
    </w:p>
    <w:tbl>
      <w:tblPr>
        <w:tblLayout w:type="fixed"/>
        <w:tblInd w:w="400" w:type="dxa"/>
        <w:tblCellMar>
          <w:top w:w="0" w:type="dxa"/>
          <w:left w:w="0" w:type="dxa"/>
          <w:bottom w:w="0" w:type="dxa"/>
          <w:right w:w="0" w:type="dxa"/>
        </w:tblCellMar>
      </w:tblPr>
      <w:tr>
        <w:trPr>
          <w:trHeight w:val="160"/>
        </w:trPr>
        <w:tc>
          <w:tcPr>
            <w:tcW w:w="620" w:type="dxa"/>
            <w:vAlign w:val="bottom"/>
          </w:tcPr>
          <w:p>
            <w:pPr>
              <w:spacing w:after="0"/>
              <w:rPr>
                <w:sz w:val="20"/>
                <w:szCs w:val="20"/>
                <w:color w:val="auto"/>
              </w:rPr>
            </w:pPr>
            <w:r>
              <w:rPr>
                <w:rFonts w:ascii="Arial" w:cs="Arial" w:eastAsia="Arial" w:hAnsi="Arial"/>
                <w:sz w:val="12"/>
                <w:szCs w:val="12"/>
                <w:color w:val="005A64"/>
              </w:rPr>
              <w:t>101.INS</w:t>
            </w:r>
          </w:p>
        </w:tc>
        <w:tc>
          <w:tcPr>
            <w:tcW w:w="3440" w:type="dxa"/>
            <w:vAlign w:val="bottom"/>
          </w:tcPr>
          <w:p>
            <w:pPr>
              <w:ind w:left="140"/>
              <w:spacing w:after="0"/>
              <w:rPr>
                <w:sz w:val="20"/>
                <w:szCs w:val="20"/>
                <w:color w:val="auto"/>
              </w:rPr>
            </w:pPr>
            <w:r>
              <w:rPr>
                <w:rFonts w:ascii="Arial" w:cs="Arial" w:eastAsia="Arial" w:hAnsi="Arial"/>
                <w:sz w:val="12"/>
                <w:szCs w:val="12"/>
                <w:color w:val="005A64"/>
              </w:rPr>
              <w:t>XBRL Instance Document</w:t>
            </w:r>
          </w:p>
        </w:tc>
      </w:tr>
      <w:tr>
        <w:trPr>
          <w:trHeight w:val="202"/>
        </w:trPr>
        <w:tc>
          <w:tcPr>
            <w:tcW w:w="620" w:type="dxa"/>
            <w:vAlign w:val="bottom"/>
          </w:tcPr>
          <w:p>
            <w:pPr>
              <w:spacing w:after="0"/>
              <w:rPr>
                <w:sz w:val="20"/>
                <w:szCs w:val="20"/>
                <w:color w:val="auto"/>
              </w:rPr>
            </w:pPr>
            <w:r>
              <w:rPr>
                <w:rFonts w:ascii="Arial" w:cs="Arial" w:eastAsia="Arial" w:hAnsi="Arial"/>
                <w:sz w:val="12"/>
                <w:szCs w:val="12"/>
                <w:color w:val="005A64"/>
              </w:rPr>
              <w:t>101.SCH</w:t>
            </w:r>
          </w:p>
        </w:tc>
        <w:tc>
          <w:tcPr>
            <w:tcW w:w="3440" w:type="dxa"/>
            <w:vAlign w:val="bottom"/>
          </w:tcPr>
          <w:p>
            <w:pPr>
              <w:ind w:left="140"/>
              <w:spacing w:after="0"/>
              <w:rPr>
                <w:sz w:val="20"/>
                <w:szCs w:val="20"/>
                <w:color w:val="auto"/>
              </w:rPr>
            </w:pPr>
            <w:r>
              <w:rPr>
                <w:rFonts w:ascii="Arial" w:cs="Arial" w:eastAsia="Arial" w:hAnsi="Arial"/>
                <w:sz w:val="12"/>
                <w:szCs w:val="12"/>
                <w:color w:val="005A64"/>
              </w:rPr>
              <w:t>XBRL Taxonomy Extension Schema Document</w:t>
            </w:r>
          </w:p>
        </w:tc>
      </w:tr>
      <w:tr>
        <w:trPr>
          <w:trHeight w:val="202"/>
        </w:trPr>
        <w:tc>
          <w:tcPr>
            <w:tcW w:w="620" w:type="dxa"/>
            <w:vAlign w:val="bottom"/>
          </w:tcPr>
          <w:p>
            <w:pPr>
              <w:spacing w:after="0"/>
              <w:rPr>
                <w:sz w:val="20"/>
                <w:szCs w:val="20"/>
                <w:color w:val="auto"/>
              </w:rPr>
            </w:pPr>
            <w:r>
              <w:rPr>
                <w:rFonts w:ascii="Arial" w:cs="Arial" w:eastAsia="Arial" w:hAnsi="Arial"/>
                <w:sz w:val="12"/>
                <w:szCs w:val="12"/>
                <w:color w:val="005A64"/>
              </w:rPr>
              <w:t>101.CAL</w:t>
            </w:r>
          </w:p>
        </w:tc>
        <w:tc>
          <w:tcPr>
            <w:tcW w:w="3440" w:type="dxa"/>
            <w:vAlign w:val="bottom"/>
          </w:tcPr>
          <w:p>
            <w:pPr>
              <w:ind w:left="140"/>
              <w:spacing w:after="0"/>
              <w:rPr>
                <w:sz w:val="20"/>
                <w:szCs w:val="20"/>
                <w:color w:val="auto"/>
              </w:rPr>
            </w:pPr>
            <w:r>
              <w:rPr>
                <w:rFonts w:ascii="Arial" w:cs="Arial" w:eastAsia="Arial" w:hAnsi="Arial"/>
                <w:sz w:val="12"/>
                <w:szCs w:val="12"/>
                <w:color w:val="005A64"/>
              </w:rPr>
              <w:t>XBRL Taxonomy Extension Calculation Linkbase Document</w:t>
            </w:r>
          </w:p>
        </w:tc>
      </w:tr>
      <w:tr>
        <w:trPr>
          <w:trHeight w:val="202"/>
        </w:trPr>
        <w:tc>
          <w:tcPr>
            <w:tcW w:w="620" w:type="dxa"/>
            <w:vAlign w:val="bottom"/>
          </w:tcPr>
          <w:p>
            <w:pPr>
              <w:spacing w:after="0"/>
              <w:rPr>
                <w:sz w:val="20"/>
                <w:szCs w:val="20"/>
                <w:color w:val="auto"/>
              </w:rPr>
            </w:pPr>
            <w:r>
              <w:rPr>
                <w:rFonts w:ascii="Arial" w:cs="Arial" w:eastAsia="Arial" w:hAnsi="Arial"/>
                <w:sz w:val="12"/>
                <w:szCs w:val="12"/>
                <w:color w:val="005A64"/>
              </w:rPr>
              <w:t>101.DEF</w:t>
            </w:r>
          </w:p>
        </w:tc>
        <w:tc>
          <w:tcPr>
            <w:tcW w:w="3440" w:type="dxa"/>
            <w:vAlign w:val="bottom"/>
          </w:tcPr>
          <w:p>
            <w:pPr>
              <w:ind w:left="140"/>
              <w:spacing w:after="0"/>
              <w:rPr>
                <w:sz w:val="20"/>
                <w:szCs w:val="20"/>
                <w:color w:val="auto"/>
              </w:rPr>
            </w:pPr>
            <w:r>
              <w:rPr>
                <w:rFonts w:ascii="Arial" w:cs="Arial" w:eastAsia="Arial" w:hAnsi="Arial"/>
                <w:sz w:val="12"/>
                <w:szCs w:val="12"/>
                <w:color w:val="005A64"/>
              </w:rPr>
              <w:t>XBRL Taxonomy Extension Definition Linkbase Document</w:t>
            </w:r>
          </w:p>
        </w:tc>
      </w:tr>
      <w:tr>
        <w:trPr>
          <w:trHeight w:val="202"/>
        </w:trPr>
        <w:tc>
          <w:tcPr>
            <w:tcW w:w="620" w:type="dxa"/>
            <w:vAlign w:val="bottom"/>
          </w:tcPr>
          <w:p>
            <w:pPr>
              <w:spacing w:after="0"/>
              <w:rPr>
                <w:sz w:val="20"/>
                <w:szCs w:val="20"/>
                <w:color w:val="auto"/>
              </w:rPr>
            </w:pPr>
            <w:r>
              <w:rPr>
                <w:rFonts w:ascii="Arial" w:cs="Arial" w:eastAsia="Arial" w:hAnsi="Arial"/>
                <w:sz w:val="12"/>
                <w:szCs w:val="12"/>
                <w:color w:val="005A64"/>
              </w:rPr>
              <w:t>101.LAB</w:t>
            </w:r>
          </w:p>
        </w:tc>
        <w:tc>
          <w:tcPr>
            <w:tcW w:w="3440" w:type="dxa"/>
            <w:vAlign w:val="bottom"/>
          </w:tcPr>
          <w:p>
            <w:pPr>
              <w:ind w:left="140"/>
              <w:spacing w:after="0"/>
              <w:rPr>
                <w:sz w:val="20"/>
                <w:szCs w:val="20"/>
                <w:color w:val="auto"/>
              </w:rPr>
            </w:pPr>
            <w:r>
              <w:rPr>
                <w:rFonts w:ascii="Arial" w:cs="Arial" w:eastAsia="Arial" w:hAnsi="Arial"/>
                <w:sz w:val="12"/>
                <w:szCs w:val="12"/>
                <w:color w:val="005A64"/>
              </w:rPr>
              <w:t>XBRL Taxonomy Extension Label Linkbase Document</w:t>
            </w:r>
          </w:p>
        </w:tc>
      </w:tr>
      <w:tr>
        <w:trPr>
          <w:trHeight w:val="202"/>
        </w:trPr>
        <w:tc>
          <w:tcPr>
            <w:tcW w:w="620" w:type="dxa"/>
            <w:vAlign w:val="bottom"/>
          </w:tcPr>
          <w:p>
            <w:pPr>
              <w:spacing w:after="0"/>
              <w:rPr>
                <w:sz w:val="20"/>
                <w:szCs w:val="20"/>
                <w:color w:val="auto"/>
              </w:rPr>
            </w:pPr>
            <w:r>
              <w:rPr>
                <w:rFonts w:ascii="Arial" w:cs="Arial" w:eastAsia="Arial" w:hAnsi="Arial"/>
                <w:sz w:val="12"/>
                <w:szCs w:val="12"/>
                <w:color w:val="005A64"/>
              </w:rPr>
              <w:t>101.PRE</w:t>
            </w:r>
          </w:p>
        </w:tc>
        <w:tc>
          <w:tcPr>
            <w:tcW w:w="3440" w:type="dxa"/>
            <w:vAlign w:val="bottom"/>
          </w:tcPr>
          <w:p>
            <w:pPr>
              <w:ind w:left="140"/>
              <w:spacing w:after="0"/>
              <w:rPr>
                <w:sz w:val="20"/>
                <w:szCs w:val="20"/>
                <w:color w:val="auto"/>
              </w:rPr>
            </w:pPr>
            <w:r>
              <w:rPr>
                <w:rFonts w:ascii="Arial" w:cs="Arial" w:eastAsia="Arial" w:hAnsi="Arial"/>
                <w:sz w:val="12"/>
                <w:szCs w:val="12"/>
                <w:color w:val="005A64"/>
              </w:rPr>
              <w:t>XBRL Taxonomy Extension Presentation Linkbase Document</w:t>
            </w:r>
          </w:p>
        </w:tc>
      </w:tr>
    </w:tbl>
    <w:p>
      <w:pPr>
        <w:spacing w:after="0" w:line="37" w:lineRule="exact"/>
        <w:rPr>
          <w:sz w:val="20"/>
          <w:szCs w:val="20"/>
          <w:color w:val="auto"/>
        </w:rPr>
      </w:pPr>
    </w:p>
    <w:p>
      <w:pPr>
        <w:ind w:left="580" w:hanging="197"/>
        <w:spacing w:after="0"/>
        <w:tabs>
          <w:tab w:leader="none" w:pos="580" w:val="left"/>
        </w:tabs>
        <w:numPr>
          <w:ilvl w:val="0"/>
          <w:numId w:val="44"/>
        </w:numPr>
        <w:rPr>
          <w:rFonts w:ascii="Arial" w:cs="Arial" w:eastAsia="Arial" w:hAnsi="Arial"/>
          <w:sz w:val="12"/>
          <w:szCs w:val="12"/>
          <w:color w:val="auto"/>
        </w:rPr>
      </w:pPr>
      <w:r>
        <w:rPr>
          <w:rFonts w:ascii="Arial" w:cs="Arial" w:eastAsia="Arial" w:hAnsi="Arial"/>
          <w:sz w:val="13"/>
          <w:szCs w:val="13"/>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4262120"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7">
                      <a:extLst>
                        <a:ext uri="{28A0092B-C50C-407E-A947-70E740481C1C}"/>
                      </a:extLst>
                    </a:blip>
                    <a:srcRect/>
                    <a:stretch>
                      <a:fillRect/>
                    </a:stretch>
                  </pic:blipFill>
                  <pic:spPr bwMode="auto">
                    <a:xfrm>
                      <a:off x="0" y="0"/>
                      <a:ext cx="4262120" cy="6350"/>
                    </a:xfrm>
                    <a:prstGeom prst="rect">
                      <a:avLst/>
                    </a:prstGeom>
                    <a:noFill/>
                  </pic:spPr>
                </pic:pic>
              </a:graphicData>
            </a:graphic>
          </wp:anchor>
        </w:drawing>
      </w:r>
    </w:p>
    <w:p>
      <w:pPr>
        <w:ind w:left="380" w:right="2240" w:firstLine="3"/>
        <w:spacing w:after="0" w:line="234" w:lineRule="auto"/>
        <w:tabs>
          <w:tab w:leader="none" w:pos="572" w:val="left"/>
        </w:tabs>
        <w:numPr>
          <w:ilvl w:val="0"/>
          <w:numId w:val="45"/>
        </w:numPr>
        <w:rPr>
          <w:rFonts w:ascii="Arial" w:cs="Arial" w:eastAsia="Arial" w:hAnsi="Arial"/>
          <w:sz w:val="12"/>
          <w:szCs w:val="12"/>
          <w:color w:val="auto"/>
        </w:rPr>
      </w:pPr>
      <w:r>
        <w:rPr>
          <w:rFonts w:ascii="Arial" w:cs="Arial" w:eastAsia="Arial" w:hAnsi="Arial"/>
          <w:sz w:val="13"/>
          <w:szCs w:val="13"/>
          <w:color w:val="auto"/>
        </w:rPr>
        <w:t>Certain information has been excluded from the exhibit because it is both (i) not material and (ii) the type of 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260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2"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005A64"/>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-129540</wp:posOffset>
            </wp:positionV>
            <wp:extent cx="5231130"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543" w:right="1440" w:bottom="1440" w:gutter="0" w:footer="0" w:header="0"/>
        </w:sectPr>
      </w:pPr>
    </w:p>
    <w:p>
      <w:pPr>
        <w:ind w:left="380" w:right="2300"/>
        <w:spacing w:after="0" w:line="234" w:lineRule="auto"/>
        <w:rPr>
          <w:sz w:val="20"/>
          <w:szCs w:val="20"/>
          <w:color w:val="auto"/>
        </w:rPr>
      </w:pPr>
      <w:r>
        <w:rPr>
          <w:rFonts w:ascii="Arial" w:cs="Arial" w:eastAsia="Arial" w:hAnsi="Arial"/>
          <w:sz w:val="13"/>
          <w:szCs w:val="13"/>
          <w:color w:val="auto"/>
        </w:rPr>
        <w:t>The Registrant hereby certifies that it meets all of the requirements for filing on Form 20-F and that it has duly caused and authorized the undersigned to sign this Annual Report on Form 20-F on its behalf.</w:t>
      </w:r>
    </w:p>
    <w:p>
      <w:pPr>
        <w:sectPr>
          <w:pgSz w:w="11900" w:h="16840" w:orient="portrait"/>
          <w:cols w:equalWidth="0" w:num="1">
            <w:col w:w="9020"/>
          </w:cols>
          <w:pgMar w:left="1440" w:top="543" w:right="1440" w:bottom="1440" w:gutter="0" w:footer="0" w:header="0"/>
          <w:type w:val="continuous"/>
        </w:sectPr>
      </w:pPr>
    </w:p>
    <w:bookmarkStart w:id="180" w:name="page181"/>
    <w:bookmarkEnd w:id="180"/>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Arial" w:cs="Arial" w:eastAsia="Arial" w:hAnsi="Arial"/>
          <w:sz w:val="13"/>
          <w:szCs w:val="13"/>
          <w:color w:val="auto"/>
        </w:rPr>
        <w:t>Date: March 10, 2025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BioNTech SE</w:t>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By: /s/ Prof. Ugur Sahin, M.D.</w:t>
      </w:r>
    </w:p>
    <w:p>
      <w:pPr>
        <w:spacing w:after="0" w:line="43" w:lineRule="exact"/>
        <w:rPr>
          <w:sz w:val="20"/>
          <w:szCs w:val="20"/>
          <w:color w:val="auto"/>
        </w:rPr>
      </w:pPr>
    </w:p>
    <w:p>
      <w:pPr>
        <w:sectPr>
          <w:pgSz w:w="11900" w:h="16840" w:orient="portrait"/>
          <w:cols w:equalWidth="0" w:num="2">
            <w:col w:w="3480" w:space="720"/>
            <w:col w:w="4820"/>
          </w:cols>
          <w:pgMar w:left="1440" w:top="560" w:right="1440" w:bottom="1440" w:gutter="0" w:footer="0" w:header="0"/>
        </w:sectPr>
      </w:pPr>
    </w:p>
    <w:p>
      <w:pPr>
        <w:ind w:left="4480"/>
        <w:spacing w:after="0"/>
        <w:rPr>
          <w:sz w:val="20"/>
          <w:szCs w:val="20"/>
          <w:color w:val="auto"/>
        </w:rPr>
      </w:pPr>
      <w:r>
        <w:rPr>
          <w:rFonts w:ascii="Arial" w:cs="Arial" w:eastAsia="Arial" w:hAnsi="Arial"/>
          <w:sz w:val="13"/>
          <w:szCs w:val="13"/>
          <w:b w:val="1"/>
          <w:bCs w:val="1"/>
          <w:color w:val="auto"/>
        </w:rPr>
        <w:t>Prof. Ugur Sahin, M.D.</w:t>
      </w:r>
    </w:p>
    <w:p>
      <w:pPr>
        <w:spacing w:after="0" w:line="43" w:lineRule="exact"/>
        <w:rPr>
          <w:sz w:val="20"/>
          <w:szCs w:val="20"/>
          <w:color w:val="auto"/>
        </w:rPr>
      </w:pPr>
    </w:p>
    <w:p>
      <w:pPr>
        <w:ind w:left="4480"/>
        <w:spacing w:after="0"/>
        <w:rPr>
          <w:sz w:val="20"/>
          <w:szCs w:val="20"/>
          <w:color w:val="auto"/>
        </w:rPr>
      </w:pPr>
      <w:r>
        <w:rPr>
          <w:rFonts w:ascii="Arial" w:cs="Arial" w:eastAsia="Arial" w:hAnsi="Arial"/>
          <w:sz w:val="13"/>
          <w:szCs w:val="13"/>
          <w:b w:val="1"/>
          <w:bCs w:val="1"/>
          <w:color w:val="auto"/>
        </w:rPr>
        <w:t>Chief Executive Officer</w:t>
      </w:r>
    </w:p>
    <w:p>
      <w:pPr>
        <w:sectPr>
          <w:pgSz w:w="11900" w:h="16840" w:orient="portrait"/>
          <w:cols w:equalWidth="0" w:num="1">
            <w:col w:w="9020"/>
          </w:cols>
          <w:pgMar w:left="1440" w:top="560" w:right="1440" w:bottom="1440" w:gutter="0" w:footer="0" w:header="0"/>
          <w:type w:val="continuous"/>
        </w:sectPr>
      </w:pPr>
    </w:p>
    <w:p>
      <w:pPr>
        <w:spacing w:after="0" w:line="23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Date: March 10, 2025</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By: /s/ Jens Holstein</w:t>
      </w:r>
    </w:p>
    <w:p>
      <w:pPr>
        <w:spacing w:after="0" w:line="43" w:lineRule="exact"/>
        <w:rPr>
          <w:sz w:val="20"/>
          <w:szCs w:val="20"/>
          <w:color w:val="auto"/>
        </w:rPr>
      </w:pPr>
    </w:p>
    <w:p>
      <w:pPr>
        <w:sectPr>
          <w:pgSz w:w="11900" w:h="16840" w:orient="portrait"/>
          <w:cols w:equalWidth="0" w:num="2">
            <w:col w:w="3480" w:space="720"/>
            <w:col w:w="4820"/>
          </w:cols>
          <w:pgMar w:left="1440" w:top="560" w:right="1440" w:bottom="1440" w:gutter="0" w:footer="0" w:header="0"/>
          <w:type w:val="continuous"/>
        </w:sectPr>
      </w:pPr>
    </w:p>
    <w:p>
      <w:pPr>
        <w:ind w:left="4480"/>
        <w:spacing w:after="0"/>
        <w:rPr>
          <w:sz w:val="20"/>
          <w:szCs w:val="20"/>
          <w:color w:val="auto"/>
        </w:rPr>
      </w:pPr>
      <w:r>
        <w:rPr>
          <w:rFonts w:ascii="Arial" w:cs="Arial" w:eastAsia="Arial" w:hAnsi="Arial"/>
          <w:sz w:val="13"/>
          <w:szCs w:val="13"/>
          <w:b w:val="1"/>
          <w:bCs w:val="1"/>
          <w:color w:val="auto"/>
        </w:rPr>
        <w:t>Jens Holstein</w:t>
      </w:r>
    </w:p>
    <w:p>
      <w:pPr>
        <w:spacing w:after="0" w:line="43" w:lineRule="exact"/>
        <w:rPr>
          <w:sz w:val="20"/>
          <w:szCs w:val="20"/>
          <w:color w:val="auto"/>
        </w:rPr>
      </w:pPr>
    </w:p>
    <w:p>
      <w:pPr>
        <w:ind w:left="4480"/>
        <w:spacing w:after="0"/>
        <w:rPr>
          <w:sz w:val="20"/>
          <w:szCs w:val="20"/>
          <w:color w:val="auto"/>
        </w:rPr>
      </w:pPr>
      <w:r>
        <w:rPr>
          <w:rFonts w:ascii="Arial" w:cs="Arial" w:eastAsia="Arial" w:hAnsi="Arial"/>
          <w:sz w:val="13"/>
          <w:szCs w:val="13"/>
          <w:b w:val="1"/>
          <w:bCs w:val="1"/>
          <w:color w:val="auto"/>
        </w:rPr>
        <w:t>Chief Financial Officer</w:t>
      </w:r>
    </w:p>
    <w:p>
      <w:pPr>
        <w:sectPr>
          <w:pgSz w:w="11900" w:h="16840" w:orient="portrait"/>
          <w:cols w:equalWidth="0" w:num="1">
            <w:col w:w="9020"/>
          </w:cols>
          <w:pgMar w:left="1440" w:top="5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16" w:lineRule="exact"/>
        <w:rPr>
          <w:sz w:val="20"/>
          <w:szCs w:val="20"/>
          <w:color w:val="auto"/>
        </w:rPr>
      </w:pPr>
    </w:p>
    <w:p>
      <w:pPr>
        <w:ind w:left="380"/>
        <w:spacing w:after="0"/>
        <w:rPr>
          <w:sz w:val="20"/>
          <w:szCs w:val="20"/>
          <w:color w:val="auto"/>
        </w:rPr>
      </w:pPr>
      <w:r>
        <w:rPr>
          <w:rFonts w:ascii="Arial" w:cs="Arial" w:eastAsia="Arial" w:hAnsi="Arial"/>
          <w:sz w:val="24"/>
          <w:szCs w:val="24"/>
          <w:color w:val="005A64"/>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-154940</wp:posOffset>
            </wp:positionV>
            <wp:extent cx="5231130"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tbl>
      <w:tblPr>
        <w:tblLayout w:type="fixed"/>
        <w:tblInd w:w="400" w:type="dxa"/>
        <w:tblCellMar>
          <w:top w:w="0" w:type="dxa"/>
          <w:left w:w="0" w:type="dxa"/>
          <w:bottom w:w="0" w:type="dxa"/>
          <w:right w:w="0" w:type="dxa"/>
        </w:tblCellMar>
      </w:tblPr>
      <w:tr>
        <w:trPr>
          <w:trHeight w:val="173"/>
        </w:trPr>
        <w:tc>
          <w:tcPr>
            <w:tcW w:w="5220" w:type="dxa"/>
            <w:vAlign w:val="bottom"/>
          </w:tcPr>
          <w:p>
            <w:pPr>
              <w:spacing w:after="0"/>
              <w:rPr>
                <w:rFonts w:ascii="Arial" w:cs="Arial" w:eastAsia="Arial" w:hAnsi="Arial"/>
                <w:sz w:val="13"/>
                <w:szCs w:val="13"/>
                <w:color w:val="auto"/>
              </w:rPr>
            </w:pPr>
            <w:hyperlink w:anchor="page182">
              <w:r>
                <w:rPr>
                  <w:rFonts w:ascii="Arial" w:cs="Arial" w:eastAsia="Arial" w:hAnsi="Arial"/>
                  <w:sz w:val="13"/>
                  <w:szCs w:val="13"/>
                  <w:color w:val="auto"/>
                </w:rPr>
                <w:t xml:space="preserve">Reports of Independent Registered Public Accounting Firm (PCAOB ID:   </w:t>
              </w:r>
            </w:hyperlink>
            <w:r>
              <w:rPr>
                <w:rFonts w:ascii="Arial" w:cs="Arial" w:eastAsia="Arial" w:hAnsi="Arial"/>
                <w:sz w:val="13"/>
                <w:szCs w:val="13"/>
                <w:color w:val="auto"/>
              </w:rPr>
              <w:t>1251  )</w:t>
            </w:r>
          </w:p>
        </w:tc>
        <w:tc>
          <w:tcPr>
            <w:tcW w:w="420" w:type="dxa"/>
            <w:vAlign w:val="bottom"/>
          </w:tcPr>
          <w:p>
            <w:pPr>
              <w:ind w:left="160"/>
              <w:spacing w:after="0"/>
              <w:rPr>
                <w:rFonts w:ascii="Arial" w:cs="Arial" w:eastAsia="Arial" w:hAnsi="Arial"/>
                <w:sz w:val="13"/>
                <w:szCs w:val="13"/>
                <w:color w:val="auto"/>
              </w:rPr>
            </w:pPr>
            <w:r>
              <w:rPr>
                <w:rFonts w:ascii="Arial" w:cs="Arial" w:eastAsia="Arial" w:hAnsi="Arial"/>
                <w:sz w:val="13"/>
                <w:szCs w:val="13"/>
                <w:color w:val="auto"/>
              </w:rPr>
              <w:t>F-</w:t>
            </w:r>
            <w:hyperlink w:anchor="page182">
              <w:r>
                <w:rPr>
                  <w:rFonts w:ascii="Arial" w:cs="Arial" w:eastAsia="Arial" w:hAnsi="Arial"/>
                  <w:sz w:val="13"/>
                  <w:szCs w:val="13"/>
                  <w:color w:val="auto"/>
                </w:rPr>
                <w:t>2</w:t>
              </w:r>
            </w:hyperlink>
          </w:p>
        </w:tc>
      </w:tr>
      <w:tr>
        <w:trPr>
          <w:trHeight w:val="219"/>
        </w:trPr>
        <w:tc>
          <w:tcPr>
            <w:tcW w:w="5220" w:type="dxa"/>
            <w:vAlign w:val="bottom"/>
          </w:tcPr>
          <w:p>
            <w:pPr>
              <w:spacing w:after="0"/>
              <w:rPr>
                <w:rFonts w:ascii="Arial" w:cs="Arial" w:eastAsia="Arial" w:hAnsi="Arial"/>
                <w:sz w:val="13"/>
                <w:szCs w:val="13"/>
                <w:color w:val="auto"/>
              </w:rPr>
            </w:pPr>
            <w:hyperlink w:anchor="page185">
              <w:r>
                <w:rPr>
                  <w:rFonts w:ascii="Arial" w:cs="Arial" w:eastAsia="Arial" w:hAnsi="Arial"/>
                  <w:sz w:val="13"/>
                  <w:szCs w:val="13"/>
                  <w:color w:val="auto"/>
                </w:rPr>
                <w:t xml:space="preserve">Consolidated Statements of Profit or Loss for the Years ended </w:t>
              </w:r>
            </w:hyperlink>
            <w:r>
              <w:rPr>
                <w:rFonts w:ascii="Arial" w:cs="Arial" w:eastAsia="Arial" w:hAnsi="Arial"/>
                <w:sz w:val="13"/>
                <w:szCs w:val="13"/>
                <w:color w:val="auto"/>
              </w:rPr>
              <w:t>December 31, 2024,</w:t>
            </w:r>
          </w:p>
        </w:tc>
        <w:tc>
          <w:tcPr>
            <w:tcW w:w="420" w:type="dxa"/>
            <w:vAlign w:val="bottom"/>
          </w:tcPr>
          <w:p>
            <w:pPr>
              <w:ind w:left="160"/>
              <w:spacing w:after="0"/>
              <w:rPr>
                <w:sz w:val="20"/>
                <w:szCs w:val="20"/>
                <w:color w:val="auto"/>
              </w:rPr>
            </w:pPr>
            <w:r>
              <w:rPr>
                <w:rFonts w:ascii="Arial" w:cs="Arial" w:eastAsia="Arial" w:hAnsi="Arial"/>
                <w:sz w:val="13"/>
                <w:szCs w:val="13"/>
                <w:color w:val="auto"/>
              </w:rPr>
              <w:t>F-7</w:t>
            </w:r>
          </w:p>
        </w:tc>
      </w:tr>
      <w:tr>
        <w:trPr>
          <w:trHeight w:val="173"/>
        </w:trPr>
        <w:tc>
          <w:tcPr>
            <w:tcW w:w="5220" w:type="dxa"/>
            <w:vAlign w:val="bottom"/>
          </w:tcPr>
          <w:p>
            <w:pPr>
              <w:spacing w:after="0"/>
              <w:rPr>
                <w:sz w:val="20"/>
                <w:szCs w:val="20"/>
                <w:color w:val="auto"/>
              </w:rPr>
            </w:pPr>
            <w:r>
              <w:rPr>
                <w:rFonts w:ascii="Arial" w:cs="Arial" w:eastAsia="Arial" w:hAnsi="Arial"/>
                <w:sz w:val="13"/>
                <w:szCs w:val="13"/>
                <w:color w:val="auto"/>
              </w:rPr>
              <w:t>2023 and 2022</w:t>
            </w:r>
          </w:p>
        </w:tc>
        <w:tc>
          <w:tcPr>
            <w:tcW w:w="420" w:type="dxa"/>
            <w:vAlign w:val="bottom"/>
          </w:tcPr>
          <w:p>
            <w:pPr>
              <w:spacing w:after="0"/>
              <w:rPr>
                <w:sz w:val="15"/>
                <w:szCs w:val="15"/>
                <w:color w:val="auto"/>
              </w:rPr>
            </w:pPr>
          </w:p>
        </w:tc>
      </w:tr>
      <w:tr>
        <w:trPr>
          <w:trHeight w:val="303"/>
        </w:trPr>
        <w:tc>
          <w:tcPr>
            <w:tcW w:w="5220" w:type="dxa"/>
            <w:vAlign w:val="bottom"/>
          </w:tcPr>
          <w:p>
            <w:pPr>
              <w:spacing w:after="0"/>
              <w:rPr>
                <w:rFonts w:ascii="Arial" w:cs="Arial" w:eastAsia="Arial" w:hAnsi="Arial"/>
                <w:sz w:val="13"/>
                <w:szCs w:val="13"/>
                <w:color w:val="auto"/>
              </w:rPr>
            </w:pPr>
            <w:hyperlink w:anchor="page187">
              <w:r>
                <w:rPr>
                  <w:rFonts w:ascii="Arial" w:cs="Arial" w:eastAsia="Arial" w:hAnsi="Arial"/>
                  <w:sz w:val="13"/>
                  <w:szCs w:val="13"/>
                  <w:color w:val="auto"/>
                </w:rPr>
                <w:t xml:space="preserve">Consolidated Statements of Financial Position as of </w:t>
              </w:r>
            </w:hyperlink>
            <w:r>
              <w:rPr>
                <w:rFonts w:ascii="Arial" w:cs="Arial" w:eastAsia="Arial" w:hAnsi="Arial"/>
                <w:sz w:val="13"/>
                <w:szCs w:val="13"/>
                <w:color w:val="auto"/>
              </w:rPr>
              <w:t>December 31, 2024 and 2023</w:t>
            </w:r>
          </w:p>
        </w:tc>
        <w:tc>
          <w:tcPr>
            <w:tcW w:w="420" w:type="dxa"/>
            <w:vAlign w:val="bottom"/>
          </w:tcPr>
          <w:p>
            <w:pPr>
              <w:ind w:left="160"/>
              <w:spacing w:after="0"/>
              <w:rPr>
                <w:rFonts w:ascii="Arial" w:cs="Arial" w:eastAsia="Arial" w:hAnsi="Arial"/>
                <w:sz w:val="13"/>
                <w:szCs w:val="13"/>
                <w:color w:val="auto"/>
              </w:rPr>
            </w:pPr>
            <w:r>
              <w:rPr>
                <w:rFonts w:ascii="Arial" w:cs="Arial" w:eastAsia="Arial" w:hAnsi="Arial"/>
                <w:sz w:val="13"/>
                <w:szCs w:val="13"/>
                <w:color w:val="auto"/>
              </w:rPr>
              <w:t>F-</w:t>
            </w:r>
            <w:hyperlink w:anchor="page187">
              <w:r>
                <w:rPr>
                  <w:rFonts w:ascii="Arial" w:cs="Arial" w:eastAsia="Arial" w:hAnsi="Arial"/>
                  <w:sz w:val="13"/>
                  <w:szCs w:val="13"/>
                  <w:color w:val="auto"/>
                </w:rPr>
                <w:t>9</w:t>
              </w:r>
            </w:hyperlink>
          </w:p>
        </w:tc>
      </w:tr>
      <w:tr>
        <w:trPr>
          <w:trHeight w:val="231"/>
        </w:trPr>
        <w:tc>
          <w:tcPr>
            <w:tcW w:w="5220" w:type="dxa"/>
            <w:vAlign w:val="bottom"/>
          </w:tcPr>
          <w:p>
            <w:pPr>
              <w:spacing w:after="0"/>
              <w:rPr>
                <w:rFonts w:ascii="Arial" w:cs="Arial" w:eastAsia="Arial" w:hAnsi="Arial"/>
                <w:sz w:val="13"/>
                <w:szCs w:val="13"/>
                <w:color w:val="auto"/>
              </w:rPr>
            </w:pPr>
            <w:hyperlink w:anchor="page187">
              <w:r>
                <w:rPr>
                  <w:rFonts w:ascii="Arial" w:cs="Arial" w:eastAsia="Arial" w:hAnsi="Arial"/>
                  <w:sz w:val="13"/>
                  <w:szCs w:val="13"/>
                  <w:color w:val="auto"/>
                </w:rPr>
                <w:t>Consolidated Statements of Changes in Stockholders’ Equity for the Years ended</w:t>
              </w:r>
            </w:hyperlink>
          </w:p>
        </w:tc>
        <w:tc>
          <w:tcPr>
            <w:tcW w:w="420" w:type="dxa"/>
            <w:vAlign w:val="bottom"/>
          </w:tcPr>
          <w:p>
            <w:pPr>
              <w:ind w:left="160"/>
              <w:spacing w:after="0"/>
              <w:rPr>
                <w:rFonts w:ascii="Arial" w:cs="Arial" w:eastAsia="Arial" w:hAnsi="Arial"/>
                <w:sz w:val="13"/>
                <w:szCs w:val="13"/>
                <w:color w:val="auto"/>
                <w:w w:val="89"/>
              </w:rPr>
            </w:pPr>
            <w:r>
              <w:rPr>
                <w:rFonts w:ascii="Arial" w:cs="Arial" w:eastAsia="Arial" w:hAnsi="Arial"/>
                <w:sz w:val="13"/>
                <w:szCs w:val="13"/>
                <w:color w:val="auto"/>
                <w:w w:val="89"/>
              </w:rPr>
              <w:t>F-</w:t>
            </w:r>
            <w:hyperlink w:anchor="page187">
              <w:r>
                <w:rPr>
                  <w:rFonts w:ascii="Arial" w:cs="Arial" w:eastAsia="Arial" w:hAnsi="Arial"/>
                  <w:sz w:val="13"/>
                  <w:szCs w:val="13"/>
                  <w:color w:val="auto"/>
                  <w:w w:val="89"/>
                </w:rPr>
                <w:t>10</w:t>
              </w:r>
            </w:hyperlink>
          </w:p>
        </w:tc>
      </w:tr>
      <w:tr>
        <w:trPr>
          <w:trHeight w:val="173"/>
        </w:trPr>
        <w:tc>
          <w:tcPr>
            <w:tcW w:w="5220" w:type="dxa"/>
            <w:vAlign w:val="bottom"/>
          </w:tcPr>
          <w:p>
            <w:pPr>
              <w:spacing w:after="0"/>
              <w:rPr>
                <w:sz w:val="20"/>
                <w:szCs w:val="20"/>
                <w:color w:val="auto"/>
              </w:rPr>
            </w:pPr>
            <w:r>
              <w:rPr>
                <w:rFonts w:ascii="Arial" w:cs="Arial" w:eastAsia="Arial" w:hAnsi="Arial"/>
                <w:sz w:val="13"/>
                <w:szCs w:val="13"/>
                <w:color w:val="auto"/>
              </w:rPr>
              <w:t>December 31, 2024, 2023 and 2022</w:t>
            </w:r>
          </w:p>
        </w:tc>
        <w:tc>
          <w:tcPr>
            <w:tcW w:w="420" w:type="dxa"/>
            <w:vAlign w:val="bottom"/>
          </w:tcPr>
          <w:p>
            <w:pPr>
              <w:spacing w:after="0"/>
              <w:rPr>
                <w:sz w:val="15"/>
                <w:szCs w:val="15"/>
                <w:color w:val="auto"/>
              </w:rPr>
            </w:pPr>
          </w:p>
        </w:tc>
      </w:tr>
      <w:tr>
        <w:trPr>
          <w:trHeight w:val="262"/>
        </w:trPr>
        <w:tc>
          <w:tcPr>
            <w:tcW w:w="5220" w:type="dxa"/>
            <w:vAlign w:val="bottom"/>
          </w:tcPr>
          <w:p>
            <w:pPr>
              <w:spacing w:after="0"/>
              <w:rPr>
                <w:rFonts w:ascii="Arial" w:cs="Arial" w:eastAsia="Arial" w:hAnsi="Arial"/>
                <w:sz w:val="13"/>
                <w:szCs w:val="13"/>
                <w:color w:val="auto"/>
              </w:rPr>
            </w:pPr>
            <w:hyperlink w:anchor="page188">
              <w:r>
                <w:rPr>
                  <w:rFonts w:ascii="Arial" w:cs="Arial" w:eastAsia="Arial" w:hAnsi="Arial"/>
                  <w:sz w:val="13"/>
                  <w:szCs w:val="13"/>
                  <w:color w:val="auto"/>
                </w:rPr>
                <w:t xml:space="preserve">Consolidated Statements of Cash Flows for the Years ended </w:t>
              </w:r>
            </w:hyperlink>
            <w:r>
              <w:rPr>
                <w:rFonts w:ascii="Arial" w:cs="Arial" w:eastAsia="Arial" w:hAnsi="Arial"/>
                <w:sz w:val="13"/>
                <w:szCs w:val="13"/>
                <w:color w:val="auto"/>
              </w:rPr>
              <w:t>December 31, 2024, 2023</w:t>
            </w:r>
          </w:p>
        </w:tc>
        <w:tc>
          <w:tcPr>
            <w:tcW w:w="420" w:type="dxa"/>
            <w:vAlign w:val="bottom"/>
          </w:tcPr>
          <w:p>
            <w:pPr>
              <w:ind w:left="160"/>
              <w:spacing w:after="0"/>
              <w:rPr>
                <w:rFonts w:ascii="Arial" w:cs="Arial" w:eastAsia="Arial" w:hAnsi="Arial"/>
                <w:sz w:val="13"/>
                <w:szCs w:val="13"/>
                <w:color w:val="auto"/>
                <w:w w:val="89"/>
              </w:rPr>
            </w:pPr>
            <w:r>
              <w:rPr>
                <w:rFonts w:ascii="Arial" w:cs="Arial" w:eastAsia="Arial" w:hAnsi="Arial"/>
                <w:sz w:val="13"/>
                <w:szCs w:val="13"/>
                <w:color w:val="auto"/>
                <w:w w:val="89"/>
              </w:rPr>
              <w:t>F-</w:t>
            </w:r>
            <w:hyperlink w:anchor="page188">
              <w:r>
                <w:rPr>
                  <w:rFonts w:ascii="Arial" w:cs="Arial" w:eastAsia="Arial" w:hAnsi="Arial"/>
                  <w:sz w:val="13"/>
                  <w:szCs w:val="13"/>
                  <w:color w:val="auto"/>
                  <w:w w:val="89"/>
                </w:rPr>
                <w:t>11</w:t>
              </w:r>
            </w:hyperlink>
          </w:p>
        </w:tc>
      </w:tr>
      <w:tr>
        <w:trPr>
          <w:trHeight w:val="173"/>
        </w:trPr>
        <w:tc>
          <w:tcPr>
            <w:tcW w:w="5220" w:type="dxa"/>
            <w:vAlign w:val="bottom"/>
          </w:tcPr>
          <w:p>
            <w:pPr>
              <w:spacing w:after="0"/>
              <w:rPr>
                <w:sz w:val="20"/>
                <w:szCs w:val="20"/>
                <w:color w:val="auto"/>
              </w:rPr>
            </w:pPr>
            <w:r>
              <w:rPr>
                <w:rFonts w:ascii="Arial" w:cs="Arial" w:eastAsia="Arial" w:hAnsi="Arial"/>
                <w:sz w:val="13"/>
                <w:szCs w:val="13"/>
                <w:color w:val="auto"/>
              </w:rPr>
              <w:t>and 2022</w:t>
            </w:r>
          </w:p>
        </w:tc>
        <w:tc>
          <w:tcPr>
            <w:tcW w:w="420" w:type="dxa"/>
            <w:vAlign w:val="bottom"/>
          </w:tcPr>
          <w:p>
            <w:pPr>
              <w:spacing w:after="0"/>
              <w:rPr>
                <w:sz w:val="15"/>
                <w:szCs w:val="15"/>
                <w:color w:val="auto"/>
              </w:rPr>
            </w:pPr>
          </w:p>
        </w:tc>
      </w:tr>
      <w:tr>
        <w:trPr>
          <w:trHeight w:val="303"/>
        </w:trPr>
        <w:tc>
          <w:tcPr>
            <w:tcW w:w="5220" w:type="dxa"/>
            <w:vAlign w:val="bottom"/>
          </w:tcPr>
          <w:p>
            <w:pPr>
              <w:spacing w:after="0"/>
              <w:rPr>
                <w:rFonts w:ascii="Arial" w:cs="Arial" w:eastAsia="Arial" w:hAnsi="Arial"/>
                <w:sz w:val="13"/>
                <w:szCs w:val="13"/>
                <w:color w:val="auto"/>
              </w:rPr>
            </w:pPr>
            <w:hyperlink w:anchor="page188">
              <w:r>
                <w:rPr>
                  <w:rFonts w:ascii="Arial" w:cs="Arial" w:eastAsia="Arial" w:hAnsi="Arial"/>
                  <w:sz w:val="13"/>
                  <w:szCs w:val="13"/>
                  <w:color w:val="auto"/>
                </w:rPr>
                <w:t>Notes to Consolidated Financial Statements</w:t>
              </w:r>
            </w:hyperlink>
          </w:p>
        </w:tc>
        <w:tc>
          <w:tcPr>
            <w:tcW w:w="420" w:type="dxa"/>
            <w:vAlign w:val="bottom"/>
          </w:tcPr>
          <w:p>
            <w:pPr>
              <w:ind w:left="160"/>
              <w:spacing w:after="0"/>
              <w:rPr>
                <w:rFonts w:ascii="Arial" w:cs="Arial" w:eastAsia="Arial" w:hAnsi="Arial"/>
                <w:sz w:val="13"/>
                <w:szCs w:val="13"/>
                <w:color w:val="auto"/>
                <w:w w:val="89"/>
              </w:rPr>
            </w:pPr>
            <w:r>
              <w:rPr>
                <w:rFonts w:ascii="Arial" w:cs="Arial" w:eastAsia="Arial" w:hAnsi="Arial"/>
                <w:sz w:val="13"/>
                <w:szCs w:val="13"/>
                <w:color w:val="auto"/>
                <w:w w:val="89"/>
              </w:rPr>
              <w:t>F-</w:t>
            </w:r>
            <w:hyperlink w:anchor="page188">
              <w:r>
                <w:rPr>
                  <w:rFonts w:ascii="Arial" w:cs="Arial" w:eastAsia="Arial" w:hAnsi="Arial"/>
                  <w:sz w:val="13"/>
                  <w:szCs w:val="13"/>
                  <w:color w:val="auto"/>
                  <w:w w:val="89"/>
                </w:rPr>
                <w:t>12</w:t>
              </w:r>
            </w:hyperlink>
          </w:p>
        </w:tc>
      </w:tr>
    </w:tbl>
    <w:p>
      <w:pPr>
        <w:sectPr>
          <w:pgSz w:w="11900" w:h="16840" w:orient="portrait"/>
          <w:cols w:equalWidth="0" w:num="1">
            <w:col w:w="9020"/>
          </w:cols>
          <w:pgMar w:left="1440" w:top="560" w:right="1440" w:bottom="1440" w:gutter="0" w:footer="0" w:header="0"/>
          <w:type w:val="continuous"/>
        </w:sectPr>
      </w:pPr>
    </w:p>
    <w:bookmarkStart w:id="181" w:name="page182"/>
    <w:bookmarkEnd w:id="1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6" w:lineRule="exact"/>
        <w:rPr>
          <w:sz w:val="20"/>
          <w:szCs w:val="20"/>
          <w:color w:val="auto"/>
        </w:rPr>
      </w:pPr>
    </w:p>
    <w:p>
      <w:pPr>
        <w:ind w:left="380" w:right="2360"/>
        <w:spacing w:after="0" w:line="223" w:lineRule="auto"/>
        <w:rPr>
          <w:sz w:val="20"/>
          <w:szCs w:val="20"/>
          <w:color w:val="auto"/>
        </w:rPr>
      </w:pPr>
      <w:r>
        <w:rPr>
          <w:rFonts w:ascii="Arial" w:cs="Arial" w:eastAsia="Arial" w:hAnsi="Arial"/>
          <w:sz w:val="20"/>
          <w:szCs w:val="20"/>
          <w:b w:val="1"/>
          <w:bCs w:val="1"/>
          <w:color w:val="005A64"/>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-257175</wp:posOffset>
            </wp:positionV>
            <wp:extent cx="5231130"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6" w:lineRule="auto"/>
        <w:rPr>
          <w:sz w:val="20"/>
          <w:szCs w:val="20"/>
          <w:color w:val="auto"/>
        </w:rPr>
      </w:pPr>
      <w:r>
        <w:rPr>
          <w:rFonts w:ascii="Arial" w:cs="Arial" w:eastAsia="Arial" w:hAnsi="Arial"/>
          <w:sz w:val="13"/>
          <w:szCs w:val="13"/>
          <w:color w:val="auto"/>
        </w:rPr>
        <w:t>To the Shareholders and Supervisory Board of BioNTech SE.</w:t>
      </w:r>
    </w:p>
    <w:p>
      <w:pPr>
        <w:ind w:left="380"/>
        <w:spacing w:after="0" w:line="207" w:lineRule="auto"/>
        <w:rPr>
          <w:sz w:val="20"/>
          <w:szCs w:val="20"/>
          <w:color w:val="auto"/>
        </w:rPr>
      </w:pPr>
      <w:r>
        <w:rPr>
          <w:rFonts w:ascii="Arial" w:cs="Arial" w:eastAsia="Arial" w:hAnsi="Arial"/>
          <w:sz w:val="16"/>
          <w:szCs w:val="16"/>
          <w:b w:val="1"/>
          <w:bCs w:val="1"/>
          <w:color w:val="005A64"/>
        </w:rPr>
        <w:t>Opinion on the Financial Statements</w:t>
      </w:r>
    </w:p>
    <w:p>
      <w:pPr>
        <w:ind w:left="380" w:right="2160"/>
        <w:spacing w:after="0" w:line="210" w:lineRule="auto"/>
        <w:rPr>
          <w:sz w:val="20"/>
          <w:szCs w:val="20"/>
          <w:color w:val="auto"/>
        </w:rPr>
      </w:pPr>
      <w:r>
        <w:rPr>
          <w:rFonts w:ascii="Arial" w:cs="Arial" w:eastAsia="Arial" w:hAnsi="Arial"/>
          <w:sz w:val="13"/>
          <w:szCs w:val="13"/>
          <w:color w:val="auto"/>
        </w:rPr>
        <w:t>We have audited the accompanying consolidated statements of financial position of BioNTech SE (the Company) as of December 31, 2024 and 2023, the related consolidated statements of profit or loss, comprehensive income, changes in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International Financial Reporting Standards (IFRS) as issued by the International Accounting Standard Board.</w:t>
      </w:r>
    </w:p>
    <w:p>
      <w:pPr>
        <w:spacing w:after="0" w:line="5" w:lineRule="exact"/>
        <w:rPr>
          <w:sz w:val="20"/>
          <w:szCs w:val="20"/>
          <w:color w:val="auto"/>
        </w:rPr>
      </w:pPr>
    </w:p>
    <w:p>
      <w:pPr>
        <w:ind w:left="380" w:right="2240"/>
        <w:spacing w:after="0" w:line="211"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March 10, 2025, expressed an unqualified opinion thereon.</w:t>
      </w:r>
    </w:p>
    <w:p>
      <w:pPr>
        <w:ind w:left="380"/>
        <w:spacing w:after="0" w:line="210" w:lineRule="auto"/>
        <w:rPr>
          <w:sz w:val="20"/>
          <w:szCs w:val="20"/>
          <w:color w:val="auto"/>
        </w:rPr>
      </w:pPr>
      <w:r>
        <w:rPr>
          <w:rFonts w:ascii="Arial" w:cs="Arial" w:eastAsia="Arial" w:hAnsi="Arial"/>
          <w:sz w:val="16"/>
          <w:szCs w:val="16"/>
          <w:b w:val="1"/>
          <w:bCs w:val="1"/>
          <w:color w:val="005A64"/>
        </w:rPr>
        <w:t>Basis for Opinion</w:t>
      </w:r>
    </w:p>
    <w:p>
      <w:pPr>
        <w:spacing w:after="0" w:line="1"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 w:lineRule="exact"/>
        <w:rPr>
          <w:sz w:val="20"/>
          <w:szCs w:val="20"/>
          <w:color w:val="auto"/>
        </w:rPr>
      </w:pPr>
    </w:p>
    <w:p>
      <w:pPr>
        <w:ind w:left="380" w:right="2100"/>
        <w:spacing w:after="0" w:line="211"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ind w:left="380"/>
        <w:spacing w:after="0" w:line="210" w:lineRule="auto"/>
        <w:rPr>
          <w:sz w:val="20"/>
          <w:szCs w:val="20"/>
          <w:color w:val="auto"/>
        </w:rPr>
      </w:pPr>
      <w:r>
        <w:rPr>
          <w:rFonts w:ascii="Arial" w:cs="Arial" w:eastAsia="Arial" w:hAnsi="Arial"/>
          <w:sz w:val="16"/>
          <w:szCs w:val="16"/>
          <w:b w:val="1"/>
          <w:bCs w:val="1"/>
          <w:color w:val="005A64"/>
        </w:rPr>
        <w:t>Critical Audit Matters</w:t>
      </w:r>
    </w:p>
    <w:p>
      <w:pPr>
        <w:spacing w:after="0" w:line="1" w:lineRule="exact"/>
        <w:rPr>
          <w:sz w:val="20"/>
          <w:szCs w:val="20"/>
          <w:color w:val="auto"/>
        </w:rPr>
      </w:pPr>
    </w:p>
    <w:p>
      <w:pPr>
        <w:ind w:left="380" w:right="2180"/>
        <w:spacing w:after="0" w:line="217" w:lineRule="auto"/>
        <w:rPr>
          <w:sz w:val="20"/>
          <w:szCs w:val="20"/>
          <w:color w:val="auto"/>
        </w:rPr>
      </w:pPr>
      <w:r>
        <w:rPr>
          <w:rFonts w:ascii="Arial" w:cs="Arial" w:eastAsia="Arial" w:hAnsi="Arial"/>
          <w:sz w:val="13"/>
          <w:szCs w:val="13"/>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sectPr>
          <w:pgSz w:w="11900" w:h="16840" w:orient="portrait"/>
          <w:cols w:equalWidth="0" w:num="1">
            <w:col w:w="9020"/>
          </w:cols>
          <w:pgMar w:left="1440" w:top="1440" w:right="1440" w:bottom="1118" w:gutter="0" w:footer="0" w:header="0"/>
        </w:sectPr>
      </w:pPr>
    </w:p>
    <w:p>
      <w:pPr>
        <w:ind w:left="1120"/>
        <w:spacing w:after="0"/>
        <w:rPr>
          <w:rFonts w:ascii="Arial" w:cs="Arial" w:eastAsia="Arial" w:hAnsi="Arial"/>
          <w:sz w:val="9"/>
          <w:szCs w:val="9"/>
          <w:b w:val="1"/>
          <w:bCs w:val="1"/>
          <w:color w:val="005A64"/>
        </w:rPr>
      </w:pPr>
      <w:hyperlink w:anchor="page3">
        <w:r>
          <w:rPr>
            <w:rFonts w:ascii="Arial" w:cs="Arial" w:eastAsia="Arial" w:hAnsi="Arial"/>
            <w:sz w:val="9"/>
            <w:szCs w:val="9"/>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37465</wp:posOffset>
            </wp:positionV>
            <wp:extent cx="5231130"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1440" w:right="1440" w:bottom="1118" w:gutter="0" w:footer="0" w:header="0"/>
          <w:type w:val="continuous"/>
        </w:sectPr>
      </w:pPr>
    </w:p>
    <w:bookmarkStart w:id="182" w:name="page183"/>
    <w:bookmarkEnd w:id="182"/>
    <w:p>
      <w:pPr>
        <w:ind w:left="1440"/>
        <w:spacing w:after="0"/>
        <w:rPr>
          <w:sz w:val="20"/>
          <w:szCs w:val="20"/>
          <w:color w:val="auto"/>
        </w:rPr>
      </w:pPr>
      <w:r>
        <w:rPr>
          <w:rFonts w:ascii="Arial" w:cs="Arial" w:eastAsia="Arial" w:hAnsi="Arial"/>
          <w:sz w:val="13"/>
          <w:szCs w:val="13"/>
          <w:b w:val="1"/>
          <w:bCs w:val="1"/>
          <w:i w:val="1"/>
          <w:iCs w:val="1"/>
          <w:color w:val="auto"/>
        </w:rPr>
        <w:t>Revenue recognition from collaboration partner’s COVID-19 vaccine sales</w:t>
      </w:r>
    </w:p>
    <w:p>
      <w:pPr>
        <w:spacing w:after="0" w:line="229" w:lineRule="exact"/>
        <w:rPr>
          <w:sz w:val="20"/>
          <w:szCs w:val="20"/>
          <w:color w:val="auto"/>
        </w:rPr>
      </w:pPr>
    </w:p>
    <w:p>
      <w:pPr>
        <w:ind w:left="400"/>
        <w:spacing w:after="0"/>
        <w:tabs>
          <w:tab w:leader="none" w:pos="1420" w:val="left"/>
        </w:tabs>
        <w:rPr>
          <w:sz w:val="20"/>
          <w:szCs w:val="20"/>
          <w:color w:val="auto"/>
        </w:rPr>
      </w:pPr>
      <w:r>
        <w:rPr>
          <w:rFonts w:ascii="Arial" w:cs="Arial" w:eastAsia="Arial" w:hAnsi="Arial"/>
          <w:sz w:val="13"/>
          <w:szCs w:val="13"/>
          <w:i w:val="1"/>
          <w:iCs w:val="1"/>
          <w:color w:val="auto"/>
        </w:rPr>
        <w:t>Description of</w:t>
      </w:r>
      <w:r>
        <w:rPr>
          <w:sz w:val="20"/>
          <w:szCs w:val="20"/>
          <w:color w:val="auto"/>
        </w:rPr>
        <w:tab/>
      </w:r>
      <w:r>
        <w:rPr>
          <w:rFonts w:ascii="Arial" w:cs="Arial" w:eastAsia="Arial" w:hAnsi="Arial"/>
          <w:sz w:val="13"/>
          <w:szCs w:val="13"/>
          <w:color w:val="auto"/>
        </w:rPr>
        <w:t>As described in more detail in Note 6 to the consolidated financial statements, the Company</w:t>
      </w:r>
    </w:p>
    <w:p>
      <w:pPr>
        <w:ind w:left="1440" w:right="2160" w:hanging="1040"/>
        <w:spacing w:after="0"/>
        <w:tabs>
          <w:tab w:leader="none" w:pos="1420" w:val="left"/>
        </w:tabs>
        <w:rPr>
          <w:sz w:val="20"/>
          <w:szCs w:val="20"/>
          <w:color w:val="auto"/>
        </w:rPr>
      </w:pPr>
      <w:r>
        <w:rPr>
          <w:rFonts w:ascii="Arial" w:cs="Arial" w:eastAsia="Arial" w:hAnsi="Arial"/>
          <w:sz w:val="13"/>
          <w:szCs w:val="13"/>
          <w:i w:val="1"/>
          <w:iCs w:val="1"/>
          <w:color w:val="auto"/>
        </w:rPr>
        <w:t>the Matter</w:t>
      </w:r>
      <w:r>
        <w:rPr>
          <w:sz w:val="20"/>
          <w:szCs w:val="20"/>
          <w:color w:val="auto"/>
        </w:rPr>
        <w:tab/>
      </w:r>
      <w:r>
        <w:rPr>
          <w:rFonts w:ascii="Arial" w:cs="Arial" w:eastAsia="Arial" w:hAnsi="Arial"/>
          <w:sz w:val="13"/>
          <w:szCs w:val="13"/>
          <w:color w:val="auto"/>
        </w:rPr>
        <w:t>recognizes revenues associated with COVID-19 vaccine sales in a total amount of €2.4 billion. This includes €1.8 billion from the Company’s share of its collaboration partner´s gross profit.</w:t>
      </w:r>
    </w:p>
    <w:p>
      <w:pPr>
        <w:spacing w:after="0" w:line="95" w:lineRule="exact"/>
        <w:rPr>
          <w:sz w:val="20"/>
          <w:szCs w:val="20"/>
          <w:color w:val="auto"/>
        </w:rPr>
      </w:pPr>
    </w:p>
    <w:p>
      <w:pPr>
        <w:ind w:left="1440" w:right="2280"/>
        <w:spacing w:after="0" w:line="215" w:lineRule="auto"/>
        <w:rPr>
          <w:sz w:val="20"/>
          <w:szCs w:val="20"/>
          <w:color w:val="auto"/>
        </w:rPr>
      </w:pPr>
      <w:r>
        <w:rPr>
          <w:rFonts w:ascii="Arial" w:cs="Arial" w:eastAsia="Arial" w:hAnsi="Arial"/>
          <w:sz w:val="13"/>
          <w:szCs w:val="13"/>
          <w:color w:val="auto"/>
        </w:rPr>
        <w:t>The Company is contractually eligible to receive a share of the collaboration partner’s gross profit from vaccine sales in the collaboration partner’s territories. Such gross profit share is recognized as collaboration revenue. In order to determine the gross profit share, the Company uses certain information from the collaboration partner, including vaccine sales outside of the United States and associated production costs, some of which is based on preliminary data shared by the partner and might differ once final data is available. Auditing revenue recognition specific to the gross profit share was complex due to the significant estimation uncertainty in inputs to the calculation. Specifically, the collaboration partner’s vaccine sales outside of the United States and associated manufacturing and shipping costs are partially estimated for the last month in the period based on historical information and could change based on the actual vaccine sales and costs incurred.</w:t>
      </w:r>
    </w:p>
    <w:p>
      <w:pPr>
        <w:sectPr>
          <w:pgSz w:w="11900" w:h="16840" w:orient="portrait"/>
          <w:cols w:equalWidth="0" w:num="1">
            <w:col w:w="9020"/>
          </w:cols>
          <w:pgMar w:left="1440" w:top="5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0"/>
        <w:spacing w:after="0" w:line="227" w:lineRule="auto"/>
        <w:rPr>
          <w:sz w:val="20"/>
          <w:szCs w:val="20"/>
          <w:color w:val="auto"/>
        </w:rPr>
      </w:pPr>
      <w:r>
        <w:rPr>
          <w:rFonts w:ascii="Arial" w:cs="Arial" w:eastAsia="Arial" w:hAnsi="Arial"/>
          <w:sz w:val="13"/>
          <w:szCs w:val="13"/>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3"/>
          <w:szCs w:val="13"/>
          <w:color w:val="auto"/>
        </w:rPr>
        <w:t>We obtained an understanding, evaluated the design and tested the operating effectiveness</w:t>
      </w:r>
    </w:p>
    <w:p>
      <w:pPr>
        <w:spacing w:after="0" w:line="210" w:lineRule="auto"/>
        <w:rPr>
          <w:sz w:val="20"/>
          <w:szCs w:val="20"/>
          <w:color w:val="auto"/>
        </w:rPr>
      </w:pPr>
      <w:r>
        <w:rPr>
          <w:rFonts w:ascii="Arial" w:cs="Arial" w:eastAsia="Arial" w:hAnsi="Arial"/>
          <w:sz w:val="13"/>
          <w:szCs w:val="13"/>
          <w:color w:val="auto"/>
        </w:rPr>
        <w:t>of the Company’s controls related to revenue recognition from the collaboration partner’s</w:t>
      </w:r>
    </w:p>
    <w:p>
      <w:pPr>
        <w:spacing w:after="0" w:line="211" w:lineRule="auto"/>
        <w:rPr>
          <w:sz w:val="20"/>
          <w:szCs w:val="20"/>
          <w:color w:val="auto"/>
        </w:rPr>
      </w:pPr>
      <w:r>
        <w:rPr>
          <w:rFonts w:ascii="Arial" w:cs="Arial" w:eastAsia="Arial" w:hAnsi="Arial"/>
          <w:sz w:val="13"/>
          <w:szCs w:val="13"/>
          <w:color w:val="auto"/>
        </w:rPr>
        <w:t>vaccine sales outside of the United States. For example, we tested controls over</w:t>
      </w:r>
    </w:p>
    <w:p>
      <w:pPr>
        <w:spacing w:after="0" w:line="211" w:lineRule="auto"/>
        <w:rPr>
          <w:sz w:val="20"/>
          <w:szCs w:val="20"/>
          <w:color w:val="auto"/>
        </w:rPr>
      </w:pPr>
      <w:r>
        <w:rPr>
          <w:rFonts w:ascii="Arial" w:cs="Arial" w:eastAsia="Arial" w:hAnsi="Arial"/>
          <w:sz w:val="13"/>
          <w:szCs w:val="13"/>
          <w:color w:val="auto"/>
        </w:rPr>
        <w:t>management’s review of the significant assumptions used to determine the gross profit share</w:t>
      </w:r>
    </w:p>
    <w:p>
      <w:pPr>
        <w:spacing w:after="0" w:line="211" w:lineRule="auto"/>
        <w:rPr>
          <w:sz w:val="20"/>
          <w:szCs w:val="20"/>
          <w:color w:val="auto"/>
        </w:rPr>
      </w:pPr>
      <w:r>
        <w:rPr>
          <w:rFonts w:ascii="Arial" w:cs="Arial" w:eastAsia="Arial" w:hAnsi="Arial"/>
          <w:sz w:val="13"/>
          <w:szCs w:val="13"/>
          <w:color w:val="auto"/>
        </w:rPr>
        <w:t>the Company is eligible to receive.</w:t>
      </w:r>
    </w:p>
    <w:p>
      <w:pPr>
        <w:spacing w:after="0" w:line="211" w:lineRule="auto"/>
        <w:rPr>
          <w:sz w:val="20"/>
          <w:szCs w:val="20"/>
          <w:color w:val="auto"/>
        </w:rPr>
      </w:pPr>
      <w:r>
        <w:rPr>
          <w:rFonts w:ascii="Arial" w:cs="Arial" w:eastAsia="Arial" w:hAnsi="Arial"/>
          <w:sz w:val="13"/>
          <w:szCs w:val="13"/>
          <w:color w:val="auto"/>
        </w:rPr>
        <w:t>Our audit procedures included, among others, reading the contract with the collaboration</w:t>
      </w:r>
    </w:p>
    <w:p>
      <w:pPr>
        <w:spacing w:after="0" w:line="211" w:lineRule="auto"/>
        <w:rPr>
          <w:sz w:val="20"/>
          <w:szCs w:val="20"/>
          <w:color w:val="auto"/>
        </w:rPr>
      </w:pPr>
      <w:r>
        <w:rPr>
          <w:rFonts w:ascii="Arial" w:cs="Arial" w:eastAsia="Arial" w:hAnsi="Arial"/>
          <w:sz w:val="13"/>
          <w:szCs w:val="13"/>
          <w:color w:val="auto"/>
        </w:rPr>
        <w:t>partner to understand key terms and obtaining an understanding of management’s</w:t>
      </w:r>
    </w:p>
    <w:p>
      <w:pPr>
        <w:spacing w:after="0" w:line="211" w:lineRule="auto"/>
        <w:rPr>
          <w:sz w:val="20"/>
          <w:szCs w:val="20"/>
          <w:color w:val="auto"/>
        </w:rPr>
      </w:pPr>
      <w:r>
        <w:rPr>
          <w:rFonts w:ascii="Arial" w:cs="Arial" w:eastAsia="Arial" w:hAnsi="Arial"/>
          <w:sz w:val="13"/>
          <w:szCs w:val="13"/>
          <w:color w:val="auto"/>
        </w:rPr>
        <w:t>methodology and assumptions used to calculate the gross profit share. We performed a</w:t>
      </w:r>
    </w:p>
    <w:p>
      <w:pPr>
        <w:spacing w:after="0" w:line="211" w:lineRule="auto"/>
        <w:rPr>
          <w:sz w:val="20"/>
          <w:szCs w:val="20"/>
          <w:color w:val="auto"/>
        </w:rPr>
      </w:pPr>
      <w:r>
        <w:rPr>
          <w:rFonts w:ascii="Arial" w:cs="Arial" w:eastAsia="Arial" w:hAnsi="Arial"/>
          <w:sz w:val="13"/>
          <w:szCs w:val="13"/>
          <w:color w:val="auto"/>
        </w:rPr>
        <w:t>hindsight analysis to assess management’s accuracy in estimating the collaboration partner’s</w:t>
      </w:r>
    </w:p>
    <w:p>
      <w:pPr>
        <w:spacing w:after="0" w:line="211" w:lineRule="auto"/>
        <w:rPr>
          <w:sz w:val="20"/>
          <w:szCs w:val="20"/>
          <w:color w:val="auto"/>
        </w:rPr>
      </w:pPr>
      <w:r>
        <w:rPr>
          <w:rFonts w:ascii="Arial" w:cs="Arial" w:eastAsia="Arial" w:hAnsi="Arial"/>
          <w:sz w:val="13"/>
          <w:szCs w:val="13"/>
          <w:color w:val="auto"/>
        </w:rPr>
        <w:t>vaccine sales outside of the United States and manufacturing and shipping costs. We</w:t>
      </w:r>
    </w:p>
    <w:p>
      <w:pPr>
        <w:spacing w:after="0" w:line="211" w:lineRule="auto"/>
        <w:rPr>
          <w:sz w:val="20"/>
          <w:szCs w:val="20"/>
          <w:color w:val="auto"/>
        </w:rPr>
      </w:pPr>
      <w:r>
        <w:rPr>
          <w:rFonts w:ascii="Arial" w:cs="Arial" w:eastAsia="Arial" w:hAnsi="Arial"/>
          <w:sz w:val="13"/>
          <w:szCs w:val="13"/>
          <w:color w:val="auto"/>
        </w:rPr>
        <w:t>obtained a confirmation directly from the collaboration partner regarding vaccine sales and</w:t>
      </w:r>
    </w:p>
    <w:p>
      <w:pPr>
        <w:spacing w:after="0" w:line="211" w:lineRule="auto"/>
        <w:rPr>
          <w:sz w:val="20"/>
          <w:szCs w:val="20"/>
          <w:color w:val="auto"/>
        </w:rPr>
      </w:pPr>
      <w:r>
        <w:rPr>
          <w:rFonts w:ascii="Arial" w:cs="Arial" w:eastAsia="Arial" w:hAnsi="Arial"/>
          <w:sz w:val="13"/>
          <w:szCs w:val="13"/>
          <w:color w:val="auto"/>
        </w:rPr>
        <w:t>cost inputs used to estimate the profit share. We performed a sensitivity analysis of the</w:t>
      </w:r>
    </w:p>
    <w:p>
      <w:pPr>
        <w:spacing w:after="0" w:line="211" w:lineRule="auto"/>
        <w:rPr>
          <w:sz w:val="20"/>
          <w:szCs w:val="20"/>
          <w:color w:val="auto"/>
        </w:rPr>
      </w:pPr>
      <w:r>
        <w:rPr>
          <w:rFonts w:ascii="Arial" w:cs="Arial" w:eastAsia="Arial" w:hAnsi="Arial"/>
          <w:sz w:val="13"/>
          <w:szCs w:val="13"/>
          <w:color w:val="auto"/>
        </w:rPr>
        <w:t>significant assumptions to evaluate the change in the gross profit share resulting from</w:t>
      </w:r>
    </w:p>
    <w:p>
      <w:pPr>
        <w:spacing w:after="0" w:line="211" w:lineRule="auto"/>
        <w:rPr>
          <w:sz w:val="20"/>
          <w:szCs w:val="20"/>
          <w:color w:val="auto"/>
        </w:rPr>
      </w:pPr>
      <w:r>
        <w:rPr>
          <w:rFonts w:ascii="Arial" w:cs="Arial" w:eastAsia="Arial" w:hAnsi="Arial"/>
          <w:sz w:val="13"/>
          <w:szCs w:val="13"/>
          <w:color w:val="auto"/>
        </w:rPr>
        <w:t>changing the assumptions, as well as an analysis of previous estimation compared to the</w:t>
      </w:r>
    </w:p>
    <w:p>
      <w:pPr>
        <w:spacing w:after="0" w:line="211" w:lineRule="auto"/>
        <w:rPr>
          <w:sz w:val="20"/>
          <w:szCs w:val="20"/>
          <w:color w:val="auto"/>
        </w:rPr>
      </w:pPr>
      <w:r>
        <w:rPr>
          <w:rFonts w:ascii="Arial" w:cs="Arial" w:eastAsia="Arial" w:hAnsi="Arial"/>
          <w:sz w:val="13"/>
          <w:szCs w:val="13"/>
          <w:color w:val="auto"/>
        </w:rPr>
        <w:t>actual payments obtained to date. We tested the completeness and accuracy of the</w:t>
      </w:r>
    </w:p>
    <w:p>
      <w:pPr>
        <w:spacing w:after="0" w:line="211" w:lineRule="auto"/>
        <w:rPr>
          <w:sz w:val="20"/>
          <w:szCs w:val="20"/>
          <w:color w:val="auto"/>
        </w:rPr>
      </w:pPr>
      <w:r>
        <w:rPr>
          <w:rFonts w:ascii="Arial" w:cs="Arial" w:eastAsia="Arial" w:hAnsi="Arial"/>
          <w:sz w:val="13"/>
          <w:szCs w:val="13"/>
          <w:color w:val="auto"/>
        </w:rPr>
        <w:t>Company’s gross profit share calculation. We evaluated the Company’s related disclosures in</w:t>
      </w:r>
    </w:p>
    <w:p>
      <w:pPr>
        <w:spacing w:after="0"/>
        <w:rPr>
          <w:sz w:val="20"/>
          <w:szCs w:val="20"/>
          <w:color w:val="auto"/>
        </w:rPr>
      </w:pPr>
      <w:r>
        <w:rPr>
          <w:rFonts w:ascii="Arial" w:cs="Arial" w:eastAsia="Arial" w:hAnsi="Arial"/>
          <w:sz w:val="13"/>
          <w:szCs w:val="13"/>
          <w:color w:val="auto"/>
        </w:rPr>
        <w:t>the consolidated financial statements.</w:t>
      </w:r>
    </w:p>
    <w:p>
      <w:pPr>
        <w:spacing w:after="0" w:line="200" w:lineRule="exact"/>
        <w:rPr>
          <w:sz w:val="20"/>
          <w:szCs w:val="20"/>
          <w:color w:val="auto"/>
        </w:rPr>
      </w:pPr>
    </w:p>
    <w:p>
      <w:pPr>
        <w:sectPr>
          <w:pgSz w:w="11900" w:h="16840" w:orient="portrait"/>
          <w:cols w:equalWidth="0" w:num="2">
            <w:col w:w="1240" w:space="200"/>
            <w:col w:w="7580"/>
          </w:cols>
          <w:pgMar w:left="1440" w:top="5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29845</wp:posOffset>
            </wp:positionV>
            <wp:extent cx="5231130"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560" w:right="1440" w:bottom="1440" w:gutter="0" w:footer="0" w:header="0"/>
          <w:type w:val="continuous"/>
        </w:sectPr>
      </w:pPr>
    </w:p>
    <w:bookmarkStart w:id="183" w:name="page184"/>
    <w:bookmarkEnd w:id="183"/>
    <w:p>
      <w:pPr>
        <w:ind w:left="1440"/>
        <w:spacing w:after="0"/>
        <w:rPr>
          <w:sz w:val="20"/>
          <w:szCs w:val="20"/>
          <w:color w:val="auto"/>
        </w:rPr>
      </w:pPr>
      <w:r>
        <w:rPr>
          <w:rFonts w:ascii="Arial" w:cs="Arial" w:eastAsia="Arial" w:hAnsi="Arial"/>
          <w:sz w:val="13"/>
          <w:szCs w:val="13"/>
          <w:b w:val="1"/>
          <w:bCs w:val="1"/>
          <w:i w:val="1"/>
          <w:iCs w:val="1"/>
          <w:color w:val="auto"/>
        </w:rPr>
        <w:t>Claims and legal contingencies</w:t>
      </w:r>
    </w:p>
    <w:p>
      <w:pPr>
        <w:spacing w:after="0" w:line="249" w:lineRule="exact"/>
        <w:rPr>
          <w:sz w:val="20"/>
          <w:szCs w:val="20"/>
          <w:color w:val="auto"/>
        </w:rPr>
      </w:pPr>
    </w:p>
    <w:p>
      <w:pPr>
        <w:ind w:left="400"/>
        <w:spacing w:after="0"/>
        <w:tabs>
          <w:tab w:leader="none" w:pos="1420" w:val="left"/>
        </w:tabs>
        <w:rPr>
          <w:sz w:val="20"/>
          <w:szCs w:val="20"/>
          <w:color w:val="auto"/>
        </w:rPr>
      </w:pPr>
      <w:r>
        <w:rPr>
          <w:rFonts w:ascii="Arial" w:cs="Arial" w:eastAsia="Arial" w:hAnsi="Arial"/>
          <w:sz w:val="13"/>
          <w:szCs w:val="13"/>
          <w:i w:val="1"/>
          <w:iCs w:val="1"/>
          <w:color w:val="auto"/>
        </w:rPr>
        <w:t>Description of</w:t>
      </w:r>
      <w:r>
        <w:rPr>
          <w:sz w:val="20"/>
          <w:szCs w:val="20"/>
          <w:color w:val="auto"/>
        </w:rPr>
        <w:tab/>
      </w:r>
      <w:r>
        <w:rPr>
          <w:rFonts w:ascii="Arial" w:cs="Arial" w:eastAsia="Arial" w:hAnsi="Arial"/>
          <w:sz w:val="13"/>
          <w:szCs w:val="13"/>
          <w:color w:val="auto"/>
        </w:rPr>
        <w:t>As described in more detail in Note 18 to the consolidated financial statements, the Company</w:t>
      </w:r>
    </w:p>
    <w:p>
      <w:pPr>
        <w:ind w:left="1440" w:right="2140" w:hanging="1040"/>
        <w:spacing w:after="0" w:line="210" w:lineRule="auto"/>
        <w:tabs>
          <w:tab w:leader="none" w:pos="1420" w:val="left"/>
        </w:tabs>
        <w:rPr>
          <w:sz w:val="20"/>
          <w:szCs w:val="20"/>
          <w:color w:val="auto"/>
        </w:rPr>
      </w:pPr>
      <w:r>
        <w:rPr>
          <w:rFonts w:ascii="Arial" w:cs="Arial" w:eastAsia="Arial" w:hAnsi="Arial"/>
          <w:sz w:val="13"/>
          <w:szCs w:val="13"/>
          <w:i w:val="1"/>
          <w:iCs w:val="1"/>
          <w:color w:val="auto"/>
        </w:rPr>
        <w:t>the Matter</w:t>
      </w:r>
      <w:r>
        <w:rPr>
          <w:sz w:val="20"/>
          <w:szCs w:val="20"/>
          <w:color w:val="auto"/>
        </w:rPr>
        <w:tab/>
      </w:r>
      <w:r>
        <w:rPr>
          <w:rFonts w:ascii="Arial" w:cs="Arial" w:eastAsia="Arial" w:hAnsi="Arial"/>
          <w:sz w:val="13"/>
          <w:szCs w:val="13"/>
          <w:color w:val="auto"/>
        </w:rPr>
        <w:t>is involved in various claims and litigations specifically related to patent infringements and product liability matters. The Company, assisted by their internal and external legal counsel, assesses the need to record a provision or disclose a contingency on a case-by-case basis considering the underlying facts of each matter. The Company discloses contingent liabilities in circumstances where a cash outflow is probable, but management is unable to make a reasonable estimate of the expected financial effect that will result from ultimate resolution of the proceeding, or a cash outflow is reasonably possible. A provision is recorded when a cash outflow is deemed probable and reasonably estimable.</w:t>
      </w:r>
    </w:p>
    <w:p>
      <w:pPr>
        <w:spacing w:after="0" w:line="5" w:lineRule="exact"/>
        <w:rPr>
          <w:sz w:val="20"/>
          <w:szCs w:val="20"/>
          <w:color w:val="auto"/>
        </w:rPr>
      </w:pPr>
    </w:p>
    <w:p>
      <w:pPr>
        <w:ind w:left="1440" w:right="2160"/>
        <w:spacing w:after="0" w:line="226" w:lineRule="auto"/>
        <w:rPr>
          <w:sz w:val="20"/>
          <w:szCs w:val="20"/>
          <w:color w:val="auto"/>
        </w:rPr>
      </w:pPr>
      <w:r>
        <w:rPr>
          <w:rFonts w:ascii="Arial" w:cs="Arial" w:eastAsia="Arial" w:hAnsi="Arial"/>
          <w:sz w:val="13"/>
          <w:szCs w:val="13"/>
          <w:color w:val="auto"/>
        </w:rPr>
        <w:t>Auditing management's determination of whether a cash outflow of such patent or product liability matters is probable and reasonably estimable, reasonably possible or remote, and the related disclosures, is highly subjective and requires significant judgement.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0"/>
        <w:spacing w:after="0"/>
        <w:tabs>
          <w:tab w:leader="none" w:pos="1420" w:val="left"/>
        </w:tabs>
        <w:rPr>
          <w:sz w:val="20"/>
          <w:szCs w:val="20"/>
          <w:color w:val="auto"/>
        </w:rPr>
      </w:pPr>
      <w:r>
        <w:rPr>
          <w:rFonts w:ascii="Arial" w:cs="Arial" w:eastAsia="Arial" w:hAnsi="Arial"/>
          <w:sz w:val="13"/>
          <w:szCs w:val="13"/>
          <w:i w:val="1"/>
          <w:iCs w:val="1"/>
          <w:color w:val="auto"/>
        </w:rPr>
        <w:t>How We</w:t>
      </w:r>
      <w:r>
        <w:rPr>
          <w:sz w:val="20"/>
          <w:szCs w:val="20"/>
          <w:color w:val="auto"/>
        </w:rPr>
        <w:tab/>
      </w:r>
      <w:r>
        <w:rPr>
          <w:rFonts w:ascii="Arial" w:cs="Arial" w:eastAsia="Arial" w:hAnsi="Arial"/>
          <w:sz w:val="13"/>
          <w:szCs w:val="13"/>
          <w:color w:val="auto"/>
        </w:rPr>
        <w:t>We obtained an understanding, evaluated the design and tested the operating effectiveness</w:t>
      </w:r>
    </w:p>
    <w:p>
      <w:pPr>
        <w:ind w:left="400" w:right="2400"/>
        <w:spacing w:after="0" w:line="210" w:lineRule="auto"/>
        <w:rPr>
          <w:sz w:val="20"/>
          <w:szCs w:val="20"/>
          <w:color w:val="auto"/>
        </w:rPr>
      </w:pPr>
      <w:r>
        <w:rPr>
          <w:rFonts w:ascii="Arial" w:cs="Arial" w:eastAsia="Arial" w:hAnsi="Arial"/>
          <w:sz w:val="13"/>
          <w:szCs w:val="13"/>
          <w:i w:val="1"/>
          <w:iCs w:val="1"/>
          <w:color w:val="auto"/>
        </w:rPr>
        <w:t xml:space="preserve">Addressed the </w:t>
      </w:r>
      <w:r>
        <w:rPr>
          <w:rFonts w:ascii="Arial" w:cs="Arial" w:eastAsia="Arial" w:hAnsi="Arial"/>
          <w:sz w:val="13"/>
          <w:szCs w:val="13"/>
          <w:color w:val="auto"/>
        </w:rPr>
        <w:t>of the Company’s controls in assessing the completeness, valuation, presentation and</w:t>
      </w:r>
      <w:r>
        <w:rPr>
          <w:rFonts w:ascii="Arial" w:cs="Arial" w:eastAsia="Arial" w:hAnsi="Arial"/>
          <w:sz w:val="13"/>
          <w:szCs w:val="13"/>
          <w:i w:val="1"/>
          <w:iCs w:val="1"/>
          <w:color w:val="auto"/>
        </w:rPr>
        <w:t xml:space="preserve"> Matter in Our </w:t>
      </w:r>
      <w:r>
        <w:rPr>
          <w:rFonts w:ascii="Arial" w:cs="Arial" w:eastAsia="Arial" w:hAnsi="Arial"/>
          <w:sz w:val="13"/>
          <w:szCs w:val="13"/>
          <w:color w:val="auto"/>
        </w:rPr>
        <w:t>disclosures with respect to such claims and legal proceedings. For example, this included</w:t>
      </w:r>
    </w:p>
    <w:p>
      <w:pPr>
        <w:ind w:left="400"/>
        <w:spacing w:after="0" w:line="212" w:lineRule="auto"/>
        <w:tabs>
          <w:tab w:leader="none" w:pos="1420" w:val="left"/>
        </w:tabs>
        <w:rPr>
          <w:sz w:val="20"/>
          <w:szCs w:val="20"/>
          <w:color w:val="auto"/>
        </w:rPr>
      </w:pPr>
      <w:r>
        <w:rPr>
          <w:rFonts w:ascii="Arial" w:cs="Arial" w:eastAsia="Arial" w:hAnsi="Arial"/>
          <w:sz w:val="13"/>
          <w:szCs w:val="13"/>
          <w:i w:val="1"/>
          <w:iCs w:val="1"/>
          <w:color w:val="auto"/>
        </w:rPr>
        <w:t>Audit</w:t>
      </w:r>
      <w:r>
        <w:rPr>
          <w:sz w:val="20"/>
          <w:szCs w:val="20"/>
          <w:color w:val="auto"/>
        </w:rPr>
        <w:tab/>
      </w:r>
      <w:r>
        <w:rPr>
          <w:rFonts w:ascii="Arial" w:cs="Arial" w:eastAsia="Arial" w:hAnsi="Arial"/>
          <w:sz w:val="13"/>
          <w:szCs w:val="13"/>
          <w:color w:val="auto"/>
        </w:rPr>
        <w:t>testing controls related to the Company’s process for identification, recognition, measurement</w:t>
      </w:r>
    </w:p>
    <w:p>
      <w:pPr>
        <w:ind w:left="1440"/>
        <w:spacing w:after="0" w:line="211" w:lineRule="auto"/>
        <w:rPr>
          <w:sz w:val="20"/>
          <w:szCs w:val="20"/>
          <w:color w:val="auto"/>
        </w:rPr>
      </w:pPr>
      <w:r>
        <w:rPr>
          <w:rFonts w:ascii="Arial" w:cs="Arial" w:eastAsia="Arial" w:hAnsi="Arial"/>
          <w:sz w:val="13"/>
          <w:szCs w:val="13"/>
          <w:color w:val="auto"/>
        </w:rPr>
        <w:t>and disclosure of claims and legal contingencies.</w:t>
      </w:r>
    </w:p>
    <w:p>
      <w:pPr>
        <w:ind w:left="1440"/>
        <w:spacing w:after="0" w:line="211" w:lineRule="auto"/>
        <w:rPr>
          <w:sz w:val="20"/>
          <w:szCs w:val="20"/>
          <w:color w:val="auto"/>
        </w:rPr>
      </w:pPr>
      <w:r>
        <w:rPr>
          <w:rFonts w:ascii="Arial" w:cs="Arial" w:eastAsia="Arial" w:hAnsi="Arial"/>
          <w:sz w:val="13"/>
          <w:szCs w:val="13"/>
          <w:color w:val="auto"/>
        </w:rPr>
        <w:t>We assessed the fact patterns related to the claims and legal proceedings subject to</w:t>
      </w:r>
    </w:p>
    <w:p>
      <w:pPr>
        <w:ind w:left="1440"/>
        <w:spacing w:after="0" w:line="211" w:lineRule="auto"/>
        <w:rPr>
          <w:sz w:val="20"/>
          <w:szCs w:val="20"/>
          <w:color w:val="auto"/>
        </w:rPr>
      </w:pPr>
      <w:r>
        <w:rPr>
          <w:rFonts w:ascii="Arial" w:cs="Arial" w:eastAsia="Arial" w:hAnsi="Arial"/>
          <w:sz w:val="13"/>
          <w:szCs w:val="13"/>
          <w:color w:val="auto"/>
        </w:rPr>
        <w:t>evaluation by the Company and assessed their determination of the probability of their</w:t>
      </w:r>
    </w:p>
    <w:p>
      <w:pPr>
        <w:ind w:left="1440"/>
        <w:spacing w:after="0" w:line="211" w:lineRule="auto"/>
        <w:rPr>
          <w:sz w:val="20"/>
          <w:szCs w:val="20"/>
          <w:color w:val="auto"/>
        </w:rPr>
      </w:pPr>
      <w:r>
        <w:rPr>
          <w:rFonts w:ascii="Arial" w:cs="Arial" w:eastAsia="Arial" w:hAnsi="Arial"/>
          <w:sz w:val="13"/>
          <w:szCs w:val="13"/>
          <w:color w:val="auto"/>
        </w:rPr>
        <w:t>outcomes through review of presentations for board meetings and inspection of responses to</w:t>
      </w:r>
    </w:p>
    <w:p>
      <w:pPr>
        <w:ind w:left="1440"/>
        <w:spacing w:after="0" w:line="211" w:lineRule="auto"/>
        <w:rPr>
          <w:sz w:val="20"/>
          <w:szCs w:val="20"/>
          <w:color w:val="auto"/>
        </w:rPr>
      </w:pPr>
      <w:r>
        <w:rPr>
          <w:rFonts w:ascii="Arial" w:cs="Arial" w:eastAsia="Arial" w:hAnsi="Arial"/>
          <w:sz w:val="13"/>
          <w:szCs w:val="13"/>
          <w:color w:val="auto"/>
        </w:rPr>
        <w:t>inquiry letters received from both internal and external legal counsels. Further, we held</w:t>
      </w:r>
    </w:p>
    <w:p>
      <w:pPr>
        <w:ind w:left="1440"/>
        <w:spacing w:after="0" w:line="211" w:lineRule="auto"/>
        <w:rPr>
          <w:sz w:val="20"/>
          <w:szCs w:val="20"/>
          <w:color w:val="auto"/>
        </w:rPr>
      </w:pPr>
      <w:r>
        <w:rPr>
          <w:rFonts w:ascii="Arial" w:cs="Arial" w:eastAsia="Arial" w:hAnsi="Arial"/>
          <w:sz w:val="13"/>
          <w:szCs w:val="13"/>
          <w:color w:val="auto"/>
        </w:rPr>
        <w:t>discussions with internal legal counsel and external legal counsels to confirm our</w:t>
      </w:r>
    </w:p>
    <w:p>
      <w:pPr>
        <w:ind w:left="1440"/>
        <w:spacing w:after="0"/>
        <w:rPr>
          <w:sz w:val="20"/>
          <w:szCs w:val="20"/>
          <w:color w:val="auto"/>
        </w:rPr>
      </w:pPr>
      <w:r>
        <w:rPr>
          <w:rFonts w:ascii="Arial" w:cs="Arial" w:eastAsia="Arial" w:hAnsi="Arial"/>
          <w:sz w:val="13"/>
          <w:szCs w:val="13"/>
          <w:color w:val="auto"/>
        </w:rPr>
        <w:t>understanding of the allegations, reviewed legal expenses incurred, evaluated resolutions of</w:t>
      </w:r>
    </w:p>
    <w:p>
      <w:pPr>
        <w:spacing w:after="0" w:line="3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6" w:lineRule="exact"/>
        <w:rPr>
          <w:sz w:val="20"/>
          <w:szCs w:val="20"/>
          <w:color w:val="auto"/>
        </w:rPr>
      </w:pPr>
    </w:p>
    <w:p>
      <w:pPr>
        <w:ind w:left="380" w:right="2360"/>
        <w:spacing w:after="0" w:line="223" w:lineRule="auto"/>
        <w:rPr>
          <w:sz w:val="20"/>
          <w:szCs w:val="20"/>
          <w:color w:val="auto"/>
        </w:rPr>
      </w:pPr>
      <w:r>
        <w:rPr>
          <w:rFonts w:ascii="Arial" w:cs="Arial" w:eastAsia="Arial" w:hAnsi="Arial"/>
          <w:sz w:val="20"/>
          <w:szCs w:val="20"/>
          <w:b w:val="1"/>
          <w:bCs w:val="1"/>
          <w:color w:val="005A64"/>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-257175</wp:posOffset>
            </wp:positionV>
            <wp:extent cx="5231130"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6" w:lineRule="auto"/>
        <w:rPr>
          <w:sz w:val="20"/>
          <w:szCs w:val="20"/>
          <w:color w:val="auto"/>
        </w:rPr>
      </w:pPr>
      <w:r>
        <w:rPr>
          <w:rFonts w:ascii="Arial" w:cs="Arial" w:eastAsia="Arial" w:hAnsi="Arial"/>
          <w:sz w:val="13"/>
          <w:szCs w:val="13"/>
          <w:color w:val="auto"/>
        </w:rPr>
        <w:t>To the Shareholders and Supervisory Board of BioNTech SE.</w:t>
      </w:r>
    </w:p>
    <w:p>
      <w:pPr>
        <w:ind w:left="380"/>
        <w:spacing w:after="0" w:line="207" w:lineRule="auto"/>
        <w:rPr>
          <w:sz w:val="20"/>
          <w:szCs w:val="20"/>
          <w:color w:val="auto"/>
        </w:rPr>
      </w:pPr>
      <w:r>
        <w:rPr>
          <w:rFonts w:ascii="Arial" w:cs="Arial" w:eastAsia="Arial" w:hAnsi="Arial"/>
          <w:sz w:val="16"/>
          <w:szCs w:val="16"/>
          <w:b w:val="1"/>
          <w:bCs w:val="1"/>
          <w:color w:val="005A64"/>
        </w:rPr>
        <w:t>Opinion on Internal Control Over Financial Reporting</w:t>
      </w:r>
    </w:p>
    <w:p>
      <w:pPr>
        <w:ind w:left="380" w:right="2180"/>
        <w:spacing w:after="0" w:line="210" w:lineRule="auto"/>
        <w:rPr>
          <w:sz w:val="20"/>
          <w:szCs w:val="20"/>
          <w:color w:val="auto"/>
        </w:rPr>
      </w:pPr>
      <w:r>
        <w:rPr>
          <w:rFonts w:ascii="Arial" w:cs="Arial" w:eastAsia="Arial" w:hAnsi="Arial"/>
          <w:sz w:val="13"/>
          <w:szCs w:val="13"/>
          <w:color w:val="auto"/>
        </w:rPr>
        <w:t>We have audited BioNTech SE’s internal control over financial reporting as of December 31, 2024, based on criteria established in Internal Control—Integrated Framework issued by the Committee of Sponsoring Organizations of the Treadway Commission “(2013 framework),” (the COSO criteria) . In our opinion, BioNTech SE (the Company) maintained, in all material respects, effective internal control over financial reporting as of December 31, 2024, based on the COSO criteria.</w:t>
      </w:r>
    </w:p>
    <w:p>
      <w:pPr>
        <w:spacing w:after="0" w:line="3" w:lineRule="exact"/>
        <w:rPr>
          <w:sz w:val="20"/>
          <w:szCs w:val="20"/>
          <w:color w:val="auto"/>
        </w:rPr>
      </w:pPr>
    </w:p>
    <w:p>
      <w:pPr>
        <w:ind w:left="380" w:right="2160"/>
        <w:spacing w:after="0" w:line="211"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consolidated statements of financial position of the Company as of December 31, 2024 and 2023, the related consolidated statements of profit or loss, comprehensive income, changes in stockholders’ equity and cash flows for each of the three years in the period ended December 31, 2024, and the related notes and our report dated March 10, 2025 expressed an unqualified opinion thereon.</w:t>
      </w:r>
    </w:p>
    <w:p>
      <w:pPr>
        <w:ind w:left="380"/>
        <w:spacing w:after="0" w:line="210" w:lineRule="auto"/>
        <w:rPr>
          <w:sz w:val="20"/>
          <w:szCs w:val="20"/>
          <w:color w:val="auto"/>
        </w:rPr>
      </w:pPr>
      <w:r>
        <w:rPr>
          <w:rFonts w:ascii="Arial" w:cs="Arial" w:eastAsia="Arial" w:hAnsi="Arial"/>
          <w:sz w:val="16"/>
          <w:szCs w:val="16"/>
          <w:b w:val="1"/>
          <w:bCs w:val="1"/>
          <w:color w:val="005A64"/>
        </w:rPr>
        <w:t>Basis for Opinion</w:t>
      </w:r>
    </w:p>
    <w:p>
      <w:pPr>
        <w:spacing w:after="0" w:line="1"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 w:lineRule="exact"/>
        <w:rPr>
          <w:sz w:val="20"/>
          <w:szCs w:val="20"/>
          <w:color w:val="auto"/>
        </w:rPr>
      </w:pPr>
    </w:p>
    <w:p>
      <w:pPr>
        <w:ind w:left="380" w:right="2180"/>
        <w:spacing w:after="0" w:line="212" w:lineRule="auto"/>
        <w:rPr>
          <w:sz w:val="20"/>
          <w:szCs w:val="20"/>
          <w:color w:val="auto"/>
        </w:rPr>
      </w:pPr>
      <w:r>
        <w:rPr>
          <w:rFonts w:ascii="Arial" w:cs="Arial" w:eastAsia="Arial" w:hAnsi="Arial"/>
          <w:sz w:val="13"/>
          <w:szCs w:val="13"/>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ind w:left="380"/>
        <w:spacing w:after="0" w:line="207" w:lineRule="auto"/>
        <w:rPr>
          <w:sz w:val="20"/>
          <w:szCs w:val="20"/>
          <w:color w:val="auto"/>
        </w:rPr>
      </w:pPr>
      <w:r>
        <w:rPr>
          <w:rFonts w:ascii="Arial" w:cs="Arial" w:eastAsia="Arial" w:hAnsi="Arial"/>
          <w:sz w:val="16"/>
          <w:szCs w:val="16"/>
          <w:b w:val="1"/>
          <w:bCs w:val="1"/>
          <w:color w:val="005A64"/>
        </w:rPr>
        <w:t>Definition and Limitations of Internal Control Over Financial Reporting</w:t>
      </w:r>
    </w:p>
    <w:p>
      <w:pPr>
        <w:ind w:left="380" w:right="2120"/>
        <w:spacing w:after="0" w:line="210"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 w:lineRule="exact"/>
        <w:rPr>
          <w:sz w:val="20"/>
          <w:szCs w:val="20"/>
          <w:color w:val="auto"/>
        </w:rPr>
      </w:pPr>
    </w:p>
    <w:p>
      <w:pPr>
        <w:ind w:left="380" w:right="2260"/>
        <w:spacing w:after="0" w:line="234"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sectPr>
          <w:pgSz w:w="11900" w:h="16840" w:orient="portrait"/>
          <w:cols w:equalWidth="0" w:num="1">
            <w:col w:w="9020"/>
          </w:cols>
          <w:pgMar w:left="1440" w:top="560" w:right="1440" w:bottom="188" w:gutter="0" w:footer="0" w:header="0"/>
        </w:sectPr>
      </w:pPr>
    </w:p>
    <w:p>
      <w:pPr>
        <w:ind w:left="1120"/>
        <w:spacing w:after="0"/>
        <w:rPr>
          <w:rFonts w:ascii="Arial" w:cs="Arial" w:eastAsia="Arial" w:hAnsi="Arial"/>
          <w:sz w:val="9"/>
          <w:szCs w:val="9"/>
          <w:b w:val="1"/>
          <w:bCs w:val="1"/>
          <w:color w:val="005A64"/>
        </w:rPr>
      </w:pPr>
      <w:hyperlink w:anchor="page3">
        <w:r>
          <w:rPr>
            <w:rFonts w:ascii="Arial" w:cs="Arial" w:eastAsia="Arial" w:hAnsi="Arial"/>
            <w:sz w:val="9"/>
            <w:szCs w:val="9"/>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37465</wp:posOffset>
            </wp:positionV>
            <wp:extent cx="5231130"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560" w:right="1440" w:bottom="188" w:gutter="0" w:footer="0" w:header="0"/>
          <w:type w:val="continuous"/>
        </w:sectPr>
      </w:pPr>
    </w:p>
    <w:bookmarkStart w:id="184" w:name="page185"/>
    <w:bookmarkEnd w:id="184"/>
    <w:p>
      <w:pPr>
        <w:ind w:left="380" w:right="2280"/>
        <w:spacing w:after="0" w:line="220" w:lineRule="auto"/>
        <w:rPr>
          <w:sz w:val="20"/>
          <w:szCs w:val="20"/>
          <w:color w:val="auto"/>
        </w:rPr>
      </w:pPr>
      <w:r>
        <w:rPr>
          <w:rFonts w:ascii="Arial" w:cs="Arial" w:eastAsia="Arial" w:hAnsi="Arial"/>
          <w:sz w:val="13"/>
          <w:szCs w:val="13"/>
          <w:color w:val="auto"/>
        </w:rPr>
        <w:t>controls may become inadequate because of changes in conditions, or that the degree of compliance with the policies or procedures may deteriorate.</w:t>
      </w:r>
    </w:p>
    <w:p>
      <w:pPr>
        <w:ind w:left="380"/>
        <w:spacing w:after="0" w:line="212" w:lineRule="auto"/>
        <w:rPr>
          <w:sz w:val="20"/>
          <w:szCs w:val="20"/>
          <w:color w:val="auto"/>
        </w:rPr>
      </w:pPr>
      <w:r>
        <w:rPr>
          <w:rFonts w:ascii="Arial" w:cs="Arial" w:eastAsia="Arial" w:hAnsi="Arial"/>
          <w:sz w:val="13"/>
          <w:szCs w:val="13"/>
          <w:color w:val="auto"/>
        </w:rPr>
        <w:t>/s/ EY GmbH &amp; Co. KG Wirtschaftsprüfungsgesellschaft</w:t>
      </w:r>
    </w:p>
    <w:p>
      <w:pPr>
        <w:ind w:left="380"/>
        <w:spacing w:after="0" w:line="211" w:lineRule="auto"/>
        <w:rPr>
          <w:sz w:val="20"/>
          <w:szCs w:val="20"/>
          <w:color w:val="auto"/>
        </w:rPr>
      </w:pPr>
      <w:r>
        <w:rPr>
          <w:rFonts w:ascii="Arial" w:cs="Arial" w:eastAsia="Arial" w:hAnsi="Arial"/>
          <w:sz w:val="13"/>
          <w:szCs w:val="13"/>
          <w:color w:val="auto"/>
        </w:rPr>
        <w:t>Cologne, Germany</w:t>
      </w:r>
    </w:p>
    <w:p>
      <w:pPr>
        <w:ind w:left="380"/>
        <w:spacing w:after="0"/>
        <w:rPr>
          <w:sz w:val="20"/>
          <w:szCs w:val="20"/>
          <w:color w:val="auto"/>
        </w:rPr>
      </w:pPr>
      <w:r>
        <w:rPr>
          <w:rFonts w:ascii="Arial" w:cs="Arial" w:eastAsia="Arial" w:hAnsi="Arial"/>
          <w:sz w:val="13"/>
          <w:szCs w:val="13"/>
          <w:color w:val="auto"/>
        </w:rPr>
        <w:t>March 10,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6"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005A64"/>
        </w:rPr>
        <w:t>Consolidated Statements of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-132080</wp:posOffset>
            </wp:positionV>
            <wp:extent cx="5231130"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5">
                      <a:extLst>
                        <a:ext uri="{28A0092B-C50C-407E-A947-70E740481C1C}"/>
                      </a:extLst>
                    </a:blip>
                    <a:srcRect/>
                    <a:stretch>
                      <a:fillRect/>
                    </a:stretch>
                  </pic:blipFill>
                  <pic:spPr bwMode="auto">
                    <a:xfrm>
                      <a:off x="0" y="0"/>
                      <a:ext cx="5231130" cy="635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1905</wp:posOffset>
            </wp:positionV>
            <wp:extent cx="4274820" cy="127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6">
                      <a:extLst>
                        <a:ext uri="{28A0092B-C50C-407E-A947-70E740481C1C}"/>
                      </a:extLst>
                    </a:blip>
                    <a:srcRect/>
                    <a:stretch>
                      <a:fillRect/>
                    </a:stretch>
                  </pic:blipFill>
                  <pic:spPr bwMode="auto">
                    <a:xfrm>
                      <a:off x="0" y="0"/>
                      <a:ext cx="4274820" cy="12700"/>
                    </a:xfrm>
                    <a:prstGeom prst="rect">
                      <a:avLst/>
                    </a:prstGeom>
                    <a:noFill/>
                  </pic:spPr>
                </pic:pic>
              </a:graphicData>
            </a:graphic>
          </wp:anchor>
        </w:drawing>
      </w:r>
    </w:p>
    <w:p>
      <w:pPr>
        <w:spacing w:after="0" w:line="47"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1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005A64"/>
              </w:rPr>
              <w:t>Years ended</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005A64"/>
                <w:w w:val="97"/>
              </w:rPr>
              <w:t>December 31,</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20" w:type="dxa"/>
            <w:vAlign w:val="bottom"/>
            <w:gridSpan w:val="2"/>
            <w:vMerge w:val="restart"/>
          </w:tcPr>
          <w:p>
            <w:pPr>
              <w:ind w:left="20"/>
              <w:spacing w:after="0"/>
              <w:rPr>
                <w:sz w:val="20"/>
                <w:szCs w:val="20"/>
                <w:color w:val="auto"/>
              </w:rPr>
            </w:pPr>
            <w:r>
              <w:rPr>
                <w:rFonts w:ascii="Arial" w:cs="Arial" w:eastAsia="Arial" w:hAnsi="Arial"/>
                <w:sz w:val="12"/>
                <w:szCs w:val="12"/>
                <w:i w:val="1"/>
                <w:iCs w:val="1"/>
                <w:color w:val="005A64"/>
              </w:rPr>
              <w:t>(in millions €, except per share data)</w:t>
            </w:r>
          </w:p>
        </w:tc>
        <w:tc>
          <w:tcPr>
            <w:tcW w:w="150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005A64"/>
              </w:rPr>
              <w:t>Note</w:t>
            </w:r>
          </w:p>
        </w:tc>
        <w:tc>
          <w:tcPr>
            <w:tcW w:w="40" w:type="dxa"/>
            <w:vAlign w:val="bottom"/>
            <w:tcBorders>
              <w:bottom w:val="single" w:sz="8" w:color="BECE33"/>
            </w:tcBorders>
          </w:tcPr>
          <w:p>
            <w:pPr>
              <w:spacing w:after="0"/>
              <w:rPr>
                <w:sz w:val="11"/>
                <w:szCs w:val="11"/>
                <w:color w:val="auto"/>
              </w:rPr>
            </w:pPr>
          </w:p>
        </w:tc>
        <w:tc>
          <w:tcPr>
            <w:tcW w:w="740" w:type="dxa"/>
            <w:vAlign w:val="bottom"/>
            <w:tcBorders>
              <w:bottom w:val="single" w:sz="8" w:color="BECE33"/>
            </w:tcBorders>
          </w:tcPr>
          <w:p>
            <w:pPr>
              <w:spacing w:after="0"/>
              <w:rPr>
                <w:sz w:val="11"/>
                <w:szCs w:val="11"/>
                <w:color w:val="auto"/>
              </w:rPr>
            </w:pPr>
          </w:p>
        </w:tc>
        <w:tc>
          <w:tcPr>
            <w:tcW w:w="60" w:type="dxa"/>
            <w:vAlign w:val="bottom"/>
            <w:tcBorders>
              <w:bottom w:val="single" w:sz="8" w:color="BECE33"/>
            </w:tcBorders>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005A64"/>
              </w:rPr>
              <w:t>2023</w:t>
            </w:r>
          </w:p>
        </w:tc>
        <w:tc>
          <w:tcPr>
            <w:tcW w:w="8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005A64"/>
              </w:rPr>
              <w:t>2022</w:t>
            </w:r>
          </w:p>
        </w:tc>
        <w:tc>
          <w:tcPr>
            <w:tcW w:w="0" w:type="dxa"/>
            <w:vAlign w:val="bottom"/>
          </w:tcPr>
          <w:p>
            <w:pPr>
              <w:spacing w:after="0"/>
              <w:rPr>
                <w:sz w:val="1"/>
                <w:szCs w:val="1"/>
                <w:color w:val="auto"/>
              </w:rPr>
            </w:pPr>
          </w:p>
        </w:tc>
      </w:tr>
      <w:tr>
        <w:trPr>
          <w:trHeight w:val="156"/>
        </w:trPr>
        <w:tc>
          <w:tcPr>
            <w:tcW w:w="2020" w:type="dxa"/>
            <w:vAlign w:val="bottom"/>
            <w:gridSpan w:val="2"/>
            <w:vMerge w:val="continue"/>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8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60" w:type="dxa"/>
            <w:vAlign w:val="bottom"/>
            <w:tcBorders>
              <w:right w:val="single" w:sz="8" w:color="BECE33"/>
            </w:tcBorders>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420" w:type="dxa"/>
            <w:vAlign w:val="bottom"/>
            <w:tcBorders>
              <w:bottom w:val="single" w:sz="8" w:color="005A64"/>
            </w:tcBorders>
          </w:tcPr>
          <w:p>
            <w:pPr>
              <w:spacing w:after="0"/>
              <w:rPr>
                <w:sz w:val="2"/>
                <w:szCs w:val="2"/>
                <w:color w:val="auto"/>
              </w:rPr>
            </w:pPr>
          </w:p>
        </w:tc>
        <w:tc>
          <w:tcPr>
            <w:tcW w:w="600" w:type="dxa"/>
            <w:vAlign w:val="bottom"/>
            <w:tcBorders>
              <w:bottom w:val="single" w:sz="8" w:color="005A64"/>
            </w:tcBorders>
          </w:tcPr>
          <w:p>
            <w:pPr>
              <w:spacing w:after="0"/>
              <w:rPr>
                <w:sz w:val="2"/>
                <w:szCs w:val="2"/>
                <w:color w:val="auto"/>
              </w:rPr>
            </w:pPr>
          </w:p>
        </w:tc>
        <w:tc>
          <w:tcPr>
            <w:tcW w:w="150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left w:val="single" w:sz="8" w:color="BECE33"/>
            </w:tcBorders>
            <w:vMerge w:val="restart"/>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60" w:type="dxa"/>
            <w:vAlign w:val="bottom"/>
            <w:tcBorders>
              <w:right w:val="single" w:sz="8" w:color="BECE33"/>
            </w:tcBorders>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80" w:type="dxa"/>
            <w:vAlign w:val="bottom"/>
            <w:vMerge w:val="restart"/>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420" w:type="dxa"/>
            <w:vAlign w:val="bottom"/>
          </w:tcPr>
          <w:p>
            <w:pPr>
              <w:ind w:left="20"/>
              <w:spacing w:after="0"/>
              <w:rPr>
                <w:sz w:val="20"/>
                <w:szCs w:val="20"/>
                <w:color w:val="auto"/>
              </w:rPr>
            </w:pPr>
            <w:r>
              <w:rPr>
                <w:rFonts w:ascii="Arial" w:cs="Arial" w:eastAsia="Arial" w:hAnsi="Arial"/>
                <w:sz w:val="12"/>
                <w:szCs w:val="12"/>
                <w:color w:val="005A64"/>
              </w:rPr>
              <w:t>Revenues</w:t>
            </w: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6</w:t>
            </w:r>
          </w:p>
        </w:tc>
        <w:tc>
          <w:tcPr>
            <w:tcW w:w="20" w:type="dxa"/>
            <w:vAlign w:val="bottom"/>
            <w:vMerge w:val="continue"/>
          </w:tcPr>
          <w:p>
            <w:pPr>
              <w:spacing w:after="0"/>
              <w:rPr>
                <w:sz w:val="13"/>
                <w:szCs w:val="13"/>
                <w:color w:val="auto"/>
              </w:rPr>
            </w:pPr>
          </w:p>
        </w:tc>
        <w:tc>
          <w:tcPr>
            <w:tcW w:w="40" w:type="dxa"/>
            <w:vAlign w:val="bottom"/>
            <w:tcBorders>
              <w:left w:val="single" w:sz="8" w:color="BECE33"/>
            </w:tcBorders>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2,751.1</w:t>
            </w:r>
          </w:p>
        </w:tc>
        <w:tc>
          <w:tcPr>
            <w:tcW w:w="60" w:type="dxa"/>
            <w:vAlign w:val="bottom"/>
            <w:tcBorders>
              <w:right w:val="single" w:sz="8" w:color="BECE33"/>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3,819.0</w:t>
            </w:r>
          </w:p>
        </w:tc>
        <w:tc>
          <w:tcPr>
            <w:tcW w:w="80" w:type="dxa"/>
            <w:vAlign w:val="bottom"/>
            <w:vMerge w:val="continue"/>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color w:val="005A64"/>
              </w:rPr>
              <w:t>17,310.6</w:t>
            </w:r>
          </w:p>
        </w:tc>
        <w:tc>
          <w:tcPr>
            <w:tcW w:w="0" w:type="dxa"/>
            <w:vAlign w:val="bottom"/>
          </w:tcPr>
          <w:p>
            <w:pPr>
              <w:spacing w:after="0"/>
              <w:rPr>
                <w:sz w:val="1"/>
                <w:szCs w:val="1"/>
                <w:color w:val="auto"/>
              </w:rPr>
            </w:pPr>
          </w:p>
        </w:tc>
      </w:tr>
      <w:tr>
        <w:trPr>
          <w:trHeight w:val="181"/>
        </w:trPr>
        <w:tc>
          <w:tcPr>
            <w:tcW w:w="1420" w:type="dxa"/>
            <w:vAlign w:val="bottom"/>
          </w:tcPr>
          <w:p>
            <w:pPr>
              <w:ind w:left="20"/>
              <w:spacing w:after="0"/>
              <w:rPr>
                <w:sz w:val="20"/>
                <w:szCs w:val="20"/>
                <w:color w:val="auto"/>
              </w:rPr>
            </w:pPr>
            <w:r>
              <w:rPr>
                <w:rFonts w:ascii="Arial" w:cs="Arial" w:eastAsia="Arial" w:hAnsi="Arial"/>
                <w:sz w:val="12"/>
                <w:szCs w:val="12"/>
                <w:color w:val="005A64"/>
              </w:rPr>
              <w:t>Cost of sales</w:t>
            </w:r>
          </w:p>
        </w:tc>
        <w:tc>
          <w:tcPr>
            <w:tcW w:w="6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7.1</w:t>
            </w:r>
          </w:p>
        </w:tc>
        <w:tc>
          <w:tcPr>
            <w:tcW w:w="20" w:type="dxa"/>
            <w:vAlign w:val="bottom"/>
          </w:tcPr>
          <w:p>
            <w:pPr>
              <w:spacing w:after="0"/>
              <w:rPr>
                <w:sz w:val="15"/>
                <w:szCs w:val="15"/>
                <w:color w:val="auto"/>
              </w:rPr>
            </w:pPr>
          </w:p>
        </w:tc>
        <w:tc>
          <w:tcPr>
            <w:tcW w:w="78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(541.3)</w:t>
            </w:r>
          </w:p>
        </w:tc>
        <w:tc>
          <w:tcPr>
            <w:tcW w:w="60" w:type="dxa"/>
            <w:vAlign w:val="bottom"/>
            <w:tcBorders>
              <w:right w:val="single" w:sz="8" w:color="BECE33"/>
            </w:tcBorders>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(599.8)</w:t>
            </w:r>
          </w:p>
        </w:tc>
        <w:tc>
          <w:tcPr>
            <w:tcW w:w="840" w:type="dxa"/>
            <w:vAlign w:val="bottom"/>
            <w:gridSpan w:val="2"/>
          </w:tcPr>
          <w:p>
            <w:pPr>
              <w:ind w:left="100"/>
              <w:spacing w:after="0"/>
              <w:rPr>
                <w:sz w:val="20"/>
                <w:szCs w:val="20"/>
                <w:color w:val="auto"/>
              </w:rPr>
            </w:pPr>
            <w:r>
              <w:rPr>
                <w:rFonts w:ascii="Arial" w:cs="Arial" w:eastAsia="Arial" w:hAnsi="Arial"/>
                <w:sz w:val="12"/>
                <w:szCs w:val="12"/>
                <w:color w:val="005A64"/>
              </w:rPr>
              <w:t>(2,995.0)</w:t>
            </w:r>
          </w:p>
        </w:tc>
        <w:tc>
          <w:tcPr>
            <w:tcW w:w="0" w:type="dxa"/>
            <w:vAlign w:val="bottom"/>
          </w:tcPr>
          <w:p>
            <w:pPr>
              <w:spacing w:after="0"/>
              <w:rPr>
                <w:sz w:val="1"/>
                <w:szCs w:val="1"/>
                <w:color w:val="auto"/>
              </w:rPr>
            </w:pPr>
          </w:p>
        </w:tc>
      </w:tr>
      <w:tr>
        <w:trPr>
          <w:trHeight w:val="202"/>
        </w:trPr>
        <w:tc>
          <w:tcPr>
            <w:tcW w:w="3520" w:type="dxa"/>
            <w:vAlign w:val="bottom"/>
            <w:gridSpan w:val="3"/>
          </w:tcPr>
          <w:p>
            <w:pPr>
              <w:ind w:left="20"/>
              <w:spacing w:after="0"/>
              <w:rPr>
                <w:sz w:val="20"/>
                <w:szCs w:val="20"/>
                <w:color w:val="auto"/>
              </w:rPr>
            </w:pPr>
            <w:r>
              <w:rPr>
                <w:rFonts w:ascii="Arial" w:cs="Arial" w:eastAsia="Arial" w:hAnsi="Arial"/>
                <w:sz w:val="12"/>
                <w:szCs w:val="12"/>
                <w:color w:val="005A64"/>
              </w:rPr>
              <w:t>Research and development expenses</w:t>
            </w: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7.1</w:t>
            </w:r>
          </w:p>
        </w:tc>
        <w:tc>
          <w:tcPr>
            <w:tcW w:w="20" w:type="dxa"/>
            <w:vAlign w:val="bottom"/>
          </w:tcPr>
          <w:p>
            <w:pPr>
              <w:spacing w:after="0"/>
              <w:rPr>
                <w:sz w:val="17"/>
                <w:szCs w:val="17"/>
                <w:color w:val="auto"/>
              </w:rPr>
            </w:pPr>
          </w:p>
        </w:tc>
        <w:tc>
          <w:tcPr>
            <w:tcW w:w="78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(2,254.2)</w:t>
            </w:r>
          </w:p>
        </w:tc>
        <w:tc>
          <w:tcPr>
            <w:tcW w:w="60" w:type="dxa"/>
            <w:vAlign w:val="bottom"/>
            <w:tcBorders>
              <w:right w:val="single" w:sz="8" w:color="BECE33"/>
            </w:tcBorders>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(1,783.1)</w:t>
            </w:r>
          </w:p>
        </w:tc>
        <w:tc>
          <w:tcPr>
            <w:tcW w:w="840" w:type="dxa"/>
            <w:vAlign w:val="bottom"/>
            <w:gridSpan w:val="2"/>
          </w:tcPr>
          <w:p>
            <w:pPr>
              <w:ind w:left="100"/>
              <w:spacing w:after="0"/>
              <w:rPr>
                <w:sz w:val="20"/>
                <w:szCs w:val="20"/>
                <w:color w:val="auto"/>
              </w:rPr>
            </w:pPr>
            <w:r>
              <w:rPr>
                <w:rFonts w:ascii="Arial" w:cs="Arial" w:eastAsia="Arial" w:hAnsi="Arial"/>
                <w:sz w:val="12"/>
                <w:szCs w:val="12"/>
                <w:color w:val="005A64"/>
              </w:rPr>
              <w:t>(1,537.0)</w:t>
            </w:r>
          </w:p>
        </w:tc>
        <w:tc>
          <w:tcPr>
            <w:tcW w:w="0" w:type="dxa"/>
            <w:vAlign w:val="bottom"/>
          </w:tcPr>
          <w:p>
            <w:pPr>
              <w:spacing w:after="0"/>
              <w:rPr>
                <w:sz w:val="1"/>
                <w:szCs w:val="1"/>
                <w:color w:val="auto"/>
              </w:rPr>
            </w:pPr>
          </w:p>
        </w:tc>
      </w:tr>
      <w:tr>
        <w:trPr>
          <w:trHeight w:val="202"/>
        </w:trPr>
        <w:tc>
          <w:tcPr>
            <w:tcW w:w="2020" w:type="dxa"/>
            <w:vAlign w:val="bottom"/>
            <w:gridSpan w:val="2"/>
          </w:tcPr>
          <w:p>
            <w:pPr>
              <w:ind w:left="20"/>
              <w:spacing w:after="0"/>
              <w:rPr>
                <w:sz w:val="20"/>
                <w:szCs w:val="20"/>
                <w:color w:val="auto"/>
              </w:rPr>
            </w:pPr>
            <w:r>
              <w:rPr>
                <w:rFonts w:ascii="Arial" w:cs="Arial" w:eastAsia="Arial" w:hAnsi="Arial"/>
                <w:sz w:val="12"/>
                <w:szCs w:val="12"/>
                <w:color w:val="005A64"/>
              </w:rPr>
              <w:t>Sales and marketing expenses</w:t>
            </w:r>
          </w:p>
        </w:tc>
        <w:tc>
          <w:tcPr>
            <w:tcW w:w="150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7.1</w:t>
            </w:r>
          </w:p>
        </w:tc>
        <w:tc>
          <w:tcPr>
            <w:tcW w:w="20" w:type="dxa"/>
            <w:vAlign w:val="bottom"/>
          </w:tcPr>
          <w:p>
            <w:pPr>
              <w:spacing w:after="0"/>
              <w:rPr>
                <w:sz w:val="17"/>
                <w:szCs w:val="17"/>
                <w:color w:val="auto"/>
              </w:rPr>
            </w:pPr>
          </w:p>
        </w:tc>
        <w:tc>
          <w:tcPr>
            <w:tcW w:w="78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(67.9)</w:t>
            </w:r>
          </w:p>
        </w:tc>
        <w:tc>
          <w:tcPr>
            <w:tcW w:w="60" w:type="dxa"/>
            <w:vAlign w:val="bottom"/>
            <w:tcBorders>
              <w:right w:val="single" w:sz="8" w:color="BECE33"/>
            </w:tcBorders>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(62.7)</w:t>
            </w:r>
          </w:p>
        </w:tc>
        <w:tc>
          <w:tcPr>
            <w:tcW w:w="840" w:type="dxa"/>
            <w:vAlign w:val="bottom"/>
            <w:gridSpan w:val="2"/>
          </w:tcPr>
          <w:p>
            <w:pPr>
              <w:ind w:left="100"/>
              <w:spacing w:after="0"/>
              <w:rPr>
                <w:sz w:val="20"/>
                <w:szCs w:val="20"/>
                <w:color w:val="auto"/>
              </w:rPr>
            </w:pPr>
            <w:r>
              <w:rPr>
                <w:rFonts w:ascii="Arial" w:cs="Arial" w:eastAsia="Arial" w:hAnsi="Arial"/>
                <w:sz w:val="12"/>
                <w:szCs w:val="12"/>
                <w:color w:val="005A64"/>
              </w:rPr>
              <w:t>(59.5)</w:t>
            </w:r>
          </w:p>
        </w:tc>
        <w:tc>
          <w:tcPr>
            <w:tcW w:w="0" w:type="dxa"/>
            <w:vAlign w:val="bottom"/>
          </w:tcPr>
          <w:p>
            <w:pPr>
              <w:spacing w:after="0"/>
              <w:rPr>
                <w:sz w:val="1"/>
                <w:szCs w:val="1"/>
                <w:color w:val="auto"/>
              </w:rPr>
            </w:pPr>
          </w:p>
        </w:tc>
      </w:tr>
      <w:tr>
        <w:trPr>
          <w:trHeight w:val="202"/>
        </w:trPr>
        <w:tc>
          <w:tcPr>
            <w:tcW w:w="2020" w:type="dxa"/>
            <w:vAlign w:val="bottom"/>
            <w:gridSpan w:val="2"/>
            <w:vMerge w:val="restart"/>
          </w:tcPr>
          <w:p>
            <w:pPr>
              <w:ind w:left="20"/>
              <w:spacing w:after="0"/>
              <w:rPr>
                <w:sz w:val="20"/>
                <w:szCs w:val="20"/>
                <w:color w:val="auto"/>
              </w:rPr>
            </w:pPr>
            <w:r>
              <w:rPr>
                <w:rFonts w:ascii="Arial" w:cs="Arial" w:eastAsia="Arial" w:hAnsi="Arial"/>
                <w:sz w:val="12"/>
                <w:szCs w:val="12"/>
                <w:color w:val="005A64"/>
                <w:w w:val="99"/>
              </w:rPr>
              <w:t>General and administrative expenses</w:t>
            </w:r>
          </w:p>
        </w:tc>
        <w:tc>
          <w:tcPr>
            <w:tcW w:w="1500" w:type="dxa"/>
            <w:vAlign w:val="bottom"/>
          </w:tcPr>
          <w:p>
            <w:pPr>
              <w:jc w:val="right"/>
              <w:ind w:right="1340"/>
              <w:spacing w:after="0"/>
              <w:rPr>
                <w:sz w:val="20"/>
                <w:szCs w:val="20"/>
                <w:color w:val="auto"/>
              </w:rPr>
            </w:pPr>
            <w:r>
              <w:rPr>
                <w:rFonts w:ascii="Arial" w:cs="Arial" w:eastAsia="Arial" w:hAnsi="Arial"/>
                <w:sz w:val="8"/>
                <w:szCs w:val="8"/>
                <w:color w:val="005A64"/>
              </w:rPr>
              <w:t>(1)</w:t>
            </w: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7.1</w:t>
            </w:r>
          </w:p>
        </w:tc>
        <w:tc>
          <w:tcPr>
            <w:tcW w:w="20" w:type="dxa"/>
            <w:vAlign w:val="bottom"/>
          </w:tcPr>
          <w:p>
            <w:pPr>
              <w:spacing w:after="0"/>
              <w:rPr>
                <w:sz w:val="17"/>
                <w:szCs w:val="17"/>
                <w:color w:val="auto"/>
              </w:rPr>
            </w:pPr>
          </w:p>
        </w:tc>
        <w:tc>
          <w:tcPr>
            <w:tcW w:w="78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(531.1)</w:t>
            </w:r>
          </w:p>
        </w:tc>
        <w:tc>
          <w:tcPr>
            <w:tcW w:w="60" w:type="dxa"/>
            <w:vAlign w:val="bottom"/>
            <w:tcBorders>
              <w:right w:val="single" w:sz="8" w:color="BECE33"/>
            </w:tcBorders>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(495.0)</w:t>
            </w:r>
          </w:p>
        </w:tc>
        <w:tc>
          <w:tcPr>
            <w:tcW w:w="840" w:type="dxa"/>
            <w:vAlign w:val="bottom"/>
            <w:gridSpan w:val="2"/>
          </w:tcPr>
          <w:p>
            <w:pPr>
              <w:ind w:left="100"/>
              <w:spacing w:after="0"/>
              <w:rPr>
                <w:sz w:val="20"/>
                <w:szCs w:val="20"/>
                <w:color w:val="auto"/>
              </w:rPr>
            </w:pPr>
            <w:r>
              <w:rPr>
                <w:rFonts w:ascii="Arial" w:cs="Arial" w:eastAsia="Arial" w:hAnsi="Arial"/>
                <w:sz w:val="12"/>
                <w:szCs w:val="12"/>
                <w:color w:val="005A64"/>
              </w:rPr>
              <w:t>(481.7)</w:t>
            </w:r>
          </w:p>
        </w:tc>
        <w:tc>
          <w:tcPr>
            <w:tcW w:w="0" w:type="dxa"/>
            <w:vAlign w:val="bottom"/>
          </w:tcPr>
          <w:p>
            <w:pPr>
              <w:spacing w:after="0"/>
              <w:rPr>
                <w:sz w:val="1"/>
                <w:szCs w:val="1"/>
                <w:color w:val="auto"/>
              </w:rPr>
            </w:pPr>
          </w:p>
        </w:tc>
      </w:tr>
      <w:tr>
        <w:trPr>
          <w:trHeight w:val="51"/>
        </w:trPr>
        <w:tc>
          <w:tcPr>
            <w:tcW w:w="202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color w:val="005A64"/>
              </w:rPr>
              <w:t>7.2</w:t>
            </w:r>
          </w:p>
        </w:tc>
        <w:tc>
          <w:tcPr>
            <w:tcW w:w="20" w:type="dxa"/>
            <w:vAlign w:val="bottom"/>
          </w:tcPr>
          <w:p>
            <w:pPr>
              <w:spacing w:after="0"/>
              <w:rPr>
                <w:sz w:val="4"/>
                <w:szCs w:val="4"/>
                <w:color w:val="auto"/>
              </w:rPr>
            </w:pPr>
          </w:p>
        </w:tc>
        <w:tc>
          <w:tcPr>
            <w:tcW w:w="780" w:type="dxa"/>
            <w:vAlign w:val="bottom"/>
            <w:tcBorders>
              <w:left w:val="single" w:sz="8" w:color="BECE33"/>
            </w:tcBorders>
            <w:gridSpan w:val="2"/>
            <w:vMerge w:val="restart"/>
          </w:tcPr>
          <w:p>
            <w:pPr>
              <w:ind w:left="40"/>
              <w:spacing w:after="0"/>
              <w:rPr>
                <w:sz w:val="20"/>
                <w:szCs w:val="20"/>
                <w:color w:val="auto"/>
              </w:rPr>
            </w:pPr>
            <w:r>
              <w:rPr>
                <w:rFonts w:ascii="Arial" w:cs="Arial" w:eastAsia="Arial" w:hAnsi="Arial"/>
                <w:sz w:val="12"/>
                <w:szCs w:val="12"/>
                <w:color w:val="005A64"/>
              </w:rPr>
              <w:t>(811.5)</w:t>
            </w:r>
          </w:p>
        </w:tc>
        <w:tc>
          <w:tcPr>
            <w:tcW w:w="60" w:type="dxa"/>
            <w:vAlign w:val="bottom"/>
            <w:tcBorders>
              <w:right w:val="single" w:sz="8" w:color="BECE33"/>
            </w:tcBorders>
          </w:tcPr>
          <w:p>
            <w:pPr>
              <w:spacing w:after="0"/>
              <w:rPr>
                <w:sz w:val="4"/>
                <w:szCs w:val="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color w:val="005A64"/>
              </w:rPr>
              <w:t>(293.0)</w:t>
            </w:r>
          </w:p>
        </w:tc>
        <w:tc>
          <w:tcPr>
            <w:tcW w:w="840" w:type="dxa"/>
            <w:vAlign w:val="bottom"/>
            <w:gridSpan w:val="2"/>
            <w:vMerge w:val="restart"/>
          </w:tcPr>
          <w:p>
            <w:pPr>
              <w:ind w:left="100"/>
              <w:spacing w:after="0"/>
              <w:rPr>
                <w:sz w:val="20"/>
                <w:szCs w:val="20"/>
                <w:color w:val="auto"/>
              </w:rPr>
            </w:pPr>
            <w:r>
              <w:rPr>
                <w:rFonts w:ascii="Arial" w:cs="Arial" w:eastAsia="Arial" w:hAnsi="Arial"/>
                <w:sz w:val="12"/>
                <w:szCs w:val="12"/>
                <w:color w:val="005A64"/>
              </w:rPr>
              <w:t>(410.0)</w:t>
            </w:r>
          </w:p>
        </w:tc>
        <w:tc>
          <w:tcPr>
            <w:tcW w:w="0" w:type="dxa"/>
            <w:vAlign w:val="bottom"/>
          </w:tcPr>
          <w:p>
            <w:pPr>
              <w:spacing w:after="0"/>
              <w:rPr>
                <w:sz w:val="1"/>
                <w:szCs w:val="1"/>
                <w:color w:val="auto"/>
              </w:rPr>
            </w:pPr>
          </w:p>
        </w:tc>
      </w:tr>
      <w:tr>
        <w:trPr>
          <w:trHeight w:val="152"/>
        </w:trPr>
        <w:tc>
          <w:tcPr>
            <w:tcW w:w="1420" w:type="dxa"/>
            <w:vAlign w:val="bottom"/>
            <w:vMerge w:val="restart"/>
          </w:tcPr>
          <w:p>
            <w:pPr>
              <w:ind w:left="20"/>
              <w:spacing w:after="0"/>
              <w:rPr>
                <w:sz w:val="20"/>
                <w:szCs w:val="20"/>
                <w:color w:val="auto"/>
              </w:rPr>
            </w:pPr>
            <w:r>
              <w:rPr>
                <w:rFonts w:ascii="Arial" w:cs="Arial" w:eastAsia="Arial" w:hAnsi="Arial"/>
                <w:sz w:val="12"/>
                <w:szCs w:val="12"/>
                <w:color w:val="005A64"/>
                <w:w w:val="99"/>
              </w:rPr>
              <w:t>Other operating expenses</w:t>
            </w:r>
          </w:p>
        </w:tc>
        <w:tc>
          <w:tcPr>
            <w:tcW w:w="600" w:type="dxa"/>
            <w:vAlign w:val="bottom"/>
          </w:tcPr>
          <w:p>
            <w:pPr>
              <w:jc w:val="right"/>
              <w:ind w:right="440"/>
              <w:spacing w:after="0"/>
              <w:rPr>
                <w:sz w:val="20"/>
                <w:szCs w:val="20"/>
                <w:color w:val="auto"/>
              </w:rPr>
            </w:pPr>
            <w:r>
              <w:rPr>
                <w:rFonts w:ascii="Arial" w:cs="Arial" w:eastAsia="Arial" w:hAnsi="Arial"/>
                <w:sz w:val="8"/>
                <w:szCs w:val="8"/>
                <w:color w:val="005A64"/>
              </w:rPr>
              <w:t>(1)</w:t>
            </w:r>
          </w:p>
        </w:tc>
        <w:tc>
          <w:tcPr>
            <w:tcW w:w="15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left w:val="single" w:sz="8" w:color="BECE33"/>
            </w:tcBorders>
            <w:gridSpan w:val="2"/>
            <w:vMerge w:val="continue"/>
          </w:tcPr>
          <w:p>
            <w:pPr>
              <w:spacing w:after="0"/>
              <w:rPr>
                <w:sz w:val="13"/>
                <w:szCs w:val="13"/>
                <w:color w:val="auto"/>
              </w:rPr>
            </w:pPr>
          </w:p>
        </w:tc>
        <w:tc>
          <w:tcPr>
            <w:tcW w:w="60" w:type="dxa"/>
            <w:vAlign w:val="bottom"/>
            <w:tcBorders>
              <w:right w:val="single" w:sz="8" w:color="BECE33"/>
            </w:tcBorders>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14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left w:val="single" w:sz="8" w:color="BECE33"/>
            </w:tcBorders>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420" w:type="dxa"/>
            <w:vAlign w:val="bottom"/>
          </w:tcPr>
          <w:p>
            <w:pPr>
              <w:ind w:left="20"/>
              <w:spacing w:after="0"/>
              <w:rPr>
                <w:sz w:val="20"/>
                <w:szCs w:val="20"/>
                <w:color w:val="auto"/>
              </w:rPr>
            </w:pPr>
            <w:r>
              <w:rPr>
                <w:rFonts w:ascii="Arial" w:cs="Arial" w:eastAsia="Arial" w:hAnsi="Arial"/>
                <w:sz w:val="12"/>
                <w:szCs w:val="12"/>
                <w:color w:val="005A64"/>
              </w:rPr>
              <w:t>Other operating income</w:t>
            </w: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7.2</w:t>
            </w:r>
          </w:p>
        </w:tc>
        <w:tc>
          <w:tcPr>
            <w:tcW w:w="20" w:type="dxa"/>
            <w:vAlign w:val="bottom"/>
          </w:tcPr>
          <w:p>
            <w:pPr>
              <w:spacing w:after="0"/>
              <w:rPr>
                <w:sz w:val="13"/>
                <w:szCs w:val="13"/>
                <w:color w:val="auto"/>
              </w:rPr>
            </w:pPr>
          </w:p>
        </w:tc>
        <w:tc>
          <w:tcPr>
            <w:tcW w:w="78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140.6</w:t>
            </w:r>
          </w:p>
        </w:tc>
        <w:tc>
          <w:tcPr>
            <w:tcW w:w="60" w:type="dxa"/>
            <w:vAlign w:val="bottom"/>
            <w:tcBorders>
              <w:right w:val="single" w:sz="8" w:color="BECE33"/>
            </w:tcBorders>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105.0</w:t>
            </w:r>
          </w:p>
        </w:tc>
        <w:tc>
          <w:tcPr>
            <w:tcW w:w="840" w:type="dxa"/>
            <w:vAlign w:val="bottom"/>
            <w:gridSpan w:val="2"/>
          </w:tcPr>
          <w:p>
            <w:pPr>
              <w:ind w:left="100"/>
              <w:spacing w:after="0"/>
              <w:rPr>
                <w:sz w:val="20"/>
                <w:szCs w:val="20"/>
                <w:color w:val="auto"/>
              </w:rPr>
            </w:pPr>
            <w:r>
              <w:rPr>
                <w:rFonts w:ascii="Arial" w:cs="Arial" w:eastAsia="Arial" w:hAnsi="Arial"/>
                <w:sz w:val="12"/>
                <w:szCs w:val="12"/>
                <w:color w:val="005A64"/>
              </w:rPr>
              <w:t>815.3</w:t>
            </w:r>
          </w:p>
        </w:tc>
        <w:tc>
          <w:tcPr>
            <w:tcW w:w="0" w:type="dxa"/>
            <w:vAlign w:val="bottom"/>
          </w:tcPr>
          <w:p>
            <w:pPr>
              <w:spacing w:after="0"/>
              <w:rPr>
                <w:sz w:val="1"/>
                <w:szCs w:val="1"/>
                <w:color w:val="auto"/>
              </w:rPr>
            </w:pPr>
          </w:p>
        </w:tc>
      </w:tr>
      <w:tr>
        <w:trPr>
          <w:trHeight w:val="208"/>
        </w:trPr>
        <w:tc>
          <w:tcPr>
            <w:tcW w:w="1420" w:type="dxa"/>
            <w:vAlign w:val="bottom"/>
          </w:tcPr>
          <w:p>
            <w:pPr>
              <w:ind w:left="20"/>
              <w:spacing w:after="0"/>
              <w:rPr>
                <w:sz w:val="20"/>
                <w:szCs w:val="20"/>
                <w:color w:val="auto"/>
              </w:rPr>
            </w:pPr>
            <w:r>
              <w:rPr>
                <w:rFonts w:ascii="Arial" w:cs="Arial" w:eastAsia="Arial" w:hAnsi="Arial"/>
                <w:sz w:val="12"/>
                <w:szCs w:val="12"/>
                <w:b w:val="1"/>
                <w:bCs w:val="1"/>
                <w:color w:val="005A64"/>
              </w:rPr>
              <w:t>Operating profit / (loss)</w:t>
            </w:r>
          </w:p>
        </w:tc>
        <w:tc>
          <w:tcPr>
            <w:tcW w:w="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b w:val="1"/>
                <w:bCs w:val="1"/>
                <w:color w:val="005A64"/>
              </w:rPr>
              <w:t>(1,314.3)</w:t>
            </w:r>
          </w:p>
        </w:tc>
        <w:tc>
          <w:tcPr>
            <w:tcW w:w="60" w:type="dxa"/>
            <w:vAlign w:val="bottom"/>
            <w:tcBorders>
              <w:right w:val="single" w:sz="8" w:color="BECE33"/>
            </w:tcBorders>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005A64"/>
              </w:rPr>
              <w:t>690.4</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005A64"/>
              </w:rPr>
              <w:t>12,642.7</w:t>
            </w:r>
          </w:p>
        </w:tc>
        <w:tc>
          <w:tcPr>
            <w:tcW w:w="0" w:type="dxa"/>
            <w:vAlign w:val="bottom"/>
          </w:tcPr>
          <w:p>
            <w:pPr>
              <w:spacing w:after="0"/>
              <w:rPr>
                <w:sz w:val="1"/>
                <w:szCs w:val="1"/>
                <w:color w:val="auto"/>
              </w:rPr>
            </w:pPr>
          </w:p>
        </w:tc>
      </w:tr>
      <w:tr>
        <w:trPr>
          <w:trHeight w:val="47"/>
        </w:trPr>
        <w:tc>
          <w:tcPr>
            <w:tcW w:w="1420" w:type="dxa"/>
            <w:vAlign w:val="bottom"/>
            <w:tcBorders>
              <w:bottom w:val="single" w:sz="8" w:color="005A64"/>
            </w:tcBorders>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150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left w:val="single" w:sz="8" w:color="BECE33"/>
            </w:tcBorders>
            <w:vMerge w:val="restart"/>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20" w:type="dxa"/>
            <w:vAlign w:val="bottom"/>
            <w:vMerge w:val="restart"/>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80" w:type="dxa"/>
            <w:vAlign w:val="bottom"/>
            <w:vMerge w:val="restart"/>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1420" w:type="dxa"/>
            <w:vAlign w:val="bottom"/>
          </w:tcPr>
          <w:p>
            <w:pPr>
              <w:ind w:left="20"/>
              <w:spacing w:after="0"/>
              <w:rPr>
                <w:sz w:val="20"/>
                <w:szCs w:val="20"/>
                <w:color w:val="auto"/>
              </w:rPr>
            </w:pPr>
            <w:r>
              <w:rPr>
                <w:rFonts w:ascii="Arial" w:cs="Arial" w:eastAsia="Arial" w:hAnsi="Arial"/>
                <w:sz w:val="12"/>
                <w:szCs w:val="12"/>
                <w:color w:val="005A64"/>
              </w:rPr>
              <w:t>Finance income</w:t>
            </w: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7.3</w:t>
            </w:r>
          </w:p>
        </w:tc>
        <w:tc>
          <w:tcPr>
            <w:tcW w:w="20" w:type="dxa"/>
            <w:vAlign w:val="bottom"/>
          </w:tcPr>
          <w:p>
            <w:pPr>
              <w:spacing w:after="0"/>
              <w:rPr>
                <w:sz w:val="13"/>
                <w:szCs w:val="13"/>
                <w:color w:val="auto"/>
              </w:rPr>
            </w:pPr>
          </w:p>
        </w:tc>
        <w:tc>
          <w:tcPr>
            <w:tcW w:w="40" w:type="dxa"/>
            <w:vAlign w:val="bottom"/>
            <w:tcBorders>
              <w:left w:val="single" w:sz="8" w:color="BECE33"/>
            </w:tcBorders>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664.0</w:t>
            </w:r>
          </w:p>
        </w:tc>
        <w:tc>
          <w:tcPr>
            <w:tcW w:w="60" w:type="dxa"/>
            <w:vAlign w:val="bottom"/>
            <w:tcBorders>
              <w:right w:val="single" w:sz="8" w:color="BECE33"/>
            </w:tcBorders>
          </w:tcPr>
          <w:p>
            <w:pPr>
              <w:spacing w:after="0"/>
              <w:rPr>
                <w:sz w:val="13"/>
                <w:szCs w:val="13"/>
                <w:color w:val="auto"/>
              </w:rPr>
            </w:pPr>
          </w:p>
        </w:tc>
        <w:tc>
          <w:tcPr>
            <w:tcW w:w="2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519.6</w:t>
            </w:r>
          </w:p>
        </w:tc>
        <w:tc>
          <w:tcPr>
            <w:tcW w:w="80" w:type="dxa"/>
            <w:vAlign w:val="bottom"/>
            <w:vMerge w:val="continue"/>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color w:val="005A64"/>
              </w:rPr>
              <w:t>330.3</w:t>
            </w:r>
          </w:p>
        </w:tc>
        <w:tc>
          <w:tcPr>
            <w:tcW w:w="0" w:type="dxa"/>
            <w:vAlign w:val="bottom"/>
          </w:tcPr>
          <w:p>
            <w:pPr>
              <w:spacing w:after="0"/>
              <w:rPr>
                <w:sz w:val="1"/>
                <w:szCs w:val="1"/>
                <w:color w:val="auto"/>
              </w:rPr>
            </w:pPr>
          </w:p>
        </w:tc>
      </w:tr>
      <w:tr>
        <w:trPr>
          <w:trHeight w:val="181"/>
        </w:trPr>
        <w:tc>
          <w:tcPr>
            <w:tcW w:w="1420" w:type="dxa"/>
            <w:vAlign w:val="bottom"/>
          </w:tcPr>
          <w:p>
            <w:pPr>
              <w:ind w:left="20"/>
              <w:spacing w:after="0"/>
              <w:rPr>
                <w:sz w:val="20"/>
                <w:szCs w:val="20"/>
                <w:color w:val="auto"/>
              </w:rPr>
            </w:pPr>
            <w:r>
              <w:rPr>
                <w:rFonts w:ascii="Arial" w:cs="Arial" w:eastAsia="Arial" w:hAnsi="Arial"/>
                <w:sz w:val="12"/>
                <w:szCs w:val="12"/>
                <w:color w:val="005A64"/>
              </w:rPr>
              <w:t>Finance expenses</w:t>
            </w:r>
          </w:p>
        </w:tc>
        <w:tc>
          <w:tcPr>
            <w:tcW w:w="6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7.3</w:t>
            </w:r>
          </w:p>
        </w:tc>
        <w:tc>
          <w:tcPr>
            <w:tcW w:w="20" w:type="dxa"/>
            <w:vAlign w:val="bottom"/>
          </w:tcPr>
          <w:p>
            <w:pPr>
              <w:spacing w:after="0"/>
              <w:rPr>
                <w:sz w:val="15"/>
                <w:szCs w:val="15"/>
                <w:color w:val="auto"/>
              </w:rPr>
            </w:pPr>
          </w:p>
        </w:tc>
        <w:tc>
          <w:tcPr>
            <w:tcW w:w="78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(27.4)</w:t>
            </w:r>
          </w:p>
        </w:tc>
        <w:tc>
          <w:tcPr>
            <w:tcW w:w="60" w:type="dxa"/>
            <w:vAlign w:val="bottom"/>
            <w:tcBorders>
              <w:right w:val="single" w:sz="8" w:color="BECE33"/>
            </w:tcBorders>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(23.9)</w:t>
            </w:r>
          </w:p>
        </w:tc>
        <w:tc>
          <w:tcPr>
            <w:tcW w:w="840" w:type="dxa"/>
            <w:vAlign w:val="bottom"/>
            <w:gridSpan w:val="2"/>
          </w:tcPr>
          <w:p>
            <w:pPr>
              <w:ind w:left="100"/>
              <w:spacing w:after="0"/>
              <w:rPr>
                <w:sz w:val="20"/>
                <w:szCs w:val="20"/>
                <w:color w:val="auto"/>
              </w:rPr>
            </w:pPr>
            <w:r>
              <w:rPr>
                <w:rFonts w:ascii="Arial" w:cs="Arial" w:eastAsia="Arial" w:hAnsi="Arial"/>
                <w:sz w:val="12"/>
                <w:szCs w:val="12"/>
                <w:color w:val="005A64"/>
              </w:rPr>
              <w:t>(18.9)</w:t>
            </w:r>
          </w:p>
        </w:tc>
        <w:tc>
          <w:tcPr>
            <w:tcW w:w="0" w:type="dxa"/>
            <w:vAlign w:val="bottom"/>
          </w:tcPr>
          <w:p>
            <w:pPr>
              <w:spacing w:after="0"/>
              <w:rPr>
                <w:sz w:val="1"/>
                <w:szCs w:val="1"/>
                <w:color w:val="auto"/>
              </w:rPr>
            </w:pPr>
          </w:p>
        </w:tc>
      </w:tr>
      <w:tr>
        <w:trPr>
          <w:trHeight w:val="208"/>
        </w:trPr>
        <w:tc>
          <w:tcPr>
            <w:tcW w:w="1420" w:type="dxa"/>
            <w:vAlign w:val="bottom"/>
          </w:tcPr>
          <w:p>
            <w:pPr>
              <w:ind w:left="20"/>
              <w:spacing w:after="0"/>
              <w:rPr>
                <w:sz w:val="20"/>
                <w:szCs w:val="20"/>
                <w:color w:val="auto"/>
              </w:rPr>
            </w:pPr>
            <w:r>
              <w:rPr>
                <w:rFonts w:ascii="Arial" w:cs="Arial" w:eastAsia="Arial" w:hAnsi="Arial"/>
                <w:sz w:val="12"/>
                <w:szCs w:val="12"/>
                <w:b w:val="1"/>
                <w:bCs w:val="1"/>
                <w:color w:val="005A64"/>
                <w:w w:val="99"/>
              </w:rPr>
              <w:t>Profit / (Loss) before tax</w:t>
            </w:r>
          </w:p>
        </w:tc>
        <w:tc>
          <w:tcPr>
            <w:tcW w:w="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b w:val="1"/>
                <w:bCs w:val="1"/>
                <w:color w:val="005A64"/>
              </w:rPr>
              <w:t>(677.7)</w:t>
            </w:r>
          </w:p>
        </w:tc>
        <w:tc>
          <w:tcPr>
            <w:tcW w:w="60" w:type="dxa"/>
            <w:vAlign w:val="bottom"/>
            <w:tcBorders>
              <w:right w:val="single" w:sz="8" w:color="BECE33"/>
            </w:tcBorders>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005A64"/>
              </w:rPr>
              <w:t>1,186.1</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005A64"/>
              </w:rPr>
              <w:t>12,954.1</w:t>
            </w:r>
          </w:p>
        </w:tc>
        <w:tc>
          <w:tcPr>
            <w:tcW w:w="0" w:type="dxa"/>
            <w:vAlign w:val="bottom"/>
          </w:tcPr>
          <w:p>
            <w:pPr>
              <w:spacing w:after="0"/>
              <w:rPr>
                <w:sz w:val="1"/>
                <w:szCs w:val="1"/>
                <w:color w:val="auto"/>
              </w:rPr>
            </w:pPr>
          </w:p>
        </w:tc>
      </w:tr>
      <w:tr>
        <w:trPr>
          <w:trHeight w:val="47"/>
        </w:trPr>
        <w:tc>
          <w:tcPr>
            <w:tcW w:w="1420" w:type="dxa"/>
            <w:vAlign w:val="bottom"/>
            <w:tcBorders>
              <w:bottom w:val="single" w:sz="8" w:color="005A64"/>
            </w:tcBorders>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150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left w:val="single" w:sz="8" w:color="BECE33"/>
            </w:tcBorders>
            <w:vMerge w:val="restart"/>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20" w:type="dxa"/>
            <w:vAlign w:val="bottom"/>
            <w:vMerge w:val="restart"/>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80" w:type="dxa"/>
            <w:vAlign w:val="bottom"/>
            <w:vMerge w:val="restart"/>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1420" w:type="dxa"/>
            <w:vAlign w:val="bottom"/>
          </w:tcPr>
          <w:p>
            <w:pPr>
              <w:ind w:left="20"/>
              <w:spacing w:after="0"/>
              <w:rPr>
                <w:sz w:val="20"/>
                <w:szCs w:val="20"/>
                <w:color w:val="auto"/>
              </w:rPr>
            </w:pPr>
            <w:r>
              <w:rPr>
                <w:rFonts w:ascii="Arial" w:cs="Arial" w:eastAsia="Arial" w:hAnsi="Arial"/>
                <w:sz w:val="12"/>
                <w:szCs w:val="12"/>
                <w:color w:val="005A64"/>
              </w:rPr>
              <w:t>Income taxes</w:t>
            </w: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8</w:t>
            </w:r>
          </w:p>
        </w:tc>
        <w:tc>
          <w:tcPr>
            <w:tcW w:w="20" w:type="dxa"/>
            <w:vAlign w:val="bottom"/>
          </w:tcPr>
          <w:p>
            <w:pPr>
              <w:spacing w:after="0"/>
              <w:rPr>
                <w:sz w:val="13"/>
                <w:szCs w:val="13"/>
                <w:color w:val="auto"/>
              </w:rPr>
            </w:pPr>
          </w:p>
        </w:tc>
        <w:tc>
          <w:tcPr>
            <w:tcW w:w="40" w:type="dxa"/>
            <w:vAlign w:val="bottom"/>
            <w:tcBorders>
              <w:left w:val="single" w:sz="8" w:color="BECE33"/>
            </w:tcBorders>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12.4</w:t>
            </w:r>
          </w:p>
        </w:tc>
        <w:tc>
          <w:tcPr>
            <w:tcW w:w="60" w:type="dxa"/>
            <w:vAlign w:val="bottom"/>
            <w:tcBorders>
              <w:right w:val="single" w:sz="8" w:color="BECE33"/>
            </w:tcBorders>
          </w:tcPr>
          <w:p>
            <w:pPr>
              <w:spacing w:after="0"/>
              <w:rPr>
                <w:sz w:val="13"/>
                <w:szCs w:val="13"/>
                <w:color w:val="auto"/>
              </w:rPr>
            </w:pPr>
          </w:p>
        </w:tc>
        <w:tc>
          <w:tcPr>
            <w:tcW w:w="2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(255.8)</w:t>
            </w:r>
          </w:p>
        </w:tc>
        <w:tc>
          <w:tcPr>
            <w:tcW w:w="80" w:type="dxa"/>
            <w:vAlign w:val="bottom"/>
            <w:vMerge w:val="continue"/>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color w:val="005A64"/>
              </w:rPr>
              <w:t>(3,519.7)</w:t>
            </w:r>
          </w:p>
        </w:tc>
        <w:tc>
          <w:tcPr>
            <w:tcW w:w="0" w:type="dxa"/>
            <w:vAlign w:val="bottom"/>
          </w:tcPr>
          <w:p>
            <w:pPr>
              <w:spacing w:after="0"/>
              <w:rPr>
                <w:sz w:val="1"/>
                <w:szCs w:val="1"/>
                <w:color w:val="auto"/>
              </w:rPr>
            </w:pPr>
          </w:p>
        </w:tc>
      </w:tr>
      <w:tr>
        <w:trPr>
          <w:trHeight w:val="187"/>
        </w:trPr>
        <w:tc>
          <w:tcPr>
            <w:tcW w:w="1420" w:type="dxa"/>
            <w:vAlign w:val="bottom"/>
          </w:tcPr>
          <w:p>
            <w:pPr>
              <w:ind w:left="20"/>
              <w:spacing w:after="0"/>
              <w:rPr>
                <w:sz w:val="20"/>
                <w:szCs w:val="20"/>
                <w:color w:val="auto"/>
              </w:rPr>
            </w:pPr>
            <w:r>
              <w:rPr>
                <w:rFonts w:ascii="Arial" w:cs="Arial" w:eastAsia="Arial" w:hAnsi="Arial"/>
                <w:sz w:val="12"/>
                <w:szCs w:val="12"/>
                <w:b w:val="1"/>
                <w:bCs w:val="1"/>
                <w:color w:val="005A64"/>
              </w:rPr>
              <w:t>Net profit / (loss)</w:t>
            </w:r>
          </w:p>
        </w:tc>
        <w:tc>
          <w:tcPr>
            <w:tcW w:w="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b w:val="1"/>
                <w:bCs w:val="1"/>
                <w:color w:val="005A64"/>
              </w:rPr>
              <w:t>(665.3)</w:t>
            </w:r>
          </w:p>
        </w:tc>
        <w:tc>
          <w:tcPr>
            <w:tcW w:w="60" w:type="dxa"/>
            <w:vAlign w:val="bottom"/>
            <w:tcBorders>
              <w:right w:val="single" w:sz="8" w:color="BECE33"/>
            </w:tcBorders>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005A64"/>
              </w:rPr>
              <w:t>930.3</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005A64"/>
              </w:rPr>
              <w:t>9,434.4</w:t>
            </w:r>
          </w:p>
        </w:tc>
        <w:tc>
          <w:tcPr>
            <w:tcW w:w="0" w:type="dxa"/>
            <w:vAlign w:val="bottom"/>
          </w:tcPr>
          <w:p>
            <w:pPr>
              <w:spacing w:after="0"/>
              <w:rPr>
                <w:sz w:val="1"/>
                <w:szCs w:val="1"/>
                <w:color w:val="auto"/>
              </w:rPr>
            </w:pPr>
          </w:p>
        </w:tc>
      </w:tr>
      <w:tr>
        <w:trPr>
          <w:trHeight w:val="47"/>
        </w:trPr>
        <w:tc>
          <w:tcPr>
            <w:tcW w:w="2020" w:type="dxa"/>
            <w:vAlign w:val="bottom"/>
            <w:tcBorders>
              <w:bottom w:val="single" w:sz="8" w:color="005A64"/>
            </w:tcBorders>
            <w:gridSpan w:val="2"/>
          </w:tcPr>
          <w:p>
            <w:pPr>
              <w:spacing w:after="0"/>
              <w:rPr>
                <w:sz w:val="4"/>
                <w:szCs w:val="4"/>
                <w:color w:val="auto"/>
              </w:rPr>
            </w:pPr>
          </w:p>
        </w:tc>
        <w:tc>
          <w:tcPr>
            <w:tcW w:w="1500" w:type="dxa"/>
            <w:vAlign w:val="bottom"/>
            <w:tcBorders>
              <w:bottom w:val="single" w:sz="8" w:color="005A64"/>
            </w:tcBorders>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left w:val="single" w:sz="8" w:color="BECE33"/>
            </w:tcBorders>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20" w:type="dxa"/>
            <w:vAlign w:val="bottom"/>
            <w:gridSpan w:val="2"/>
          </w:tcPr>
          <w:p>
            <w:pPr>
              <w:ind w:left="20"/>
              <w:spacing w:after="0"/>
              <w:rPr>
                <w:sz w:val="20"/>
                <w:szCs w:val="20"/>
                <w:color w:val="auto"/>
              </w:rPr>
            </w:pPr>
            <w:r>
              <w:rPr>
                <w:rFonts w:ascii="Arial" w:cs="Arial" w:eastAsia="Arial" w:hAnsi="Arial"/>
                <w:sz w:val="12"/>
                <w:szCs w:val="12"/>
                <w:b w:val="1"/>
                <w:bCs w:val="1"/>
                <w:color w:val="3C9673"/>
              </w:rPr>
              <w:t>Earnings / (Loss) per share</w:t>
            </w: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left w:val="single" w:sz="8" w:color="BECE33"/>
            </w:tcBorders>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Borders>
              <w:right w:val="single" w:sz="8" w:color="BECE33"/>
            </w:tcBorders>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20" w:type="dxa"/>
            <w:vAlign w:val="bottom"/>
            <w:gridSpan w:val="2"/>
          </w:tcPr>
          <w:p>
            <w:pPr>
              <w:ind w:left="20"/>
              <w:spacing w:after="0"/>
              <w:rPr>
                <w:sz w:val="20"/>
                <w:szCs w:val="20"/>
                <w:color w:val="auto"/>
              </w:rPr>
            </w:pPr>
            <w:r>
              <w:rPr>
                <w:rFonts w:ascii="Arial" w:cs="Arial" w:eastAsia="Arial" w:hAnsi="Arial"/>
                <w:sz w:val="12"/>
                <w:szCs w:val="12"/>
                <w:color w:val="005A64"/>
              </w:rPr>
              <w:t>Basic earnings / (loss) per share</w:t>
            </w:r>
          </w:p>
        </w:tc>
        <w:tc>
          <w:tcPr>
            <w:tcW w:w="150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9</w:t>
            </w:r>
          </w:p>
        </w:tc>
        <w:tc>
          <w:tcPr>
            <w:tcW w:w="20" w:type="dxa"/>
            <w:vAlign w:val="bottom"/>
          </w:tcPr>
          <w:p>
            <w:pPr>
              <w:spacing w:after="0"/>
              <w:rPr>
                <w:sz w:val="15"/>
                <w:szCs w:val="15"/>
                <w:color w:val="auto"/>
              </w:rPr>
            </w:pPr>
          </w:p>
        </w:tc>
        <w:tc>
          <w:tcPr>
            <w:tcW w:w="78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(2.77)</w:t>
            </w:r>
          </w:p>
        </w:tc>
        <w:tc>
          <w:tcPr>
            <w:tcW w:w="60" w:type="dxa"/>
            <w:vAlign w:val="bottom"/>
            <w:tcBorders>
              <w:right w:val="single" w:sz="8" w:color="BECE33"/>
            </w:tcBorders>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3.87</w:t>
            </w:r>
          </w:p>
        </w:tc>
        <w:tc>
          <w:tcPr>
            <w:tcW w:w="840" w:type="dxa"/>
            <w:vAlign w:val="bottom"/>
            <w:gridSpan w:val="2"/>
          </w:tcPr>
          <w:p>
            <w:pPr>
              <w:ind w:left="100"/>
              <w:spacing w:after="0"/>
              <w:rPr>
                <w:sz w:val="20"/>
                <w:szCs w:val="20"/>
                <w:color w:val="auto"/>
              </w:rPr>
            </w:pPr>
            <w:r>
              <w:rPr>
                <w:rFonts w:ascii="Arial" w:cs="Arial" w:eastAsia="Arial" w:hAnsi="Arial"/>
                <w:sz w:val="12"/>
                <w:szCs w:val="12"/>
                <w:color w:val="005A64"/>
              </w:rPr>
              <w:t>38.78</w:t>
            </w:r>
          </w:p>
        </w:tc>
        <w:tc>
          <w:tcPr>
            <w:tcW w:w="0" w:type="dxa"/>
            <w:vAlign w:val="bottom"/>
          </w:tcPr>
          <w:p>
            <w:pPr>
              <w:spacing w:after="0"/>
              <w:rPr>
                <w:sz w:val="1"/>
                <w:szCs w:val="1"/>
                <w:color w:val="auto"/>
              </w:rPr>
            </w:pPr>
          </w:p>
        </w:tc>
      </w:tr>
      <w:tr>
        <w:trPr>
          <w:trHeight w:val="202"/>
        </w:trPr>
        <w:tc>
          <w:tcPr>
            <w:tcW w:w="2020" w:type="dxa"/>
            <w:vAlign w:val="bottom"/>
            <w:gridSpan w:val="2"/>
          </w:tcPr>
          <w:p>
            <w:pPr>
              <w:ind w:left="20"/>
              <w:spacing w:after="0"/>
              <w:rPr>
                <w:sz w:val="20"/>
                <w:szCs w:val="20"/>
                <w:color w:val="auto"/>
              </w:rPr>
            </w:pPr>
            <w:r>
              <w:rPr>
                <w:rFonts w:ascii="Arial" w:cs="Arial" w:eastAsia="Arial" w:hAnsi="Arial"/>
                <w:sz w:val="12"/>
                <w:szCs w:val="12"/>
                <w:color w:val="005A64"/>
              </w:rPr>
              <w:t>Diluted earnings / (loss) per share</w:t>
            </w:r>
          </w:p>
        </w:tc>
        <w:tc>
          <w:tcPr>
            <w:tcW w:w="150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9</w:t>
            </w:r>
          </w:p>
        </w:tc>
        <w:tc>
          <w:tcPr>
            <w:tcW w:w="20" w:type="dxa"/>
            <w:vAlign w:val="bottom"/>
          </w:tcPr>
          <w:p>
            <w:pPr>
              <w:spacing w:after="0"/>
              <w:rPr>
                <w:sz w:val="17"/>
                <w:szCs w:val="17"/>
                <w:color w:val="auto"/>
              </w:rPr>
            </w:pPr>
          </w:p>
        </w:tc>
        <w:tc>
          <w:tcPr>
            <w:tcW w:w="78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(2.77)</w:t>
            </w:r>
          </w:p>
        </w:tc>
        <w:tc>
          <w:tcPr>
            <w:tcW w:w="60" w:type="dxa"/>
            <w:vAlign w:val="bottom"/>
            <w:tcBorders>
              <w:right w:val="single" w:sz="8" w:color="BECE33"/>
            </w:tcBorders>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color w:val="005A64"/>
              </w:rPr>
              <w:t>3.83</w:t>
            </w:r>
          </w:p>
        </w:tc>
        <w:tc>
          <w:tcPr>
            <w:tcW w:w="840" w:type="dxa"/>
            <w:vAlign w:val="bottom"/>
            <w:gridSpan w:val="2"/>
          </w:tcPr>
          <w:p>
            <w:pPr>
              <w:ind w:left="100"/>
              <w:spacing w:after="0"/>
              <w:rPr>
                <w:sz w:val="20"/>
                <w:szCs w:val="20"/>
                <w:color w:val="auto"/>
              </w:rPr>
            </w:pPr>
            <w:r>
              <w:rPr>
                <w:rFonts w:ascii="Arial" w:cs="Arial" w:eastAsia="Arial" w:hAnsi="Arial"/>
                <w:sz w:val="12"/>
                <w:szCs w:val="12"/>
                <w:color w:val="005A64"/>
              </w:rPr>
              <w:t>37.77</w:t>
            </w:r>
          </w:p>
        </w:tc>
        <w:tc>
          <w:tcPr>
            <w:tcW w:w="0" w:type="dxa"/>
            <w:vAlign w:val="bottom"/>
          </w:tcPr>
          <w:p>
            <w:pPr>
              <w:spacing w:after="0"/>
              <w:rPr>
                <w:sz w:val="1"/>
                <w:szCs w:val="1"/>
                <w:color w:val="auto"/>
              </w:rPr>
            </w:pPr>
          </w:p>
        </w:tc>
      </w:tr>
      <w:tr>
        <w:trPr>
          <w:trHeight w:val="53"/>
        </w:trPr>
        <w:tc>
          <w:tcPr>
            <w:tcW w:w="1420" w:type="dxa"/>
            <w:vAlign w:val="bottom"/>
            <w:tcBorders>
              <w:bottom w:val="single" w:sz="8" w:color="005A64"/>
            </w:tcBorders>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1500" w:type="dxa"/>
            <w:vAlign w:val="bottom"/>
            <w:tcBorders>
              <w:bottom w:val="single" w:sz="8" w:color="005A64"/>
            </w:tcBorders>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left w:val="single" w:sz="8" w:color="BECE33"/>
              <w:bottom w:val="single" w:sz="8" w:color="BECE33"/>
            </w:tcBorders>
          </w:tcPr>
          <w:p>
            <w:pPr>
              <w:spacing w:after="0"/>
              <w:rPr>
                <w:sz w:val="4"/>
                <w:szCs w:val="4"/>
                <w:color w:val="auto"/>
              </w:rPr>
            </w:pPr>
          </w:p>
        </w:tc>
        <w:tc>
          <w:tcPr>
            <w:tcW w:w="74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80" w:right="2060" w:firstLine="3"/>
        <w:spacing w:after="0" w:line="190" w:lineRule="auto"/>
        <w:tabs>
          <w:tab w:leader="none" w:pos="582" w:val="left"/>
        </w:tabs>
        <w:numPr>
          <w:ilvl w:val="0"/>
          <w:numId w:val="46"/>
        </w:numPr>
        <w:rPr>
          <w:rFonts w:ascii="Arial" w:cs="Arial" w:eastAsia="Arial" w:hAnsi="Arial"/>
          <w:sz w:val="16"/>
          <w:szCs w:val="16"/>
          <w:color w:val="005A64"/>
          <w:vertAlign w:val="superscript"/>
        </w:rPr>
      </w:pPr>
      <w:r>
        <w:rPr>
          <w:rFonts w:ascii="Arial" w:cs="Arial" w:eastAsia="Arial" w:hAnsi="Arial"/>
          <w:sz w:val="12"/>
          <w:szCs w:val="12"/>
          <w:color w:val="005A64"/>
        </w:rPr>
        <w:t>Adjustments to the year 2022 figures due to change in functional allocation of general and administrative expenses and other operating expenses (see Note 7.2).</w:t>
      </w:r>
    </w:p>
    <w:p>
      <w:pPr>
        <w:sectPr>
          <w:pgSz w:w="11900" w:h="16840" w:orient="portrait"/>
          <w:cols w:equalWidth="0" w:num="1">
            <w:col w:w="9020"/>
          </w:cols>
          <w:pgMar w:left="1440" w:top="560" w:right="1440" w:bottom="452" w:gutter="0" w:footer="0" w:header="0"/>
        </w:sectPr>
      </w:pPr>
    </w:p>
    <w:p>
      <w:pPr>
        <w:spacing w:after="0" w:line="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accompanying notes form an integral part of these consolidated financial statements.</w:t>
      </w:r>
    </w:p>
    <w:p>
      <w:pPr>
        <w:sectPr>
          <w:pgSz w:w="11900" w:h="16840" w:orient="portrait"/>
          <w:cols w:equalWidth="0" w:num="1">
            <w:col w:w="9020"/>
          </w:cols>
          <w:pgMar w:left="1440" w:top="560" w:right="1440" w:bottom="452" w:gutter="0" w:footer="0" w:header="0"/>
          <w:type w:val="continuous"/>
        </w:sectPr>
      </w:pPr>
    </w:p>
    <w:bookmarkStart w:id="185" w:name="page186"/>
    <w:bookmarkEnd w:id="1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6"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005A64"/>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-132080</wp:posOffset>
            </wp:positionV>
            <wp:extent cx="5231130"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7">
                      <a:extLst>
                        <a:ext uri="{28A0092B-C50C-407E-A947-70E740481C1C}"/>
                      </a:extLst>
                    </a:blip>
                    <a:srcRect/>
                    <a:stretch>
                      <a:fillRect/>
                    </a:stretch>
                  </pic:blipFill>
                  <pic:spPr bwMode="auto">
                    <a:xfrm>
                      <a:off x="0" y="0"/>
                      <a:ext cx="5231130" cy="635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1905</wp:posOffset>
            </wp:positionV>
            <wp:extent cx="4274820" cy="127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8">
                      <a:extLst>
                        <a:ext uri="{28A0092B-C50C-407E-A947-70E740481C1C}"/>
                      </a:extLst>
                    </a:blip>
                    <a:srcRect/>
                    <a:stretch>
                      <a:fillRect/>
                    </a:stretch>
                  </pic:blipFill>
                  <pic:spPr bwMode="auto">
                    <a:xfrm>
                      <a:off x="0" y="0"/>
                      <a:ext cx="4274820" cy="12700"/>
                    </a:xfrm>
                    <a:prstGeom prst="rect">
                      <a:avLst/>
                    </a:prstGeom>
                    <a:noFill/>
                  </pic:spPr>
                </pic:pic>
              </a:graphicData>
            </a:graphic>
          </wp:anchor>
        </w:drawing>
      </w:r>
    </w:p>
    <w:p>
      <w:pPr>
        <w:spacing w:after="0" w:line="47"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3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005A64"/>
              </w:rPr>
              <w:t>Years ended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005A64"/>
              </w:rPr>
              <w:t>December 31,</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340" w:type="dxa"/>
            <w:vAlign w:val="bottom"/>
            <w:vMerge w:val="restart"/>
          </w:tcPr>
          <w:p>
            <w:pPr>
              <w:ind w:left="20"/>
              <w:spacing w:after="0"/>
              <w:rPr>
                <w:sz w:val="20"/>
                <w:szCs w:val="20"/>
                <w:color w:val="auto"/>
              </w:rPr>
            </w:pPr>
            <w:r>
              <w:rPr>
                <w:rFonts w:ascii="Arial" w:cs="Arial" w:eastAsia="Arial" w:hAnsi="Arial"/>
                <w:sz w:val="12"/>
                <w:szCs w:val="12"/>
                <w:i w:val="1"/>
                <w:iCs w:val="1"/>
                <w:color w:val="005A64"/>
              </w:rPr>
              <w:t>(in millions €)</w:t>
            </w:r>
          </w:p>
        </w:tc>
        <w:tc>
          <w:tcPr>
            <w:tcW w:w="20" w:type="dxa"/>
            <w:vAlign w:val="bottom"/>
            <w:vMerge w:val="restart"/>
          </w:tcPr>
          <w:p>
            <w:pPr>
              <w:spacing w:after="0"/>
              <w:rPr>
                <w:sz w:val="18"/>
                <w:szCs w:val="18"/>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005A64"/>
              </w:rPr>
              <w:t>Note</w:t>
            </w:r>
          </w:p>
        </w:tc>
        <w:tc>
          <w:tcPr>
            <w:tcW w:w="20" w:type="dxa"/>
            <w:vAlign w:val="bottom"/>
            <w:tcBorders>
              <w:bottom w:val="single" w:sz="8" w:color="BECE33"/>
            </w:tcBorders>
          </w:tcPr>
          <w:p>
            <w:pPr>
              <w:spacing w:after="0"/>
              <w:rPr>
                <w:sz w:val="18"/>
                <w:szCs w:val="18"/>
                <w:color w:val="auto"/>
              </w:rPr>
            </w:pPr>
          </w:p>
        </w:tc>
        <w:tc>
          <w:tcPr>
            <w:tcW w:w="800" w:type="dxa"/>
            <w:vAlign w:val="bottom"/>
            <w:tcBorders>
              <w:bottom w:val="single" w:sz="8" w:color="BECE33"/>
            </w:tcBorders>
          </w:tcPr>
          <w:p>
            <w:pPr>
              <w:spacing w:after="0"/>
              <w:rPr>
                <w:sz w:val="18"/>
                <w:szCs w:val="18"/>
                <w:color w:val="auto"/>
              </w:rPr>
            </w:pPr>
          </w:p>
        </w:tc>
        <w:tc>
          <w:tcPr>
            <w:tcW w:w="40" w:type="dxa"/>
            <w:vAlign w:val="bottom"/>
            <w:tcBorders>
              <w:bottom w:val="single" w:sz="8" w:color="BECE33"/>
            </w:tcBorders>
          </w:tcPr>
          <w:p>
            <w:pPr>
              <w:spacing w:after="0"/>
              <w:rPr>
                <w:sz w:val="18"/>
                <w:szCs w:val="18"/>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005A64"/>
              </w:rPr>
              <w:t>2023</w:t>
            </w:r>
          </w:p>
        </w:tc>
        <w:tc>
          <w:tcPr>
            <w:tcW w:w="8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005A64"/>
              </w:rPr>
              <w:t>2022</w:t>
            </w:r>
          </w:p>
        </w:tc>
        <w:tc>
          <w:tcPr>
            <w:tcW w:w="0" w:type="dxa"/>
            <w:vAlign w:val="bottom"/>
          </w:tcPr>
          <w:p>
            <w:pPr>
              <w:spacing w:after="0"/>
              <w:rPr>
                <w:sz w:val="1"/>
                <w:szCs w:val="1"/>
                <w:color w:val="auto"/>
              </w:rPr>
            </w:pPr>
          </w:p>
        </w:tc>
      </w:tr>
      <w:tr>
        <w:trPr>
          <w:trHeight w:val="156"/>
        </w:trPr>
        <w:tc>
          <w:tcPr>
            <w:tcW w:w="3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340" w:type="dxa"/>
            <w:vAlign w:val="bottom"/>
            <w:tcBorders>
              <w:bottom w:val="single" w:sz="8" w:color="005A64"/>
            </w:tcBorders>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80" w:type="dxa"/>
            <w:vAlign w:val="bottom"/>
            <w:vMerge w:val="restart"/>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340" w:type="dxa"/>
            <w:vAlign w:val="bottom"/>
          </w:tcPr>
          <w:p>
            <w:pPr>
              <w:ind w:left="20"/>
              <w:spacing w:after="0"/>
              <w:rPr>
                <w:sz w:val="20"/>
                <w:szCs w:val="20"/>
                <w:color w:val="auto"/>
              </w:rPr>
            </w:pPr>
            <w:r>
              <w:rPr>
                <w:rFonts w:ascii="Arial" w:cs="Arial" w:eastAsia="Arial" w:hAnsi="Arial"/>
                <w:sz w:val="12"/>
                <w:szCs w:val="12"/>
                <w:b w:val="1"/>
                <w:bCs w:val="1"/>
                <w:color w:val="005A64"/>
              </w:rPr>
              <w:t>Net profit / (loss)</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005A64"/>
              </w:rPr>
              <w:t>(665.3)</w:t>
            </w:r>
          </w:p>
        </w:tc>
        <w:tc>
          <w:tcPr>
            <w:tcW w:w="4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005A64"/>
              </w:rPr>
              <w:t>930.3</w:t>
            </w:r>
          </w:p>
        </w:tc>
        <w:tc>
          <w:tcPr>
            <w:tcW w:w="80" w:type="dxa"/>
            <w:vAlign w:val="bottom"/>
            <w:vMerge w:val="continue"/>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005A64"/>
              </w:rPr>
              <w:t>9,434.4</w:t>
            </w:r>
          </w:p>
        </w:tc>
        <w:tc>
          <w:tcPr>
            <w:tcW w:w="0" w:type="dxa"/>
            <w:vAlign w:val="bottom"/>
          </w:tcPr>
          <w:p>
            <w:pPr>
              <w:spacing w:after="0"/>
              <w:rPr>
                <w:sz w:val="1"/>
                <w:szCs w:val="1"/>
                <w:color w:val="auto"/>
              </w:rPr>
            </w:pPr>
          </w:p>
        </w:tc>
      </w:tr>
      <w:tr>
        <w:trPr>
          <w:trHeight w:val="26"/>
        </w:trPr>
        <w:tc>
          <w:tcPr>
            <w:tcW w:w="3340" w:type="dxa"/>
            <w:vAlign w:val="bottom"/>
            <w:tcBorders>
              <w:bottom w:val="single" w:sz="8" w:color="005A64"/>
            </w:tcBorders>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340" w:type="dxa"/>
            <w:vAlign w:val="bottom"/>
          </w:tcPr>
          <w:p>
            <w:pPr>
              <w:ind w:left="20"/>
              <w:spacing w:after="0"/>
              <w:rPr>
                <w:sz w:val="20"/>
                <w:szCs w:val="20"/>
                <w:color w:val="auto"/>
              </w:rPr>
            </w:pPr>
            <w:r>
              <w:rPr>
                <w:rFonts w:ascii="Arial" w:cs="Arial" w:eastAsia="Arial" w:hAnsi="Arial"/>
                <w:sz w:val="12"/>
                <w:szCs w:val="12"/>
                <w:color w:val="005A64"/>
              </w:rPr>
              <w:t>Other comprehensive income</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340" w:type="dxa"/>
            <w:vAlign w:val="bottom"/>
          </w:tcPr>
          <w:p>
            <w:pPr>
              <w:ind w:left="20"/>
              <w:spacing w:after="0"/>
              <w:rPr>
                <w:sz w:val="20"/>
                <w:szCs w:val="20"/>
                <w:color w:val="auto"/>
              </w:rPr>
            </w:pPr>
            <w:r>
              <w:rPr>
                <w:rFonts w:ascii="Arial" w:cs="Arial" w:eastAsia="Arial" w:hAnsi="Arial"/>
                <w:sz w:val="12"/>
                <w:szCs w:val="12"/>
                <w:color w:val="005A64"/>
              </w:rPr>
              <w:t>Other comprehensive income that may be reclassified to</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340" w:type="dxa"/>
            <w:vAlign w:val="bottom"/>
          </w:tcPr>
          <w:p>
            <w:pPr>
              <w:ind w:left="20"/>
              <w:spacing w:after="0"/>
              <w:rPr>
                <w:sz w:val="20"/>
                <w:szCs w:val="20"/>
                <w:color w:val="auto"/>
              </w:rPr>
            </w:pPr>
            <w:r>
              <w:rPr>
                <w:rFonts w:ascii="Arial" w:cs="Arial" w:eastAsia="Arial" w:hAnsi="Arial"/>
                <w:sz w:val="12"/>
                <w:szCs w:val="12"/>
                <w:color w:val="005A64"/>
              </w:rPr>
              <w:t>profit or loss in subsequent periods, net of tax</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3340" w:type="dxa"/>
            <w:vAlign w:val="bottom"/>
          </w:tcPr>
          <w:p>
            <w:pPr>
              <w:ind w:left="20"/>
              <w:spacing w:after="0"/>
              <w:rPr>
                <w:sz w:val="20"/>
                <w:szCs w:val="20"/>
                <w:color w:val="auto"/>
              </w:rPr>
            </w:pPr>
            <w:r>
              <w:rPr>
                <w:rFonts w:ascii="Arial" w:cs="Arial" w:eastAsia="Arial" w:hAnsi="Arial"/>
                <w:sz w:val="12"/>
                <w:szCs w:val="12"/>
                <w:color w:val="005A64"/>
              </w:rPr>
              <w:t>Exchange differences on translation of foreign operations</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color w:val="005A64"/>
              </w:rPr>
              <w:t>43.5</w:t>
            </w:r>
          </w:p>
        </w:tc>
        <w:tc>
          <w:tcPr>
            <w:tcW w:w="40" w:type="dxa"/>
            <w:vAlign w:val="bottom"/>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color w:val="005A64"/>
              </w:rPr>
              <w:t>(19.8)</w:t>
            </w:r>
          </w:p>
        </w:tc>
        <w:tc>
          <w:tcPr>
            <w:tcW w:w="880" w:type="dxa"/>
            <w:vAlign w:val="bottom"/>
            <w:gridSpan w:val="2"/>
          </w:tcPr>
          <w:p>
            <w:pPr>
              <w:ind w:left="100"/>
              <w:spacing w:after="0"/>
              <w:rPr>
                <w:sz w:val="20"/>
                <w:szCs w:val="20"/>
                <w:color w:val="auto"/>
              </w:rPr>
            </w:pPr>
            <w:r>
              <w:rPr>
                <w:rFonts w:ascii="Arial" w:cs="Arial" w:eastAsia="Arial" w:hAnsi="Arial"/>
                <w:sz w:val="12"/>
                <w:szCs w:val="12"/>
                <w:color w:val="005A64"/>
              </w:rPr>
              <w:t>11.2</w:t>
            </w:r>
          </w:p>
        </w:tc>
        <w:tc>
          <w:tcPr>
            <w:tcW w:w="0" w:type="dxa"/>
            <w:vAlign w:val="bottom"/>
          </w:tcPr>
          <w:p>
            <w:pPr>
              <w:spacing w:after="0"/>
              <w:rPr>
                <w:sz w:val="1"/>
                <w:szCs w:val="1"/>
                <w:color w:val="auto"/>
              </w:rPr>
            </w:pPr>
          </w:p>
        </w:tc>
      </w:tr>
      <w:tr>
        <w:trPr>
          <w:trHeight w:val="164"/>
        </w:trPr>
        <w:tc>
          <w:tcPr>
            <w:tcW w:w="3340" w:type="dxa"/>
            <w:vAlign w:val="bottom"/>
          </w:tcPr>
          <w:p>
            <w:pPr>
              <w:ind w:left="20"/>
              <w:spacing w:after="0"/>
              <w:rPr>
                <w:sz w:val="20"/>
                <w:szCs w:val="20"/>
                <w:color w:val="auto"/>
              </w:rPr>
            </w:pPr>
            <w:r>
              <w:rPr>
                <w:rFonts w:ascii="Arial" w:cs="Arial" w:eastAsia="Arial" w:hAnsi="Arial"/>
                <w:sz w:val="12"/>
                <w:szCs w:val="12"/>
                <w:b w:val="1"/>
                <w:bCs w:val="1"/>
                <w:color w:val="005A64"/>
              </w:rPr>
              <w:t>Net other comprehensive income / (loss) that may be</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005A64"/>
              </w:rPr>
              <w:t>43.5</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005A64"/>
              </w:rPr>
              <w:t>(19.8)</w:t>
            </w:r>
          </w:p>
        </w:tc>
        <w:tc>
          <w:tcPr>
            <w:tcW w:w="880" w:type="dxa"/>
            <w:vAlign w:val="bottom"/>
            <w:gridSpan w:val="2"/>
          </w:tcPr>
          <w:p>
            <w:pPr>
              <w:ind w:left="100"/>
              <w:spacing w:after="0"/>
              <w:rPr>
                <w:sz w:val="20"/>
                <w:szCs w:val="20"/>
                <w:color w:val="auto"/>
              </w:rPr>
            </w:pPr>
            <w:r>
              <w:rPr>
                <w:rFonts w:ascii="Arial" w:cs="Arial" w:eastAsia="Arial" w:hAnsi="Arial"/>
                <w:sz w:val="12"/>
                <w:szCs w:val="12"/>
                <w:b w:val="1"/>
                <w:bCs w:val="1"/>
                <w:color w:val="005A64"/>
              </w:rPr>
              <w:t>11.2</w:t>
            </w:r>
          </w:p>
        </w:tc>
        <w:tc>
          <w:tcPr>
            <w:tcW w:w="0" w:type="dxa"/>
            <w:vAlign w:val="bottom"/>
          </w:tcPr>
          <w:p>
            <w:pPr>
              <w:spacing w:after="0"/>
              <w:rPr>
                <w:sz w:val="1"/>
                <w:szCs w:val="1"/>
                <w:color w:val="auto"/>
              </w:rPr>
            </w:pPr>
          </w:p>
        </w:tc>
      </w:tr>
      <w:tr>
        <w:trPr>
          <w:trHeight w:val="166"/>
        </w:trPr>
        <w:tc>
          <w:tcPr>
            <w:tcW w:w="3340" w:type="dxa"/>
            <w:vAlign w:val="bottom"/>
          </w:tcPr>
          <w:p>
            <w:pPr>
              <w:ind w:left="20"/>
              <w:spacing w:after="0"/>
              <w:rPr>
                <w:sz w:val="20"/>
                <w:szCs w:val="20"/>
                <w:color w:val="auto"/>
              </w:rPr>
            </w:pPr>
            <w:r>
              <w:rPr>
                <w:rFonts w:ascii="Arial" w:cs="Arial" w:eastAsia="Arial" w:hAnsi="Arial"/>
                <w:sz w:val="12"/>
                <w:szCs w:val="12"/>
                <w:b w:val="1"/>
                <w:bCs w:val="1"/>
                <w:color w:val="005A64"/>
              </w:rPr>
              <w:t>reclassified to profit or loss in subsequent periods</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340" w:type="dxa"/>
            <w:vAlign w:val="bottom"/>
            <w:tcBorders>
              <w:bottom w:val="single" w:sz="8" w:color="005A64"/>
            </w:tcBorders>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bottom w:val="single" w:sz="8" w:color="005A64"/>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bottom w:val="single" w:sz="8" w:color="005A64"/>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bottom w:val="single" w:sz="8" w:color="005A64"/>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bottom w:val="single" w:sz="8" w:color="005A64"/>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340" w:type="dxa"/>
            <w:vAlign w:val="bottom"/>
          </w:tcPr>
          <w:p>
            <w:pPr>
              <w:ind w:left="20"/>
              <w:spacing w:after="0" w:line="102" w:lineRule="exact"/>
              <w:rPr>
                <w:sz w:val="20"/>
                <w:szCs w:val="20"/>
                <w:color w:val="auto"/>
              </w:rPr>
            </w:pPr>
            <w:r>
              <w:rPr>
                <w:rFonts w:ascii="Arial" w:cs="Arial" w:eastAsia="Arial" w:hAnsi="Arial"/>
                <w:sz w:val="11"/>
                <w:szCs w:val="11"/>
                <w:color w:val="005A64"/>
              </w:rPr>
              <w:t>Other comprehensive loss that will not be reclassified to</w:t>
            </w: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3340" w:type="dxa"/>
            <w:vAlign w:val="bottom"/>
          </w:tcPr>
          <w:p>
            <w:pPr>
              <w:ind w:left="20"/>
              <w:spacing w:after="0"/>
              <w:rPr>
                <w:sz w:val="20"/>
                <w:szCs w:val="20"/>
                <w:color w:val="auto"/>
              </w:rPr>
            </w:pPr>
            <w:r>
              <w:rPr>
                <w:rFonts w:ascii="Arial" w:cs="Arial" w:eastAsia="Arial" w:hAnsi="Arial"/>
                <w:sz w:val="12"/>
                <w:szCs w:val="12"/>
                <w:color w:val="005A64"/>
              </w:rPr>
              <w:t>profit or loss in subsequent periods, net of tax</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20"/>
              <w:spacing w:after="0"/>
              <w:rPr>
                <w:sz w:val="20"/>
                <w:szCs w:val="20"/>
                <w:color w:val="auto"/>
              </w:rPr>
            </w:pPr>
            <w:r>
              <w:rPr>
                <w:rFonts w:ascii="Arial" w:cs="Arial" w:eastAsia="Arial" w:hAnsi="Arial"/>
                <w:sz w:val="12"/>
                <w:szCs w:val="12"/>
                <w:color w:val="005A64"/>
              </w:rPr>
              <w:t>Net gain / (loss) on equity instruments designated at fair</w:t>
            </w:r>
          </w:p>
        </w:tc>
        <w:tc>
          <w:tcPr>
            <w:tcW w:w="820" w:type="dxa"/>
            <w:vAlign w:val="bottom"/>
            <w:gridSpan w:val="2"/>
          </w:tcPr>
          <w:p>
            <w:pPr>
              <w:ind w:left="40"/>
              <w:spacing w:after="0"/>
              <w:rPr>
                <w:sz w:val="20"/>
                <w:szCs w:val="20"/>
                <w:color w:val="auto"/>
              </w:rPr>
            </w:pPr>
            <w:r>
              <w:rPr>
                <w:rFonts w:ascii="Arial" w:cs="Arial" w:eastAsia="Arial" w:hAnsi="Arial"/>
                <w:sz w:val="12"/>
                <w:szCs w:val="12"/>
                <w:color w:val="005A64"/>
              </w:rPr>
              <w:t>12</w:t>
            </w:r>
          </w:p>
        </w:tc>
        <w:tc>
          <w:tcPr>
            <w:tcW w:w="2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color w:val="005A64"/>
              </w:rPr>
              <w:t>(146.6)</w:t>
            </w:r>
          </w:p>
        </w:tc>
        <w:tc>
          <w:tcPr>
            <w:tcW w:w="4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color w:val="005A64"/>
              </w:rPr>
              <w:t>3.7</w:t>
            </w:r>
          </w:p>
        </w:tc>
        <w:tc>
          <w:tcPr>
            <w:tcW w:w="880" w:type="dxa"/>
            <w:vAlign w:val="bottom"/>
            <w:gridSpan w:val="2"/>
          </w:tcPr>
          <w:p>
            <w:pPr>
              <w:ind w:left="100"/>
              <w:spacing w:after="0"/>
              <w:rPr>
                <w:sz w:val="20"/>
                <w:szCs w:val="20"/>
                <w:color w:val="auto"/>
              </w:rPr>
            </w:pPr>
            <w:r>
              <w:rPr>
                <w:rFonts w:ascii="Arial" w:cs="Arial" w:eastAsia="Arial" w:hAnsi="Arial"/>
                <w:sz w:val="12"/>
                <w:szCs w:val="12"/>
                <w:color w:val="005A64"/>
              </w:rPr>
              <w:t>10.5</w:t>
            </w:r>
          </w:p>
        </w:tc>
        <w:tc>
          <w:tcPr>
            <w:tcW w:w="0" w:type="dxa"/>
            <w:vAlign w:val="bottom"/>
          </w:tcPr>
          <w:p>
            <w:pPr>
              <w:spacing w:after="0"/>
              <w:rPr>
                <w:sz w:val="1"/>
                <w:szCs w:val="1"/>
                <w:color w:val="auto"/>
              </w:rPr>
            </w:pPr>
          </w:p>
        </w:tc>
      </w:tr>
      <w:tr>
        <w:trPr>
          <w:trHeight w:val="160"/>
        </w:trPr>
        <w:tc>
          <w:tcPr>
            <w:tcW w:w="3340" w:type="dxa"/>
            <w:vAlign w:val="bottom"/>
          </w:tcPr>
          <w:p>
            <w:pPr>
              <w:ind w:left="20"/>
              <w:spacing w:after="0"/>
              <w:rPr>
                <w:sz w:val="20"/>
                <w:szCs w:val="20"/>
                <w:color w:val="auto"/>
              </w:rPr>
            </w:pPr>
            <w:r>
              <w:rPr>
                <w:rFonts w:ascii="Arial" w:cs="Arial" w:eastAsia="Arial" w:hAnsi="Arial"/>
                <w:sz w:val="12"/>
                <w:szCs w:val="12"/>
                <w:color w:val="005A64"/>
              </w:rPr>
              <w:t>value through other comprehensive income</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3340" w:type="dxa"/>
            <w:vAlign w:val="bottom"/>
          </w:tcPr>
          <w:p>
            <w:pPr>
              <w:ind w:left="20"/>
              <w:spacing w:after="0"/>
              <w:rPr>
                <w:sz w:val="20"/>
                <w:szCs w:val="20"/>
                <w:color w:val="auto"/>
              </w:rPr>
            </w:pPr>
            <w:r>
              <w:rPr>
                <w:rFonts w:ascii="Arial" w:cs="Arial" w:eastAsia="Arial" w:hAnsi="Arial"/>
                <w:sz w:val="12"/>
                <w:szCs w:val="12"/>
                <w:color w:val="005A64"/>
              </w:rPr>
              <w:t>Remeasurement gain / (loss) on defined benefit plans</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820" w:type="dxa"/>
            <w:vAlign w:val="bottom"/>
            <w:gridSpan w:val="2"/>
          </w:tcPr>
          <w:p>
            <w:pPr>
              <w:ind w:left="40"/>
              <w:spacing w:after="0"/>
              <w:rPr>
                <w:sz w:val="20"/>
                <w:szCs w:val="20"/>
                <w:color w:val="auto"/>
              </w:rPr>
            </w:pPr>
            <w:r>
              <w:rPr>
                <w:rFonts w:ascii="Arial" w:cs="Arial" w:eastAsia="Arial" w:hAnsi="Arial"/>
                <w:sz w:val="12"/>
                <w:szCs w:val="12"/>
                <w:color w:val="005A64"/>
              </w:rPr>
              <w:t>0.3</w:t>
            </w:r>
          </w:p>
        </w:tc>
        <w:tc>
          <w:tcPr>
            <w:tcW w:w="880" w:type="dxa"/>
            <w:vAlign w:val="bottom"/>
            <w:gridSpan w:val="2"/>
          </w:tcPr>
          <w:p>
            <w:pPr>
              <w:ind w:left="100"/>
              <w:spacing w:after="0"/>
              <w:rPr>
                <w:sz w:val="20"/>
                <w:szCs w:val="20"/>
                <w:color w:val="auto"/>
              </w:rPr>
            </w:pPr>
            <w:r>
              <w:rPr>
                <w:rFonts w:ascii="Arial" w:cs="Arial" w:eastAsia="Arial" w:hAnsi="Arial"/>
                <w:sz w:val="12"/>
                <w:szCs w:val="12"/>
                <w:color w:val="005A64"/>
              </w:rPr>
              <w:t>0.6</w:t>
            </w:r>
          </w:p>
        </w:tc>
        <w:tc>
          <w:tcPr>
            <w:tcW w:w="0" w:type="dxa"/>
            <w:vAlign w:val="bottom"/>
          </w:tcPr>
          <w:p>
            <w:pPr>
              <w:spacing w:after="0"/>
              <w:rPr>
                <w:sz w:val="1"/>
                <w:szCs w:val="1"/>
                <w:color w:val="auto"/>
              </w:rPr>
            </w:pPr>
          </w:p>
        </w:tc>
      </w:tr>
      <w:tr>
        <w:trPr>
          <w:trHeight w:val="164"/>
        </w:trPr>
        <w:tc>
          <w:tcPr>
            <w:tcW w:w="3340" w:type="dxa"/>
            <w:vAlign w:val="bottom"/>
          </w:tcPr>
          <w:p>
            <w:pPr>
              <w:ind w:left="20"/>
              <w:spacing w:after="0"/>
              <w:rPr>
                <w:sz w:val="20"/>
                <w:szCs w:val="20"/>
                <w:color w:val="auto"/>
              </w:rPr>
            </w:pPr>
            <w:r>
              <w:rPr>
                <w:rFonts w:ascii="Arial" w:cs="Arial" w:eastAsia="Arial" w:hAnsi="Arial"/>
                <w:sz w:val="12"/>
                <w:szCs w:val="12"/>
                <w:b w:val="1"/>
                <w:bCs w:val="1"/>
                <w:color w:val="005A64"/>
              </w:rPr>
              <w:t>Net other comprehensive income / (loss) that will not be</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005A64"/>
              </w:rPr>
              <w:t>(146.6)</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005A64"/>
              </w:rPr>
              <w:t>4.0</w:t>
            </w:r>
          </w:p>
        </w:tc>
        <w:tc>
          <w:tcPr>
            <w:tcW w:w="880" w:type="dxa"/>
            <w:vAlign w:val="bottom"/>
            <w:gridSpan w:val="2"/>
          </w:tcPr>
          <w:p>
            <w:pPr>
              <w:ind w:left="100"/>
              <w:spacing w:after="0"/>
              <w:rPr>
                <w:sz w:val="20"/>
                <w:szCs w:val="20"/>
                <w:color w:val="auto"/>
              </w:rPr>
            </w:pPr>
            <w:r>
              <w:rPr>
                <w:rFonts w:ascii="Arial" w:cs="Arial" w:eastAsia="Arial" w:hAnsi="Arial"/>
                <w:sz w:val="12"/>
                <w:szCs w:val="12"/>
                <w:b w:val="1"/>
                <w:bCs w:val="1"/>
                <w:color w:val="005A64"/>
              </w:rPr>
              <w:t>11.1</w:t>
            </w:r>
          </w:p>
        </w:tc>
        <w:tc>
          <w:tcPr>
            <w:tcW w:w="0" w:type="dxa"/>
            <w:vAlign w:val="bottom"/>
          </w:tcPr>
          <w:p>
            <w:pPr>
              <w:spacing w:after="0"/>
              <w:rPr>
                <w:sz w:val="1"/>
                <w:szCs w:val="1"/>
                <w:color w:val="auto"/>
              </w:rPr>
            </w:pPr>
          </w:p>
        </w:tc>
      </w:tr>
      <w:tr>
        <w:trPr>
          <w:trHeight w:val="166"/>
        </w:trPr>
        <w:tc>
          <w:tcPr>
            <w:tcW w:w="3340" w:type="dxa"/>
            <w:vAlign w:val="bottom"/>
          </w:tcPr>
          <w:p>
            <w:pPr>
              <w:ind w:left="20"/>
              <w:spacing w:after="0"/>
              <w:rPr>
                <w:sz w:val="20"/>
                <w:szCs w:val="20"/>
                <w:color w:val="auto"/>
              </w:rPr>
            </w:pPr>
            <w:r>
              <w:rPr>
                <w:rFonts w:ascii="Arial" w:cs="Arial" w:eastAsia="Arial" w:hAnsi="Arial"/>
                <w:sz w:val="12"/>
                <w:szCs w:val="12"/>
                <w:b w:val="1"/>
                <w:bCs w:val="1"/>
                <w:color w:val="005A64"/>
              </w:rPr>
              <w:t>reclassified to profit or loss in subsequent periods</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340" w:type="dxa"/>
            <w:vAlign w:val="bottom"/>
            <w:tcBorders>
              <w:bottom w:val="single" w:sz="8" w:color="005A64"/>
            </w:tcBorders>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bottom w:val="single" w:sz="8" w:color="005A64"/>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800" w:type="dxa"/>
            <w:vAlign w:val="bottom"/>
            <w:tcBorders>
              <w:bottom w:val="single" w:sz="8" w:color="005A64"/>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780" w:type="dxa"/>
            <w:vAlign w:val="bottom"/>
            <w:tcBorders>
              <w:bottom w:val="single" w:sz="8" w:color="005A64"/>
            </w:tcBorders>
          </w:tcPr>
          <w:p>
            <w:pPr>
              <w:spacing w:after="0"/>
              <w:rPr>
                <w:sz w:val="11"/>
                <w:szCs w:val="11"/>
                <w:color w:val="auto"/>
              </w:rPr>
            </w:pPr>
          </w:p>
        </w:tc>
        <w:tc>
          <w:tcPr>
            <w:tcW w:w="80" w:type="dxa"/>
            <w:vAlign w:val="bottom"/>
            <w:vMerge w:val="restart"/>
          </w:tcPr>
          <w:p>
            <w:pPr>
              <w:spacing w:after="0"/>
              <w:rPr>
                <w:sz w:val="11"/>
                <w:szCs w:val="11"/>
                <w:color w:val="auto"/>
              </w:rPr>
            </w:pPr>
          </w:p>
        </w:tc>
        <w:tc>
          <w:tcPr>
            <w:tcW w:w="800" w:type="dxa"/>
            <w:vAlign w:val="bottom"/>
            <w:tcBorders>
              <w:bottom w:val="single" w:sz="8" w:color="005A64"/>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340" w:type="dxa"/>
            <w:vAlign w:val="bottom"/>
          </w:tcPr>
          <w:p>
            <w:pPr>
              <w:ind w:left="20"/>
              <w:spacing w:after="0"/>
              <w:rPr>
                <w:sz w:val="20"/>
                <w:szCs w:val="20"/>
                <w:color w:val="auto"/>
              </w:rPr>
            </w:pPr>
            <w:r>
              <w:rPr>
                <w:rFonts w:ascii="Arial" w:cs="Arial" w:eastAsia="Arial" w:hAnsi="Arial"/>
                <w:sz w:val="12"/>
                <w:szCs w:val="12"/>
                <w:b w:val="1"/>
                <w:bCs w:val="1"/>
                <w:color w:val="005A64"/>
              </w:rPr>
              <w:t>Other comprehensive income / (loss), net of tax</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005A64"/>
              </w:rPr>
              <w:t>(103.1)</w:t>
            </w:r>
          </w:p>
        </w:tc>
        <w:tc>
          <w:tcPr>
            <w:tcW w:w="4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005A64"/>
              </w:rPr>
              <w:t>(15.8)</w:t>
            </w:r>
          </w:p>
        </w:tc>
        <w:tc>
          <w:tcPr>
            <w:tcW w:w="80" w:type="dxa"/>
            <w:vAlign w:val="bottom"/>
            <w:vMerge w:val="continue"/>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005A64"/>
              </w:rPr>
              <w:t>22.3</w:t>
            </w:r>
          </w:p>
        </w:tc>
        <w:tc>
          <w:tcPr>
            <w:tcW w:w="0" w:type="dxa"/>
            <w:vAlign w:val="bottom"/>
          </w:tcPr>
          <w:p>
            <w:pPr>
              <w:spacing w:after="0"/>
              <w:rPr>
                <w:sz w:val="1"/>
                <w:szCs w:val="1"/>
                <w:color w:val="auto"/>
              </w:rPr>
            </w:pPr>
          </w:p>
        </w:tc>
      </w:tr>
      <w:tr>
        <w:trPr>
          <w:trHeight w:val="26"/>
        </w:trPr>
        <w:tc>
          <w:tcPr>
            <w:tcW w:w="3340" w:type="dxa"/>
            <w:vAlign w:val="bottom"/>
            <w:tcBorders>
              <w:bottom w:val="single" w:sz="8" w:color="005A64"/>
            </w:tcBorders>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80" w:type="dxa"/>
            <w:vAlign w:val="bottom"/>
            <w:vMerge w:val="restart"/>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340" w:type="dxa"/>
            <w:vAlign w:val="bottom"/>
          </w:tcPr>
          <w:p>
            <w:pPr>
              <w:ind w:left="20"/>
              <w:spacing w:after="0"/>
              <w:rPr>
                <w:sz w:val="20"/>
                <w:szCs w:val="20"/>
                <w:color w:val="auto"/>
              </w:rPr>
            </w:pPr>
            <w:r>
              <w:rPr>
                <w:rFonts w:ascii="Arial" w:cs="Arial" w:eastAsia="Arial" w:hAnsi="Arial"/>
                <w:sz w:val="12"/>
                <w:szCs w:val="12"/>
                <w:b w:val="1"/>
                <w:bCs w:val="1"/>
                <w:color w:val="005A64"/>
              </w:rPr>
              <w:t>Comprehensive income / (loss), net of tax</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005A64"/>
              </w:rPr>
              <w:t>(768.4)</w:t>
            </w:r>
          </w:p>
        </w:tc>
        <w:tc>
          <w:tcPr>
            <w:tcW w:w="4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005A64"/>
              </w:rPr>
              <w:t>914.5</w:t>
            </w:r>
          </w:p>
        </w:tc>
        <w:tc>
          <w:tcPr>
            <w:tcW w:w="80" w:type="dxa"/>
            <w:vAlign w:val="bottom"/>
            <w:vMerge w:val="continue"/>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005A64"/>
              </w:rPr>
              <w:t>9,456.7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-2164715</wp:posOffset>
            </wp:positionV>
            <wp:extent cx="551815" cy="2188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9">
                      <a:extLst>
                        <a:ext uri="{28A0092B-C50C-407E-A947-70E740481C1C}"/>
                      </a:extLst>
                    </a:blip>
                    <a:srcRect/>
                    <a:stretch>
                      <a:fillRect/>
                    </a:stretch>
                  </pic:blipFill>
                  <pic:spPr bwMode="auto">
                    <a:xfrm>
                      <a:off x="0" y="0"/>
                      <a:ext cx="551815" cy="218884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The accompanying notes form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-88265</wp:posOffset>
            </wp:positionV>
            <wp:extent cx="4274820"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0">
                      <a:extLst>
                        <a:ext uri="{28A0092B-C50C-407E-A947-70E740481C1C}"/>
                      </a:extLst>
                    </a:blip>
                    <a:srcRect/>
                    <a:stretch>
                      <a:fillRect/>
                    </a:stretch>
                  </pic:blipFill>
                  <pic:spPr bwMode="auto">
                    <a:xfrm>
                      <a:off x="0" y="0"/>
                      <a:ext cx="4274820" cy="635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86" w:name="page187"/>
    <w:bookmarkEnd w:id="186"/>
    <w:p>
      <w:pPr>
        <w:ind w:left="1160"/>
        <w:spacing w:after="0"/>
        <w:rPr>
          <w:sz w:val="20"/>
          <w:szCs w:val="20"/>
          <w:color w:val="auto"/>
        </w:rPr>
      </w:pPr>
      <w:r>
        <w:rPr>
          <w:rFonts w:ascii="Arial" w:cs="Arial" w:eastAsia="Arial" w:hAnsi="Arial"/>
          <w:sz w:val="13"/>
          <w:szCs w:val="13"/>
          <w:color w:val="auto"/>
        </w:rPr>
        <w:t>F-9</w:t>
      </w:r>
    </w:p>
    <w:p>
      <w:pPr>
        <w:ind w:left="116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90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6"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005A64"/>
        </w:rPr>
        <w:t>Consolidated Statements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-132080</wp:posOffset>
            </wp:positionV>
            <wp:extent cx="5231130" cy="5340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1">
                      <a:extLst>
                        <a:ext uri="{28A0092B-C50C-407E-A947-70E740481C1C}"/>
                      </a:extLst>
                    </a:blip>
                    <a:srcRect/>
                    <a:stretch>
                      <a:fillRect/>
                    </a:stretch>
                  </pic:blipFill>
                  <pic:spPr bwMode="auto">
                    <a:xfrm>
                      <a:off x="0" y="0"/>
                      <a:ext cx="5231130" cy="5340350"/>
                    </a:xfrm>
                    <a:prstGeom prst="rect">
                      <a:avLst/>
                    </a:prstGeom>
                    <a:noFill/>
                  </pic:spPr>
                </pic:pic>
              </a:graphicData>
            </a:graphic>
          </wp:anchor>
        </w:drawing>
      </w:r>
    </w:p>
    <w:p>
      <w:pPr>
        <w:spacing w:after="0" w:line="54" w:lineRule="exact"/>
        <w:rPr>
          <w:sz w:val="20"/>
          <w:szCs w:val="20"/>
          <w:color w:val="auto"/>
        </w:rPr>
      </w:pPr>
    </w:p>
    <w:tbl>
      <w:tblPr>
        <w:tblLayout w:type="fixed"/>
        <w:tblInd w:w="1160" w:type="dxa"/>
        <w:tblCellMar>
          <w:top w:w="0" w:type="dxa"/>
          <w:left w:w="0" w:type="dxa"/>
          <w:bottom w:w="0" w:type="dxa"/>
          <w:right w:w="0" w:type="dxa"/>
        </w:tblCellMar>
      </w:tblPr>
      <w:tr>
        <w:trPr>
          <w:trHeight w:val="151"/>
        </w:trPr>
        <w:tc>
          <w:tcPr>
            <w:tcW w:w="3620" w:type="dxa"/>
            <w:vAlign w:val="bottom"/>
          </w:tcPr>
          <w:p>
            <w:pPr>
              <w:ind w:left="20"/>
              <w:spacing w:after="0"/>
              <w:rPr>
                <w:sz w:val="20"/>
                <w:szCs w:val="20"/>
                <w:color w:val="auto"/>
              </w:rPr>
            </w:pPr>
            <w:r>
              <w:rPr>
                <w:rFonts w:ascii="Arial" w:cs="Arial" w:eastAsia="Arial" w:hAnsi="Arial"/>
                <w:sz w:val="12"/>
                <w:szCs w:val="12"/>
                <w:i w:val="1"/>
                <w:iCs w:val="1"/>
                <w:color w:val="005A64"/>
              </w:rPr>
              <w:t>(in millions €)</w:t>
            </w: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BECE33"/>
            </w:tcBorders>
          </w:tcPr>
          <w:p>
            <w:pPr>
              <w:spacing w:after="0"/>
              <w:rPr>
                <w:sz w:val="13"/>
                <w:szCs w:val="13"/>
                <w:color w:val="auto"/>
              </w:rPr>
            </w:pPr>
          </w:p>
        </w:tc>
        <w:tc>
          <w:tcPr>
            <w:tcW w:w="1020" w:type="dxa"/>
            <w:vAlign w:val="bottom"/>
            <w:tcBorders>
              <w:top w:val="single" w:sz="8" w:color="BECE33"/>
            </w:tcBorders>
            <w:gridSpan w:val="2"/>
          </w:tcPr>
          <w:p>
            <w:pPr>
              <w:spacing w:after="0"/>
              <w:rPr>
                <w:sz w:val="20"/>
                <w:szCs w:val="20"/>
                <w:color w:val="auto"/>
              </w:rPr>
            </w:pPr>
            <w:r>
              <w:rPr>
                <w:rFonts w:ascii="Arial" w:cs="Arial" w:eastAsia="Arial" w:hAnsi="Arial"/>
                <w:sz w:val="12"/>
                <w:szCs w:val="12"/>
                <w:b w:val="1"/>
                <w:bCs w:val="1"/>
                <w:color w:val="005A64"/>
              </w:rPr>
              <w:t>December 31,</w:t>
            </w:r>
          </w:p>
        </w:tc>
        <w:tc>
          <w:tcPr>
            <w:tcW w:w="20" w:type="dxa"/>
            <w:vAlign w:val="bottom"/>
          </w:tcPr>
          <w:p>
            <w:pPr>
              <w:spacing w:after="0"/>
              <w:rPr>
                <w:sz w:val="13"/>
                <w:szCs w:val="13"/>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005A64"/>
              </w:rPr>
              <w:t>December 31,</w:t>
            </w:r>
          </w:p>
        </w:tc>
      </w:tr>
      <w:tr>
        <w:trPr>
          <w:trHeight w:val="169"/>
        </w:trPr>
        <w:tc>
          <w:tcPr>
            <w:tcW w:w="3620" w:type="dxa"/>
            <w:vAlign w:val="bottom"/>
          </w:tcPr>
          <w:p>
            <w:pPr>
              <w:ind w:left="20"/>
              <w:spacing w:after="0"/>
              <w:rPr>
                <w:sz w:val="20"/>
                <w:szCs w:val="20"/>
                <w:color w:val="auto"/>
              </w:rPr>
            </w:pPr>
            <w:r>
              <w:rPr>
                <w:rFonts w:ascii="Arial" w:cs="Arial" w:eastAsia="Arial" w:hAnsi="Arial"/>
                <w:sz w:val="12"/>
                <w:szCs w:val="12"/>
                <w:b w:val="1"/>
                <w:bCs w:val="1"/>
                <w:color w:val="005A64"/>
              </w:rPr>
              <w:t>Assets</w:t>
            </w:r>
          </w:p>
        </w:tc>
        <w:tc>
          <w:tcPr>
            <w:tcW w:w="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005A64"/>
              </w:rPr>
              <w:t>Note</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2023</w:t>
            </w:r>
          </w:p>
        </w:tc>
      </w:tr>
      <w:tr>
        <w:trPr>
          <w:trHeight w:val="134"/>
        </w:trPr>
        <w:tc>
          <w:tcPr>
            <w:tcW w:w="3620" w:type="dxa"/>
            <w:vAlign w:val="bottom"/>
            <w:tcBorders>
              <w:top w:val="single" w:sz="8" w:color="005A64"/>
            </w:tcBorders>
          </w:tcPr>
          <w:p>
            <w:pPr>
              <w:ind w:left="20"/>
              <w:spacing w:after="0" w:line="134" w:lineRule="exact"/>
              <w:rPr>
                <w:sz w:val="20"/>
                <w:szCs w:val="20"/>
                <w:color w:val="auto"/>
              </w:rPr>
            </w:pPr>
            <w:r>
              <w:rPr>
                <w:rFonts w:ascii="Arial" w:cs="Arial" w:eastAsia="Arial" w:hAnsi="Arial"/>
                <w:sz w:val="12"/>
                <w:szCs w:val="12"/>
                <w:b w:val="1"/>
                <w:bCs w:val="1"/>
                <w:color w:val="3C9673"/>
              </w:rPr>
              <w:t>Non-current assets</w:t>
            </w:r>
          </w:p>
        </w:tc>
        <w:tc>
          <w:tcPr>
            <w:tcW w:w="20" w:type="dxa"/>
            <w:vAlign w:val="bottom"/>
          </w:tcPr>
          <w:p>
            <w:pPr>
              <w:spacing w:after="0"/>
              <w:rPr>
                <w:sz w:val="11"/>
                <w:szCs w:val="11"/>
                <w:color w:val="auto"/>
              </w:rPr>
            </w:pPr>
          </w:p>
        </w:tc>
        <w:tc>
          <w:tcPr>
            <w:tcW w:w="980" w:type="dxa"/>
            <w:vAlign w:val="bottom"/>
            <w:tcBorders>
              <w:top w:val="single" w:sz="8" w:color="005A64"/>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Borders>
              <w:top w:val="single" w:sz="8" w:color="005A64"/>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top w:val="single" w:sz="8" w:color="005A64"/>
            </w:tcBorders>
          </w:tcPr>
          <w:p>
            <w:pPr>
              <w:spacing w:after="0"/>
              <w:rPr>
                <w:sz w:val="11"/>
                <w:szCs w:val="11"/>
                <w:color w:val="auto"/>
              </w:rPr>
            </w:pPr>
          </w:p>
        </w:tc>
      </w:tr>
      <w:tr>
        <w:trPr>
          <w:trHeight w:val="160"/>
        </w:trPr>
        <w:tc>
          <w:tcPr>
            <w:tcW w:w="3620" w:type="dxa"/>
            <w:vAlign w:val="bottom"/>
          </w:tcPr>
          <w:p>
            <w:pPr>
              <w:ind w:left="20"/>
              <w:spacing w:after="0"/>
              <w:rPr>
                <w:sz w:val="20"/>
                <w:szCs w:val="20"/>
                <w:color w:val="auto"/>
              </w:rPr>
            </w:pPr>
            <w:r>
              <w:rPr>
                <w:rFonts w:ascii="Arial" w:cs="Arial" w:eastAsia="Arial" w:hAnsi="Arial"/>
                <w:sz w:val="12"/>
                <w:szCs w:val="12"/>
                <w:color w:val="005A64"/>
              </w:rPr>
              <w:t>Goodwill</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10</w:t>
            </w:r>
          </w:p>
        </w:tc>
        <w:tc>
          <w:tcPr>
            <w:tcW w:w="40" w:type="dxa"/>
            <w:vAlign w:val="bottom"/>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380.6</w:t>
            </w:r>
          </w:p>
        </w:tc>
        <w:tc>
          <w:tcPr>
            <w:tcW w:w="4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362.5</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Other intangible assets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10</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790.4</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804.1</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Property, plant and equipment</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11</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935.3</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757.2</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Right-of-use assets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20</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248.1</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214.4</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Contract assets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6</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9.8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005A64"/>
              </w:rPr>
              <w:t>—</w:t>
            </w:r>
          </w:p>
        </w:tc>
      </w:tr>
      <w:tr>
        <w:trPr>
          <w:trHeight w:val="172"/>
        </w:trPr>
        <w:tc>
          <w:tcPr>
            <w:tcW w:w="3620" w:type="dxa"/>
            <w:vAlign w:val="bottom"/>
          </w:tcPr>
          <w:p>
            <w:pPr>
              <w:ind w:left="20"/>
              <w:spacing w:after="0"/>
              <w:rPr>
                <w:sz w:val="20"/>
                <w:szCs w:val="20"/>
                <w:color w:val="auto"/>
              </w:rPr>
            </w:pPr>
            <w:r>
              <w:rPr>
                <w:rFonts w:ascii="Arial" w:cs="Arial" w:eastAsia="Arial" w:hAnsi="Arial"/>
                <w:sz w:val="12"/>
                <w:szCs w:val="12"/>
                <w:color w:val="005A64"/>
              </w:rPr>
              <w:t>Other financial assets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12</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1,254.0</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1,176.1</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Other non-financial assets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14</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26.3</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83.4</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Deferred tax assets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8</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81.7</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81.3</w:t>
            </w:r>
          </w:p>
        </w:tc>
      </w:tr>
      <w:tr>
        <w:trPr>
          <w:trHeight w:val="171"/>
        </w:trPr>
        <w:tc>
          <w:tcPr>
            <w:tcW w:w="3620" w:type="dxa"/>
            <w:vAlign w:val="bottom"/>
          </w:tcPr>
          <w:p>
            <w:pPr>
              <w:ind w:left="20"/>
              <w:spacing w:after="0"/>
              <w:rPr>
                <w:sz w:val="20"/>
                <w:szCs w:val="20"/>
                <w:color w:val="auto"/>
              </w:rPr>
            </w:pPr>
            <w:r>
              <w:rPr>
                <w:rFonts w:ascii="Arial" w:cs="Arial" w:eastAsia="Arial" w:hAnsi="Arial"/>
                <w:sz w:val="12"/>
                <w:szCs w:val="12"/>
                <w:b w:val="1"/>
                <w:bCs w:val="1"/>
                <w:color w:val="005A64"/>
              </w:rPr>
              <w:t>Total non-current assets</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005A64"/>
              </w:rPr>
              <w:t>3,726.2</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3,479.0</w:t>
            </w:r>
          </w:p>
        </w:tc>
      </w:tr>
      <w:tr>
        <w:trPr>
          <w:trHeight w:val="134"/>
        </w:trPr>
        <w:tc>
          <w:tcPr>
            <w:tcW w:w="3620" w:type="dxa"/>
            <w:vAlign w:val="bottom"/>
            <w:tcBorders>
              <w:top w:val="single" w:sz="8" w:color="005A64"/>
            </w:tcBorders>
          </w:tcPr>
          <w:p>
            <w:pPr>
              <w:ind w:left="20"/>
              <w:spacing w:after="0" w:line="134" w:lineRule="exact"/>
              <w:rPr>
                <w:sz w:val="20"/>
                <w:szCs w:val="20"/>
                <w:color w:val="auto"/>
              </w:rPr>
            </w:pPr>
            <w:r>
              <w:rPr>
                <w:rFonts w:ascii="Arial" w:cs="Arial" w:eastAsia="Arial" w:hAnsi="Arial"/>
                <w:sz w:val="12"/>
                <w:szCs w:val="12"/>
                <w:b w:val="1"/>
                <w:bCs w:val="1"/>
                <w:color w:val="3C9673"/>
              </w:rPr>
              <w:t>Current assets</w:t>
            </w:r>
          </w:p>
        </w:tc>
        <w:tc>
          <w:tcPr>
            <w:tcW w:w="20" w:type="dxa"/>
            <w:vAlign w:val="bottom"/>
          </w:tcPr>
          <w:p>
            <w:pPr>
              <w:spacing w:after="0"/>
              <w:rPr>
                <w:sz w:val="11"/>
                <w:szCs w:val="11"/>
                <w:color w:val="auto"/>
              </w:rPr>
            </w:pPr>
          </w:p>
        </w:tc>
        <w:tc>
          <w:tcPr>
            <w:tcW w:w="980" w:type="dxa"/>
            <w:vAlign w:val="bottom"/>
            <w:tcBorders>
              <w:top w:val="single" w:sz="8" w:color="005A64"/>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Borders>
              <w:top w:val="single" w:sz="8" w:color="005A64"/>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top w:val="single" w:sz="8" w:color="005A64"/>
            </w:tcBorders>
          </w:tcPr>
          <w:p>
            <w:pPr>
              <w:spacing w:after="0"/>
              <w:rPr>
                <w:sz w:val="11"/>
                <w:szCs w:val="11"/>
                <w:color w:val="auto"/>
              </w:rPr>
            </w:pPr>
          </w:p>
        </w:tc>
      </w:tr>
      <w:tr>
        <w:trPr>
          <w:trHeight w:val="160"/>
        </w:trPr>
        <w:tc>
          <w:tcPr>
            <w:tcW w:w="3620" w:type="dxa"/>
            <w:vAlign w:val="bottom"/>
          </w:tcPr>
          <w:p>
            <w:pPr>
              <w:ind w:left="20"/>
              <w:spacing w:after="0"/>
              <w:rPr>
                <w:sz w:val="20"/>
                <w:szCs w:val="20"/>
                <w:color w:val="auto"/>
              </w:rPr>
            </w:pPr>
            <w:r>
              <w:rPr>
                <w:rFonts w:ascii="Arial" w:cs="Arial" w:eastAsia="Arial" w:hAnsi="Arial"/>
                <w:sz w:val="12"/>
                <w:szCs w:val="12"/>
                <w:color w:val="005A64"/>
              </w:rPr>
              <w:t>Inventories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13</w:t>
            </w:r>
          </w:p>
        </w:tc>
        <w:tc>
          <w:tcPr>
            <w:tcW w:w="40" w:type="dxa"/>
            <w:vAlign w:val="bottom"/>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283.3</w:t>
            </w:r>
          </w:p>
        </w:tc>
        <w:tc>
          <w:tcPr>
            <w:tcW w:w="4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357.7</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Trade and other receivables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12</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1,463.9</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2,155.7</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Contract assets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6</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10.0</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4.9</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Other financial assets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12</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7,021.7</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4,885.3</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Other non-financial assets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14</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212.7</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280.9</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Income tax assets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8</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50.0</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179.1</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Cash and cash equivalents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12</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9,761.9</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11,663.7</w:t>
            </w:r>
          </w:p>
        </w:tc>
      </w:tr>
      <w:tr>
        <w:trPr>
          <w:trHeight w:val="168"/>
        </w:trPr>
        <w:tc>
          <w:tcPr>
            <w:tcW w:w="3620" w:type="dxa"/>
            <w:vAlign w:val="bottom"/>
          </w:tcPr>
          <w:p>
            <w:pPr>
              <w:ind w:left="20"/>
              <w:spacing w:after="0"/>
              <w:rPr>
                <w:sz w:val="20"/>
                <w:szCs w:val="20"/>
                <w:color w:val="auto"/>
              </w:rPr>
            </w:pPr>
            <w:r>
              <w:rPr>
                <w:rFonts w:ascii="Arial" w:cs="Arial" w:eastAsia="Arial" w:hAnsi="Arial"/>
                <w:sz w:val="12"/>
                <w:szCs w:val="12"/>
                <w:b w:val="1"/>
                <w:bCs w:val="1"/>
                <w:color w:val="005A64"/>
              </w:rPr>
              <w:t>Total current assets</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005A64"/>
              </w:rPr>
              <w:t>18,803.5</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19,527.3</w:t>
            </w:r>
          </w:p>
        </w:tc>
      </w:tr>
      <w:tr>
        <w:trPr>
          <w:trHeight w:val="148"/>
        </w:trPr>
        <w:tc>
          <w:tcPr>
            <w:tcW w:w="3620" w:type="dxa"/>
            <w:vAlign w:val="bottom"/>
            <w:tcBorders>
              <w:top w:val="single" w:sz="8" w:color="005A64"/>
              <w:bottom w:val="single" w:sz="8" w:color="005A64"/>
            </w:tcBorders>
          </w:tcPr>
          <w:p>
            <w:pPr>
              <w:ind w:left="20"/>
              <w:spacing w:after="0"/>
              <w:rPr>
                <w:sz w:val="20"/>
                <w:szCs w:val="20"/>
                <w:color w:val="auto"/>
              </w:rPr>
            </w:pPr>
            <w:r>
              <w:rPr>
                <w:rFonts w:ascii="Arial" w:cs="Arial" w:eastAsia="Arial" w:hAnsi="Arial"/>
                <w:sz w:val="12"/>
                <w:szCs w:val="12"/>
                <w:b w:val="1"/>
                <w:bCs w:val="1"/>
                <w:color w:val="005A64"/>
              </w:rPr>
              <w:t>Total assets</w:t>
            </w:r>
          </w:p>
        </w:tc>
        <w:tc>
          <w:tcPr>
            <w:tcW w:w="20" w:type="dxa"/>
            <w:vAlign w:val="bottom"/>
          </w:tcPr>
          <w:p>
            <w:pPr>
              <w:spacing w:after="0"/>
              <w:rPr>
                <w:sz w:val="12"/>
                <w:szCs w:val="12"/>
                <w:color w:val="auto"/>
              </w:rPr>
            </w:pPr>
          </w:p>
        </w:tc>
        <w:tc>
          <w:tcPr>
            <w:tcW w:w="980" w:type="dxa"/>
            <w:vAlign w:val="bottom"/>
            <w:tcBorders>
              <w:top w:val="single" w:sz="8" w:color="005A64"/>
              <w:bottom w:val="single" w:sz="8" w:color="005A64"/>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top w:val="single" w:sz="8" w:color="005A64"/>
              <w:bottom w:val="single" w:sz="8" w:color="005A64"/>
            </w:tcBorders>
          </w:tcPr>
          <w:p>
            <w:pPr>
              <w:spacing w:after="0"/>
              <w:rPr>
                <w:sz w:val="20"/>
                <w:szCs w:val="20"/>
                <w:color w:val="auto"/>
              </w:rPr>
            </w:pPr>
            <w:r>
              <w:rPr>
                <w:rFonts w:ascii="Arial" w:cs="Arial" w:eastAsia="Arial" w:hAnsi="Arial"/>
                <w:sz w:val="12"/>
                <w:szCs w:val="12"/>
                <w:b w:val="1"/>
                <w:bCs w:val="1"/>
                <w:color w:val="005A64"/>
              </w:rPr>
              <w:t>22,529.7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top w:val="single" w:sz="8" w:color="005A64"/>
              <w:bottom w:val="single" w:sz="8" w:color="005A64"/>
            </w:tcBorders>
          </w:tcPr>
          <w:p>
            <w:pPr>
              <w:ind w:left="20"/>
              <w:spacing w:after="0"/>
              <w:rPr>
                <w:sz w:val="20"/>
                <w:szCs w:val="20"/>
                <w:color w:val="auto"/>
              </w:rPr>
            </w:pPr>
            <w:r>
              <w:rPr>
                <w:rFonts w:ascii="Arial" w:cs="Arial" w:eastAsia="Arial" w:hAnsi="Arial"/>
                <w:sz w:val="12"/>
                <w:szCs w:val="12"/>
                <w:b w:val="1"/>
                <w:bCs w:val="1"/>
                <w:color w:val="005A64"/>
              </w:rPr>
              <w:t>23,006.3</w:t>
            </w:r>
          </w:p>
        </w:tc>
      </w:tr>
      <w:tr>
        <w:trPr>
          <w:trHeight w:val="300"/>
        </w:trPr>
        <w:tc>
          <w:tcPr>
            <w:tcW w:w="3620" w:type="dxa"/>
            <w:vAlign w:val="bottom"/>
            <w:tcBorders>
              <w:bottom w:val="single" w:sz="8" w:color="005A64"/>
            </w:tcBorders>
          </w:tcPr>
          <w:p>
            <w:pPr>
              <w:ind w:left="20"/>
              <w:spacing w:after="0"/>
              <w:rPr>
                <w:sz w:val="20"/>
                <w:szCs w:val="20"/>
                <w:color w:val="auto"/>
              </w:rPr>
            </w:pPr>
            <w:r>
              <w:rPr>
                <w:rFonts w:ascii="Arial" w:cs="Arial" w:eastAsia="Arial" w:hAnsi="Arial"/>
                <w:sz w:val="12"/>
                <w:szCs w:val="12"/>
                <w:b w:val="1"/>
                <w:bCs w:val="1"/>
                <w:color w:val="005A64"/>
              </w:rPr>
              <w:t>Equity and liabilities</w:t>
            </w:r>
          </w:p>
        </w:tc>
        <w:tc>
          <w:tcPr>
            <w:tcW w:w="20" w:type="dxa"/>
            <w:vAlign w:val="bottom"/>
          </w:tcPr>
          <w:p>
            <w:pPr>
              <w:spacing w:after="0"/>
              <w:rPr>
                <w:sz w:val="24"/>
                <w:szCs w:val="24"/>
                <w:color w:val="auto"/>
              </w:rPr>
            </w:pPr>
          </w:p>
        </w:tc>
        <w:tc>
          <w:tcPr>
            <w:tcW w:w="980" w:type="dxa"/>
            <w:vAlign w:val="bottom"/>
            <w:tcBorders>
              <w:bottom w:val="single" w:sz="8" w:color="005A64"/>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Borders>
              <w:bottom w:val="single" w:sz="8" w:color="005A64"/>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Borders>
              <w:bottom w:val="single" w:sz="8" w:color="005A64"/>
            </w:tcBorders>
          </w:tcPr>
          <w:p>
            <w:pPr>
              <w:spacing w:after="0"/>
              <w:rPr>
                <w:sz w:val="24"/>
                <w:szCs w:val="24"/>
                <w:color w:val="auto"/>
              </w:rPr>
            </w:pPr>
          </w:p>
        </w:tc>
      </w:tr>
      <w:tr>
        <w:trPr>
          <w:trHeight w:val="134"/>
        </w:trPr>
        <w:tc>
          <w:tcPr>
            <w:tcW w:w="3620" w:type="dxa"/>
            <w:vAlign w:val="bottom"/>
          </w:tcPr>
          <w:p>
            <w:pPr>
              <w:ind w:left="20"/>
              <w:spacing w:after="0" w:line="134" w:lineRule="exact"/>
              <w:rPr>
                <w:sz w:val="20"/>
                <w:szCs w:val="20"/>
                <w:color w:val="auto"/>
              </w:rPr>
            </w:pPr>
            <w:r>
              <w:rPr>
                <w:rFonts w:ascii="Arial" w:cs="Arial" w:eastAsia="Arial" w:hAnsi="Arial"/>
                <w:sz w:val="12"/>
                <w:szCs w:val="12"/>
                <w:b w:val="1"/>
                <w:bCs w:val="1"/>
                <w:color w:val="3C9673"/>
              </w:rPr>
              <w:t>Equity</w:t>
            </w: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60"/>
        </w:trPr>
        <w:tc>
          <w:tcPr>
            <w:tcW w:w="3620" w:type="dxa"/>
            <w:vAlign w:val="bottom"/>
          </w:tcPr>
          <w:p>
            <w:pPr>
              <w:ind w:left="20"/>
              <w:spacing w:after="0"/>
              <w:rPr>
                <w:sz w:val="20"/>
                <w:szCs w:val="20"/>
                <w:color w:val="auto"/>
              </w:rPr>
            </w:pPr>
            <w:r>
              <w:rPr>
                <w:rFonts w:ascii="Arial" w:cs="Arial" w:eastAsia="Arial" w:hAnsi="Arial"/>
                <w:sz w:val="12"/>
                <w:szCs w:val="12"/>
                <w:color w:val="005A64"/>
              </w:rPr>
              <w:t>Share capital</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15</w:t>
            </w:r>
          </w:p>
        </w:tc>
        <w:tc>
          <w:tcPr>
            <w:tcW w:w="40" w:type="dxa"/>
            <w:vAlign w:val="bottom"/>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248.6</w:t>
            </w:r>
          </w:p>
        </w:tc>
        <w:tc>
          <w:tcPr>
            <w:tcW w:w="4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248.6</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Capital reserve</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1,398.6</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1,229.4</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Treasury shares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15</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(8.6)</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(10.8)</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Retained earnings</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19,098.0</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19,763.3</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Other reserves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16</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(1,325.5)</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(984.6)</w:t>
            </w:r>
          </w:p>
        </w:tc>
      </w:tr>
      <w:tr>
        <w:trPr>
          <w:trHeight w:val="171"/>
        </w:trPr>
        <w:tc>
          <w:tcPr>
            <w:tcW w:w="3620" w:type="dxa"/>
            <w:vAlign w:val="bottom"/>
          </w:tcPr>
          <w:p>
            <w:pPr>
              <w:ind w:left="20"/>
              <w:spacing w:after="0"/>
              <w:rPr>
                <w:sz w:val="20"/>
                <w:szCs w:val="20"/>
                <w:color w:val="auto"/>
              </w:rPr>
            </w:pPr>
            <w:r>
              <w:rPr>
                <w:rFonts w:ascii="Arial" w:cs="Arial" w:eastAsia="Arial" w:hAnsi="Arial"/>
                <w:sz w:val="12"/>
                <w:szCs w:val="12"/>
                <w:b w:val="1"/>
                <w:bCs w:val="1"/>
                <w:color w:val="005A64"/>
              </w:rPr>
              <w:t>Total equity</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005A64"/>
              </w:rPr>
              <w:t>19,411.1</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20,245.9</w:t>
            </w:r>
          </w:p>
        </w:tc>
      </w:tr>
      <w:tr>
        <w:trPr>
          <w:trHeight w:val="134"/>
        </w:trPr>
        <w:tc>
          <w:tcPr>
            <w:tcW w:w="3620" w:type="dxa"/>
            <w:vAlign w:val="bottom"/>
            <w:tcBorders>
              <w:top w:val="single" w:sz="8" w:color="005A64"/>
            </w:tcBorders>
          </w:tcPr>
          <w:p>
            <w:pPr>
              <w:ind w:left="20"/>
              <w:spacing w:after="0" w:line="134" w:lineRule="exact"/>
              <w:rPr>
                <w:sz w:val="20"/>
                <w:szCs w:val="20"/>
                <w:color w:val="auto"/>
              </w:rPr>
            </w:pPr>
            <w:r>
              <w:rPr>
                <w:rFonts w:ascii="Arial" w:cs="Arial" w:eastAsia="Arial" w:hAnsi="Arial"/>
                <w:sz w:val="12"/>
                <w:szCs w:val="12"/>
                <w:b w:val="1"/>
                <w:bCs w:val="1"/>
                <w:color w:val="3C9673"/>
              </w:rPr>
              <w:t>Non-current liabilities</w:t>
            </w:r>
          </w:p>
        </w:tc>
        <w:tc>
          <w:tcPr>
            <w:tcW w:w="20" w:type="dxa"/>
            <w:vAlign w:val="bottom"/>
          </w:tcPr>
          <w:p>
            <w:pPr>
              <w:spacing w:after="0"/>
              <w:rPr>
                <w:sz w:val="11"/>
                <w:szCs w:val="11"/>
                <w:color w:val="auto"/>
              </w:rPr>
            </w:pPr>
          </w:p>
        </w:tc>
        <w:tc>
          <w:tcPr>
            <w:tcW w:w="980" w:type="dxa"/>
            <w:vAlign w:val="bottom"/>
            <w:tcBorders>
              <w:top w:val="single" w:sz="8" w:color="005A64"/>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Borders>
              <w:top w:val="single" w:sz="8" w:color="005A64"/>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top w:val="single" w:sz="8" w:color="005A64"/>
            </w:tcBorders>
          </w:tcPr>
          <w:p>
            <w:pPr>
              <w:spacing w:after="0"/>
              <w:rPr>
                <w:sz w:val="11"/>
                <w:szCs w:val="11"/>
                <w:color w:val="auto"/>
              </w:rPr>
            </w:pPr>
          </w:p>
        </w:tc>
      </w:tr>
      <w:tr>
        <w:trPr>
          <w:trHeight w:val="160"/>
        </w:trPr>
        <w:tc>
          <w:tcPr>
            <w:tcW w:w="3620" w:type="dxa"/>
            <w:vAlign w:val="bottom"/>
          </w:tcPr>
          <w:p>
            <w:pPr>
              <w:ind w:left="20"/>
              <w:spacing w:after="0"/>
              <w:rPr>
                <w:sz w:val="20"/>
                <w:szCs w:val="20"/>
                <w:color w:val="auto"/>
              </w:rPr>
            </w:pPr>
            <w:r>
              <w:rPr>
                <w:rFonts w:ascii="Arial" w:cs="Arial" w:eastAsia="Arial" w:hAnsi="Arial"/>
                <w:sz w:val="12"/>
                <w:szCs w:val="12"/>
                <w:color w:val="005A64"/>
              </w:rPr>
              <w:t>Lease liabilities, loans and borrowings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12</w:t>
            </w:r>
          </w:p>
        </w:tc>
        <w:tc>
          <w:tcPr>
            <w:tcW w:w="40" w:type="dxa"/>
            <w:vAlign w:val="bottom"/>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214.7</w:t>
            </w:r>
          </w:p>
        </w:tc>
        <w:tc>
          <w:tcPr>
            <w:tcW w:w="4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191.0</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Other financial liabilities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12</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46.9</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38.8</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Provisions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17</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20.9</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8.8</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Contract liabilities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6</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183.0</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398.5</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Other non-financial liabilities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19</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87.5</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13.1</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Deferred tax liabilities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8</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42.4</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39.7</w:t>
            </w:r>
          </w:p>
        </w:tc>
      </w:tr>
      <w:tr>
        <w:trPr>
          <w:trHeight w:val="171"/>
        </w:trPr>
        <w:tc>
          <w:tcPr>
            <w:tcW w:w="3620" w:type="dxa"/>
            <w:vAlign w:val="bottom"/>
          </w:tcPr>
          <w:p>
            <w:pPr>
              <w:ind w:left="20"/>
              <w:spacing w:after="0"/>
              <w:rPr>
                <w:sz w:val="20"/>
                <w:szCs w:val="20"/>
                <w:color w:val="auto"/>
              </w:rPr>
            </w:pPr>
            <w:r>
              <w:rPr>
                <w:rFonts w:ascii="Arial" w:cs="Arial" w:eastAsia="Arial" w:hAnsi="Arial"/>
                <w:sz w:val="12"/>
                <w:szCs w:val="12"/>
                <w:b w:val="1"/>
                <w:bCs w:val="1"/>
                <w:color w:val="005A64"/>
              </w:rPr>
              <w:t>Total non-current liabilities</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005A64"/>
              </w:rPr>
              <w:t>595.4</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689.9</w:t>
            </w:r>
          </w:p>
        </w:tc>
      </w:tr>
      <w:tr>
        <w:trPr>
          <w:trHeight w:val="134"/>
        </w:trPr>
        <w:tc>
          <w:tcPr>
            <w:tcW w:w="3620" w:type="dxa"/>
            <w:vAlign w:val="bottom"/>
            <w:tcBorders>
              <w:top w:val="single" w:sz="8" w:color="005A64"/>
            </w:tcBorders>
          </w:tcPr>
          <w:p>
            <w:pPr>
              <w:ind w:left="20"/>
              <w:spacing w:after="0" w:line="134" w:lineRule="exact"/>
              <w:rPr>
                <w:sz w:val="20"/>
                <w:szCs w:val="20"/>
                <w:color w:val="auto"/>
              </w:rPr>
            </w:pPr>
            <w:r>
              <w:rPr>
                <w:rFonts w:ascii="Arial" w:cs="Arial" w:eastAsia="Arial" w:hAnsi="Arial"/>
                <w:sz w:val="12"/>
                <w:szCs w:val="12"/>
                <w:b w:val="1"/>
                <w:bCs w:val="1"/>
                <w:color w:val="3C9673"/>
              </w:rPr>
              <w:t>Current liabilities</w:t>
            </w:r>
          </w:p>
        </w:tc>
        <w:tc>
          <w:tcPr>
            <w:tcW w:w="20" w:type="dxa"/>
            <w:vAlign w:val="bottom"/>
          </w:tcPr>
          <w:p>
            <w:pPr>
              <w:spacing w:after="0"/>
              <w:rPr>
                <w:sz w:val="11"/>
                <w:szCs w:val="11"/>
                <w:color w:val="auto"/>
              </w:rPr>
            </w:pPr>
          </w:p>
        </w:tc>
        <w:tc>
          <w:tcPr>
            <w:tcW w:w="980" w:type="dxa"/>
            <w:vAlign w:val="bottom"/>
            <w:tcBorders>
              <w:top w:val="single" w:sz="8" w:color="005A64"/>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Borders>
              <w:top w:val="single" w:sz="8" w:color="005A64"/>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top w:val="single" w:sz="8" w:color="005A64"/>
            </w:tcBorders>
          </w:tcPr>
          <w:p>
            <w:pPr>
              <w:spacing w:after="0"/>
              <w:rPr>
                <w:sz w:val="11"/>
                <w:szCs w:val="11"/>
                <w:color w:val="auto"/>
              </w:rPr>
            </w:pPr>
          </w:p>
        </w:tc>
      </w:tr>
      <w:tr>
        <w:trPr>
          <w:trHeight w:val="160"/>
        </w:trPr>
        <w:tc>
          <w:tcPr>
            <w:tcW w:w="3620" w:type="dxa"/>
            <w:vAlign w:val="bottom"/>
          </w:tcPr>
          <w:p>
            <w:pPr>
              <w:ind w:left="20"/>
              <w:spacing w:after="0"/>
              <w:rPr>
                <w:sz w:val="20"/>
                <w:szCs w:val="20"/>
                <w:color w:val="auto"/>
              </w:rPr>
            </w:pPr>
            <w:r>
              <w:rPr>
                <w:rFonts w:ascii="Arial" w:cs="Arial" w:eastAsia="Arial" w:hAnsi="Arial"/>
                <w:sz w:val="12"/>
                <w:szCs w:val="12"/>
                <w:color w:val="005A64"/>
              </w:rPr>
              <w:t>Lease liabilities, loans and borrowings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12</w:t>
            </w:r>
          </w:p>
        </w:tc>
        <w:tc>
          <w:tcPr>
            <w:tcW w:w="40" w:type="dxa"/>
            <w:vAlign w:val="bottom"/>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39.5</w:t>
            </w:r>
          </w:p>
        </w:tc>
        <w:tc>
          <w:tcPr>
            <w:tcW w:w="4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28.1</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Trade payables and other payables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12</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426.7</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354.0</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Other financial liabilities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12</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1,443.4</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415.2</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Income tax liabilities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8</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4.5</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525.5</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Provisions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17</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144.8</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269.3</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Contract liabilities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6</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294.9</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353.3</w:t>
            </w:r>
          </w:p>
        </w:tc>
      </w:tr>
      <w:tr>
        <w:trPr>
          <w:trHeight w:val="162"/>
        </w:trPr>
        <w:tc>
          <w:tcPr>
            <w:tcW w:w="3620" w:type="dxa"/>
            <w:vAlign w:val="bottom"/>
          </w:tcPr>
          <w:p>
            <w:pPr>
              <w:ind w:left="20"/>
              <w:spacing w:after="0"/>
              <w:rPr>
                <w:sz w:val="20"/>
                <w:szCs w:val="20"/>
                <w:color w:val="auto"/>
              </w:rPr>
            </w:pPr>
            <w:r>
              <w:rPr>
                <w:rFonts w:ascii="Arial" w:cs="Arial" w:eastAsia="Arial" w:hAnsi="Arial"/>
                <w:sz w:val="12"/>
                <w:szCs w:val="12"/>
                <w:color w:val="005A64"/>
              </w:rPr>
              <w:t>Other non-financial liabilities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19</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169.4</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125.1</w:t>
            </w:r>
          </w:p>
        </w:tc>
      </w:tr>
      <w:tr>
        <w:trPr>
          <w:trHeight w:val="168"/>
        </w:trPr>
        <w:tc>
          <w:tcPr>
            <w:tcW w:w="3620" w:type="dxa"/>
            <w:vAlign w:val="bottom"/>
          </w:tcPr>
          <w:p>
            <w:pPr>
              <w:ind w:left="20"/>
              <w:spacing w:after="0"/>
              <w:rPr>
                <w:sz w:val="20"/>
                <w:szCs w:val="20"/>
                <w:color w:val="auto"/>
              </w:rPr>
            </w:pPr>
            <w:r>
              <w:rPr>
                <w:rFonts w:ascii="Arial" w:cs="Arial" w:eastAsia="Arial" w:hAnsi="Arial"/>
                <w:sz w:val="12"/>
                <w:szCs w:val="12"/>
                <w:b w:val="1"/>
                <w:bCs w:val="1"/>
                <w:color w:val="005A64"/>
              </w:rPr>
              <w:t>Total current liabilities</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005A64"/>
              </w:rPr>
              <w:t>2,523.2</w:t>
            </w:r>
          </w:p>
        </w:tc>
        <w:tc>
          <w:tcPr>
            <w:tcW w:w="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2,070.5</w:t>
            </w:r>
          </w:p>
        </w:tc>
      </w:tr>
      <w:tr>
        <w:trPr>
          <w:trHeight w:val="148"/>
        </w:trPr>
        <w:tc>
          <w:tcPr>
            <w:tcW w:w="3620" w:type="dxa"/>
            <w:vAlign w:val="bottom"/>
            <w:tcBorders>
              <w:top w:val="single" w:sz="8" w:color="005A64"/>
              <w:bottom w:val="single" w:sz="8" w:color="005A64"/>
            </w:tcBorders>
          </w:tcPr>
          <w:p>
            <w:pPr>
              <w:ind w:left="20"/>
              <w:spacing w:after="0"/>
              <w:rPr>
                <w:sz w:val="20"/>
                <w:szCs w:val="20"/>
                <w:color w:val="auto"/>
              </w:rPr>
            </w:pPr>
            <w:r>
              <w:rPr>
                <w:rFonts w:ascii="Arial" w:cs="Arial" w:eastAsia="Arial" w:hAnsi="Arial"/>
                <w:sz w:val="12"/>
                <w:szCs w:val="12"/>
                <w:b w:val="1"/>
                <w:bCs w:val="1"/>
                <w:color w:val="005A64"/>
              </w:rPr>
              <w:t>Total liabilities</w:t>
            </w:r>
          </w:p>
        </w:tc>
        <w:tc>
          <w:tcPr>
            <w:tcW w:w="20" w:type="dxa"/>
            <w:vAlign w:val="bottom"/>
          </w:tcPr>
          <w:p>
            <w:pPr>
              <w:spacing w:after="0"/>
              <w:rPr>
                <w:sz w:val="12"/>
                <w:szCs w:val="12"/>
                <w:color w:val="auto"/>
              </w:rPr>
            </w:pPr>
          </w:p>
        </w:tc>
        <w:tc>
          <w:tcPr>
            <w:tcW w:w="980" w:type="dxa"/>
            <w:vAlign w:val="bottom"/>
            <w:tcBorders>
              <w:top w:val="single" w:sz="8" w:color="005A64"/>
              <w:bottom w:val="single" w:sz="8" w:color="005A64"/>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top w:val="single" w:sz="8" w:color="005A64"/>
              <w:bottom w:val="single" w:sz="8" w:color="005A64"/>
            </w:tcBorders>
          </w:tcPr>
          <w:p>
            <w:pPr>
              <w:spacing w:after="0"/>
              <w:rPr>
                <w:sz w:val="20"/>
                <w:szCs w:val="20"/>
                <w:color w:val="auto"/>
              </w:rPr>
            </w:pPr>
            <w:r>
              <w:rPr>
                <w:rFonts w:ascii="Arial" w:cs="Arial" w:eastAsia="Arial" w:hAnsi="Arial"/>
                <w:sz w:val="12"/>
                <w:szCs w:val="12"/>
                <w:b w:val="1"/>
                <w:bCs w:val="1"/>
                <w:color w:val="005A64"/>
              </w:rPr>
              <w:t>3,118.6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top w:val="single" w:sz="8" w:color="005A64"/>
              <w:bottom w:val="single" w:sz="8" w:color="005A64"/>
            </w:tcBorders>
          </w:tcPr>
          <w:p>
            <w:pPr>
              <w:ind w:left="20"/>
              <w:spacing w:after="0"/>
              <w:rPr>
                <w:sz w:val="20"/>
                <w:szCs w:val="20"/>
                <w:color w:val="auto"/>
              </w:rPr>
            </w:pPr>
            <w:r>
              <w:rPr>
                <w:rFonts w:ascii="Arial" w:cs="Arial" w:eastAsia="Arial" w:hAnsi="Arial"/>
                <w:sz w:val="12"/>
                <w:szCs w:val="12"/>
                <w:b w:val="1"/>
                <w:bCs w:val="1"/>
                <w:color w:val="005A64"/>
              </w:rPr>
              <w:t>2,760.4</w:t>
            </w:r>
          </w:p>
        </w:tc>
      </w:tr>
      <w:tr>
        <w:trPr>
          <w:trHeight w:val="144"/>
        </w:trPr>
        <w:tc>
          <w:tcPr>
            <w:tcW w:w="3620" w:type="dxa"/>
            <w:vAlign w:val="bottom"/>
          </w:tcPr>
          <w:p>
            <w:pPr>
              <w:ind w:left="20"/>
              <w:spacing w:after="0"/>
              <w:rPr>
                <w:sz w:val="20"/>
                <w:szCs w:val="20"/>
                <w:color w:val="auto"/>
              </w:rPr>
            </w:pPr>
            <w:r>
              <w:rPr>
                <w:rFonts w:ascii="Arial" w:cs="Arial" w:eastAsia="Arial" w:hAnsi="Arial"/>
                <w:sz w:val="12"/>
                <w:szCs w:val="12"/>
                <w:b w:val="1"/>
                <w:bCs w:val="1"/>
                <w:color w:val="005A64"/>
              </w:rPr>
              <w:t>Total equity and liabilities</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005A64"/>
              </w:rPr>
              <w:t>22,529.7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005A64"/>
              </w:rPr>
              <w:t>23,006.3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-635</wp:posOffset>
            </wp:positionV>
            <wp:extent cx="4268470"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2">
                      <a:extLst>
                        <a:ext uri="{28A0092B-C50C-407E-A947-70E740481C1C}"/>
                      </a:extLst>
                    </a:blip>
                    <a:srcRect/>
                    <a:stretch>
                      <a:fillRect/>
                    </a:stretch>
                  </pic:blipFill>
                  <pic:spPr bwMode="auto">
                    <a:xfrm>
                      <a:off x="0" y="0"/>
                      <a:ext cx="4268470" cy="6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3"/>
          <w:szCs w:val="13"/>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3"/>
          <w:szCs w:val="13"/>
          <w:color w:val="auto"/>
        </w:rPr>
        <w:t>F-10</w:t>
      </w:r>
    </w:p>
    <w:p>
      <w:pPr>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7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005A64"/>
        </w:rPr>
        <w:t>Consolidated Statements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6771640"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3">
                      <a:extLst>
                        <a:ext uri="{28A0092B-C50C-407E-A947-70E740481C1C}"/>
                      </a:extLst>
                    </a:blip>
                    <a:srcRect/>
                    <a:stretch>
                      <a:fillRect/>
                    </a:stretch>
                  </pic:blipFill>
                  <pic:spPr bwMode="auto">
                    <a:xfrm>
                      <a:off x="0" y="0"/>
                      <a:ext cx="6771640" cy="6350"/>
                    </a:xfrm>
                    <a:prstGeom prst="rect">
                      <a:avLst/>
                    </a:prstGeom>
                    <a:noFill/>
                  </pic:spPr>
                </pic:pic>
              </a:graphicData>
            </a:graphic>
          </wp:anchor>
        </w:drawing>
      </w:r>
    </w:p>
    <w:p>
      <w:pPr>
        <w:sectPr>
          <w:pgSz w:w="11900" w:h="16840" w:orient="portrait"/>
          <w:cols w:equalWidth="0" w:num="1">
            <w:col w:w="9800"/>
          </w:cols>
          <w:pgMar w:left="660" w:top="937" w:right="1440"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66"/>
        </w:trPr>
        <w:tc>
          <w:tcPr>
            <w:tcW w:w="2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0" w:type="dxa"/>
            <w:vAlign w:val="bottom"/>
            <w:gridSpan w:val="7"/>
          </w:tcPr>
          <w:p>
            <w:pPr>
              <w:ind w:left="20"/>
              <w:spacing w:after="0"/>
              <w:rPr>
                <w:sz w:val="20"/>
                <w:szCs w:val="20"/>
                <w:color w:val="auto"/>
              </w:rPr>
            </w:pPr>
            <w:r>
              <w:rPr>
                <w:rFonts w:ascii="Arial" w:cs="Arial" w:eastAsia="Arial" w:hAnsi="Arial"/>
                <w:sz w:val="12"/>
                <w:szCs w:val="12"/>
                <w:b w:val="1"/>
                <w:bCs w:val="1"/>
                <w:color w:val="005A64"/>
              </w:rPr>
              <w:t>Equity attributable to equity holders of the parent</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840" w:type="dxa"/>
            <w:vAlign w:val="bottom"/>
            <w:vMerge w:val="restart"/>
          </w:tcPr>
          <w:p>
            <w:pPr>
              <w:spacing w:after="0"/>
              <w:rPr>
                <w:sz w:val="20"/>
                <w:szCs w:val="20"/>
                <w:color w:val="auto"/>
              </w:rPr>
            </w:pPr>
            <w:r>
              <w:rPr>
                <w:rFonts w:ascii="Arial" w:cs="Arial" w:eastAsia="Arial" w:hAnsi="Arial"/>
                <w:sz w:val="12"/>
                <w:szCs w:val="12"/>
                <w:i w:val="1"/>
                <w:iCs w:val="1"/>
                <w:color w:val="005A64"/>
              </w:rPr>
              <w:t>(in millions €)</w:t>
            </w:r>
          </w:p>
        </w:tc>
        <w:tc>
          <w:tcPr>
            <w:tcW w:w="40" w:type="dxa"/>
            <w:vAlign w:val="bottom"/>
            <w:vMerge w:val="restart"/>
          </w:tcPr>
          <w:p>
            <w:pPr>
              <w:spacing w:after="0"/>
              <w:rPr>
                <w:sz w:val="4"/>
                <w:szCs w:val="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005A64"/>
              </w:rPr>
              <w:t>Note</w:t>
            </w:r>
          </w:p>
        </w:tc>
        <w:tc>
          <w:tcPr>
            <w:tcW w:w="840" w:type="dxa"/>
            <w:vAlign w:val="bottom"/>
            <w:tcBorders>
              <w:bottom w:val="single" w:sz="8" w:color="005A64"/>
            </w:tcBorders>
          </w:tcPr>
          <w:p>
            <w:pPr>
              <w:spacing w:after="0"/>
              <w:rPr>
                <w:sz w:val="4"/>
                <w:szCs w:val="4"/>
                <w:color w:val="auto"/>
              </w:rPr>
            </w:pPr>
          </w:p>
        </w:tc>
        <w:tc>
          <w:tcPr>
            <w:tcW w:w="80" w:type="dxa"/>
            <w:vAlign w:val="bottom"/>
            <w:tcBorders>
              <w:bottom w:val="single" w:sz="8" w:color="005A64"/>
            </w:tcBorders>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80" w:type="dxa"/>
            <w:vAlign w:val="bottom"/>
            <w:tcBorders>
              <w:bottom w:val="single" w:sz="8" w:color="005A64"/>
            </w:tcBorders>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80" w:type="dxa"/>
            <w:vAlign w:val="bottom"/>
            <w:tcBorders>
              <w:bottom w:val="single" w:sz="8" w:color="005A64"/>
            </w:tcBorders>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80" w:type="dxa"/>
            <w:vAlign w:val="bottom"/>
            <w:tcBorders>
              <w:bottom w:val="single" w:sz="8" w:color="005A64"/>
            </w:tcBorders>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840" w:type="dxa"/>
            <w:vAlign w:val="bottom"/>
            <w:vMerge w:val="restart"/>
          </w:tcPr>
          <w:p>
            <w:pPr>
              <w:spacing w:after="0"/>
              <w:rPr>
                <w:sz w:val="20"/>
                <w:szCs w:val="20"/>
                <w:color w:val="auto"/>
              </w:rPr>
            </w:pPr>
            <w:r>
              <w:rPr>
                <w:rFonts w:ascii="Arial" w:cs="Arial" w:eastAsia="Arial" w:hAnsi="Arial"/>
                <w:sz w:val="12"/>
                <w:szCs w:val="12"/>
                <w:b w:val="1"/>
                <w:bCs w:val="1"/>
                <w:color w:val="005A64"/>
              </w:rPr>
              <w:t>Total equity</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84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840" w:type="dxa"/>
            <w:vAlign w:val="bottom"/>
          </w:tcPr>
          <w:p>
            <w:pPr>
              <w:ind w:left="20"/>
              <w:spacing w:after="0" w:line="102" w:lineRule="exact"/>
              <w:rPr>
                <w:sz w:val="20"/>
                <w:szCs w:val="20"/>
                <w:color w:val="auto"/>
              </w:rPr>
            </w:pPr>
            <w:r>
              <w:rPr>
                <w:rFonts w:ascii="Arial" w:cs="Arial" w:eastAsia="Arial" w:hAnsi="Arial"/>
                <w:sz w:val="11"/>
                <w:szCs w:val="11"/>
                <w:b w:val="1"/>
                <w:bCs w:val="1"/>
                <w:color w:val="005A64"/>
              </w:rPr>
              <w:t>Share</w:t>
            </w:r>
          </w:p>
        </w:tc>
        <w:tc>
          <w:tcPr>
            <w:tcW w:w="80" w:type="dxa"/>
            <w:vAlign w:val="bottom"/>
          </w:tcPr>
          <w:p>
            <w:pPr>
              <w:spacing w:after="0"/>
              <w:rPr>
                <w:sz w:val="8"/>
                <w:szCs w:val="8"/>
                <w:color w:val="auto"/>
              </w:rPr>
            </w:pPr>
          </w:p>
        </w:tc>
        <w:tc>
          <w:tcPr>
            <w:tcW w:w="840" w:type="dxa"/>
            <w:vAlign w:val="bottom"/>
          </w:tcPr>
          <w:p>
            <w:pPr>
              <w:ind w:left="20"/>
              <w:spacing w:after="0" w:line="102" w:lineRule="exact"/>
              <w:rPr>
                <w:sz w:val="20"/>
                <w:szCs w:val="20"/>
                <w:color w:val="auto"/>
              </w:rPr>
            </w:pPr>
            <w:r>
              <w:rPr>
                <w:rFonts w:ascii="Arial" w:cs="Arial" w:eastAsia="Arial" w:hAnsi="Arial"/>
                <w:sz w:val="11"/>
                <w:szCs w:val="11"/>
                <w:b w:val="1"/>
                <w:bCs w:val="1"/>
                <w:color w:val="005A64"/>
              </w:rPr>
              <w:t>Capital</w:t>
            </w:r>
          </w:p>
        </w:tc>
        <w:tc>
          <w:tcPr>
            <w:tcW w:w="80" w:type="dxa"/>
            <w:vAlign w:val="bottom"/>
          </w:tcPr>
          <w:p>
            <w:pPr>
              <w:spacing w:after="0"/>
              <w:rPr>
                <w:sz w:val="8"/>
                <w:szCs w:val="8"/>
                <w:color w:val="auto"/>
              </w:rPr>
            </w:pPr>
          </w:p>
        </w:tc>
        <w:tc>
          <w:tcPr>
            <w:tcW w:w="840" w:type="dxa"/>
            <w:vAlign w:val="bottom"/>
          </w:tcPr>
          <w:p>
            <w:pPr>
              <w:ind w:left="20"/>
              <w:spacing w:after="0" w:line="102" w:lineRule="exact"/>
              <w:rPr>
                <w:sz w:val="20"/>
                <w:szCs w:val="20"/>
                <w:color w:val="auto"/>
              </w:rPr>
            </w:pPr>
            <w:r>
              <w:rPr>
                <w:rFonts w:ascii="Arial" w:cs="Arial" w:eastAsia="Arial" w:hAnsi="Arial"/>
                <w:sz w:val="11"/>
                <w:szCs w:val="11"/>
                <w:b w:val="1"/>
                <w:bCs w:val="1"/>
                <w:color w:val="005A64"/>
              </w:rPr>
              <w:t>Treasury</w:t>
            </w:r>
          </w:p>
        </w:tc>
        <w:tc>
          <w:tcPr>
            <w:tcW w:w="80" w:type="dxa"/>
            <w:vAlign w:val="bottom"/>
          </w:tcPr>
          <w:p>
            <w:pPr>
              <w:spacing w:after="0"/>
              <w:rPr>
                <w:sz w:val="8"/>
                <w:szCs w:val="8"/>
                <w:color w:val="auto"/>
              </w:rPr>
            </w:pPr>
          </w:p>
        </w:tc>
        <w:tc>
          <w:tcPr>
            <w:tcW w:w="840" w:type="dxa"/>
            <w:vAlign w:val="bottom"/>
          </w:tcPr>
          <w:p>
            <w:pPr>
              <w:ind w:left="20"/>
              <w:spacing w:after="0" w:line="102" w:lineRule="exact"/>
              <w:rPr>
                <w:sz w:val="20"/>
                <w:szCs w:val="20"/>
                <w:color w:val="auto"/>
              </w:rPr>
            </w:pPr>
            <w:r>
              <w:rPr>
                <w:rFonts w:ascii="Arial" w:cs="Arial" w:eastAsia="Arial" w:hAnsi="Arial"/>
                <w:sz w:val="11"/>
                <w:szCs w:val="11"/>
                <w:b w:val="1"/>
                <w:bCs w:val="1"/>
                <w:color w:val="005A64"/>
              </w:rPr>
              <w:t>Retained</w:t>
            </w:r>
          </w:p>
        </w:tc>
        <w:tc>
          <w:tcPr>
            <w:tcW w:w="80" w:type="dxa"/>
            <w:vAlign w:val="bottom"/>
          </w:tcPr>
          <w:p>
            <w:pPr>
              <w:spacing w:after="0"/>
              <w:rPr>
                <w:sz w:val="8"/>
                <w:szCs w:val="8"/>
                <w:color w:val="auto"/>
              </w:rPr>
            </w:pPr>
          </w:p>
        </w:tc>
        <w:tc>
          <w:tcPr>
            <w:tcW w:w="840" w:type="dxa"/>
            <w:vAlign w:val="bottom"/>
          </w:tcPr>
          <w:p>
            <w:pPr>
              <w:ind w:left="20"/>
              <w:spacing w:after="0" w:line="102" w:lineRule="exact"/>
              <w:rPr>
                <w:sz w:val="20"/>
                <w:szCs w:val="20"/>
                <w:color w:val="auto"/>
              </w:rPr>
            </w:pPr>
            <w:r>
              <w:rPr>
                <w:rFonts w:ascii="Arial" w:cs="Arial" w:eastAsia="Arial" w:hAnsi="Arial"/>
                <w:sz w:val="11"/>
                <w:szCs w:val="11"/>
                <w:b w:val="1"/>
                <w:bCs w:val="1"/>
                <w:color w:val="005A64"/>
              </w:rPr>
              <w:t>Other</w:t>
            </w:r>
          </w:p>
        </w:tc>
        <w:tc>
          <w:tcPr>
            <w:tcW w:w="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capital</w:t>
            </w:r>
          </w:p>
        </w:tc>
        <w:tc>
          <w:tcPr>
            <w:tcW w:w="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reserve</w:t>
            </w:r>
          </w:p>
        </w:tc>
        <w:tc>
          <w:tcPr>
            <w:tcW w:w="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shares</w:t>
            </w:r>
          </w:p>
        </w:tc>
        <w:tc>
          <w:tcPr>
            <w:tcW w:w="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earnings</w:t>
            </w:r>
          </w:p>
        </w:tc>
        <w:tc>
          <w:tcPr>
            <w:tcW w:w="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reserves</w:t>
            </w: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84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20"/>
                <w:szCs w:val="20"/>
                <w:color w:val="auto"/>
              </w:rPr>
            </w:pPr>
            <w:r>
              <w:rPr>
                <w:rFonts w:ascii="Arial" w:cs="Arial" w:eastAsia="Arial" w:hAnsi="Arial"/>
                <w:sz w:val="12"/>
                <w:szCs w:val="12"/>
                <w:b w:val="1"/>
                <w:bCs w:val="1"/>
                <w:color w:val="005A64"/>
              </w:rPr>
              <w:t>As of January 1, 2022</w:t>
            </w: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246.3</w:t>
            </w:r>
          </w:p>
        </w:tc>
        <w:tc>
          <w:tcPr>
            <w:tcW w:w="80" w:type="dxa"/>
            <w:vAlign w:val="bottom"/>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1,674.4</w:t>
            </w:r>
          </w:p>
        </w:tc>
        <w:tc>
          <w:tcPr>
            <w:tcW w:w="80" w:type="dxa"/>
            <w:vAlign w:val="bottom"/>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(3.8)</w:t>
            </w:r>
          </w:p>
        </w:tc>
        <w:tc>
          <w:tcPr>
            <w:tcW w:w="80" w:type="dxa"/>
            <w:vAlign w:val="bottom"/>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9,882.9</w:t>
            </w:r>
          </w:p>
        </w:tc>
        <w:tc>
          <w:tcPr>
            <w:tcW w:w="80" w:type="dxa"/>
            <w:vAlign w:val="bottom"/>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93.9</w:t>
            </w:r>
          </w:p>
        </w:tc>
        <w:tc>
          <w:tcPr>
            <w:tcW w:w="20" w:type="dxa"/>
            <w:vAlign w:val="bottom"/>
            <w:vMerge w:val="continue"/>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005A64"/>
              </w:rPr>
              <w:t>11,893.7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840" w:type="dxa"/>
            <w:vAlign w:val="bottom"/>
            <w:tcBorders>
              <w:bottom w:val="single" w:sz="8" w:color="005A64"/>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80" w:type="dxa"/>
            <w:vAlign w:val="bottom"/>
            <w:vMerge w:val="restart"/>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20"/>
                <w:szCs w:val="20"/>
                <w:color w:val="auto"/>
              </w:rPr>
            </w:pPr>
            <w:r>
              <w:rPr>
                <w:rFonts w:ascii="Arial" w:cs="Arial" w:eastAsia="Arial" w:hAnsi="Arial"/>
                <w:sz w:val="12"/>
                <w:szCs w:val="12"/>
                <w:color w:val="005A64"/>
              </w:rPr>
              <w:t>Net profit</w:t>
            </w: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9,434.4</w:t>
            </w:r>
          </w:p>
        </w:tc>
        <w:tc>
          <w:tcPr>
            <w:tcW w:w="8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20" w:type="dxa"/>
            <w:vAlign w:val="bottom"/>
            <w:vMerge w:val="continue"/>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005A64"/>
              </w:rPr>
              <w:t>9,434.4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840" w:type="dxa"/>
            <w:vAlign w:val="bottom"/>
          </w:tcPr>
          <w:p>
            <w:pPr>
              <w:spacing w:after="0"/>
              <w:rPr>
                <w:sz w:val="20"/>
                <w:szCs w:val="20"/>
                <w:color w:val="auto"/>
              </w:rPr>
            </w:pPr>
            <w:r>
              <w:rPr>
                <w:rFonts w:ascii="Arial" w:cs="Arial" w:eastAsia="Arial" w:hAnsi="Arial"/>
                <w:sz w:val="12"/>
                <w:szCs w:val="12"/>
                <w:color w:val="005A64"/>
              </w:rPr>
              <w:t>Other comprehensive income</w:t>
            </w: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920" w:type="dxa"/>
            <w:vAlign w:val="bottom"/>
            <w:gridSpan w:val="2"/>
          </w:tcPr>
          <w:p>
            <w:pPr>
              <w:ind w:left="100"/>
              <w:spacing w:after="0"/>
              <w:rPr>
                <w:sz w:val="20"/>
                <w:szCs w:val="20"/>
                <w:color w:val="auto"/>
              </w:rPr>
            </w:pPr>
            <w:r>
              <w:rPr>
                <w:rFonts w:ascii="Arial" w:cs="Arial" w:eastAsia="Arial" w:hAnsi="Arial"/>
                <w:sz w:val="12"/>
                <w:szCs w:val="12"/>
                <w:color w:val="005A64"/>
              </w:rPr>
              <w:t>22.3</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005A64"/>
              </w:rPr>
              <w:t>22.3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rPr>
                <w:sz w:val="20"/>
                <w:szCs w:val="20"/>
                <w:color w:val="auto"/>
              </w:rPr>
            </w:pPr>
            <w:r>
              <w:rPr>
                <w:rFonts w:ascii="Arial" w:cs="Arial" w:eastAsia="Arial" w:hAnsi="Arial"/>
                <w:sz w:val="12"/>
                <w:szCs w:val="12"/>
                <w:b w:val="1"/>
                <w:bCs w:val="1"/>
                <w:color w:val="005A64"/>
              </w:rPr>
              <w:t>Total comprehensive income</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w:t>
            </w:r>
          </w:p>
        </w:tc>
        <w:tc>
          <w:tcPr>
            <w:tcW w:w="8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w:t>
            </w:r>
          </w:p>
        </w:tc>
        <w:tc>
          <w:tcPr>
            <w:tcW w:w="8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005A64"/>
              </w:rPr>
              <w:t>9,434.4</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005A64"/>
              </w:rPr>
              <w:t>22.3</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005A64"/>
              </w:rPr>
              <w:t>9,456.7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2840" w:type="dxa"/>
            <w:vAlign w:val="bottom"/>
            <w:tcBorders>
              <w:bottom w:val="single" w:sz="8" w:color="005A64"/>
            </w:tcBorders>
          </w:tcPr>
          <w:p>
            <w:pPr>
              <w:spacing w:after="0"/>
              <w:rPr>
                <w:sz w:val="4"/>
                <w:szCs w:val="4"/>
                <w:color w:val="auto"/>
              </w:rPr>
            </w:pPr>
          </w:p>
        </w:tc>
        <w:tc>
          <w:tcPr>
            <w:tcW w:w="40" w:type="dxa"/>
            <w:vAlign w:val="bottom"/>
            <w:vMerge w:val="restart"/>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20"/>
                <w:szCs w:val="20"/>
                <w:color w:val="auto"/>
              </w:rPr>
            </w:pPr>
            <w:r>
              <w:rPr>
                <w:rFonts w:ascii="Arial" w:cs="Arial" w:eastAsia="Arial" w:hAnsi="Arial"/>
                <w:sz w:val="12"/>
                <w:szCs w:val="12"/>
                <w:color w:val="005A64"/>
              </w:rPr>
              <w:t>Issuance of share capital</w:t>
            </w:r>
          </w:p>
        </w:tc>
        <w:tc>
          <w:tcPr>
            <w:tcW w:w="40" w:type="dxa"/>
            <w:vAlign w:val="bottom"/>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15</w:t>
            </w:r>
          </w:p>
        </w:tc>
        <w:tc>
          <w:tcPr>
            <w:tcW w:w="2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0.5</w:t>
            </w:r>
          </w:p>
        </w:tc>
        <w:tc>
          <w:tcPr>
            <w:tcW w:w="80" w:type="dxa"/>
            <w:vAlign w:val="bottom"/>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67.1</w:t>
            </w:r>
          </w:p>
        </w:tc>
        <w:tc>
          <w:tcPr>
            <w:tcW w:w="8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20" w:type="dxa"/>
            <w:vAlign w:val="bottom"/>
            <w:vMerge w:val="continue"/>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005A64"/>
              </w:rPr>
              <w:t>67.6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840" w:type="dxa"/>
            <w:vAlign w:val="bottom"/>
          </w:tcPr>
          <w:p>
            <w:pPr>
              <w:spacing w:after="0"/>
              <w:rPr>
                <w:sz w:val="20"/>
                <w:szCs w:val="20"/>
                <w:color w:val="auto"/>
              </w:rPr>
            </w:pPr>
            <w:r>
              <w:rPr>
                <w:rFonts w:ascii="Arial" w:cs="Arial" w:eastAsia="Arial" w:hAnsi="Arial"/>
                <w:sz w:val="12"/>
                <w:szCs w:val="12"/>
                <w:color w:val="005A64"/>
              </w:rPr>
              <w:t>Redemption of convertible note</w:t>
            </w: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1.8</w:t>
            </w:r>
          </w:p>
        </w:tc>
        <w:tc>
          <w:tcPr>
            <w:tcW w:w="920" w:type="dxa"/>
            <w:vAlign w:val="bottom"/>
            <w:gridSpan w:val="2"/>
          </w:tcPr>
          <w:p>
            <w:pPr>
              <w:ind w:left="100"/>
              <w:spacing w:after="0"/>
              <w:rPr>
                <w:sz w:val="20"/>
                <w:szCs w:val="20"/>
                <w:color w:val="auto"/>
              </w:rPr>
            </w:pPr>
            <w:r>
              <w:rPr>
                <w:rFonts w:ascii="Arial" w:cs="Arial" w:eastAsia="Arial" w:hAnsi="Arial"/>
                <w:sz w:val="12"/>
                <w:szCs w:val="12"/>
                <w:color w:val="005A64"/>
              </w:rPr>
              <w:t>233.2</w:t>
            </w:r>
          </w:p>
        </w:tc>
        <w:tc>
          <w:tcPr>
            <w:tcW w:w="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005A64"/>
              </w:rPr>
              <w:t>235.0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rPr>
                <w:sz w:val="20"/>
                <w:szCs w:val="20"/>
                <w:color w:val="auto"/>
              </w:rPr>
            </w:pPr>
            <w:r>
              <w:rPr>
                <w:rFonts w:ascii="Arial" w:cs="Arial" w:eastAsia="Arial" w:hAnsi="Arial"/>
                <w:sz w:val="12"/>
                <w:szCs w:val="12"/>
                <w:color w:val="005A64"/>
              </w:rPr>
              <w:t>Share repurchase program</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16</w:t>
            </w:r>
          </w:p>
        </w:tc>
        <w:tc>
          <w:tcPr>
            <w:tcW w:w="2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920" w:type="dxa"/>
            <w:vAlign w:val="bottom"/>
            <w:gridSpan w:val="2"/>
          </w:tcPr>
          <w:p>
            <w:pPr>
              <w:ind w:left="100"/>
              <w:spacing w:after="0"/>
              <w:rPr>
                <w:sz w:val="20"/>
                <w:szCs w:val="20"/>
                <w:color w:val="auto"/>
              </w:rPr>
            </w:pPr>
            <w:r>
              <w:rPr>
                <w:rFonts w:ascii="Arial" w:cs="Arial" w:eastAsia="Arial" w:hAnsi="Arial"/>
                <w:sz w:val="12"/>
                <w:szCs w:val="12"/>
                <w:color w:val="005A64"/>
              </w:rPr>
              <w:t>(979.5)</w:t>
            </w:r>
          </w:p>
        </w:tc>
        <w:tc>
          <w:tcPr>
            <w:tcW w:w="920" w:type="dxa"/>
            <w:vAlign w:val="bottom"/>
            <w:gridSpan w:val="2"/>
          </w:tcPr>
          <w:p>
            <w:pPr>
              <w:ind w:left="100"/>
              <w:spacing w:after="0"/>
              <w:rPr>
                <w:sz w:val="20"/>
                <w:szCs w:val="20"/>
                <w:color w:val="auto"/>
              </w:rPr>
            </w:pPr>
            <w:r>
              <w:rPr>
                <w:rFonts w:ascii="Arial" w:cs="Arial" w:eastAsia="Arial" w:hAnsi="Arial"/>
                <w:sz w:val="12"/>
                <w:szCs w:val="12"/>
                <w:color w:val="005A64"/>
              </w:rPr>
              <w:t>(6.9)</w:t>
            </w:r>
          </w:p>
        </w:tc>
        <w:tc>
          <w:tcPr>
            <w:tcW w:w="8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005A64"/>
              </w:rPr>
              <w:t>(986.4)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rPr>
                <w:sz w:val="20"/>
                <w:szCs w:val="20"/>
                <w:color w:val="auto"/>
              </w:rPr>
            </w:pPr>
            <w:r>
              <w:rPr>
                <w:rFonts w:ascii="Arial" w:cs="Arial" w:eastAsia="Arial" w:hAnsi="Arial"/>
                <w:sz w:val="12"/>
                <w:szCs w:val="12"/>
                <w:color w:val="005A64"/>
              </w:rPr>
              <w:t>Transaction costs</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16</w:t>
            </w:r>
          </w:p>
        </w:tc>
        <w:tc>
          <w:tcPr>
            <w:tcW w:w="2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920" w:type="dxa"/>
            <w:vAlign w:val="bottom"/>
            <w:gridSpan w:val="2"/>
          </w:tcPr>
          <w:p>
            <w:pPr>
              <w:ind w:left="100"/>
              <w:spacing w:after="0"/>
              <w:rPr>
                <w:sz w:val="20"/>
                <w:szCs w:val="20"/>
                <w:color w:val="auto"/>
              </w:rPr>
            </w:pPr>
            <w:r>
              <w:rPr>
                <w:rFonts w:ascii="Arial" w:cs="Arial" w:eastAsia="Arial" w:hAnsi="Arial"/>
                <w:sz w:val="12"/>
                <w:szCs w:val="12"/>
                <w:color w:val="005A64"/>
              </w:rPr>
              <w:t>(0.1)</w:t>
            </w:r>
          </w:p>
        </w:tc>
        <w:tc>
          <w:tcPr>
            <w:tcW w:w="8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005A64"/>
              </w:rPr>
              <w:t>(0.1)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rPr>
                <w:sz w:val="20"/>
                <w:szCs w:val="20"/>
                <w:color w:val="auto"/>
              </w:rPr>
            </w:pPr>
            <w:r>
              <w:rPr>
                <w:rFonts w:ascii="Arial" w:cs="Arial" w:eastAsia="Arial" w:hAnsi="Arial"/>
                <w:sz w:val="12"/>
                <w:szCs w:val="12"/>
                <w:color w:val="005A64"/>
              </w:rPr>
              <w:t>Dividends</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16</w:t>
            </w:r>
          </w:p>
        </w:tc>
        <w:tc>
          <w:tcPr>
            <w:tcW w:w="2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920" w:type="dxa"/>
            <w:vAlign w:val="bottom"/>
            <w:gridSpan w:val="2"/>
          </w:tcPr>
          <w:p>
            <w:pPr>
              <w:ind w:left="100"/>
              <w:spacing w:after="0"/>
              <w:rPr>
                <w:sz w:val="20"/>
                <w:szCs w:val="20"/>
                <w:color w:val="auto"/>
              </w:rPr>
            </w:pPr>
            <w:r>
              <w:rPr>
                <w:rFonts w:ascii="Arial" w:cs="Arial" w:eastAsia="Arial" w:hAnsi="Arial"/>
                <w:sz w:val="12"/>
                <w:szCs w:val="12"/>
                <w:color w:val="005A64"/>
              </w:rPr>
              <w:t>(484.3)</w:t>
            </w:r>
          </w:p>
        </w:tc>
        <w:tc>
          <w:tcPr>
            <w:tcW w:w="8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005A64"/>
              </w:rPr>
              <w:t>(484.3)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rPr>
                <w:sz w:val="20"/>
                <w:szCs w:val="20"/>
                <w:color w:val="auto"/>
              </w:rPr>
            </w:pPr>
            <w:r>
              <w:rPr>
                <w:rFonts w:ascii="Arial" w:cs="Arial" w:eastAsia="Arial" w:hAnsi="Arial"/>
                <w:sz w:val="12"/>
                <w:szCs w:val="12"/>
                <w:color w:val="005A64"/>
              </w:rPr>
              <w:t>Share-based payments</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16</w:t>
            </w:r>
          </w:p>
        </w:tc>
        <w:tc>
          <w:tcPr>
            <w:tcW w:w="2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920" w:type="dxa"/>
            <w:vAlign w:val="bottom"/>
            <w:gridSpan w:val="2"/>
          </w:tcPr>
          <w:p>
            <w:pPr>
              <w:ind w:left="100"/>
              <w:spacing w:after="0"/>
              <w:rPr>
                <w:sz w:val="20"/>
                <w:szCs w:val="20"/>
                <w:color w:val="auto"/>
              </w:rPr>
            </w:pPr>
            <w:r>
              <w:rPr>
                <w:rFonts w:ascii="Arial" w:cs="Arial" w:eastAsia="Arial" w:hAnsi="Arial"/>
                <w:sz w:val="12"/>
                <w:szCs w:val="12"/>
                <w:color w:val="005A64"/>
              </w:rPr>
              <w:t>833.1</w:t>
            </w:r>
          </w:p>
        </w:tc>
        <w:tc>
          <w:tcPr>
            <w:tcW w:w="920" w:type="dxa"/>
            <w:vAlign w:val="bottom"/>
            <w:gridSpan w:val="2"/>
          </w:tcPr>
          <w:p>
            <w:pPr>
              <w:ind w:left="100"/>
              <w:spacing w:after="0"/>
              <w:rPr>
                <w:sz w:val="20"/>
                <w:szCs w:val="20"/>
                <w:color w:val="auto"/>
              </w:rPr>
            </w:pPr>
            <w:r>
              <w:rPr>
                <w:rFonts w:ascii="Arial" w:cs="Arial" w:eastAsia="Arial" w:hAnsi="Arial"/>
                <w:sz w:val="12"/>
                <w:szCs w:val="12"/>
                <w:color w:val="005A64"/>
              </w:rPr>
              <w:t>5.4</w:t>
            </w:r>
          </w:p>
        </w:tc>
        <w:tc>
          <w:tcPr>
            <w:tcW w:w="8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920" w:type="dxa"/>
            <w:vAlign w:val="bottom"/>
            <w:gridSpan w:val="2"/>
          </w:tcPr>
          <w:p>
            <w:pPr>
              <w:ind w:left="100"/>
              <w:spacing w:after="0"/>
              <w:rPr>
                <w:sz w:val="20"/>
                <w:szCs w:val="20"/>
                <w:color w:val="auto"/>
              </w:rPr>
            </w:pPr>
            <w:r>
              <w:rPr>
                <w:rFonts w:ascii="Arial" w:cs="Arial" w:eastAsia="Arial" w:hAnsi="Arial"/>
                <w:sz w:val="12"/>
                <w:szCs w:val="12"/>
                <w:color w:val="005A64"/>
              </w:rPr>
              <w:t>(1,519.8)</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005A64"/>
              </w:rPr>
              <w:t>(681.3)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rPr>
                <w:sz w:val="20"/>
                <w:szCs w:val="20"/>
                <w:color w:val="auto"/>
              </w:rPr>
            </w:pPr>
            <w:r>
              <w:rPr>
                <w:rFonts w:ascii="Arial" w:cs="Arial" w:eastAsia="Arial" w:hAnsi="Arial"/>
                <w:sz w:val="12"/>
                <w:szCs w:val="12"/>
                <w:color w:val="005A64"/>
              </w:rPr>
              <w:t>Deferred tax assets</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16</w:t>
            </w:r>
          </w:p>
        </w:tc>
        <w:tc>
          <w:tcPr>
            <w:tcW w:w="2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920" w:type="dxa"/>
            <w:vAlign w:val="bottom"/>
            <w:gridSpan w:val="2"/>
          </w:tcPr>
          <w:p>
            <w:pPr>
              <w:ind w:left="100"/>
              <w:spacing w:after="0"/>
              <w:rPr>
                <w:sz w:val="20"/>
                <w:szCs w:val="20"/>
                <w:color w:val="auto"/>
              </w:rPr>
            </w:pPr>
            <w:r>
              <w:rPr>
                <w:rFonts w:ascii="Arial" w:cs="Arial" w:eastAsia="Arial" w:hAnsi="Arial"/>
                <w:sz w:val="12"/>
                <w:szCs w:val="12"/>
                <w:color w:val="005A64"/>
              </w:rPr>
              <w:t>554.7</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005A64"/>
              </w:rPr>
              <w:t>554.7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rPr>
                <w:sz w:val="20"/>
                <w:szCs w:val="20"/>
                <w:color w:val="auto"/>
              </w:rPr>
            </w:pPr>
            <w:r>
              <w:rPr>
                <w:rFonts w:ascii="Arial" w:cs="Arial" w:eastAsia="Arial" w:hAnsi="Arial"/>
                <w:sz w:val="12"/>
                <w:szCs w:val="12"/>
                <w:b w:val="1"/>
                <w:bCs w:val="1"/>
                <w:color w:val="005A64"/>
              </w:rPr>
              <w:t>As of December 31, 2022</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248.6</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005A64"/>
              </w:rPr>
              <w:t>1,828.2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005A64"/>
              </w:rPr>
              <w:t>(5.3)</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005A64"/>
              </w:rPr>
              <w:t>18,833.0</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005A64"/>
              </w:rPr>
              <w:t>(848.9)</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005A64"/>
              </w:rPr>
              <w:t>20,055.6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284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840" w:type="dxa"/>
            <w:vAlign w:val="bottom"/>
            <w:tcBorders>
              <w:bottom w:val="single" w:sz="8" w:color="BECE33"/>
            </w:tcBorders>
          </w:tcPr>
          <w:p>
            <w:pPr>
              <w:spacing w:after="0"/>
              <w:rPr>
                <w:sz w:val="4"/>
                <w:szCs w:val="4"/>
                <w:color w:val="auto"/>
              </w:rPr>
            </w:pPr>
          </w:p>
        </w:tc>
        <w:tc>
          <w:tcPr>
            <w:tcW w:w="80" w:type="dxa"/>
            <w:vAlign w:val="bottom"/>
            <w:tcBorders>
              <w:bottom w:val="single" w:sz="8" w:color="BECE33"/>
            </w:tcBorders>
          </w:tcPr>
          <w:p>
            <w:pPr>
              <w:spacing w:after="0"/>
              <w:rPr>
                <w:sz w:val="4"/>
                <w:szCs w:val="4"/>
                <w:color w:val="auto"/>
              </w:rPr>
            </w:pPr>
          </w:p>
        </w:tc>
        <w:tc>
          <w:tcPr>
            <w:tcW w:w="840" w:type="dxa"/>
            <w:vAlign w:val="bottom"/>
            <w:tcBorders>
              <w:bottom w:val="single" w:sz="8" w:color="BECE33"/>
            </w:tcBorders>
          </w:tcPr>
          <w:p>
            <w:pPr>
              <w:spacing w:after="0"/>
              <w:rPr>
                <w:sz w:val="4"/>
                <w:szCs w:val="4"/>
                <w:color w:val="auto"/>
              </w:rPr>
            </w:pPr>
          </w:p>
        </w:tc>
        <w:tc>
          <w:tcPr>
            <w:tcW w:w="80" w:type="dxa"/>
            <w:vAlign w:val="bottom"/>
            <w:tcBorders>
              <w:bottom w:val="single" w:sz="8" w:color="BECE33"/>
            </w:tcBorders>
          </w:tcPr>
          <w:p>
            <w:pPr>
              <w:spacing w:after="0"/>
              <w:rPr>
                <w:sz w:val="4"/>
                <w:szCs w:val="4"/>
                <w:color w:val="auto"/>
              </w:rPr>
            </w:pPr>
          </w:p>
        </w:tc>
        <w:tc>
          <w:tcPr>
            <w:tcW w:w="840" w:type="dxa"/>
            <w:vAlign w:val="bottom"/>
            <w:tcBorders>
              <w:bottom w:val="single" w:sz="8" w:color="BECE33"/>
            </w:tcBorders>
          </w:tcPr>
          <w:p>
            <w:pPr>
              <w:spacing w:after="0"/>
              <w:rPr>
                <w:sz w:val="4"/>
                <w:szCs w:val="4"/>
                <w:color w:val="auto"/>
              </w:rPr>
            </w:pPr>
          </w:p>
        </w:tc>
        <w:tc>
          <w:tcPr>
            <w:tcW w:w="920" w:type="dxa"/>
            <w:vAlign w:val="bottom"/>
            <w:tcBorders>
              <w:bottom w:val="single" w:sz="8" w:color="BECE33"/>
            </w:tcBorders>
            <w:gridSpan w:val="2"/>
          </w:tcPr>
          <w:p>
            <w:pPr>
              <w:spacing w:after="0"/>
              <w:rPr>
                <w:sz w:val="4"/>
                <w:szCs w:val="4"/>
                <w:color w:val="auto"/>
              </w:rPr>
            </w:pPr>
          </w:p>
        </w:tc>
        <w:tc>
          <w:tcPr>
            <w:tcW w:w="80" w:type="dxa"/>
            <w:vAlign w:val="bottom"/>
            <w:tcBorders>
              <w:bottom w:val="single" w:sz="8" w:color="BECE33"/>
            </w:tcBorders>
          </w:tcPr>
          <w:p>
            <w:pPr>
              <w:spacing w:after="0"/>
              <w:rPr>
                <w:sz w:val="4"/>
                <w:szCs w:val="4"/>
                <w:color w:val="auto"/>
              </w:rPr>
            </w:pPr>
          </w:p>
        </w:tc>
        <w:tc>
          <w:tcPr>
            <w:tcW w:w="840" w:type="dxa"/>
            <w:vAlign w:val="bottom"/>
            <w:tcBorders>
              <w:bottom w:val="single" w:sz="8" w:color="BECE33"/>
            </w:tcBorders>
          </w:tcPr>
          <w:p>
            <w:pPr>
              <w:spacing w:after="0"/>
              <w:rPr>
                <w:sz w:val="4"/>
                <w:szCs w:val="4"/>
                <w:color w:val="auto"/>
              </w:rPr>
            </w:pPr>
          </w:p>
        </w:tc>
        <w:tc>
          <w:tcPr>
            <w:tcW w:w="860" w:type="dxa"/>
            <w:vAlign w:val="bottom"/>
            <w:tcBorders>
              <w:bottom w:val="single" w:sz="8" w:color="BECE33"/>
            </w:tcBorders>
            <w:gridSpan w:val="2"/>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20"/>
                <w:szCs w:val="20"/>
                <w:color w:val="auto"/>
              </w:rPr>
            </w:pPr>
            <w:r>
              <w:rPr>
                <w:rFonts w:ascii="Arial" w:cs="Arial" w:eastAsia="Arial" w:hAnsi="Arial"/>
                <w:sz w:val="12"/>
                <w:szCs w:val="12"/>
                <w:color w:val="005A64"/>
              </w:rPr>
              <w:t>Net profit</w:t>
            </w:r>
          </w:p>
        </w:tc>
        <w:tc>
          <w:tcPr>
            <w:tcW w:w="40" w:type="dxa"/>
            <w:vAlign w:val="bottom"/>
            <w:tcBorders>
              <w:right w:val="single" w:sz="8" w:color="BECE33"/>
            </w:tcBorders>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920" w:type="dxa"/>
            <w:vAlign w:val="bottom"/>
            <w:gridSpan w:val="2"/>
          </w:tcPr>
          <w:p>
            <w:pPr>
              <w:ind w:left="100"/>
              <w:spacing w:after="0"/>
              <w:rPr>
                <w:sz w:val="20"/>
                <w:szCs w:val="20"/>
                <w:color w:val="auto"/>
              </w:rPr>
            </w:pPr>
            <w:r>
              <w:rPr>
                <w:rFonts w:ascii="Arial" w:cs="Arial" w:eastAsia="Arial" w:hAnsi="Arial"/>
                <w:sz w:val="12"/>
                <w:szCs w:val="12"/>
                <w:color w:val="005A64"/>
              </w:rPr>
              <w:t>930.3</w:t>
            </w:r>
          </w:p>
        </w:tc>
        <w:tc>
          <w:tcPr>
            <w:tcW w:w="8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005A64"/>
              </w:rPr>
              <w:t>930.3</w:t>
            </w:r>
          </w:p>
        </w:tc>
        <w:tc>
          <w:tcPr>
            <w:tcW w:w="40" w:type="dxa"/>
            <w:vAlign w:val="bottom"/>
            <w:tcBorders>
              <w:right w:val="single" w:sz="8" w:color="BECE33"/>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840" w:type="dxa"/>
            <w:vAlign w:val="bottom"/>
          </w:tcPr>
          <w:p>
            <w:pPr>
              <w:spacing w:after="0"/>
              <w:rPr>
                <w:sz w:val="20"/>
                <w:szCs w:val="20"/>
                <w:color w:val="auto"/>
              </w:rPr>
            </w:pPr>
            <w:r>
              <w:rPr>
                <w:rFonts w:ascii="Arial" w:cs="Arial" w:eastAsia="Arial" w:hAnsi="Arial"/>
                <w:sz w:val="12"/>
                <w:szCs w:val="12"/>
                <w:color w:val="005A64"/>
              </w:rPr>
              <w:t>Other comprehensive loss</w:t>
            </w:r>
          </w:p>
        </w:tc>
        <w:tc>
          <w:tcPr>
            <w:tcW w:w="40" w:type="dxa"/>
            <w:vAlign w:val="bottom"/>
            <w:tcBorders>
              <w:right w:val="single" w:sz="8" w:color="BECE33"/>
            </w:tcBorders>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920" w:type="dxa"/>
            <w:vAlign w:val="bottom"/>
            <w:gridSpan w:val="2"/>
          </w:tcPr>
          <w:p>
            <w:pPr>
              <w:ind w:left="100"/>
              <w:spacing w:after="0"/>
              <w:rPr>
                <w:sz w:val="20"/>
                <w:szCs w:val="20"/>
                <w:color w:val="auto"/>
              </w:rPr>
            </w:pPr>
            <w:r>
              <w:rPr>
                <w:rFonts w:ascii="Arial" w:cs="Arial" w:eastAsia="Arial" w:hAnsi="Arial"/>
                <w:sz w:val="12"/>
                <w:szCs w:val="12"/>
                <w:color w:val="005A64"/>
              </w:rPr>
              <w:t>(15.8)</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005A64"/>
              </w:rPr>
              <w:t>(15.8)</w:t>
            </w:r>
          </w:p>
        </w:tc>
        <w:tc>
          <w:tcPr>
            <w:tcW w:w="40" w:type="dxa"/>
            <w:vAlign w:val="bottom"/>
            <w:tcBorders>
              <w:right w:val="single" w:sz="8" w:color="BECE33"/>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rPr>
                <w:sz w:val="20"/>
                <w:szCs w:val="20"/>
                <w:color w:val="auto"/>
              </w:rPr>
            </w:pPr>
            <w:r>
              <w:rPr>
                <w:rFonts w:ascii="Arial" w:cs="Arial" w:eastAsia="Arial" w:hAnsi="Arial"/>
                <w:sz w:val="12"/>
                <w:szCs w:val="12"/>
                <w:b w:val="1"/>
                <w:bCs w:val="1"/>
                <w:color w:val="005A64"/>
              </w:rPr>
              <w:t>Total comprehensive income / (loss)</w:t>
            </w:r>
          </w:p>
        </w:tc>
        <w:tc>
          <w:tcPr>
            <w:tcW w:w="40" w:type="dxa"/>
            <w:vAlign w:val="bottom"/>
            <w:tcBorders>
              <w:right w:val="single" w:sz="8" w:color="BECE33"/>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w:t>
            </w:r>
          </w:p>
        </w:tc>
        <w:tc>
          <w:tcPr>
            <w:tcW w:w="8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w:t>
            </w:r>
          </w:p>
        </w:tc>
        <w:tc>
          <w:tcPr>
            <w:tcW w:w="8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005A64"/>
              </w:rPr>
              <w:t>930.3</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005A64"/>
              </w:rPr>
              <w:t>(15.8)</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005A64"/>
              </w:rPr>
              <w:t>914.5</w:t>
            </w:r>
          </w:p>
        </w:tc>
        <w:tc>
          <w:tcPr>
            <w:tcW w:w="4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2840" w:type="dxa"/>
            <w:vAlign w:val="bottom"/>
            <w:tcBorders>
              <w:bottom w:val="single" w:sz="8" w:color="005A64"/>
            </w:tcBorders>
          </w:tcPr>
          <w:p>
            <w:pPr>
              <w:spacing w:after="0"/>
              <w:rPr>
                <w:sz w:val="4"/>
                <w:szCs w:val="4"/>
                <w:color w:val="auto"/>
              </w:rPr>
            </w:pPr>
          </w:p>
        </w:tc>
        <w:tc>
          <w:tcPr>
            <w:tcW w:w="40" w:type="dxa"/>
            <w:vAlign w:val="bottom"/>
            <w:tcBorders>
              <w:right w:val="single" w:sz="8" w:color="BECE33"/>
            </w:tcBorders>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40" w:type="dxa"/>
            <w:vAlign w:val="bottom"/>
            <w:tcBorders>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840" w:type="dxa"/>
            <w:vAlign w:val="bottom"/>
          </w:tcPr>
          <w:p>
            <w:pPr>
              <w:spacing w:after="0"/>
              <w:rPr>
                <w:sz w:val="3"/>
                <w:szCs w:val="3"/>
                <w:color w:val="auto"/>
              </w:rPr>
            </w:pPr>
          </w:p>
        </w:tc>
        <w:tc>
          <w:tcPr>
            <w:tcW w:w="40" w:type="dxa"/>
            <w:vAlign w:val="bottom"/>
            <w:tcBorders>
              <w:right w:val="single" w:sz="8" w:color="BECE33"/>
            </w:tcBorders>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Borders>
              <w:right w:val="single" w:sz="8" w:color="BECE33"/>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413385</wp:posOffset>
            </wp:positionH>
            <wp:positionV relativeFrom="page">
              <wp:posOffset>361950</wp:posOffset>
            </wp:positionV>
            <wp:extent cx="5796280" cy="127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4">
                      <a:extLst>
                        <a:ext uri="{28A0092B-C50C-407E-A947-70E740481C1C}"/>
                      </a:extLst>
                    </a:blip>
                    <a:srcRect/>
                    <a:stretch>
                      <a:fillRect/>
                    </a:stretch>
                  </pic:blipFill>
                  <pic:spPr bwMode="auto">
                    <a:xfrm>
                      <a:off x="0" y="0"/>
                      <a:ext cx="5796280" cy="1270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3"/>
          <w:szCs w:val="13"/>
          <w:color w:val="auto"/>
        </w:rPr>
        <w:t>F-11</w:t>
      </w:r>
    </w:p>
    <w:p>
      <w:pPr>
        <w:ind w:left="116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90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6"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005A64"/>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-132080</wp:posOffset>
            </wp:positionV>
            <wp:extent cx="5231130" cy="6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5">
                      <a:extLst>
                        <a:ext uri="{28A0092B-C50C-407E-A947-70E740481C1C}"/>
                      </a:extLst>
                    </a:blip>
                    <a:srcRect/>
                    <a:stretch>
                      <a:fillRect/>
                    </a:stretch>
                  </pic:blipFill>
                  <pic:spPr bwMode="auto">
                    <a:xfrm>
                      <a:off x="0" y="0"/>
                      <a:ext cx="5231130" cy="6350"/>
                    </a:xfrm>
                    <a:prstGeom prst="rect">
                      <a:avLst/>
                    </a:prstGeom>
                    <a:noFill/>
                  </pic:spPr>
                </pic:pic>
              </a:graphicData>
            </a:graphic>
          </wp:anchor>
        </w:drawing>
        <w:drawing>
          <wp:anchor simplePos="0" relativeHeight="251657728" behindDoc="1" locked="0" layoutInCell="0" allowOverlap="1">
            <wp:simplePos x="0" y="0"/>
            <wp:positionH relativeFrom="column">
              <wp:posOffset>738505</wp:posOffset>
            </wp:positionH>
            <wp:positionV relativeFrom="paragraph">
              <wp:posOffset>1905</wp:posOffset>
            </wp:positionV>
            <wp:extent cx="4300220" cy="127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6">
                      <a:extLst>
                        <a:ext uri="{28A0092B-C50C-407E-A947-70E740481C1C}"/>
                      </a:extLst>
                    </a:blip>
                    <a:srcRect/>
                    <a:stretch>
                      <a:fillRect/>
                    </a:stretch>
                  </pic:blipFill>
                  <pic:spPr bwMode="auto">
                    <a:xfrm>
                      <a:off x="0" y="0"/>
                      <a:ext cx="4300220" cy="12700"/>
                    </a:xfrm>
                    <a:prstGeom prst="rect">
                      <a:avLst/>
                    </a:prstGeom>
                    <a:noFill/>
                  </pic:spPr>
                </pic:pic>
              </a:graphicData>
            </a:graphic>
          </wp:anchor>
        </w:drawing>
      </w:r>
    </w:p>
    <w:p>
      <w:pPr>
        <w:spacing w:after="0" w:line="49"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005A64"/>
              </w:rPr>
              <w:t>Years ended</w:t>
            </w: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005A64"/>
              </w:rPr>
              <w:t>December 31,</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2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005A64"/>
              </w:rPr>
              <w:t>(in millions €)</w:t>
            </w:r>
          </w:p>
        </w:tc>
        <w:tc>
          <w:tcPr>
            <w:tcW w:w="20" w:type="dxa"/>
            <w:vAlign w:val="bottom"/>
            <w:tcBorders>
              <w:bottom w:val="single" w:sz="8" w:color="BECE33"/>
            </w:tcBorders>
          </w:tcPr>
          <w:p>
            <w:pPr>
              <w:spacing w:after="0"/>
              <w:rPr>
                <w:sz w:val="10"/>
                <w:szCs w:val="10"/>
                <w:color w:val="auto"/>
              </w:rPr>
            </w:pPr>
          </w:p>
        </w:tc>
        <w:tc>
          <w:tcPr>
            <w:tcW w:w="800" w:type="dxa"/>
            <w:vAlign w:val="bottom"/>
            <w:tcBorders>
              <w:bottom w:val="single" w:sz="8" w:color="BECE33"/>
            </w:tcBorders>
          </w:tcPr>
          <w:p>
            <w:pPr>
              <w:spacing w:after="0"/>
              <w:rPr>
                <w:sz w:val="10"/>
                <w:szCs w:val="10"/>
                <w:color w:val="auto"/>
              </w:rPr>
            </w:pPr>
          </w:p>
        </w:tc>
        <w:tc>
          <w:tcPr>
            <w:tcW w:w="40" w:type="dxa"/>
            <w:vAlign w:val="bottom"/>
            <w:tcBorders>
              <w:bottom w:val="single" w:sz="8" w:color="BECE33"/>
            </w:tcBorders>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005A64"/>
              </w:rPr>
              <w:t>2023</w:t>
            </w:r>
          </w:p>
        </w:tc>
        <w:tc>
          <w:tcPr>
            <w:tcW w:w="8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005A64"/>
              </w:rPr>
              <w:t>2022</w:t>
            </w:r>
          </w:p>
        </w:tc>
        <w:tc>
          <w:tcPr>
            <w:tcW w:w="0" w:type="dxa"/>
            <w:vAlign w:val="bottom"/>
          </w:tcPr>
          <w:p>
            <w:pPr>
              <w:spacing w:after="0"/>
              <w:rPr>
                <w:sz w:val="1"/>
                <w:szCs w:val="1"/>
                <w:color w:val="auto"/>
              </w:rPr>
            </w:pPr>
          </w:p>
        </w:tc>
      </w:tr>
      <w:tr>
        <w:trPr>
          <w:trHeight w:val="141"/>
        </w:trPr>
        <w:tc>
          <w:tcPr>
            <w:tcW w:w="4220" w:type="dxa"/>
            <w:vAlign w:val="bottom"/>
            <w:gridSpan w:val="2"/>
            <w:vMerge w:val="continue"/>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005A64"/>
              </w:rPr>
              <w:t>2024</w:t>
            </w:r>
          </w:p>
        </w:tc>
        <w:tc>
          <w:tcPr>
            <w:tcW w:w="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200" w:type="dxa"/>
            <w:vAlign w:val="bottom"/>
            <w:tcBorders>
              <w:top w:val="single" w:sz="8" w:color="005A64"/>
            </w:tcBorders>
          </w:tcPr>
          <w:p>
            <w:pPr>
              <w:ind w:left="20"/>
              <w:spacing w:after="0"/>
              <w:rPr>
                <w:sz w:val="20"/>
                <w:szCs w:val="20"/>
                <w:color w:val="auto"/>
              </w:rPr>
            </w:pPr>
            <w:r>
              <w:rPr>
                <w:rFonts w:ascii="Arial" w:cs="Arial" w:eastAsia="Arial" w:hAnsi="Arial"/>
                <w:sz w:val="11"/>
                <w:szCs w:val="11"/>
                <w:b w:val="1"/>
                <w:bCs w:val="1"/>
                <w:color w:val="3C9673"/>
              </w:rPr>
              <w:t>Operating activities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top w:val="single" w:sz="8" w:color="005A64"/>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top w:val="single" w:sz="8" w:color="005A64"/>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005A64"/>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Net profit / (loss)</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(665.3)</w:t>
            </w:r>
          </w:p>
        </w:tc>
        <w:tc>
          <w:tcPr>
            <w:tcW w:w="4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930.3</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9,434.4</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Income taxes</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(12.4)</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255.8</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3,519.7</w:t>
            </w:r>
          </w:p>
        </w:tc>
        <w:tc>
          <w:tcPr>
            <w:tcW w:w="0" w:type="dxa"/>
            <w:vAlign w:val="bottom"/>
          </w:tcPr>
          <w:p>
            <w:pPr>
              <w:spacing w:after="0"/>
              <w:rPr>
                <w:sz w:val="1"/>
                <w:szCs w:val="1"/>
                <w:color w:val="auto"/>
              </w:rPr>
            </w:pPr>
          </w:p>
        </w:tc>
      </w:tr>
      <w:tr>
        <w:trPr>
          <w:trHeight w:val="166"/>
        </w:trPr>
        <w:tc>
          <w:tcPr>
            <w:tcW w:w="4220" w:type="dxa"/>
            <w:vAlign w:val="bottom"/>
            <w:gridSpan w:val="2"/>
          </w:tcPr>
          <w:p>
            <w:pPr>
              <w:ind w:left="20"/>
              <w:spacing w:after="0"/>
              <w:rPr>
                <w:sz w:val="20"/>
                <w:szCs w:val="20"/>
                <w:color w:val="auto"/>
              </w:rPr>
            </w:pPr>
            <w:r>
              <w:rPr>
                <w:rFonts w:ascii="Arial" w:cs="Arial" w:eastAsia="Arial" w:hAnsi="Arial"/>
                <w:sz w:val="11"/>
                <w:szCs w:val="11"/>
                <w:b w:val="1"/>
                <w:bCs w:val="1"/>
                <w:color w:val="005A64"/>
              </w:rPr>
              <w:t>Profit / (Loss) before tax</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005A64"/>
              </w:rPr>
              <w:t>(677.7)</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005A64"/>
              </w:rPr>
              <w:t>1,186.1</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005A64"/>
              </w:rPr>
              <w:t>12,954.1</w:t>
            </w:r>
          </w:p>
        </w:tc>
        <w:tc>
          <w:tcPr>
            <w:tcW w:w="0" w:type="dxa"/>
            <w:vAlign w:val="bottom"/>
          </w:tcPr>
          <w:p>
            <w:pPr>
              <w:spacing w:after="0"/>
              <w:rPr>
                <w:sz w:val="1"/>
                <w:szCs w:val="1"/>
                <w:color w:val="auto"/>
              </w:rPr>
            </w:pPr>
          </w:p>
        </w:tc>
      </w:tr>
      <w:tr>
        <w:trPr>
          <w:trHeight w:val="21"/>
        </w:trPr>
        <w:tc>
          <w:tcPr>
            <w:tcW w:w="4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2"/>
        </w:trPr>
        <w:tc>
          <w:tcPr>
            <w:tcW w:w="4200" w:type="dxa"/>
            <w:vAlign w:val="bottom"/>
            <w:tcBorders>
              <w:top w:val="single" w:sz="8" w:color="005A64"/>
            </w:tcBorders>
          </w:tcPr>
          <w:p>
            <w:pPr>
              <w:ind w:left="20"/>
              <w:spacing w:after="0"/>
              <w:rPr>
                <w:sz w:val="20"/>
                <w:szCs w:val="20"/>
                <w:color w:val="auto"/>
              </w:rPr>
            </w:pPr>
            <w:r>
              <w:rPr>
                <w:rFonts w:ascii="Arial" w:cs="Arial" w:eastAsia="Arial" w:hAnsi="Arial"/>
                <w:sz w:val="11"/>
                <w:szCs w:val="11"/>
                <w:b w:val="1"/>
                <w:bCs w:val="1"/>
                <w:color w:val="3C9673"/>
              </w:rPr>
              <w:t>Adjustments to reconcile profit before tax to net cash flows: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top w:val="single" w:sz="8" w:color="005A64"/>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top w:val="single" w:sz="8" w:color="005A64"/>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005A64"/>
            </w:tcBorders>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4220" w:type="dxa"/>
            <w:vAlign w:val="bottom"/>
            <w:gridSpan w:val="2"/>
          </w:tcPr>
          <w:p>
            <w:pPr>
              <w:ind w:left="20"/>
              <w:spacing w:after="0" w:line="111" w:lineRule="exact"/>
              <w:rPr>
                <w:sz w:val="20"/>
                <w:szCs w:val="20"/>
                <w:color w:val="auto"/>
              </w:rPr>
            </w:pPr>
            <w:r>
              <w:rPr>
                <w:rFonts w:ascii="Arial" w:cs="Arial" w:eastAsia="Arial" w:hAnsi="Arial"/>
                <w:sz w:val="11"/>
                <w:szCs w:val="11"/>
                <w:color w:val="005A64"/>
              </w:rPr>
              <w:t>Depreciation and amortization of property, plant, equipment, intangible assets and</w:t>
            </w:r>
          </w:p>
        </w:tc>
        <w:tc>
          <w:tcPr>
            <w:tcW w:w="820" w:type="dxa"/>
            <w:vAlign w:val="bottom"/>
            <w:gridSpan w:val="2"/>
          </w:tcPr>
          <w:p>
            <w:pPr>
              <w:ind w:left="40"/>
              <w:spacing w:after="0" w:line="111" w:lineRule="exact"/>
              <w:rPr>
                <w:sz w:val="20"/>
                <w:szCs w:val="20"/>
                <w:color w:val="auto"/>
              </w:rPr>
            </w:pPr>
            <w:r>
              <w:rPr>
                <w:rFonts w:ascii="Arial" w:cs="Arial" w:eastAsia="Arial" w:hAnsi="Arial"/>
                <w:sz w:val="11"/>
                <w:szCs w:val="11"/>
                <w:color w:val="005A64"/>
              </w:rPr>
              <w:t>298.0</w:t>
            </w:r>
          </w:p>
        </w:tc>
        <w:tc>
          <w:tcPr>
            <w:tcW w:w="40" w:type="dxa"/>
            <w:vAlign w:val="bottom"/>
          </w:tcPr>
          <w:p>
            <w:pPr>
              <w:spacing w:after="0"/>
              <w:rPr>
                <w:sz w:val="9"/>
                <w:szCs w:val="9"/>
                <w:color w:val="auto"/>
              </w:rPr>
            </w:pPr>
          </w:p>
        </w:tc>
        <w:tc>
          <w:tcPr>
            <w:tcW w:w="820" w:type="dxa"/>
            <w:vAlign w:val="bottom"/>
            <w:gridSpan w:val="2"/>
          </w:tcPr>
          <w:p>
            <w:pPr>
              <w:ind w:left="40"/>
              <w:spacing w:after="0" w:line="111" w:lineRule="exact"/>
              <w:rPr>
                <w:sz w:val="20"/>
                <w:szCs w:val="20"/>
                <w:color w:val="auto"/>
              </w:rPr>
            </w:pPr>
            <w:r>
              <w:rPr>
                <w:rFonts w:ascii="Arial" w:cs="Arial" w:eastAsia="Arial" w:hAnsi="Arial"/>
                <w:sz w:val="11"/>
                <w:szCs w:val="11"/>
                <w:color w:val="005A64"/>
              </w:rPr>
              <w:t>183.4</w:t>
            </w:r>
          </w:p>
        </w:tc>
        <w:tc>
          <w:tcPr>
            <w:tcW w:w="880" w:type="dxa"/>
            <w:vAlign w:val="bottom"/>
            <w:gridSpan w:val="2"/>
          </w:tcPr>
          <w:p>
            <w:pPr>
              <w:ind w:left="100"/>
              <w:spacing w:after="0" w:line="111" w:lineRule="exact"/>
              <w:rPr>
                <w:sz w:val="20"/>
                <w:szCs w:val="20"/>
                <w:color w:val="auto"/>
              </w:rPr>
            </w:pPr>
            <w:r>
              <w:rPr>
                <w:rFonts w:ascii="Arial" w:cs="Arial" w:eastAsia="Arial" w:hAnsi="Arial"/>
                <w:sz w:val="11"/>
                <w:szCs w:val="11"/>
                <w:color w:val="005A64"/>
              </w:rPr>
              <w:t>123.3</w:t>
            </w:r>
          </w:p>
        </w:tc>
        <w:tc>
          <w:tcPr>
            <w:tcW w:w="0" w:type="dxa"/>
            <w:vAlign w:val="bottom"/>
          </w:tcPr>
          <w:p>
            <w:pPr>
              <w:spacing w:after="0"/>
              <w:rPr>
                <w:sz w:val="1"/>
                <w:szCs w:val="1"/>
                <w:color w:val="auto"/>
              </w:rPr>
            </w:pPr>
          </w:p>
        </w:tc>
      </w:tr>
      <w:tr>
        <w:trPr>
          <w:trHeight w:val="147"/>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right-of-use assets</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Share-based payment expenses</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100.9</w:t>
            </w:r>
          </w:p>
        </w:tc>
        <w:tc>
          <w:tcPr>
            <w:tcW w:w="4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51.4</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108.6</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Net foreign exchange differences</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(109.5)</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(298.0)</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625.5</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(Gain) / Loss on disposal of property, plant and equipment</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(0.3)</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3.8</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0.6</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Finance income excluding foreign exchange differences</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(648.5)</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(519.6)</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(265.3)</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Finance expense excluding foreign exchange differences</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27.4</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7.9</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18.9</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Government grants</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(31.5)</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2.4</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0.3</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Unrealized (gain) / loss on derivative instruments at fair value through profit or loss</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4.6</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175.5</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(241.0)</w:t>
            </w:r>
          </w:p>
        </w:tc>
        <w:tc>
          <w:tcPr>
            <w:tcW w:w="0" w:type="dxa"/>
            <w:vAlign w:val="bottom"/>
          </w:tcPr>
          <w:p>
            <w:pPr>
              <w:spacing w:after="0"/>
              <w:rPr>
                <w:sz w:val="1"/>
                <w:szCs w:val="1"/>
                <w:color w:val="auto"/>
              </w:rPr>
            </w:pPr>
          </w:p>
        </w:tc>
      </w:tr>
      <w:tr>
        <w:trPr>
          <w:trHeight w:val="166"/>
        </w:trPr>
        <w:tc>
          <w:tcPr>
            <w:tcW w:w="4220" w:type="dxa"/>
            <w:vAlign w:val="bottom"/>
            <w:gridSpan w:val="2"/>
          </w:tcPr>
          <w:p>
            <w:pPr>
              <w:ind w:left="20"/>
              <w:spacing w:after="0"/>
              <w:rPr>
                <w:sz w:val="20"/>
                <w:szCs w:val="20"/>
                <w:color w:val="auto"/>
              </w:rPr>
            </w:pPr>
            <w:r>
              <w:rPr>
                <w:rFonts w:ascii="Arial" w:cs="Arial" w:eastAsia="Arial" w:hAnsi="Arial"/>
                <w:sz w:val="11"/>
                <w:szCs w:val="11"/>
                <w:b w:val="1"/>
                <w:bCs w:val="1"/>
                <w:color w:val="3C9673"/>
              </w:rPr>
              <w:t>Working capital adjustments:</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Decrease in trade and other receivables, contract assets and other assets</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387.7</w:t>
            </w:r>
          </w:p>
        </w:tc>
        <w:tc>
          <w:tcPr>
            <w:tcW w:w="4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5,374.0</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4,369.9</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Decrease in inventories</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74.5</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81.9</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62.9</w:t>
            </w:r>
          </w:p>
        </w:tc>
        <w:tc>
          <w:tcPr>
            <w:tcW w:w="0" w:type="dxa"/>
            <w:vAlign w:val="bottom"/>
          </w:tcPr>
          <w:p>
            <w:pPr>
              <w:spacing w:after="0"/>
              <w:rPr>
                <w:sz w:val="1"/>
                <w:szCs w:val="1"/>
                <w:color w:val="auto"/>
              </w:rPr>
            </w:pPr>
          </w:p>
        </w:tc>
      </w:tr>
      <w:tr>
        <w:trPr>
          <w:trHeight w:val="126"/>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Increase in trade payables, other financial liabilities, other liabilities, contract</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758.4</w:t>
            </w:r>
          </w:p>
        </w:tc>
        <w:tc>
          <w:tcPr>
            <w:tcW w:w="40" w:type="dxa"/>
            <w:vAlign w:val="bottom"/>
          </w:tcPr>
          <w:p>
            <w:pPr>
              <w:spacing w:after="0"/>
              <w:rPr>
                <w:sz w:val="10"/>
                <w:szCs w:val="10"/>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118.9</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85.7</w:t>
            </w:r>
          </w:p>
        </w:tc>
        <w:tc>
          <w:tcPr>
            <w:tcW w:w="0" w:type="dxa"/>
            <w:vAlign w:val="bottom"/>
          </w:tcPr>
          <w:p>
            <w:pPr>
              <w:spacing w:after="0"/>
              <w:rPr>
                <w:sz w:val="1"/>
                <w:szCs w:val="1"/>
                <w:color w:val="auto"/>
              </w:rPr>
            </w:pPr>
          </w:p>
        </w:tc>
      </w:tr>
      <w:tr>
        <w:trPr>
          <w:trHeight w:val="147"/>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liabilities, refund liabilities and provisions</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Interest received and realized gains from cash and cash equivalents</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474.9</w:t>
            </w:r>
          </w:p>
        </w:tc>
        <w:tc>
          <w:tcPr>
            <w:tcW w:w="4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258.2</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29.3</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Interest paid and realized losses from cash and cash equivalents</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(13.5)</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(5.4)</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(21.5)</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Income tax paid</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(389.2)</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(482.9)</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(4,222.1)</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Share-based payments</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(154.5)</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(766.2)</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(51.8)</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Government grants received</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106.0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1"/>
                <w:szCs w:val="11"/>
                <w:color w:val="005A64"/>
              </w:rPr>
              <w:t>—</w:t>
            </w:r>
          </w:p>
        </w:tc>
        <w:tc>
          <w:tcPr>
            <w:tcW w:w="8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1"/>
                <w:szCs w:val="11"/>
                <w:color w:val="005A64"/>
              </w:rPr>
              <w:t>—</w:t>
            </w:r>
          </w:p>
        </w:tc>
        <w:tc>
          <w:tcPr>
            <w:tcW w:w="0" w:type="dxa"/>
            <w:vAlign w:val="bottom"/>
          </w:tcPr>
          <w:p>
            <w:pPr>
              <w:spacing w:after="0"/>
              <w:rPr>
                <w:sz w:val="1"/>
                <w:szCs w:val="1"/>
                <w:color w:val="auto"/>
              </w:rPr>
            </w:pPr>
          </w:p>
        </w:tc>
      </w:tr>
      <w:tr>
        <w:trPr>
          <w:trHeight w:val="166"/>
        </w:trPr>
        <w:tc>
          <w:tcPr>
            <w:tcW w:w="4220" w:type="dxa"/>
            <w:vAlign w:val="bottom"/>
            <w:gridSpan w:val="2"/>
          </w:tcPr>
          <w:p>
            <w:pPr>
              <w:ind w:left="20"/>
              <w:spacing w:after="0"/>
              <w:rPr>
                <w:sz w:val="20"/>
                <w:szCs w:val="20"/>
                <w:color w:val="auto"/>
              </w:rPr>
            </w:pPr>
            <w:r>
              <w:rPr>
                <w:rFonts w:ascii="Arial" w:cs="Arial" w:eastAsia="Arial" w:hAnsi="Arial"/>
                <w:sz w:val="11"/>
                <w:szCs w:val="11"/>
                <w:b w:val="1"/>
                <w:bCs w:val="1"/>
                <w:color w:val="005A64"/>
              </w:rPr>
              <w:t>Net cash flows from operating activities</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005A64"/>
              </w:rPr>
              <w:t>207.7</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005A64"/>
              </w:rPr>
              <w:t>5,371.4</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005A64"/>
              </w:rPr>
              <w:t>13,577.4</w:t>
            </w:r>
          </w:p>
        </w:tc>
        <w:tc>
          <w:tcPr>
            <w:tcW w:w="0" w:type="dxa"/>
            <w:vAlign w:val="bottom"/>
          </w:tcPr>
          <w:p>
            <w:pPr>
              <w:spacing w:after="0"/>
              <w:rPr>
                <w:sz w:val="1"/>
                <w:szCs w:val="1"/>
                <w:color w:val="auto"/>
              </w:rPr>
            </w:pPr>
          </w:p>
        </w:tc>
      </w:tr>
      <w:tr>
        <w:trPr>
          <w:trHeight w:val="21"/>
        </w:trPr>
        <w:tc>
          <w:tcPr>
            <w:tcW w:w="4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2"/>
        </w:trPr>
        <w:tc>
          <w:tcPr>
            <w:tcW w:w="4200" w:type="dxa"/>
            <w:vAlign w:val="bottom"/>
            <w:tcBorders>
              <w:top w:val="single" w:sz="8" w:color="005A64"/>
            </w:tcBorders>
          </w:tcPr>
          <w:p>
            <w:pPr>
              <w:ind w:left="20"/>
              <w:spacing w:after="0"/>
              <w:rPr>
                <w:sz w:val="20"/>
                <w:szCs w:val="20"/>
                <w:color w:val="auto"/>
              </w:rPr>
            </w:pPr>
            <w:r>
              <w:rPr>
                <w:rFonts w:ascii="Arial" w:cs="Arial" w:eastAsia="Arial" w:hAnsi="Arial"/>
                <w:sz w:val="11"/>
                <w:szCs w:val="11"/>
                <w:b w:val="1"/>
                <w:bCs w:val="1"/>
                <w:color w:val="3C9673"/>
              </w:rPr>
              <w:t>Investing activities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top w:val="single" w:sz="8" w:color="005A64"/>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top w:val="single" w:sz="8" w:color="005A64"/>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005A64"/>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Purchase of property, plant and equipment</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(286.5)</w:t>
            </w:r>
          </w:p>
        </w:tc>
        <w:tc>
          <w:tcPr>
            <w:tcW w:w="4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(249.4)</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(329.2)</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Proceeds from sale of property, plant and equipment</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1.2</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(0.7)</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0.6</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Purchase of intangible assets and right-of-use assets</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(165.8)</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(455.4)</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(34.1)</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Acquisition of subsidiaries and businesses, net of cash acquired</w:t>
            </w:r>
          </w:p>
        </w:tc>
        <w:tc>
          <w:tcPr>
            <w:tcW w:w="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color w:val="005A64"/>
              </w:rPr>
              <w:t>—</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(336.9)</w:t>
            </w:r>
          </w:p>
        </w:tc>
        <w:tc>
          <w:tcPr>
            <w:tcW w:w="8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1"/>
                <w:szCs w:val="11"/>
                <w:color w:val="005A64"/>
              </w:rPr>
              <w:t>—</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Investment in other financial assets</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(12,370.3)</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(7,128.4)</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(47.8)</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Proceeds from maturity of other financial assets</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10,740.2</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1,216.3</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375.2</w:t>
            </w:r>
          </w:p>
        </w:tc>
        <w:tc>
          <w:tcPr>
            <w:tcW w:w="0" w:type="dxa"/>
            <w:vAlign w:val="bottom"/>
          </w:tcPr>
          <w:p>
            <w:pPr>
              <w:spacing w:after="0"/>
              <w:rPr>
                <w:sz w:val="1"/>
                <w:szCs w:val="1"/>
                <w:color w:val="auto"/>
              </w:rPr>
            </w:pPr>
          </w:p>
        </w:tc>
      </w:tr>
      <w:tr>
        <w:trPr>
          <w:trHeight w:val="166"/>
        </w:trPr>
        <w:tc>
          <w:tcPr>
            <w:tcW w:w="4220" w:type="dxa"/>
            <w:vAlign w:val="bottom"/>
            <w:gridSpan w:val="2"/>
          </w:tcPr>
          <w:p>
            <w:pPr>
              <w:ind w:left="20"/>
              <w:spacing w:after="0"/>
              <w:rPr>
                <w:sz w:val="20"/>
                <w:szCs w:val="20"/>
                <w:color w:val="auto"/>
              </w:rPr>
            </w:pPr>
            <w:r>
              <w:rPr>
                <w:rFonts w:ascii="Arial" w:cs="Arial" w:eastAsia="Arial" w:hAnsi="Arial"/>
                <w:sz w:val="11"/>
                <w:szCs w:val="11"/>
                <w:b w:val="1"/>
                <w:bCs w:val="1"/>
                <w:color w:val="005A64"/>
              </w:rPr>
              <w:t>Net cash flows used in investing activities</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005A64"/>
              </w:rPr>
              <w:t>(2,081.2)</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005A64"/>
              </w:rPr>
              <w:t>(6,954.5)</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005A64"/>
              </w:rPr>
              <w:t>(35.3)</w:t>
            </w:r>
          </w:p>
        </w:tc>
        <w:tc>
          <w:tcPr>
            <w:tcW w:w="0" w:type="dxa"/>
            <w:vAlign w:val="bottom"/>
          </w:tcPr>
          <w:p>
            <w:pPr>
              <w:spacing w:after="0"/>
              <w:rPr>
                <w:sz w:val="1"/>
                <w:szCs w:val="1"/>
                <w:color w:val="auto"/>
              </w:rPr>
            </w:pPr>
          </w:p>
        </w:tc>
      </w:tr>
      <w:tr>
        <w:trPr>
          <w:trHeight w:val="21"/>
        </w:trPr>
        <w:tc>
          <w:tcPr>
            <w:tcW w:w="4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2"/>
        </w:trPr>
        <w:tc>
          <w:tcPr>
            <w:tcW w:w="4200" w:type="dxa"/>
            <w:vAlign w:val="bottom"/>
            <w:tcBorders>
              <w:top w:val="single" w:sz="8" w:color="005A64"/>
            </w:tcBorders>
          </w:tcPr>
          <w:p>
            <w:pPr>
              <w:ind w:left="20"/>
              <w:spacing w:after="0"/>
              <w:rPr>
                <w:sz w:val="20"/>
                <w:szCs w:val="20"/>
                <w:color w:val="auto"/>
              </w:rPr>
            </w:pPr>
            <w:r>
              <w:rPr>
                <w:rFonts w:ascii="Arial" w:cs="Arial" w:eastAsia="Arial" w:hAnsi="Arial"/>
                <w:sz w:val="11"/>
                <w:szCs w:val="11"/>
                <w:b w:val="1"/>
                <w:bCs w:val="1"/>
                <w:color w:val="3C9673"/>
              </w:rPr>
              <w:t>Financing activities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top w:val="single" w:sz="8" w:color="005A64"/>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top w:val="single" w:sz="8" w:color="005A64"/>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005A64"/>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Proceeds from issuance of share capital and treasury shares, net of costs</w:t>
            </w:r>
          </w:p>
        </w:tc>
        <w:tc>
          <w:tcPr>
            <w:tcW w:w="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color w:val="005A64"/>
              </w:rPr>
              <w:t>—</w:t>
            </w:r>
          </w:p>
        </w:tc>
        <w:tc>
          <w:tcPr>
            <w:tcW w:w="40" w:type="dxa"/>
            <w:vAlign w:val="bottom"/>
          </w:tcPr>
          <w:p>
            <w:pPr>
              <w:spacing w:after="0"/>
              <w:rPr>
                <w:sz w:val="12"/>
                <w:szCs w:val="12"/>
                <w:color w:val="auto"/>
              </w:rPr>
            </w:pPr>
          </w:p>
        </w:tc>
        <w:tc>
          <w:tcPr>
            <w:tcW w:w="780" w:type="dxa"/>
            <w:vAlign w:val="bottom"/>
          </w:tcPr>
          <w:p>
            <w:pPr>
              <w:spacing w:after="0"/>
              <w:rPr>
                <w:sz w:val="20"/>
                <w:szCs w:val="20"/>
                <w:color w:val="auto"/>
              </w:rPr>
            </w:pPr>
            <w:r>
              <w:rPr>
                <w:rFonts w:ascii="Arial" w:cs="Arial" w:eastAsia="Arial" w:hAnsi="Arial"/>
                <w:sz w:val="11"/>
                <w:szCs w:val="11"/>
                <w:color w:val="005A64"/>
              </w:rPr>
              <w:t>—</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110.5</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Proceeds from loans and borrowings</w:t>
            </w:r>
          </w:p>
        </w:tc>
        <w:tc>
          <w:tcPr>
            <w:tcW w:w="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color w:val="005A64"/>
              </w:rPr>
              <w:t>—</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0.3</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0.8</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Repayment of loans and borrowings</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(2.3)</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(0.1)</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(18.8)</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Payments related to lease liabilities</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(43.6)</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(40.3)</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(41.1)</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Share repurchase program</w:t>
            </w:r>
          </w:p>
        </w:tc>
        <w:tc>
          <w:tcPr>
            <w:tcW w:w="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color w:val="005A64"/>
              </w:rPr>
              <w:t>—</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(738.5)</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(986.4)</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Dividends</w:t>
            </w:r>
          </w:p>
        </w:tc>
        <w:tc>
          <w:tcPr>
            <w:tcW w:w="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color w:val="005A64"/>
              </w:rPr>
              <w:t>—</w:t>
            </w:r>
          </w:p>
        </w:tc>
        <w:tc>
          <w:tcPr>
            <w:tcW w:w="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1"/>
                <w:szCs w:val="11"/>
                <w:color w:val="005A64"/>
              </w:rPr>
              <w:t>—</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(484.3)</w:t>
            </w:r>
          </w:p>
        </w:tc>
        <w:tc>
          <w:tcPr>
            <w:tcW w:w="0" w:type="dxa"/>
            <w:vAlign w:val="bottom"/>
          </w:tcPr>
          <w:p>
            <w:pPr>
              <w:spacing w:after="0"/>
              <w:rPr>
                <w:sz w:val="1"/>
                <w:szCs w:val="1"/>
                <w:color w:val="auto"/>
              </w:rPr>
            </w:pPr>
          </w:p>
        </w:tc>
      </w:tr>
      <w:tr>
        <w:trPr>
          <w:trHeight w:val="166"/>
        </w:trPr>
        <w:tc>
          <w:tcPr>
            <w:tcW w:w="4220" w:type="dxa"/>
            <w:vAlign w:val="bottom"/>
            <w:gridSpan w:val="2"/>
          </w:tcPr>
          <w:p>
            <w:pPr>
              <w:ind w:left="20"/>
              <w:spacing w:after="0"/>
              <w:rPr>
                <w:sz w:val="20"/>
                <w:szCs w:val="20"/>
                <w:color w:val="auto"/>
              </w:rPr>
            </w:pPr>
            <w:r>
              <w:rPr>
                <w:rFonts w:ascii="Arial" w:cs="Arial" w:eastAsia="Arial" w:hAnsi="Arial"/>
                <w:sz w:val="11"/>
                <w:szCs w:val="11"/>
                <w:b w:val="1"/>
                <w:bCs w:val="1"/>
                <w:color w:val="005A64"/>
              </w:rPr>
              <w:t>Net cash flows used in financing activities</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005A64"/>
              </w:rPr>
              <w:t>(45.9)</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005A64"/>
              </w:rPr>
              <w:t>(778.6)</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005A64"/>
              </w:rPr>
              <w:t>(1,419.3)</w:t>
            </w:r>
          </w:p>
        </w:tc>
        <w:tc>
          <w:tcPr>
            <w:tcW w:w="0" w:type="dxa"/>
            <w:vAlign w:val="bottom"/>
          </w:tcPr>
          <w:p>
            <w:pPr>
              <w:spacing w:after="0"/>
              <w:rPr>
                <w:sz w:val="1"/>
                <w:szCs w:val="1"/>
                <w:color w:val="auto"/>
              </w:rPr>
            </w:pPr>
          </w:p>
        </w:tc>
      </w:tr>
      <w:tr>
        <w:trPr>
          <w:trHeight w:val="21"/>
        </w:trPr>
        <w:tc>
          <w:tcPr>
            <w:tcW w:w="42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2"/>
        </w:trPr>
        <w:tc>
          <w:tcPr>
            <w:tcW w:w="4200" w:type="dxa"/>
            <w:vAlign w:val="bottom"/>
            <w:tcBorders>
              <w:top w:val="single" w:sz="8" w:color="005A64"/>
            </w:tcBorders>
          </w:tcPr>
          <w:p>
            <w:pPr>
              <w:ind w:left="20"/>
              <w:spacing w:after="0"/>
              <w:rPr>
                <w:sz w:val="20"/>
                <w:szCs w:val="20"/>
                <w:color w:val="auto"/>
              </w:rPr>
            </w:pPr>
            <w:r>
              <w:rPr>
                <w:rFonts w:ascii="Arial" w:cs="Arial" w:eastAsia="Arial" w:hAnsi="Arial"/>
                <w:sz w:val="11"/>
                <w:szCs w:val="11"/>
                <w:color w:val="005A64"/>
              </w:rPr>
              <w:t>Net increase / (decrease) in cash and cash equivalents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top w:val="single" w:sz="8" w:color="005A64"/>
            </w:tcBorders>
          </w:tcPr>
          <w:p>
            <w:pPr>
              <w:ind w:left="20"/>
              <w:spacing w:after="0"/>
              <w:rPr>
                <w:sz w:val="20"/>
                <w:szCs w:val="20"/>
                <w:color w:val="auto"/>
              </w:rPr>
            </w:pPr>
            <w:r>
              <w:rPr>
                <w:rFonts w:ascii="Arial" w:cs="Arial" w:eastAsia="Arial" w:hAnsi="Arial"/>
                <w:sz w:val="11"/>
                <w:szCs w:val="11"/>
                <w:color w:val="005A64"/>
              </w:rPr>
              <w:t>(1,919.4)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(2,361.7)</w:t>
            </w:r>
          </w:p>
        </w:tc>
        <w:tc>
          <w:tcPr>
            <w:tcW w:w="80" w:type="dxa"/>
            <w:vAlign w:val="bottom"/>
          </w:tcPr>
          <w:p>
            <w:pPr>
              <w:spacing w:after="0"/>
              <w:rPr>
                <w:sz w:val="11"/>
                <w:szCs w:val="11"/>
                <w:color w:val="auto"/>
              </w:rPr>
            </w:pPr>
          </w:p>
        </w:tc>
        <w:tc>
          <w:tcPr>
            <w:tcW w:w="800" w:type="dxa"/>
            <w:vAlign w:val="bottom"/>
            <w:tcBorders>
              <w:top w:val="single" w:sz="8" w:color="005A64"/>
            </w:tcBorders>
          </w:tcPr>
          <w:p>
            <w:pPr>
              <w:ind w:left="20"/>
              <w:spacing w:after="0"/>
              <w:rPr>
                <w:sz w:val="20"/>
                <w:szCs w:val="20"/>
                <w:color w:val="auto"/>
              </w:rPr>
            </w:pPr>
            <w:r>
              <w:rPr>
                <w:rFonts w:ascii="Arial" w:cs="Arial" w:eastAsia="Arial" w:hAnsi="Arial"/>
                <w:sz w:val="11"/>
                <w:szCs w:val="11"/>
                <w:color w:val="005A64"/>
              </w:rPr>
              <w:t>12,122.8</w:t>
            </w:r>
          </w:p>
        </w:tc>
        <w:tc>
          <w:tcPr>
            <w:tcW w:w="0" w:type="dxa"/>
            <w:vAlign w:val="bottom"/>
          </w:tcPr>
          <w:p>
            <w:pPr>
              <w:spacing w:after="0"/>
              <w:rPr>
                <w:sz w:val="1"/>
                <w:szCs w:val="1"/>
                <w:color w:val="auto"/>
              </w:rPr>
            </w:pPr>
          </w:p>
        </w:tc>
      </w:tr>
      <w:tr>
        <w:trPr>
          <w:trHeight w:val="147"/>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Change in cash and cash equivalents resulting from exchange rate differences</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14.8</w:t>
            </w:r>
          </w:p>
        </w:tc>
        <w:tc>
          <w:tcPr>
            <w:tcW w:w="4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(14.5)</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60.1</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Change in cash and cash equivalents resulting from other valuation effects</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2.8</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164.8</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(0.5)</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1"/>
                <w:szCs w:val="11"/>
                <w:color w:val="005A64"/>
              </w:rPr>
              <w:t>Cash and cash equivalents at the beginning of the period</w:t>
            </w: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11,663.7</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color w:val="005A64"/>
              </w:rPr>
              <w:t>13,875.1</w:t>
            </w:r>
          </w:p>
        </w:tc>
        <w:tc>
          <w:tcPr>
            <w:tcW w:w="880" w:type="dxa"/>
            <w:vAlign w:val="bottom"/>
            <w:gridSpan w:val="2"/>
          </w:tcPr>
          <w:p>
            <w:pPr>
              <w:ind w:left="100"/>
              <w:spacing w:after="0"/>
              <w:rPr>
                <w:sz w:val="20"/>
                <w:szCs w:val="20"/>
                <w:color w:val="auto"/>
              </w:rPr>
            </w:pPr>
            <w:r>
              <w:rPr>
                <w:rFonts w:ascii="Arial" w:cs="Arial" w:eastAsia="Arial" w:hAnsi="Arial"/>
                <w:sz w:val="11"/>
                <w:szCs w:val="11"/>
                <w:color w:val="005A64"/>
              </w:rPr>
              <w:t>1,692.7</w:t>
            </w:r>
          </w:p>
        </w:tc>
        <w:tc>
          <w:tcPr>
            <w:tcW w:w="0" w:type="dxa"/>
            <w:vAlign w:val="bottom"/>
          </w:tcPr>
          <w:p>
            <w:pPr>
              <w:spacing w:after="0"/>
              <w:rPr>
                <w:sz w:val="1"/>
                <w:szCs w:val="1"/>
                <w:color w:val="auto"/>
              </w:rPr>
            </w:pPr>
          </w:p>
        </w:tc>
      </w:tr>
      <w:tr>
        <w:trPr>
          <w:trHeight w:val="166"/>
        </w:trPr>
        <w:tc>
          <w:tcPr>
            <w:tcW w:w="4220" w:type="dxa"/>
            <w:vAlign w:val="bottom"/>
            <w:gridSpan w:val="2"/>
          </w:tcPr>
          <w:p>
            <w:pPr>
              <w:ind w:left="20"/>
              <w:spacing w:after="0"/>
              <w:rPr>
                <w:sz w:val="20"/>
                <w:szCs w:val="20"/>
                <w:color w:val="auto"/>
              </w:rPr>
            </w:pPr>
            <w:r>
              <w:rPr>
                <w:rFonts w:ascii="Arial" w:cs="Arial" w:eastAsia="Arial" w:hAnsi="Arial"/>
                <w:sz w:val="11"/>
                <w:szCs w:val="11"/>
                <w:b w:val="1"/>
                <w:bCs w:val="1"/>
                <w:color w:val="005A64"/>
              </w:rPr>
              <w:t>Cash and cash equivalents as of December 31</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005A64"/>
              </w:rPr>
              <w:t>9,761.9</w:t>
            </w:r>
          </w:p>
        </w:tc>
        <w:tc>
          <w:tcPr>
            <w:tcW w:w="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005A64"/>
              </w:rPr>
              <w:t>11,663.7</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005A64"/>
              </w:rPr>
              <w:t>13,875.1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-4774565</wp:posOffset>
            </wp:positionV>
            <wp:extent cx="551815" cy="47948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7">
                      <a:extLst>
                        <a:ext uri="{28A0092B-C50C-407E-A947-70E740481C1C}"/>
                      </a:extLst>
                    </a:blip>
                    <a:srcRect/>
                    <a:stretch>
                      <a:fillRect/>
                    </a:stretch>
                  </pic:blipFill>
                  <pic:spPr bwMode="auto">
                    <a:xfrm>
                      <a:off x="0" y="0"/>
                      <a:ext cx="551815" cy="479488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3"/>
          <w:szCs w:val="13"/>
          <w:color w:val="auto"/>
        </w:rPr>
        <w:t>The accompanying notes form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-88265</wp:posOffset>
            </wp:positionV>
            <wp:extent cx="4300220"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8">
                      <a:extLst>
                        <a:ext uri="{28A0092B-C50C-407E-A947-70E740481C1C}"/>
                      </a:extLst>
                    </a:blip>
                    <a:srcRect/>
                    <a:stretch>
                      <a:fillRect/>
                    </a:stretch>
                  </pic:blipFill>
                  <pic:spPr bwMode="auto">
                    <a:xfrm>
                      <a:off x="0" y="0"/>
                      <a:ext cx="43002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F-12</w:t>
      </w:r>
    </w:p>
    <w:p>
      <w:pPr>
        <w:ind w:left="116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90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5"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005A64"/>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-130810</wp:posOffset>
            </wp:positionV>
            <wp:extent cx="5231130"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1160"/>
        <w:spacing w:after="0" w:line="207" w:lineRule="auto"/>
        <w:rPr>
          <w:sz w:val="20"/>
          <w:szCs w:val="20"/>
          <w:color w:val="auto"/>
        </w:rPr>
      </w:pPr>
      <w:r>
        <w:rPr>
          <w:rFonts w:ascii="Arial" w:cs="Arial" w:eastAsia="Arial" w:hAnsi="Arial"/>
          <w:sz w:val="16"/>
          <w:szCs w:val="16"/>
          <w:b w:val="1"/>
          <w:bCs w:val="1"/>
          <w:color w:val="005A64"/>
        </w:rPr>
        <w:t>1 Corporate Information</w:t>
      </w:r>
    </w:p>
    <w:p>
      <w:pPr>
        <w:sectPr>
          <w:pgSz w:w="11900" w:h="16840" w:orient="portrait"/>
          <w:cols w:equalWidth="0" w:num="1">
            <w:col w:w="9800"/>
          </w:cols>
          <w:pgMar w:left="660" w:top="650" w:right="1440" w:bottom="48" w:gutter="0" w:footer="0" w:header="0"/>
        </w:sectPr>
      </w:pPr>
    </w:p>
    <w:p>
      <w:pPr>
        <w:ind w:left="1160"/>
        <w:spacing w:after="0" w:line="211" w:lineRule="auto"/>
        <w:rPr>
          <w:sz w:val="20"/>
          <w:szCs w:val="20"/>
          <w:color w:val="auto"/>
        </w:rPr>
      </w:pPr>
      <w:r>
        <w:rPr>
          <w:rFonts w:ascii="Arial" w:cs="Arial" w:eastAsia="Arial" w:hAnsi="Arial"/>
          <w:sz w:val="13"/>
          <w:szCs w:val="13"/>
          <w:color w:val="auto"/>
        </w:rPr>
        <w:t>BioNTech SE is a limited company incorporated and domiciled in Germany. American Depositary Shares (ADS)</w:t>
      </w:r>
    </w:p>
    <w:p>
      <w:pPr>
        <w:ind w:left="1160"/>
        <w:spacing w:after="0"/>
        <w:rPr>
          <w:sz w:val="20"/>
          <w:szCs w:val="20"/>
          <w:color w:val="auto"/>
        </w:rPr>
      </w:pPr>
      <w:r>
        <w:rPr>
          <w:rFonts w:ascii="Arial" w:cs="Arial" w:eastAsia="Arial" w:hAnsi="Arial"/>
          <w:sz w:val="13"/>
          <w:szCs w:val="13"/>
          <w:color w:val="auto"/>
        </w:rPr>
        <w:t>representing BioNTech SE’s ordinary shares have been publicly traded on the Nasdaq Global Select Market</w:t>
      </w:r>
    </w:p>
    <w:p>
      <w:pPr>
        <w:sectPr>
          <w:pgSz w:w="11900" w:h="16840" w:orient="portrait"/>
          <w:cols w:equalWidth="0" w:num="1">
            <w:col w:w="9800"/>
          </w:cols>
          <w:pgMar w:left="660" w:top="650" w:right="1440" w:bottom="48" w:gutter="0" w:footer="0" w:header="0"/>
          <w:type w:val="continuous"/>
        </w:sectPr>
      </w:pPr>
    </w:p>
    <w:bookmarkStart w:id="188" w:name="page189"/>
    <w:bookmarkEnd w:id="188"/>
    <w:p>
      <w:pPr>
        <w:ind w:left="380" w:right="2120"/>
        <w:spacing w:after="0" w:line="214" w:lineRule="auto"/>
        <w:rPr>
          <w:sz w:val="20"/>
          <w:szCs w:val="20"/>
          <w:color w:val="auto"/>
        </w:rPr>
      </w:pPr>
      <w:r>
        <w:rPr>
          <w:rFonts w:ascii="Arial" w:cs="Arial" w:eastAsia="Arial" w:hAnsi="Arial"/>
          <w:sz w:val="13"/>
          <w:szCs w:val="13"/>
          <w:color w:val="auto"/>
        </w:rPr>
        <w:t>since October 10, 2019. The registered office is located in Mainz, Germany (An der Goldgrube 12, 55131 Mainz). BioNTech SE is registered in the commercial register B of the Mainz Local Court under the number HRB 48720. The accompanying consolidated financial statements, which were prepared in accordance with International Financial Reporting Standards (IFRS), present the financial position and the results of operations of BioNTech SE and its subsidiaries, hereinafter also referred to as “BioNTech,” the “Group,” “we” or “us.”</w:t>
      </w:r>
    </w:p>
    <w:p>
      <w:pPr>
        <w:spacing w:after="0" w:line="3" w:lineRule="exact"/>
        <w:rPr>
          <w:sz w:val="20"/>
          <w:szCs w:val="20"/>
          <w:color w:val="auto"/>
        </w:rPr>
      </w:pPr>
    </w:p>
    <w:p>
      <w:pPr>
        <w:ind w:left="380" w:right="2480"/>
        <w:spacing w:after="0" w:line="213" w:lineRule="auto"/>
        <w:rPr>
          <w:sz w:val="20"/>
          <w:szCs w:val="20"/>
          <w:color w:val="auto"/>
        </w:rPr>
      </w:pPr>
      <w:r>
        <w:rPr>
          <w:rFonts w:ascii="Arial" w:cs="Arial" w:eastAsia="Arial" w:hAnsi="Arial"/>
          <w:sz w:val="13"/>
          <w:szCs w:val="13"/>
          <w:color w:val="auto"/>
        </w:rPr>
        <w:t>Our consolidated financial statements for the year ended December 31, 2024, were authorized for issue in accordance with a resolution of the Supervisory Board on March 7, 2025.</w:t>
      </w:r>
    </w:p>
    <w:p>
      <w:pPr>
        <w:ind w:left="380"/>
        <w:spacing w:after="0" w:line="207" w:lineRule="auto"/>
        <w:rPr>
          <w:sz w:val="20"/>
          <w:szCs w:val="20"/>
          <w:color w:val="auto"/>
        </w:rPr>
      </w:pPr>
      <w:r>
        <w:rPr>
          <w:rFonts w:ascii="Arial" w:cs="Arial" w:eastAsia="Arial" w:hAnsi="Arial"/>
          <w:sz w:val="16"/>
          <w:szCs w:val="16"/>
          <w:b w:val="1"/>
          <w:bCs w:val="1"/>
          <w:color w:val="005A64"/>
        </w:rPr>
        <w:t>2 Significant Accounting Policies</w:t>
      </w:r>
    </w:p>
    <w:p>
      <w:pPr>
        <w:ind w:left="380"/>
        <w:spacing w:after="0" w:line="211" w:lineRule="auto"/>
        <w:rPr>
          <w:sz w:val="20"/>
          <w:szCs w:val="20"/>
          <w:color w:val="auto"/>
        </w:rPr>
      </w:pPr>
      <w:r>
        <w:rPr>
          <w:rFonts w:ascii="Arial" w:cs="Arial" w:eastAsia="Arial" w:hAnsi="Arial"/>
          <w:sz w:val="13"/>
          <w:szCs w:val="13"/>
          <w:b w:val="1"/>
          <w:bCs w:val="1"/>
          <w:color w:val="005A64"/>
        </w:rPr>
        <w:t>2.1 Basis of Preparation</w:t>
      </w:r>
    </w:p>
    <w:p>
      <w:pPr>
        <w:ind w:left="380"/>
        <w:spacing w:after="0" w:line="211" w:lineRule="auto"/>
        <w:rPr>
          <w:sz w:val="20"/>
          <w:szCs w:val="20"/>
          <w:color w:val="auto"/>
        </w:rPr>
      </w:pPr>
      <w:r>
        <w:rPr>
          <w:rFonts w:ascii="Arial" w:cs="Arial" w:eastAsia="Arial" w:hAnsi="Arial"/>
          <w:sz w:val="13"/>
          <w:szCs w:val="13"/>
          <w:color w:val="005A64"/>
        </w:rPr>
        <w:t>General</w:t>
      </w:r>
    </w:p>
    <w:p>
      <w:pPr>
        <w:ind w:left="380" w:right="2240"/>
        <w:spacing w:after="0" w:line="210" w:lineRule="auto"/>
        <w:rPr>
          <w:sz w:val="20"/>
          <w:szCs w:val="20"/>
          <w:color w:val="auto"/>
        </w:rPr>
      </w:pPr>
      <w:r>
        <w:rPr>
          <w:rFonts w:ascii="Arial" w:cs="Arial" w:eastAsia="Arial" w:hAnsi="Arial"/>
          <w:sz w:val="13"/>
          <w:szCs w:val="13"/>
          <w:color w:val="auto"/>
        </w:rPr>
        <w:t>The consolidated financial statements have been prepared in accordance with the IFRS Accounting Standards as issued by the International Accounting Standards Board (IASB).</w:t>
      </w:r>
    </w:p>
    <w:p>
      <w:pPr>
        <w:spacing w:after="0" w:line="1" w:lineRule="exact"/>
        <w:rPr>
          <w:sz w:val="20"/>
          <w:szCs w:val="20"/>
          <w:color w:val="auto"/>
        </w:rPr>
      </w:pPr>
    </w:p>
    <w:p>
      <w:pPr>
        <w:ind w:left="380" w:right="2220"/>
        <w:spacing w:after="0" w:line="210" w:lineRule="auto"/>
        <w:rPr>
          <w:sz w:val="20"/>
          <w:szCs w:val="20"/>
          <w:color w:val="auto"/>
        </w:rPr>
      </w:pPr>
      <w:r>
        <w:rPr>
          <w:rFonts w:ascii="Arial" w:cs="Arial" w:eastAsia="Arial" w:hAnsi="Arial"/>
          <w:sz w:val="13"/>
          <w:szCs w:val="13"/>
          <w:color w:val="auto"/>
        </w:rPr>
        <w:t>We prepare and publish our consolidated financial statements in Euros and round numbers to thousands or millions of Euros, respectively. Accordingly, numerical figures shown as totals in some tables may not be exact arithmetic aggregations of the figures that preceded them and figures presented in the explanatory notes may not add up to the rounded arithmetic aggregations. Rounding applied may differ from rounding published in different units in the previous years.</w:t>
      </w:r>
    </w:p>
    <w:p>
      <w:pPr>
        <w:ind w:left="380"/>
        <w:spacing w:after="0" w:line="215" w:lineRule="auto"/>
        <w:rPr>
          <w:sz w:val="20"/>
          <w:szCs w:val="20"/>
          <w:color w:val="auto"/>
        </w:rPr>
      </w:pPr>
      <w:r>
        <w:rPr>
          <w:rFonts w:ascii="Arial" w:cs="Arial" w:eastAsia="Arial" w:hAnsi="Arial"/>
          <w:sz w:val="13"/>
          <w:szCs w:val="13"/>
          <w:color w:val="005A64"/>
        </w:rPr>
        <w:t>Segment Information</w:t>
      </w:r>
    </w:p>
    <w:p>
      <w:pPr>
        <w:jc w:val="both"/>
        <w:ind w:left="380" w:right="2120"/>
        <w:spacing w:after="0" w:line="210" w:lineRule="auto"/>
        <w:rPr>
          <w:sz w:val="20"/>
          <w:szCs w:val="20"/>
          <w:color w:val="auto"/>
        </w:rPr>
      </w:pPr>
      <w:r>
        <w:rPr>
          <w:rFonts w:ascii="Arial" w:cs="Arial" w:eastAsia="Arial" w:hAnsi="Arial"/>
          <w:sz w:val="13"/>
          <w:szCs w:val="13"/>
          <w:color w:val="auto"/>
        </w:rPr>
        <w:t>Decisions with respect to business operations and resource allocations are made by our Management Board, as the chief operating decision maker based on BioNTech as a whole. Accordingly, we operate and make decisions as a single operating segment, which is also our reporting segment.</w:t>
      </w:r>
    </w:p>
    <w:p>
      <w:pPr>
        <w:ind w:left="380"/>
        <w:spacing w:after="0" w:line="213" w:lineRule="auto"/>
        <w:rPr>
          <w:sz w:val="20"/>
          <w:szCs w:val="20"/>
          <w:color w:val="auto"/>
        </w:rPr>
      </w:pPr>
      <w:r>
        <w:rPr>
          <w:rFonts w:ascii="Arial" w:cs="Arial" w:eastAsia="Arial" w:hAnsi="Arial"/>
          <w:sz w:val="13"/>
          <w:szCs w:val="13"/>
          <w:b w:val="1"/>
          <w:bCs w:val="1"/>
          <w:color w:val="005A64"/>
        </w:rPr>
        <w:t>2.2 Basis of Consolidation</w:t>
      </w:r>
    </w:p>
    <w:p>
      <w:pPr>
        <w:spacing w:after="0" w:line="1" w:lineRule="exact"/>
        <w:rPr>
          <w:sz w:val="20"/>
          <w:szCs w:val="20"/>
          <w:color w:val="auto"/>
        </w:rPr>
      </w:pPr>
    </w:p>
    <w:p>
      <w:pPr>
        <w:ind w:left="380" w:right="2460"/>
        <w:spacing w:after="0" w:line="210" w:lineRule="auto"/>
        <w:rPr>
          <w:sz w:val="20"/>
          <w:szCs w:val="20"/>
          <w:color w:val="auto"/>
        </w:rPr>
      </w:pPr>
      <w:r>
        <w:rPr>
          <w:rFonts w:ascii="Arial" w:cs="Arial" w:eastAsia="Arial" w:hAnsi="Arial"/>
          <w:sz w:val="13"/>
          <w:szCs w:val="13"/>
          <w:color w:val="auto"/>
        </w:rPr>
        <w:t>The consolidated financial statements comprise the financial statements of BioNTech SE and its controlled investees (subsidiaries).</w:t>
      </w:r>
    </w:p>
    <w:p>
      <w:pPr>
        <w:ind w:left="380"/>
        <w:spacing w:after="0" w:line="212" w:lineRule="auto"/>
        <w:rPr>
          <w:sz w:val="20"/>
          <w:szCs w:val="20"/>
          <w:color w:val="auto"/>
        </w:rPr>
      </w:pPr>
      <w:r>
        <w:rPr>
          <w:rFonts w:ascii="Arial" w:cs="Arial" w:eastAsia="Arial" w:hAnsi="Arial"/>
          <w:sz w:val="13"/>
          <w:szCs w:val="13"/>
          <w:color w:val="auto"/>
        </w:rPr>
        <w:t>The Group controls an investee if, and only if, the Group has</w:t>
      </w:r>
    </w:p>
    <w:p>
      <w:pPr>
        <w:spacing w:after="0" w:line="1" w:lineRule="exact"/>
        <w:rPr>
          <w:sz w:val="20"/>
          <w:szCs w:val="20"/>
          <w:color w:val="auto"/>
        </w:rPr>
      </w:pPr>
    </w:p>
    <w:p>
      <w:pPr>
        <w:ind w:left="380" w:right="2620"/>
        <w:spacing w:after="0" w:line="210" w:lineRule="auto"/>
        <w:rPr>
          <w:sz w:val="20"/>
          <w:szCs w:val="20"/>
          <w:color w:val="auto"/>
        </w:rPr>
      </w:pPr>
      <w:r>
        <w:rPr>
          <w:rFonts w:ascii="Arial" w:cs="Arial" w:eastAsia="Arial" w:hAnsi="Arial"/>
          <w:sz w:val="13"/>
          <w:szCs w:val="13"/>
          <w:color w:val="auto"/>
        </w:rPr>
        <w:t>•power over the investee (i.e., existing rights that give it the current ability to direct the relevant activities of the investee);</w:t>
      </w:r>
    </w:p>
    <w:p>
      <w:pPr>
        <w:spacing w:after="0" w:line="1" w:lineRule="exact"/>
        <w:rPr>
          <w:sz w:val="20"/>
          <w:szCs w:val="20"/>
          <w:color w:val="auto"/>
        </w:rPr>
      </w:pPr>
    </w:p>
    <w:p>
      <w:pPr>
        <w:ind w:left="380" w:right="3860"/>
        <w:spacing w:after="0" w:line="210" w:lineRule="auto"/>
        <w:rPr>
          <w:sz w:val="20"/>
          <w:szCs w:val="20"/>
          <w:color w:val="auto"/>
        </w:rPr>
      </w:pPr>
      <w:r>
        <w:rPr>
          <w:rFonts w:ascii="Arial" w:cs="Arial" w:eastAsia="Arial" w:hAnsi="Arial"/>
          <w:sz w:val="13"/>
          <w:szCs w:val="13"/>
          <w:color w:val="auto"/>
        </w:rPr>
        <w:t>•exposure, or rights, to variable returns from its involvement with the investee; and •the ability to use its power over the investee to affect its returns.</w:t>
      </w:r>
    </w:p>
    <w:p>
      <w:pPr>
        <w:ind w:left="380"/>
        <w:spacing w:after="0" w:line="212" w:lineRule="auto"/>
        <w:rPr>
          <w:sz w:val="20"/>
          <w:szCs w:val="20"/>
          <w:color w:val="auto"/>
        </w:rPr>
      </w:pPr>
      <w:r>
        <w:rPr>
          <w:rFonts w:ascii="Arial" w:cs="Arial" w:eastAsia="Arial" w:hAnsi="Arial"/>
          <w:sz w:val="13"/>
          <w:szCs w:val="13"/>
          <w:color w:val="auto"/>
        </w:rPr>
        <w:t>Generally, there is a presumption that a majority of voting rights results in control.</w:t>
      </w:r>
    </w:p>
    <w:p>
      <w:pPr>
        <w:spacing w:after="0" w:line="1"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Whether an investee is controlled is re-assessed if facts and circumstances indicate that there are changes to one or more of the three elements of control. Consolidation of a subsidiary begins when control is obtained over the subsidiary and ceases when control over the subsidiary is lost.</w:t>
      </w:r>
    </w:p>
    <w:p>
      <w:pPr>
        <w:spacing w:after="0" w:line="2" w:lineRule="exact"/>
        <w:rPr>
          <w:sz w:val="20"/>
          <w:szCs w:val="20"/>
          <w:color w:val="auto"/>
        </w:rPr>
      </w:pPr>
    </w:p>
    <w:p>
      <w:pPr>
        <w:ind w:left="380" w:right="2100"/>
        <w:spacing w:after="0" w:line="234" w:lineRule="auto"/>
        <w:rPr>
          <w:sz w:val="20"/>
          <w:szCs w:val="20"/>
          <w:color w:val="auto"/>
        </w:rPr>
      </w:pPr>
      <w:r>
        <w:rPr>
          <w:rFonts w:ascii="Arial" w:cs="Arial" w:eastAsia="Arial" w:hAnsi="Arial"/>
          <w:sz w:val="13"/>
          <w:szCs w:val="13"/>
          <w:color w:val="auto"/>
        </w:rPr>
        <w:t>The profit / (loss) and each component of other comprehensive income / (loss) for the period are attributed to the equity holders of the parent of the Group and to the non-controlling interests, even if this results in the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F-13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40"/>
        <w:spacing w:after="0" w:line="215" w:lineRule="auto"/>
        <w:rPr>
          <w:sz w:val="20"/>
          <w:szCs w:val="20"/>
          <w:color w:val="auto"/>
        </w:rPr>
      </w:pPr>
      <w:r>
        <w:rPr>
          <w:rFonts w:ascii="Arial" w:cs="Arial" w:eastAsia="Arial" w:hAnsi="Arial"/>
          <w:sz w:val="13"/>
          <w:szCs w:val="13"/>
          <w:color w:val="auto"/>
        </w:rPr>
        <w:t>controlling interests having a deficit balance. When necessary, adjustments are made to the consolidated financial statements of subsidiaries to bring their accounting policies in line with the Group’s accounting policies. All intra-group assets and liabilities, equity, income, expenses and cash flows relating to transactions between members of the Group are eliminated on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5231130"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560"/>
        <w:spacing w:after="0" w:line="210" w:lineRule="auto"/>
        <w:rPr>
          <w:sz w:val="20"/>
          <w:szCs w:val="20"/>
          <w:color w:val="auto"/>
        </w:rPr>
      </w:pPr>
      <w:r>
        <w:rPr>
          <w:rFonts w:ascii="Arial" w:cs="Arial" w:eastAsia="Arial" w:hAnsi="Arial"/>
          <w:sz w:val="13"/>
          <w:szCs w:val="13"/>
          <w:color w:val="auto"/>
        </w:rPr>
        <w:t>A change in the ownership interest of a subsidiary, without a loss of control, is accounted for as an equity transaction.</w:t>
      </w:r>
    </w:p>
    <w:p>
      <w:pPr>
        <w:spacing w:after="0" w:line="1" w:lineRule="exact"/>
        <w:rPr>
          <w:sz w:val="20"/>
          <w:szCs w:val="20"/>
          <w:color w:val="auto"/>
        </w:rPr>
      </w:pPr>
    </w:p>
    <w:p>
      <w:pPr>
        <w:jc w:val="both"/>
        <w:ind w:left="380" w:right="2180"/>
        <w:spacing w:after="0" w:line="210" w:lineRule="auto"/>
        <w:rPr>
          <w:sz w:val="20"/>
          <w:szCs w:val="20"/>
          <w:color w:val="auto"/>
        </w:rPr>
      </w:pPr>
      <w:r>
        <w:rPr>
          <w:rFonts w:ascii="Arial" w:cs="Arial" w:eastAsia="Arial" w:hAnsi="Arial"/>
          <w:sz w:val="13"/>
          <w:szCs w:val="13"/>
          <w:color w:val="auto"/>
        </w:rPr>
        <w:t>If control over a subsidiary is lost, the related assets (including goodwill), liabilities, non-controlling interests and other components of equity are derecognized, while any resultant gain or loss is recognized in the consolidated statements of profit or loss. Any investment retained is recognized at fair value.</w:t>
      </w:r>
    </w:p>
    <w:p>
      <w:pPr>
        <w:ind w:left="380"/>
        <w:spacing w:after="0" w:line="213" w:lineRule="auto"/>
        <w:rPr>
          <w:sz w:val="20"/>
          <w:szCs w:val="20"/>
          <w:color w:val="auto"/>
        </w:rPr>
      </w:pPr>
      <w:r>
        <w:rPr>
          <w:rFonts w:ascii="Arial" w:cs="Arial" w:eastAsia="Arial" w:hAnsi="Arial"/>
          <w:sz w:val="13"/>
          <w:szCs w:val="13"/>
          <w:b w:val="1"/>
          <w:bCs w:val="1"/>
          <w:color w:val="005A64"/>
        </w:rPr>
        <w:t>2.3 Summary of Material Accounting Policies</w:t>
      </w:r>
    </w:p>
    <w:p>
      <w:pPr>
        <w:ind w:left="380"/>
        <w:spacing w:after="0" w:line="211" w:lineRule="auto"/>
        <w:rPr>
          <w:sz w:val="20"/>
          <w:szCs w:val="20"/>
          <w:color w:val="auto"/>
        </w:rPr>
      </w:pPr>
      <w:r>
        <w:rPr>
          <w:rFonts w:ascii="Arial" w:cs="Arial" w:eastAsia="Arial" w:hAnsi="Arial"/>
          <w:sz w:val="13"/>
          <w:szCs w:val="13"/>
          <w:color w:val="005A64"/>
        </w:rPr>
        <w:t>2.3.1 Foreign Currencies</w:t>
      </w:r>
    </w:p>
    <w:p>
      <w:pPr>
        <w:ind w:left="380" w:right="2120"/>
        <w:spacing w:after="0" w:line="210" w:lineRule="auto"/>
        <w:rPr>
          <w:sz w:val="20"/>
          <w:szCs w:val="20"/>
          <w:color w:val="auto"/>
        </w:rPr>
      </w:pPr>
      <w:r>
        <w:rPr>
          <w:rFonts w:ascii="Arial" w:cs="Arial" w:eastAsia="Arial" w:hAnsi="Arial"/>
          <w:sz w:val="13"/>
          <w:szCs w:val="13"/>
          <w:color w:val="auto"/>
        </w:rPr>
        <w:t>Our consolidated financial statements are presented in Euros, which is also our functional currency. For each entity, the Group determines the functional currency, and items included in the consolidated financial statements of such entities are measured using that functional currency. We use the direct method of consolidation and, on disposal of a foreign operation, the gain or loss that is reclassified to the consolidated statements of profit or loss reflects the amount that arises from using this method.</w:t>
      </w:r>
    </w:p>
    <w:p>
      <w:pPr>
        <w:ind w:left="380"/>
        <w:spacing w:after="0" w:line="215" w:lineRule="auto"/>
        <w:rPr>
          <w:sz w:val="20"/>
          <w:szCs w:val="20"/>
          <w:color w:val="auto"/>
        </w:rPr>
      </w:pPr>
      <w:r>
        <w:rPr>
          <w:rFonts w:ascii="Arial" w:cs="Arial" w:eastAsia="Arial" w:hAnsi="Arial"/>
          <w:sz w:val="13"/>
          <w:szCs w:val="13"/>
          <w:b w:val="1"/>
          <w:bCs w:val="1"/>
          <w:color w:val="auto"/>
        </w:rPr>
        <w:t>Transactions and Balances</w:t>
      </w:r>
    </w:p>
    <w:p>
      <w:pPr>
        <w:ind w:left="380" w:right="2440"/>
        <w:spacing w:after="0" w:line="210" w:lineRule="auto"/>
        <w:rPr>
          <w:sz w:val="20"/>
          <w:szCs w:val="20"/>
          <w:color w:val="auto"/>
        </w:rPr>
      </w:pPr>
      <w:r>
        <w:rPr>
          <w:rFonts w:ascii="Arial" w:cs="Arial" w:eastAsia="Arial" w:hAnsi="Arial"/>
          <w:sz w:val="13"/>
          <w:szCs w:val="13"/>
          <w:color w:val="auto"/>
        </w:rPr>
        <w:t>Transactions in foreign currencies are initially recorded by the Group’s entities at their respective functional currency spot rates at the date the transaction first qualifies for recognition.</w:t>
      </w:r>
    </w:p>
    <w:p>
      <w:pPr>
        <w:spacing w:after="0" w:line="1"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Monetary assets and liabilities denominated in foreign currencies are translated at the functional currency spot rates of exchange at the reporting date.</w:t>
      </w:r>
    </w:p>
    <w:p>
      <w:pPr>
        <w:spacing w:after="0" w:line="1"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Non-monetary items that are measured in terms of historical cost in a foreign currency are translated using the exchange rates at the dates of the initial transactions.</w:t>
      </w:r>
    </w:p>
    <w:p>
      <w:pPr>
        <w:spacing w:after="0" w:line="1"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In determining the spot exchange rate to use on initial recognition of the related asset, expense or income (or part of it) on the derecognition of a non-monetary asset or non-monetary liability relating to advance consideration, the date of the transaction is the date on which the Group initially recognizes the non-monetary asset or non-monetary liability arising from the advance consideration. If there are multiple payments or receipts in advance, the Group determines the transaction date for each payment or receipt of advance consideration.</w:t>
      </w:r>
    </w:p>
    <w:p>
      <w:pPr>
        <w:ind w:left="380"/>
        <w:spacing w:after="0" w:line="215" w:lineRule="auto"/>
        <w:rPr>
          <w:sz w:val="20"/>
          <w:szCs w:val="20"/>
          <w:color w:val="auto"/>
        </w:rPr>
      </w:pPr>
      <w:r>
        <w:rPr>
          <w:rFonts w:ascii="Arial" w:cs="Arial" w:eastAsia="Arial" w:hAnsi="Arial"/>
          <w:sz w:val="13"/>
          <w:szCs w:val="13"/>
          <w:b w:val="1"/>
          <w:bCs w:val="1"/>
          <w:color w:val="auto"/>
        </w:rPr>
        <w:t>Foreign Currency Translation</w:t>
      </w:r>
    </w:p>
    <w:p>
      <w:pPr>
        <w:ind w:left="380" w:right="2120"/>
        <w:spacing w:after="0" w:line="210" w:lineRule="auto"/>
        <w:rPr>
          <w:sz w:val="20"/>
          <w:szCs w:val="20"/>
          <w:color w:val="auto"/>
        </w:rPr>
      </w:pPr>
      <w:r>
        <w:rPr>
          <w:rFonts w:ascii="Arial" w:cs="Arial" w:eastAsia="Arial" w:hAnsi="Arial"/>
          <w:sz w:val="13"/>
          <w:szCs w:val="13"/>
          <w:color w:val="auto"/>
        </w:rPr>
        <w:t>Foreign currency translation effects from the translation of operating activities include foreign exchange differences arising on operating items such as trade receivables and trade payables and are either shown as other operating income or expenses on a cumulative basis. Foreign currency translation effects presented within finance income and expenses include foreign exchange differences arising on financing items such as loans and borrowings as well as foreign exchange differences arising on cash and cash equivalents and are either shown as finance income or expenses on a cumulative basis.</w:t>
      </w:r>
    </w:p>
    <w:p>
      <w:pPr>
        <w:ind w:left="380"/>
        <w:spacing w:after="0" w:line="216" w:lineRule="auto"/>
        <w:rPr>
          <w:sz w:val="20"/>
          <w:szCs w:val="20"/>
          <w:color w:val="auto"/>
        </w:rPr>
      </w:pPr>
      <w:r>
        <w:rPr>
          <w:rFonts w:ascii="Arial" w:cs="Arial" w:eastAsia="Arial" w:hAnsi="Arial"/>
          <w:sz w:val="13"/>
          <w:szCs w:val="13"/>
          <w:b w:val="1"/>
          <w:bCs w:val="1"/>
          <w:color w:val="auto"/>
        </w:rPr>
        <w:t>Foreign Currency Translation on Consolidation</w:t>
      </w:r>
    </w:p>
    <w:p>
      <w:pPr>
        <w:ind w:left="380" w:right="2120"/>
        <w:spacing w:after="0" w:line="210" w:lineRule="auto"/>
        <w:rPr>
          <w:sz w:val="20"/>
          <w:szCs w:val="20"/>
          <w:color w:val="auto"/>
        </w:rPr>
      </w:pPr>
      <w:r>
        <w:rPr>
          <w:rFonts w:ascii="Arial" w:cs="Arial" w:eastAsia="Arial" w:hAnsi="Arial"/>
          <w:sz w:val="13"/>
          <w:szCs w:val="13"/>
          <w:color w:val="auto"/>
        </w:rPr>
        <w:t>Upon consolidation, the assets and liabilities of foreign operations are translated into Euros at the rate of exchange prevailing at the reporting date and the transactions recorded in their consolidated statements of profit or loss are translated at exchange rates prevailing at the dates of the transactions.</w:t>
      </w:r>
    </w:p>
    <w:p>
      <w:pPr>
        <w:spacing w:after="0" w:line="2" w:lineRule="exact"/>
        <w:rPr>
          <w:sz w:val="20"/>
          <w:szCs w:val="20"/>
          <w:color w:val="auto"/>
        </w:rPr>
      </w:pPr>
    </w:p>
    <w:p>
      <w:pPr>
        <w:ind w:left="380" w:right="2500"/>
        <w:spacing w:after="0" w:line="226" w:lineRule="auto"/>
        <w:rPr>
          <w:sz w:val="20"/>
          <w:szCs w:val="20"/>
          <w:color w:val="auto"/>
        </w:rPr>
      </w:pPr>
      <w:r>
        <w:rPr>
          <w:rFonts w:ascii="Arial" w:cs="Arial" w:eastAsia="Arial" w:hAnsi="Arial"/>
          <w:sz w:val="13"/>
          <w:szCs w:val="13"/>
          <w:color w:val="auto"/>
        </w:rPr>
        <w:t>The exchange differences arising on translation for consolidation are recognized in other comprehensive income. On disposal of a foreign operation, the component of other comprehensive income relating to that particular foreign operation is reclassified to profit or loss.</w:t>
      </w:r>
    </w:p>
    <w:p>
      <w:pPr>
        <w:sectPr>
          <w:pgSz w:w="11900" w:h="16840" w:orient="portrait"/>
          <w:cols w:equalWidth="0" w:num="1">
            <w:col w:w="9020"/>
          </w:cols>
          <w:pgMar w:left="1440" w:top="560" w:right="1440" w:bottom="68" w:gutter="0" w:footer="0" w:header="0"/>
        </w:sectPr>
      </w:pPr>
    </w:p>
    <w:bookmarkStart w:id="189" w:name="page190"/>
    <w:bookmarkEnd w:id="1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F-14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300"/>
        <w:spacing w:after="0" w:line="217" w:lineRule="auto"/>
        <w:rPr>
          <w:sz w:val="20"/>
          <w:szCs w:val="20"/>
          <w:color w:val="auto"/>
        </w:rPr>
      </w:pPr>
      <w:r>
        <w:rPr>
          <w:rFonts w:ascii="Arial" w:cs="Arial" w:eastAsia="Arial" w:hAnsi="Arial"/>
          <w:sz w:val="13"/>
          <w:szCs w:val="13"/>
          <w:color w:val="auto"/>
        </w:rPr>
        <w:t>Any goodwill arising on the acquisition of a foreign operation and any fair value adjustments to the carrying amounts of assets and liabilities arising upon the acquisition are treated as assets and liabilities of the foreign operation and translated at the spot rate of exchange at the reporting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color w:val="005A64"/>
        </w:rPr>
        <w:t>2.3.2 Current versus Non-Current Classifications</w:t>
      </w:r>
    </w:p>
    <w:p>
      <w:pPr>
        <w:ind w:left="380" w:right="2180"/>
        <w:spacing w:after="0" w:line="210" w:lineRule="auto"/>
        <w:rPr>
          <w:sz w:val="20"/>
          <w:szCs w:val="20"/>
          <w:color w:val="auto"/>
        </w:rPr>
      </w:pPr>
      <w:r>
        <w:rPr>
          <w:rFonts w:ascii="Arial" w:cs="Arial" w:eastAsia="Arial" w:hAnsi="Arial"/>
          <w:sz w:val="13"/>
          <w:szCs w:val="13"/>
          <w:color w:val="auto"/>
        </w:rPr>
        <w:t>Assets and liabilities in the consolidated statements of financial position are presented based on current or non-current classification.</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An asset is current when it is either: (i) expected to be realized or intended to be sold or consumed in the normal operating cycle, (ii) held primarily for the purpose of trading, (iii) expected to be realized within twelve months after the reporting period, or (iv) cash or cash equivalents, unless it is restricted from being exchanged or used to settle a liability for at least twelve months after the reporting period. All other assets are classified as non-current. A liability is current when it is either: (i) expected to be settled in the normal operating cycle, (ii) held primarily for the purpose of trading, (iii) due to be settled within twelve months after the reporting period, or (iv) there is no unconditional right to defer the settlement of the liability for at least twelve months after the reporting period. The terms of the liability that could, at the option of the counterparty, result in its settlement by the issue of equity instruments do not affect its classification. The Group classifies all other liabilities as non-current. Deferred tax assets and liabilities are classified as non-current assets and liabilities, respectively.</w:t>
      </w:r>
    </w:p>
    <w:p>
      <w:pPr>
        <w:ind w:left="380"/>
        <w:spacing w:after="0" w:line="220" w:lineRule="auto"/>
        <w:rPr>
          <w:sz w:val="20"/>
          <w:szCs w:val="20"/>
          <w:color w:val="auto"/>
        </w:rPr>
      </w:pPr>
      <w:r>
        <w:rPr>
          <w:rFonts w:ascii="Arial" w:cs="Arial" w:eastAsia="Arial" w:hAnsi="Arial"/>
          <w:sz w:val="13"/>
          <w:szCs w:val="13"/>
          <w:color w:val="005A64"/>
        </w:rPr>
        <w:t>2.3.3 Revenue from Contracts with Customers</w:t>
      </w:r>
    </w:p>
    <w:p>
      <w:pPr>
        <w:ind w:left="380"/>
        <w:spacing w:after="0" w:line="211" w:lineRule="auto"/>
        <w:rPr>
          <w:sz w:val="20"/>
          <w:szCs w:val="20"/>
          <w:color w:val="auto"/>
        </w:rPr>
      </w:pPr>
      <w:r>
        <w:rPr>
          <w:rFonts w:ascii="Arial" w:cs="Arial" w:eastAsia="Arial" w:hAnsi="Arial"/>
          <w:sz w:val="13"/>
          <w:szCs w:val="13"/>
          <w:b w:val="1"/>
          <w:bCs w:val="1"/>
          <w:color w:val="auto"/>
        </w:rPr>
        <w:t>Revenue</w:t>
      </w:r>
    </w:p>
    <w:p>
      <w:pPr>
        <w:ind w:left="380"/>
        <w:spacing w:after="0" w:line="211" w:lineRule="auto"/>
        <w:rPr>
          <w:sz w:val="20"/>
          <w:szCs w:val="20"/>
          <w:color w:val="auto"/>
        </w:rPr>
      </w:pPr>
      <w:r>
        <w:rPr>
          <w:rFonts w:ascii="Arial" w:cs="Arial" w:eastAsia="Arial" w:hAnsi="Arial"/>
          <w:sz w:val="13"/>
          <w:szCs w:val="13"/>
          <w:i w:val="1"/>
          <w:iCs w:val="1"/>
          <w:color w:val="auto"/>
        </w:rPr>
        <w:t>Identification of the Contract</w:t>
      </w:r>
    </w:p>
    <w:p>
      <w:pPr>
        <w:ind w:left="380" w:right="2120"/>
        <w:spacing w:after="0" w:line="210" w:lineRule="auto"/>
        <w:rPr>
          <w:sz w:val="20"/>
          <w:szCs w:val="20"/>
          <w:color w:val="auto"/>
        </w:rPr>
      </w:pPr>
      <w:r>
        <w:rPr>
          <w:rFonts w:ascii="Arial" w:cs="Arial" w:eastAsia="Arial" w:hAnsi="Arial"/>
          <w:sz w:val="13"/>
          <w:szCs w:val="13"/>
          <w:color w:val="auto"/>
        </w:rPr>
        <w:t xml:space="preserve">We generate revenues from collaboration and license agreements, which contain multiple elements, including licenses to use, research, develop, manufacture and commercialize candidates and products, research and development services as well as obligations to develop and manufacture preclinical and clinical material and products. We determined that those collaboration and license agreements qualify as contracts with customers. A contract is an agreement between two or more parties that establishes enforceable rights and obligations. </w:t>
      </w:r>
      <w:r>
        <w:rPr>
          <w:rFonts w:ascii="Arial" w:cs="Arial" w:eastAsia="Arial" w:hAnsi="Arial"/>
          <w:sz w:val="13"/>
          <w:szCs w:val="13"/>
          <w:i w:val="1"/>
          <w:iCs w:val="1"/>
          <w:color w:val="auto"/>
        </w:rPr>
        <w:t>Identification of Performance Obligations</w:t>
      </w:r>
    </w:p>
    <w:p>
      <w:pPr>
        <w:spacing w:after="0" w:line="4"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Our customer contracts often include bundles of licenses, goods and services. If the granting of a license is bundled together with delivering of goods and or the rendering of services, it is assessed whether these agreements are comprised of more than one performance obligation. A performance obligation is only accounted for as the grant of a license if the grant of a license is the sole or the predominant promise of the performance obligation.</w:t>
      </w:r>
    </w:p>
    <w:p>
      <w:pPr>
        <w:ind w:left="380"/>
        <w:spacing w:after="0" w:line="215" w:lineRule="auto"/>
        <w:rPr>
          <w:sz w:val="20"/>
          <w:szCs w:val="20"/>
          <w:color w:val="auto"/>
        </w:rPr>
      </w:pPr>
      <w:r>
        <w:rPr>
          <w:rFonts w:ascii="Arial" w:cs="Arial" w:eastAsia="Arial" w:hAnsi="Arial"/>
          <w:sz w:val="13"/>
          <w:szCs w:val="13"/>
          <w:i w:val="1"/>
          <w:iCs w:val="1"/>
          <w:color w:val="auto"/>
        </w:rPr>
        <w:t>Determining Transaction Prices</w:t>
      </w:r>
    </w:p>
    <w:p>
      <w:pPr>
        <w:ind w:left="380" w:right="2120"/>
        <w:spacing w:after="0" w:line="210" w:lineRule="auto"/>
        <w:rPr>
          <w:sz w:val="20"/>
          <w:szCs w:val="20"/>
          <w:color w:val="auto"/>
        </w:rPr>
      </w:pPr>
      <w:r>
        <w:rPr>
          <w:rFonts w:ascii="Arial" w:cs="Arial" w:eastAsia="Arial" w:hAnsi="Arial"/>
          <w:sz w:val="13"/>
          <w:szCs w:val="13"/>
          <w:color w:val="auto"/>
        </w:rPr>
        <w:t>We apply judgment when determining the consideration that is expected to be received. If the consideration in an agreement includes a variable amount, we estimate the amount of consideration to which we will be entitled in exchange for transferring the goods to the customer. At contract inception, the variable consideration is estimated based on the most likely amount of consideration expected from the transaction and constrained until it is highly probable that a significant revenues reversal in the amount of cumulative revenues recognized will not occur when the associated uncertainty with respect to the variable consideration is subsequently resolved. The estimated revenues are updated at each reporting date to reflect the current facts and circumstances.</w:t>
      </w:r>
    </w:p>
    <w:p>
      <w:pPr>
        <w:ind w:left="380"/>
        <w:spacing w:after="0" w:line="217" w:lineRule="auto"/>
        <w:rPr>
          <w:sz w:val="20"/>
          <w:szCs w:val="20"/>
          <w:color w:val="auto"/>
        </w:rPr>
      </w:pPr>
      <w:r>
        <w:rPr>
          <w:rFonts w:ascii="Arial" w:cs="Arial" w:eastAsia="Arial" w:hAnsi="Arial"/>
          <w:sz w:val="13"/>
          <w:szCs w:val="13"/>
          <w:i w:val="1"/>
          <w:iCs w:val="1"/>
          <w:color w:val="auto"/>
        </w:rPr>
        <w:t>Allocation of Transaction Prices</w:t>
      </w:r>
    </w:p>
    <w:p>
      <w:pPr>
        <w:ind w:left="380" w:right="2120"/>
        <w:spacing w:after="0" w:line="210" w:lineRule="auto"/>
        <w:rPr>
          <w:sz w:val="20"/>
          <w:szCs w:val="20"/>
          <w:color w:val="auto"/>
        </w:rPr>
      </w:pPr>
      <w:r>
        <w:rPr>
          <w:rFonts w:ascii="Arial" w:cs="Arial" w:eastAsia="Arial" w:hAnsi="Arial"/>
          <w:sz w:val="13"/>
          <w:szCs w:val="13"/>
          <w:color w:val="auto"/>
        </w:rPr>
        <w:t>If a contract with a customer contains more than one performance obligation, the transaction price is allocated to each performance obligation based on relative standalone selling prices. We have established the following hierarchy to determine the standalone selling prices.</w:t>
      </w:r>
    </w:p>
    <w:p>
      <w:pPr>
        <w:spacing w:after="0" w:line="2" w:lineRule="exact"/>
        <w:rPr>
          <w:sz w:val="20"/>
          <w:szCs w:val="20"/>
          <w:color w:val="auto"/>
        </w:rPr>
      </w:pPr>
    </w:p>
    <w:p>
      <w:pPr>
        <w:ind w:left="380" w:right="2640"/>
        <w:spacing w:after="0" w:line="234" w:lineRule="auto"/>
        <w:rPr>
          <w:sz w:val="20"/>
          <w:szCs w:val="20"/>
          <w:color w:val="auto"/>
        </w:rPr>
      </w:pPr>
      <w:r>
        <w:rPr>
          <w:rFonts w:ascii="Arial" w:cs="Arial" w:eastAsia="Arial" w:hAnsi="Arial"/>
          <w:sz w:val="13"/>
          <w:szCs w:val="13"/>
          <w:color w:val="auto"/>
        </w:rPr>
        <w:t>•Where standalone selling prices for offered licenses, goods or services are observable and reasonably consistent across customers, our standalone selling price estimates are derived from our respective</w:t>
      </w:r>
    </w:p>
    <w:p>
      <w:pPr>
        <w:sectPr>
          <w:pgSz w:w="11900" w:h="16840" w:orient="portrait"/>
          <w:cols w:equalWidth="0" w:num="1">
            <w:col w:w="9020"/>
          </w:cols>
          <w:pgMar w:left="1440" w:top="1440" w:right="1440" w:bottom="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F-15</w:t>
      </w:r>
    </w:p>
    <w:p>
      <w:pPr>
        <w:sectPr>
          <w:pgSz w:w="11900" w:h="16840" w:orient="portrait"/>
          <w:cols w:equalWidth="0" w:num="1">
            <w:col w:w="9020"/>
          </w:cols>
          <w:pgMar w:left="1440" w:top="1440" w:right="1440" w:bottom="50" w:gutter="0" w:footer="0" w:header="0"/>
          <w:type w:val="continuous"/>
        </w:sectPr>
      </w:pPr>
    </w:p>
    <w:bookmarkStart w:id="190" w:name="page191"/>
    <w:bookmarkEnd w:id="190"/>
    <w:p>
      <w:pPr>
        <w:ind w:left="380"/>
        <w:spacing w:after="0"/>
        <w:rPr>
          <w:sz w:val="20"/>
          <w:szCs w:val="20"/>
          <w:color w:val="auto"/>
        </w:rPr>
      </w:pPr>
      <w:r>
        <w:rPr>
          <w:rFonts w:ascii="Arial" w:cs="Arial" w:eastAsia="Arial" w:hAnsi="Arial"/>
          <w:sz w:val="12"/>
          <w:szCs w:val="12"/>
          <w:b w:val="1"/>
          <w:bCs w:val="1"/>
          <w:color w:val="3C9673"/>
        </w:rPr>
        <w:t>Annual Report on Form 20-F for the year ended December 31, 2024</w:t>
      </w:r>
    </w:p>
    <w:p>
      <w:pPr>
        <w:spacing w:after="0" w:line="3" w:lineRule="exact"/>
        <w:rPr>
          <w:sz w:val="20"/>
          <w:szCs w:val="20"/>
          <w:color w:val="auto"/>
        </w:rPr>
      </w:pP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740"/>
        <w:spacing w:after="0" w:line="220" w:lineRule="auto"/>
        <w:rPr>
          <w:sz w:val="20"/>
          <w:szCs w:val="20"/>
          <w:color w:val="auto"/>
        </w:rPr>
      </w:pPr>
      <w:r>
        <w:rPr>
          <w:rFonts w:ascii="Arial" w:cs="Arial" w:eastAsia="Arial" w:hAnsi="Arial"/>
          <w:sz w:val="13"/>
          <w:szCs w:val="13"/>
          <w:color w:val="auto"/>
        </w:rPr>
        <w:t>pricing history. However, due to the limited number of customers and the limited company history, this approach can rarely be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720"/>
        <w:spacing w:after="0" w:line="210" w:lineRule="auto"/>
        <w:rPr>
          <w:sz w:val="20"/>
          <w:szCs w:val="20"/>
          <w:color w:val="auto"/>
        </w:rPr>
      </w:pPr>
      <w:r>
        <w:rPr>
          <w:rFonts w:ascii="Arial" w:cs="Arial" w:eastAsia="Arial" w:hAnsi="Arial"/>
          <w:sz w:val="13"/>
          <w:szCs w:val="13"/>
          <w:color w:val="auto"/>
        </w:rPr>
        <w:t>•Where sales prices for an offering are not directly observable or highly variable across customers, we follow a cost-plus-margin approach.</w:t>
      </w:r>
    </w:p>
    <w:p>
      <w:pPr>
        <w:spacing w:after="0" w:line="1" w:lineRule="exact"/>
        <w:rPr>
          <w:sz w:val="20"/>
          <w:szCs w:val="20"/>
          <w:color w:val="auto"/>
        </w:rPr>
      </w:pPr>
    </w:p>
    <w:p>
      <w:pPr>
        <w:ind w:left="380" w:right="2720"/>
        <w:spacing w:after="0" w:line="210" w:lineRule="auto"/>
        <w:rPr>
          <w:sz w:val="20"/>
          <w:szCs w:val="20"/>
          <w:color w:val="auto"/>
        </w:rPr>
      </w:pPr>
      <w:r>
        <w:rPr>
          <w:rFonts w:ascii="Arial" w:cs="Arial" w:eastAsia="Arial" w:hAnsi="Arial"/>
          <w:sz w:val="13"/>
          <w:szCs w:val="13"/>
          <w:color w:val="auto"/>
        </w:rPr>
        <w:t>•For offerings that have highly variable pricing and lack substantial direct costs to estimate based on a cost-plus-margin approach, we allocate the transaction price by applying a residual approach. Judgment is required when estimating standalone selling prices.</w:t>
      </w:r>
    </w:p>
    <w:p>
      <w:pPr>
        <w:ind w:left="380"/>
        <w:spacing w:after="0" w:line="213" w:lineRule="auto"/>
        <w:rPr>
          <w:sz w:val="20"/>
          <w:szCs w:val="20"/>
          <w:color w:val="auto"/>
        </w:rPr>
      </w:pPr>
      <w:r>
        <w:rPr>
          <w:rFonts w:ascii="Arial" w:cs="Arial" w:eastAsia="Arial" w:hAnsi="Arial"/>
          <w:sz w:val="13"/>
          <w:szCs w:val="13"/>
          <w:i w:val="1"/>
          <w:iCs w:val="1"/>
          <w:color w:val="auto"/>
        </w:rPr>
        <w:t>Recognition of Revenues</w:t>
      </w:r>
    </w:p>
    <w:p>
      <w:pPr>
        <w:spacing w:after="0" w:line="1"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For each separate performance obligation, it is evaluated whether control is transferred either at a point in time or over time. For performance obligations that are satisfied over time, revenues are recognized based on a measure of progress, which depicts the performance in transferring control to the customer. Under the terms of our licensing arrangements, when we provide the licensee with a research and development license, which represents a right to access our intellectual property as it exists throughout the license period (as our intellectual property is still subject to further research), the promise to grant a license is accounted for as a performance obligation satisfied over time as our customers simultaneously receive and consume the benefits from our performance.</w:t>
      </w:r>
    </w:p>
    <w:p>
      <w:pPr>
        <w:spacing w:after="0" w:line="5" w:lineRule="exact"/>
        <w:rPr>
          <w:sz w:val="20"/>
          <w:szCs w:val="20"/>
          <w:color w:val="auto"/>
        </w:rPr>
      </w:pPr>
    </w:p>
    <w:p>
      <w:pPr>
        <w:ind w:left="380" w:right="2260"/>
        <w:spacing w:after="0" w:line="210" w:lineRule="auto"/>
        <w:rPr>
          <w:sz w:val="20"/>
          <w:szCs w:val="20"/>
          <w:color w:val="auto"/>
        </w:rPr>
      </w:pPr>
      <w:r>
        <w:rPr>
          <w:rFonts w:ascii="Arial" w:cs="Arial" w:eastAsia="Arial" w:hAnsi="Arial"/>
          <w:sz w:val="13"/>
          <w:szCs w:val="13"/>
          <w:color w:val="auto"/>
        </w:rPr>
        <w:t>Revenues based on the collaboration partners’ gross profit, which is shared under the respective collaboration agreements, are recognized based on the sales-based or usage-based royalty exemption; i.e., when the underlying sales occur, which is when the performance obligation has been satisfied. As described further in Note 3, judgment is applied to certain aspects when accounting for the collaboration agreements.</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Revenue arrangements that involve two or more partners who contribute to the provision of a specific good or service to a customer are assessed in terms of principal-agent considerations in order to determine the appropriate treatment for the transactions between us and the collaborator and the transactions between us and other third parties. The classification of transactions under such arrangements is determined based on the nature and contractual terms of the arrangement along with the nature of the operations of the participants. Any consideration related to activities in which we are considered the principal, which includes being in control of the good or service before such good or service is transferred to the customer, is accounted for as gross revenues. Any consideration related to activities in which we are considered the agent is accounted for as net revenues. Revenues from the sale of pharmaceutical and medical products (e.g., COVID-19 vaccine sales and other sales of peptides and retroviral vectors for clinical supply) are recognized when we transfer control of the product to the customer. Control of the product normally transfers when the customer gains physical possession and we have not retained any significant risks of ownership or future obligations with respect to the product. In general, payments from customers are due within 30 days after invoice. However, with respect to our collaboration with Pfizer Inc., or Pfizer, there is a significant time lag between when revenues are recognized and the payments are received. The contractual settlement of the gross profit share has a temporal offset of more than one calendar quarter. As Pfizer’s financial quarter for subsidiaries outside the United States differs from ours, it creates an additional time lag between the recognition of revenues and the payment receipt.</w:t>
      </w:r>
    </w:p>
    <w:p>
      <w:pPr>
        <w:spacing w:after="0" w:line="10"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For certain contracts, the finished product may temporarily be stored at our location under a bill-and-hold arrangement. Revenues from bill- and-hold arrangements are recognized at the point in time when the customer obtains control of the product and all of the following criteria have been met: (i) the arrangement is substantive;</w:t>
      </w:r>
    </w:p>
    <w:p>
      <w:pPr>
        <w:spacing w:after="0" w:line="2" w:lineRule="exact"/>
        <w:rPr>
          <w:sz w:val="20"/>
          <w:szCs w:val="20"/>
          <w:color w:val="auto"/>
        </w:rPr>
      </w:pPr>
    </w:p>
    <w:p>
      <w:pPr>
        <w:ind w:left="380" w:right="2120" w:firstLine="3"/>
        <w:spacing w:after="0" w:line="220" w:lineRule="auto"/>
        <w:tabs>
          <w:tab w:leader="none" w:pos="562"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product is identified separately as belonging to the customer; (iii) the product is ready for physical transfer to the customer; and (iv) we do not have the ability to use the product or direct it to another customer. In determining when the customer obtains control of the product, we consider certain indicators, including whether title and significant risks and rewards of ownership have transferred to the customer and whether customer acceptance has been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F-16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auto"/>
        </w:rPr>
        <w:t>Contract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0" w:lineRule="auto"/>
        <w:rPr>
          <w:sz w:val="20"/>
          <w:szCs w:val="20"/>
          <w:color w:val="auto"/>
        </w:rPr>
      </w:pPr>
      <w:r>
        <w:rPr>
          <w:rFonts w:ascii="Arial" w:cs="Arial" w:eastAsia="Arial" w:hAnsi="Arial"/>
          <w:sz w:val="13"/>
          <w:szCs w:val="13"/>
          <w:i w:val="1"/>
          <w:iCs w:val="1"/>
          <w:color w:val="auto"/>
        </w:rPr>
        <w:t>Contract Assets</w:t>
      </w:r>
    </w:p>
    <w:p>
      <w:pPr>
        <w:spacing w:after="0" w:line="1"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A contract asset is the right to consideration in exchange for goods or services transferred to the customer. If we transfer goods or services to a customer before the customer pays the respective consideration or before payment is due, a contract asset is recognized for the earned consideration that is conditional.</w:t>
      </w:r>
    </w:p>
    <w:p>
      <w:pPr>
        <w:ind w:left="380"/>
        <w:spacing w:after="0" w:line="213" w:lineRule="auto"/>
        <w:rPr>
          <w:sz w:val="20"/>
          <w:szCs w:val="20"/>
          <w:color w:val="auto"/>
        </w:rPr>
      </w:pPr>
      <w:r>
        <w:rPr>
          <w:rFonts w:ascii="Arial" w:cs="Arial" w:eastAsia="Arial" w:hAnsi="Arial"/>
          <w:sz w:val="13"/>
          <w:szCs w:val="13"/>
          <w:i w:val="1"/>
          <w:iCs w:val="1"/>
          <w:color w:val="auto"/>
        </w:rPr>
        <w:t>Trade Receivables</w:t>
      </w:r>
    </w:p>
    <w:p>
      <w:pPr>
        <w:spacing w:after="0" w:line="1" w:lineRule="exact"/>
        <w:rPr>
          <w:sz w:val="20"/>
          <w:szCs w:val="20"/>
          <w:color w:val="auto"/>
        </w:rPr>
      </w:pPr>
    </w:p>
    <w:p>
      <w:pPr>
        <w:ind w:left="380" w:right="2320"/>
        <w:spacing w:after="0" w:line="210" w:lineRule="auto"/>
        <w:rPr>
          <w:sz w:val="20"/>
          <w:szCs w:val="20"/>
          <w:color w:val="auto"/>
        </w:rPr>
      </w:pPr>
      <w:r>
        <w:rPr>
          <w:rFonts w:ascii="Arial" w:cs="Arial" w:eastAsia="Arial" w:hAnsi="Arial"/>
          <w:sz w:val="13"/>
          <w:szCs w:val="13"/>
          <w:color w:val="auto"/>
        </w:rPr>
        <w:t>A receivable represents our right to an amount of consideration that is unconditional (i.e., only the passage of time is required before payment of the consideration is due).</w:t>
      </w:r>
    </w:p>
    <w:p>
      <w:pPr>
        <w:ind w:left="380"/>
        <w:spacing w:after="0" w:line="212" w:lineRule="auto"/>
        <w:rPr>
          <w:sz w:val="20"/>
          <w:szCs w:val="20"/>
          <w:color w:val="auto"/>
        </w:rPr>
      </w:pPr>
      <w:r>
        <w:rPr>
          <w:rFonts w:ascii="Arial" w:cs="Arial" w:eastAsia="Arial" w:hAnsi="Arial"/>
          <w:sz w:val="13"/>
          <w:szCs w:val="13"/>
          <w:i w:val="1"/>
          <w:iCs w:val="1"/>
          <w:color w:val="auto"/>
        </w:rPr>
        <w:t>Contract Liabilities</w:t>
      </w:r>
    </w:p>
    <w:p>
      <w:pPr>
        <w:spacing w:after="0" w:line="1"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A contract liability is the obligation to transfer goods or services to a customer for which we have received consideration (or an amount of consideration is due) from the customer. If a customer pays consideration before we transfer goods or services to the customer, a contract liability is recognized when the payment is made or when the payment is due (whichever is earlier). Contract liabilities are recognized as revenue when we fulfill our performance obligations under the contract.</w:t>
      </w:r>
    </w:p>
    <w:p>
      <w:pPr>
        <w:ind w:left="380"/>
        <w:spacing w:after="0" w:line="215" w:lineRule="auto"/>
        <w:rPr>
          <w:sz w:val="20"/>
          <w:szCs w:val="20"/>
          <w:color w:val="auto"/>
        </w:rPr>
      </w:pPr>
      <w:r>
        <w:rPr>
          <w:rFonts w:ascii="Arial" w:cs="Arial" w:eastAsia="Arial" w:hAnsi="Arial"/>
          <w:sz w:val="13"/>
          <w:szCs w:val="13"/>
          <w:color w:val="005A64"/>
        </w:rPr>
        <w:t>2.3.4 Research and Development Expenses</w:t>
      </w:r>
    </w:p>
    <w:p>
      <w:pPr>
        <w:ind w:left="380" w:right="2100"/>
        <w:spacing w:after="0" w:line="210" w:lineRule="auto"/>
        <w:rPr>
          <w:sz w:val="20"/>
          <w:szCs w:val="20"/>
          <w:color w:val="auto"/>
        </w:rPr>
      </w:pPr>
      <w:r>
        <w:rPr>
          <w:rFonts w:ascii="Arial" w:cs="Arial" w:eastAsia="Arial" w:hAnsi="Arial"/>
          <w:sz w:val="13"/>
          <w:szCs w:val="13"/>
          <w:color w:val="auto"/>
        </w:rPr>
        <w:t>Research and development costs are expensed in the period in which they are incurred. Regarding internal projects, we consider that regulatory approval and other uncertainties inherent in the development of new products preclude the capitalization of internal development expenses as an intangible asset until marketing approval from a regulatory authority is obtained. Payments made to third parties, such as contract research and development organizations as compensation for subcontracted research and development, that are deemed not to transfer intellectual property are expensed as internal research and development expenses in the period in which they are incurred. Such payments are only capitalized if they meet the criteria for recognition of an internally generated intangible asset, usually when marketing approval has been received from a regulatory authority. We have entered into agreements under which third parties grant licenses to us, which are known as in-license agreements. If in-licensing results in consideration for the acquisition of intellectual property that meets the definition of an identifiable asset, this is capitalized as an intangible asset unless the respective intellectual property is mainly used as part of our general ongoing research and development activities without any intent to market the respective product as such. If the transaction also includes research and development services to be provided by the licensor, the share of consideration attributable to these services is recognized in research and development expenses in line with the performance of the services. Sales-based milestone or royalty payments incurred under license agreements after the approval date of the respective pharmaceutical product are recognized as expenses in cost of sales as incurred.</w:t>
      </w:r>
    </w:p>
    <w:p>
      <w:pPr>
        <w:spacing w:after="0" w:line="10" w:lineRule="exact"/>
        <w:rPr>
          <w:sz w:val="20"/>
          <w:szCs w:val="20"/>
          <w:color w:val="auto"/>
        </w:rPr>
      </w:pPr>
    </w:p>
    <w:p>
      <w:pPr>
        <w:ind w:left="380" w:right="2200"/>
        <w:spacing w:after="0" w:line="226" w:lineRule="auto"/>
        <w:rPr>
          <w:sz w:val="20"/>
          <w:szCs w:val="20"/>
          <w:color w:val="auto"/>
        </w:rPr>
      </w:pPr>
      <w:r>
        <w:rPr>
          <w:rFonts w:ascii="Arial" w:cs="Arial" w:eastAsia="Arial" w:hAnsi="Arial"/>
          <w:sz w:val="13"/>
          <w:szCs w:val="13"/>
          <w:color w:val="auto"/>
        </w:rPr>
        <w:t>Subsequent internal research and development costs in relation to intellectual property rights are expensed because the technical feasibility of the internal research and development activity can only be demonstrated by the receipt of marketing approval for a related product from a regulatory authority in a major market.</w:t>
      </w:r>
    </w:p>
    <w:p>
      <w:pPr>
        <w:sectPr>
          <w:pgSz w:w="11900" w:h="16840" w:orient="portrait"/>
          <w:cols w:equalWidth="0" w:num="1">
            <w:col w:w="9020"/>
          </w:cols>
          <w:pgMar w:left="1440" w:top="559" w:right="1440" w:bottom="58" w:gutter="0" w:footer="0" w:header="0"/>
        </w:sectPr>
      </w:pPr>
    </w:p>
    <w:bookmarkStart w:id="191" w:name="page192"/>
    <w:bookmarkEnd w:id="191"/>
    <w:p>
      <w:pPr>
        <w:ind w:left="380" w:right="2100"/>
        <w:spacing w:after="0" w:line="216" w:lineRule="auto"/>
        <w:rPr>
          <w:sz w:val="20"/>
          <w:szCs w:val="20"/>
          <w:color w:val="auto"/>
        </w:rPr>
      </w:pPr>
      <w:r>
        <w:rPr>
          <w:rFonts w:ascii="Arial" w:cs="Arial" w:eastAsia="Arial" w:hAnsi="Arial"/>
          <w:sz w:val="13"/>
          <w:szCs w:val="13"/>
          <w:color w:val="auto"/>
        </w:rPr>
        <w:t xml:space="preserve">Prior to the second quarter of 2023, we had assessed that inventory produced prior to successful regulatory approval did not meet the criteria for capitalization as an asset, and accordingly expensed the costs of pre-launch inventory as research and development costs. Based on the experience of the past years and the developments since our COVID-19 vaccine was first authorized or approved for emergency or temporary use, our assessment regarding the potential to produce economic benefits changed. Beginning with the second quarter of 2023, pre- launch products from the </w:t>
      </w:r>
      <w:r>
        <w:rPr>
          <w:rFonts w:ascii="Arial" w:cs="Arial" w:eastAsia="Arial" w:hAnsi="Arial"/>
          <w:sz w:val="13"/>
          <w:szCs w:val="13"/>
          <w:i w:val="1"/>
          <w:iCs w:val="1"/>
          <w:color w:val="auto"/>
        </w:rPr>
        <w:t>Comirnaty</w:t>
      </w:r>
      <w:r>
        <w:rPr>
          <w:rFonts w:ascii="Arial" w:cs="Arial" w:eastAsia="Arial" w:hAnsi="Arial"/>
          <w:sz w:val="13"/>
          <w:szCs w:val="13"/>
          <w:color w:val="auto"/>
        </w:rPr>
        <w:t xml:space="preserve"> product family with their potential for economic benefit fulfill the recognition criteria for an asset under the IFRS Conceptual Framework. At each reporting date, the respective inventory is measured at the lower of cost and net realizable value. However, because it is not probable until regulatory approval is obtained, we consider the net realizable value to be zero, as this is the probable amount expected to be realized from its sale until approval is obtained. The write-down is recognized in the statements of profit or loss as research and development expenses. If regulatory approval for a product candidate is obtained, the relevant write-down would be reversed to a maximum of the original cost. Subsequently, inventory is recognized as cost of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F-17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005A64"/>
        </w:rPr>
        <w:t>2.3.5 Government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60"/>
        <w:spacing w:after="0" w:line="210" w:lineRule="auto"/>
        <w:rPr>
          <w:sz w:val="20"/>
          <w:szCs w:val="20"/>
          <w:color w:val="auto"/>
        </w:rPr>
      </w:pPr>
      <w:r>
        <w:rPr>
          <w:rFonts w:ascii="Arial" w:cs="Arial" w:eastAsia="Arial" w:hAnsi="Arial"/>
          <w:sz w:val="13"/>
          <w:szCs w:val="13"/>
          <w:color w:val="auto"/>
        </w:rPr>
        <w:t>Government grants and similar grants which are accounted for in accordance with IAS 20 are recognized where there is reasonable assurance that the grant will be received and all attached conditions will be complied with. When the grant relates to an expense item, it is recognized as other income on a systematic basis over the periods that the related costs for which the grant is intended to compensate are expensed. When the grant relates to an asset, it is recognized as deferred income within the consolidated statements of financial position. Other income is subsequently recognized in our consolidated statements of profit or loss over the useful life of the underlying asset subject to funding.</w:t>
      </w:r>
    </w:p>
    <w:p>
      <w:pPr>
        <w:ind w:left="380"/>
        <w:spacing w:after="0" w:line="217" w:lineRule="auto"/>
        <w:rPr>
          <w:sz w:val="20"/>
          <w:szCs w:val="20"/>
          <w:color w:val="auto"/>
        </w:rPr>
      </w:pPr>
      <w:r>
        <w:rPr>
          <w:rFonts w:ascii="Arial" w:cs="Arial" w:eastAsia="Arial" w:hAnsi="Arial"/>
          <w:sz w:val="13"/>
          <w:szCs w:val="13"/>
          <w:color w:val="005A64"/>
        </w:rPr>
        <w:t>2.3.6 Taxes</w:t>
      </w:r>
    </w:p>
    <w:p>
      <w:pPr>
        <w:ind w:left="380"/>
        <w:spacing w:after="0" w:line="211" w:lineRule="auto"/>
        <w:rPr>
          <w:sz w:val="20"/>
          <w:szCs w:val="20"/>
          <w:color w:val="auto"/>
        </w:rPr>
      </w:pPr>
      <w:r>
        <w:rPr>
          <w:rFonts w:ascii="Arial" w:cs="Arial" w:eastAsia="Arial" w:hAnsi="Arial"/>
          <w:sz w:val="13"/>
          <w:szCs w:val="13"/>
          <w:b w:val="1"/>
          <w:bCs w:val="1"/>
          <w:color w:val="auto"/>
        </w:rPr>
        <w:t>Current Income Tax</w:t>
      </w:r>
    </w:p>
    <w:p>
      <w:pPr>
        <w:ind w:left="380" w:right="2240"/>
        <w:spacing w:after="0" w:line="210" w:lineRule="auto"/>
        <w:rPr>
          <w:sz w:val="20"/>
          <w:szCs w:val="20"/>
          <w:color w:val="auto"/>
        </w:rPr>
      </w:pPr>
      <w:r>
        <w:rPr>
          <w:rFonts w:ascii="Arial" w:cs="Arial" w:eastAsia="Arial" w:hAnsi="Arial"/>
          <w:sz w:val="13"/>
          <w:szCs w:val="13"/>
          <w:color w:val="auto"/>
        </w:rPr>
        <w:t>Current income tax assets and liabilities are measured at the amount expected to be recovered from or paid to the taxation authorities. The tax rates and tax laws used to compute the amount are those that are enacted or substantively enacted at the reporting date in the countries where the Group operates and generates taxable income.</w:t>
      </w:r>
    </w:p>
    <w:p>
      <w:pPr>
        <w:spacing w:after="0" w:line="2"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In addition, current income taxes presented for the period include adjustments for uncertain tax payments or tax refunds for periods not yet finally assessed by tax authorities, excluding interest expenses and penalties on the underpayment of taxes. In the event that amounts included in the tax return are considered unlikely to be accepted by the tax authorities (uncertain tax positions), a provision for income taxes is recognized. Management periodically evaluates positions taken in the tax returns with respect to situations in which applicable tax regulations are subject to interpretation and establishes provisions where appropriate.</w:t>
      </w:r>
    </w:p>
    <w:p>
      <w:pPr>
        <w:ind w:left="380"/>
        <w:spacing w:after="0" w:line="216" w:lineRule="auto"/>
        <w:rPr>
          <w:sz w:val="20"/>
          <w:szCs w:val="20"/>
          <w:color w:val="auto"/>
        </w:rPr>
      </w:pPr>
      <w:r>
        <w:rPr>
          <w:rFonts w:ascii="Arial" w:cs="Arial" w:eastAsia="Arial" w:hAnsi="Arial"/>
          <w:sz w:val="13"/>
          <w:szCs w:val="13"/>
          <w:b w:val="1"/>
          <w:bCs w:val="1"/>
          <w:color w:val="auto"/>
        </w:rPr>
        <w:t>Deferred Tax</w:t>
      </w:r>
    </w:p>
    <w:p>
      <w:pPr>
        <w:ind w:left="380" w:right="2120"/>
        <w:spacing w:after="0" w:line="210" w:lineRule="auto"/>
        <w:rPr>
          <w:sz w:val="20"/>
          <w:szCs w:val="20"/>
          <w:color w:val="auto"/>
        </w:rPr>
      </w:pPr>
      <w:r>
        <w:rPr>
          <w:rFonts w:ascii="Arial" w:cs="Arial" w:eastAsia="Arial" w:hAnsi="Arial"/>
          <w:sz w:val="13"/>
          <w:szCs w:val="13"/>
          <w:color w:val="auto"/>
        </w:rPr>
        <w:t>Deferred tax is provided using the liability method on temporary differences between the tax bases of assets and liabilities and their carrying amounts for financial reporting purposes at the reporting date. Deferred tax liabilities are recognized for all taxable temporary differences, except:</w:t>
      </w:r>
    </w:p>
    <w:p>
      <w:pPr>
        <w:spacing w:after="0" w:line="2" w:lineRule="exact"/>
        <w:rPr>
          <w:sz w:val="20"/>
          <w:szCs w:val="20"/>
          <w:color w:val="auto"/>
        </w:rPr>
      </w:pPr>
    </w:p>
    <w:p>
      <w:pPr>
        <w:ind w:left="380" w:right="2800"/>
        <w:spacing w:after="0" w:line="210" w:lineRule="auto"/>
        <w:rPr>
          <w:sz w:val="20"/>
          <w:szCs w:val="20"/>
          <w:color w:val="auto"/>
        </w:rPr>
      </w:pPr>
      <w:r>
        <w:rPr>
          <w:rFonts w:ascii="Arial" w:cs="Arial" w:eastAsia="Arial" w:hAnsi="Arial"/>
          <w:sz w:val="13"/>
          <w:szCs w:val="13"/>
          <w:color w:val="auto"/>
        </w:rPr>
        <w:t>•when the deferred tax liability arises from the initial recognition of goodwill or an asset or liability in a transaction that is not a business combination and, at the time of the transaction, affects neither the accounting profit nor taxable profit or loss; or</w:t>
      </w:r>
    </w:p>
    <w:p>
      <w:pPr>
        <w:spacing w:after="0" w:line="2" w:lineRule="exact"/>
        <w:rPr>
          <w:sz w:val="20"/>
          <w:szCs w:val="20"/>
          <w:color w:val="auto"/>
        </w:rPr>
      </w:pPr>
    </w:p>
    <w:p>
      <w:pPr>
        <w:ind w:left="380" w:right="2580"/>
        <w:spacing w:after="0" w:line="210" w:lineRule="auto"/>
        <w:rPr>
          <w:sz w:val="20"/>
          <w:szCs w:val="20"/>
          <w:color w:val="auto"/>
        </w:rPr>
      </w:pPr>
      <w:r>
        <w:rPr>
          <w:rFonts w:ascii="Arial" w:cs="Arial" w:eastAsia="Arial" w:hAnsi="Arial"/>
          <w:sz w:val="13"/>
          <w:szCs w:val="13"/>
          <w:color w:val="auto"/>
        </w:rPr>
        <w:t>•in respect of taxable temporary differences associated with investments in subsidiaries, when the timing of the reversal of the temporary differences can be controlled and it is probable that the temporary differences will not reverse in the foreseeable future.</w:t>
      </w:r>
    </w:p>
    <w:p>
      <w:pPr>
        <w:spacing w:after="0" w:line="2" w:lineRule="exact"/>
        <w:rPr>
          <w:sz w:val="20"/>
          <w:szCs w:val="20"/>
          <w:color w:val="auto"/>
        </w:rPr>
      </w:pPr>
    </w:p>
    <w:p>
      <w:pPr>
        <w:ind w:left="380" w:right="2260"/>
        <w:spacing w:after="0" w:line="210" w:lineRule="auto"/>
        <w:rPr>
          <w:sz w:val="20"/>
          <w:szCs w:val="20"/>
          <w:color w:val="auto"/>
        </w:rPr>
      </w:pPr>
      <w:r>
        <w:rPr>
          <w:rFonts w:ascii="Arial" w:cs="Arial" w:eastAsia="Arial" w:hAnsi="Arial"/>
          <w:sz w:val="13"/>
          <w:szCs w:val="13"/>
          <w:color w:val="auto"/>
        </w:rPr>
        <w:t>Deferred tax assets are recognized for all deductible temporary differences, the carry forward of unused tax credits and any unused tax losses. Deferred tax assets are recognized to the extent that it is probable that taxable profit will be available against which the deductible temporary differences, the carry forward of unused tax credits and unused tax losses can be utilized, except:</w:t>
      </w:r>
    </w:p>
    <w:p>
      <w:pPr>
        <w:spacing w:after="0" w:line="2" w:lineRule="exact"/>
        <w:rPr>
          <w:sz w:val="20"/>
          <w:szCs w:val="20"/>
          <w:color w:val="auto"/>
        </w:rPr>
      </w:pPr>
    </w:p>
    <w:p>
      <w:pPr>
        <w:ind w:left="380" w:right="2700"/>
        <w:spacing w:after="0" w:line="210" w:lineRule="auto"/>
        <w:rPr>
          <w:sz w:val="20"/>
          <w:szCs w:val="20"/>
          <w:color w:val="auto"/>
        </w:rPr>
      </w:pPr>
      <w:r>
        <w:rPr>
          <w:rFonts w:ascii="Arial" w:cs="Arial" w:eastAsia="Arial" w:hAnsi="Arial"/>
          <w:sz w:val="13"/>
          <w:szCs w:val="13"/>
          <w:color w:val="auto"/>
        </w:rPr>
        <w:t>•when the deferred tax asset relating to the deductible temporary difference arises from the initial recognition of an asset or liability in a transaction that is not a business combination and, at the time of the transaction, affects neither the accounting profit nor taxable profit or loss; or</w:t>
      </w:r>
    </w:p>
    <w:p>
      <w:pPr>
        <w:spacing w:after="0" w:line="2" w:lineRule="exact"/>
        <w:rPr>
          <w:sz w:val="20"/>
          <w:szCs w:val="20"/>
          <w:color w:val="auto"/>
        </w:rPr>
      </w:pPr>
    </w:p>
    <w:p>
      <w:pPr>
        <w:ind w:left="380" w:right="2580"/>
        <w:spacing w:after="0" w:line="222" w:lineRule="auto"/>
        <w:rPr>
          <w:sz w:val="20"/>
          <w:szCs w:val="20"/>
          <w:color w:val="auto"/>
        </w:rPr>
      </w:pPr>
      <w:r>
        <w:rPr>
          <w:rFonts w:ascii="Arial" w:cs="Arial" w:eastAsia="Arial" w:hAnsi="Arial"/>
          <w:sz w:val="13"/>
          <w:szCs w:val="13"/>
          <w:color w:val="auto"/>
        </w:rPr>
        <w:t>•in respect of deductible temporary differences associated with investments in subsidiaries, deferred tax assets are recognized only to the extent that it is probable that the temporary differences will reverse in the foreseeable future and taxable profit will be available against which the temporary differences can be utilized.</w:t>
      </w:r>
    </w:p>
    <w:p>
      <w:pPr>
        <w:sectPr>
          <w:pgSz w:w="11900" w:h="16840" w:orient="portrait"/>
          <w:cols w:equalWidth="0" w:num="1">
            <w:col w:w="9020"/>
          </w:cols>
          <w:pgMar w:left="1440" w:top="560" w:right="1440" w:bottom="1440" w:gutter="0" w:footer="0" w:header="0"/>
        </w:sectPr>
      </w:pPr>
    </w:p>
    <w:bookmarkStart w:id="192" w:name="page193"/>
    <w:bookmarkEnd w:id="192"/>
    <w:p>
      <w:pPr>
        <w:ind w:left="380"/>
        <w:spacing w:after="0"/>
        <w:rPr>
          <w:sz w:val="20"/>
          <w:szCs w:val="20"/>
          <w:color w:val="auto"/>
        </w:rPr>
      </w:pPr>
      <w:r>
        <w:rPr>
          <w:rFonts w:ascii="Arial" w:cs="Arial" w:eastAsia="Arial" w:hAnsi="Arial"/>
          <w:sz w:val="13"/>
          <w:szCs w:val="13"/>
          <w:color w:val="auto"/>
        </w:rPr>
        <w:t>F-18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260"/>
        <w:spacing w:after="0" w:line="217" w:lineRule="auto"/>
        <w:rPr>
          <w:sz w:val="20"/>
          <w:szCs w:val="20"/>
          <w:color w:val="auto"/>
        </w:rPr>
      </w:pPr>
      <w:r>
        <w:rPr>
          <w:rFonts w:ascii="Arial" w:cs="Arial" w:eastAsia="Arial" w:hAnsi="Arial"/>
          <w:sz w:val="13"/>
          <w:szCs w:val="13"/>
          <w:color w:val="auto"/>
        </w:rPr>
        <w:t>Deferred tax assets and liabilities are measured at the tax rates that are expected to apply in the year in which the asset is realized, or the liability is settled, based on tax rates (and tax laws) that have been enacted or substantively enacted at the reporting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color w:val="auto"/>
        </w:rPr>
        <w:t>Unrecognized deferred tax assets are re- assessed at each reporting date and are recognized to the extent that it has become probable that future taxable profits will allow the deferred tax asset to be recovered.</w:t>
      </w:r>
    </w:p>
    <w:p>
      <w:pPr>
        <w:ind w:left="380"/>
        <w:spacing w:after="0" w:line="212" w:lineRule="auto"/>
        <w:rPr>
          <w:sz w:val="20"/>
          <w:szCs w:val="20"/>
          <w:color w:val="auto"/>
        </w:rPr>
      </w:pPr>
      <w:r>
        <w:rPr>
          <w:rFonts w:ascii="Arial" w:cs="Arial" w:eastAsia="Arial" w:hAnsi="Arial"/>
          <w:sz w:val="13"/>
          <w:szCs w:val="13"/>
          <w:b w:val="1"/>
          <w:bCs w:val="1"/>
          <w:color w:val="auto"/>
        </w:rPr>
        <w:t>Recognition of Taxes</w:t>
      </w:r>
    </w:p>
    <w:p>
      <w:pPr>
        <w:spacing w:after="0" w:line="1"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Current and deferred tax items are recognized similarly to the underlying transaction either in profit or loss, other comprehensive income or directly in equity.</w:t>
      </w:r>
    </w:p>
    <w:p>
      <w:pPr>
        <w:spacing w:after="0" w:line="1"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Current tax assets and current tax liabilities are offset if, and only if, we have a legally enforceable right to set off the recognized amounts and intend either to settle on a net basis, or to realize the asset and settle the liability simultaneously. Deferred tax assets and deferred tax liabilities are only offset when we have a legally enforceable right to set off current tax assets and current tax liabilities and the deferred tax assets and deferred tax liabilities relate to income taxes levied by the same taxation authority on either (i) the same taxable entity or</w:t>
      </w:r>
    </w:p>
    <w:p>
      <w:pPr>
        <w:spacing w:after="0" w:line="3" w:lineRule="exact"/>
        <w:rPr>
          <w:sz w:val="20"/>
          <w:szCs w:val="20"/>
          <w:color w:val="auto"/>
        </w:rPr>
      </w:pPr>
    </w:p>
    <w:p>
      <w:pPr>
        <w:ind w:left="380" w:right="2260" w:firstLine="3"/>
        <w:spacing w:after="0" w:line="210" w:lineRule="auto"/>
        <w:tabs>
          <w:tab w:leader="none" w:pos="562" w:val="left"/>
        </w:tabs>
        <w:numPr>
          <w:ilvl w:val="0"/>
          <w:numId w:val="48"/>
        </w:numPr>
        <w:rPr>
          <w:rFonts w:ascii="Arial" w:cs="Arial" w:eastAsia="Arial" w:hAnsi="Arial"/>
          <w:sz w:val="13"/>
          <w:szCs w:val="13"/>
          <w:color w:val="auto"/>
        </w:rPr>
      </w:pPr>
      <w:r>
        <w:rPr>
          <w:rFonts w:ascii="Arial" w:cs="Arial" w:eastAsia="Arial" w:hAnsi="Arial"/>
          <w:sz w:val="13"/>
          <w:szCs w:val="13"/>
          <w:color w:val="auto"/>
        </w:rPr>
        <w:t>different taxable entities, which intend either to settle current tax liabilities and assets on a net basis, or to realize the assets and settle the liabilities simultaneously, in each future period in which significant amounts of deferred tax liabilities or assets are expected to be settled or recovered.</w:t>
      </w:r>
    </w:p>
    <w:p>
      <w:pPr>
        <w:spacing w:after="0" w:line="1" w:lineRule="exact"/>
        <w:rPr>
          <w:rFonts w:ascii="Arial" w:cs="Arial" w:eastAsia="Arial" w:hAnsi="Arial"/>
          <w:sz w:val="13"/>
          <w:szCs w:val="13"/>
          <w:color w:val="auto"/>
        </w:rPr>
      </w:pPr>
    </w:p>
    <w:p>
      <w:pPr>
        <w:ind w:left="380"/>
        <w:spacing w:after="0" w:line="210" w:lineRule="auto"/>
        <w:rPr>
          <w:rFonts w:ascii="Arial" w:cs="Arial" w:eastAsia="Arial" w:hAnsi="Arial"/>
          <w:sz w:val="13"/>
          <w:szCs w:val="13"/>
          <w:color w:val="auto"/>
        </w:rPr>
      </w:pPr>
      <w:r>
        <w:rPr>
          <w:rFonts w:ascii="Arial" w:cs="Arial" w:eastAsia="Arial" w:hAnsi="Arial"/>
          <w:sz w:val="13"/>
          <w:szCs w:val="13"/>
          <w:b w:val="1"/>
          <w:bCs w:val="1"/>
          <w:color w:val="auto"/>
        </w:rPr>
        <w:t>Sales Tax</w:t>
      </w:r>
    </w:p>
    <w:p>
      <w:pPr>
        <w:ind w:left="380" w:right="2460"/>
        <w:spacing w:after="0" w:line="210" w:lineRule="auto"/>
        <w:rPr>
          <w:rFonts w:ascii="Arial" w:cs="Arial" w:eastAsia="Arial" w:hAnsi="Arial"/>
          <w:sz w:val="13"/>
          <w:szCs w:val="13"/>
          <w:color w:val="auto"/>
        </w:rPr>
      </w:pPr>
      <w:r>
        <w:rPr>
          <w:rFonts w:ascii="Arial" w:cs="Arial" w:eastAsia="Arial" w:hAnsi="Arial"/>
          <w:sz w:val="13"/>
          <w:szCs w:val="13"/>
          <w:color w:val="auto"/>
        </w:rPr>
        <w:t>Expenses and assets are recognized net of sales tax, except when the sales tax incurred on a purchase of assets or services is not recoverable from the taxation authority.</w:t>
      </w:r>
    </w:p>
    <w:p>
      <w:pPr>
        <w:spacing w:after="0" w:line="1" w:lineRule="exact"/>
        <w:rPr>
          <w:rFonts w:ascii="Arial" w:cs="Arial" w:eastAsia="Arial" w:hAnsi="Arial"/>
          <w:sz w:val="13"/>
          <w:szCs w:val="13"/>
          <w:color w:val="auto"/>
        </w:rPr>
      </w:pPr>
    </w:p>
    <w:p>
      <w:pPr>
        <w:ind w:left="380" w:right="2640"/>
        <w:spacing w:after="0" w:line="210" w:lineRule="auto"/>
        <w:rPr>
          <w:rFonts w:ascii="Arial" w:cs="Arial" w:eastAsia="Arial" w:hAnsi="Arial"/>
          <w:sz w:val="13"/>
          <w:szCs w:val="13"/>
          <w:color w:val="auto"/>
        </w:rPr>
      </w:pPr>
      <w:r>
        <w:rPr>
          <w:rFonts w:ascii="Arial" w:cs="Arial" w:eastAsia="Arial" w:hAnsi="Arial"/>
          <w:sz w:val="13"/>
          <w:szCs w:val="13"/>
          <w:color w:val="auto"/>
        </w:rPr>
        <w:t>The net amount of sales tax recoverable from, or payable to, the taxation authority is included as part of receivables or payables in the consolidated statements of financial position.</w:t>
      </w:r>
    </w:p>
    <w:p>
      <w:pPr>
        <w:spacing w:after="0" w:line="1" w:lineRule="exact"/>
        <w:rPr>
          <w:rFonts w:ascii="Arial" w:cs="Arial" w:eastAsia="Arial" w:hAnsi="Arial"/>
          <w:sz w:val="13"/>
          <w:szCs w:val="13"/>
          <w:color w:val="auto"/>
        </w:rPr>
      </w:pPr>
    </w:p>
    <w:p>
      <w:pPr>
        <w:ind w:left="380"/>
        <w:spacing w:after="0" w:line="210" w:lineRule="auto"/>
        <w:rPr>
          <w:rFonts w:ascii="Arial" w:cs="Arial" w:eastAsia="Arial" w:hAnsi="Arial"/>
          <w:sz w:val="13"/>
          <w:szCs w:val="13"/>
          <w:color w:val="auto"/>
        </w:rPr>
      </w:pPr>
      <w:r>
        <w:rPr>
          <w:rFonts w:ascii="Arial" w:cs="Arial" w:eastAsia="Arial" w:hAnsi="Arial"/>
          <w:sz w:val="13"/>
          <w:szCs w:val="13"/>
          <w:b w:val="1"/>
          <w:bCs w:val="1"/>
          <w:color w:val="auto"/>
        </w:rPr>
        <w:t>Global Minimum Taxation</w:t>
      </w:r>
    </w:p>
    <w:p>
      <w:pPr>
        <w:ind w:left="380" w:right="2100"/>
        <w:spacing w:after="0" w:line="210" w:lineRule="auto"/>
        <w:rPr>
          <w:rFonts w:ascii="Arial" w:cs="Arial" w:eastAsia="Arial" w:hAnsi="Arial"/>
          <w:sz w:val="13"/>
          <w:szCs w:val="13"/>
          <w:color w:val="auto"/>
        </w:rPr>
      </w:pPr>
      <w:r>
        <w:rPr>
          <w:rFonts w:ascii="Arial" w:cs="Arial" w:eastAsia="Arial" w:hAnsi="Arial"/>
          <w:sz w:val="13"/>
          <w:szCs w:val="13"/>
          <w:color w:val="auto"/>
        </w:rPr>
        <w:t>Based on the Organisation for Economic Co-operation and Development (OECD) Base Erosion and Profit Shifting (BEPS) project to tackle tax avoidance, the OECD/G20 Inclusive Framework (an association of about 140 countries) decided to introduce a global minimum taxation for large multinational groups (known as Pillar 2). The Global Anti-Base Erosion Rules are intended to ensure that large multinational groups pay a minimum level of tax on the income arising in each jurisdiction where they operate. In December 2021, the OECD published its Model Rules, which serve as a draft bill for implementation into national domestic law, followed by guidelines and commentaries published in March 2022. In December 2022, the EU adopted a corresponding directive (EU 2022/2523) that obliges EU member states to transpose the rules into national domestic law. If the effective tax rate in any jurisdiction is below the minimum rate (15%), the Group may be subject to the so-called top-up tax or a so-called qualified domestic minimum top-up tax.</w:t>
      </w:r>
    </w:p>
    <w:p>
      <w:pPr>
        <w:spacing w:after="0" w:line="5" w:lineRule="exact"/>
        <w:rPr>
          <w:rFonts w:ascii="Arial" w:cs="Arial" w:eastAsia="Arial" w:hAnsi="Arial"/>
          <w:sz w:val="13"/>
          <w:szCs w:val="13"/>
          <w:color w:val="auto"/>
        </w:rPr>
      </w:pPr>
    </w:p>
    <w:p>
      <w:pPr>
        <w:ind w:left="380" w:right="2100"/>
        <w:spacing w:after="0" w:line="210" w:lineRule="auto"/>
        <w:rPr>
          <w:rFonts w:ascii="Arial" w:cs="Arial" w:eastAsia="Arial" w:hAnsi="Arial"/>
          <w:sz w:val="13"/>
          <w:szCs w:val="13"/>
          <w:color w:val="auto"/>
        </w:rPr>
      </w:pPr>
      <w:r>
        <w:rPr>
          <w:rFonts w:ascii="Arial" w:cs="Arial" w:eastAsia="Arial" w:hAnsi="Arial"/>
          <w:sz w:val="13"/>
          <w:szCs w:val="13"/>
          <w:color w:val="auto"/>
        </w:rPr>
        <w:t>Several jurisdictions in which the Group operates have transposed the OECD Model Rules into national domestic law and brought them into force. In addition, the Group is closely following the progress of the legislative process in each country in which the Group operates. As of the balance sheet date, the BEPS Pillar 2 regulations (</w:t>
      </w:r>
      <w:r>
        <w:rPr>
          <w:rFonts w:ascii="Arial" w:cs="Arial" w:eastAsia="Arial" w:hAnsi="Arial"/>
          <w:sz w:val="13"/>
          <w:szCs w:val="13"/>
          <w:i w:val="1"/>
          <w:iCs w:val="1"/>
          <w:color w:val="auto"/>
        </w:rPr>
        <w:t>MinBestRL UmsG</w:t>
      </w:r>
      <w:r>
        <w:rPr>
          <w:rFonts w:ascii="Arial" w:cs="Arial" w:eastAsia="Arial" w:hAnsi="Arial"/>
          <w:sz w:val="13"/>
          <w:szCs w:val="13"/>
          <w:color w:val="auto"/>
        </w:rPr>
        <w:t>) had already been transposed into German law (</w:t>
      </w:r>
      <w:r>
        <w:rPr>
          <w:rFonts w:ascii="Arial" w:cs="Arial" w:eastAsia="Arial" w:hAnsi="Arial"/>
          <w:sz w:val="13"/>
          <w:szCs w:val="13"/>
          <w:i w:val="1"/>
          <w:iCs w:val="1"/>
          <w:color w:val="auto"/>
        </w:rPr>
        <w:t>MinStG</w:t>
      </w:r>
      <w:r>
        <w:rPr>
          <w:rFonts w:ascii="Arial" w:cs="Arial" w:eastAsia="Arial" w:hAnsi="Arial"/>
          <w:sz w:val="13"/>
          <w:szCs w:val="13"/>
          <w:color w:val="auto"/>
        </w:rPr>
        <w:t>). The date of application of the law in Germany is for financial years beginning after December 30, 2023. Subsequently, as the OECD Model Rules have entered into force in Germany, the Group is obliged to file top-up tax information returns for all entities which are part of the Group, beginning in financial year 2024. The Group falls within the scope of these regulations. The Group carried out an analysis as of the reporting date to determine the fundamental impact and the jurisdictions in which the Group is exposed to possible effects in connection with a Pillar 2 top-up tax.</w:t>
      </w:r>
    </w:p>
    <w:p>
      <w:pPr>
        <w:spacing w:after="0" w:line="5" w:lineRule="exact"/>
        <w:rPr>
          <w:rFonts w:ascii="Arial" w:cs="Arial" w:eastAsia="Arial" w:hAnsi="Arial"/>
          <w:sz w:val="13"/>
          <w:szCs w:val="13"/>
          <w:color w:val="auto"/>
        </w:rPr>
      </w:pPr>
    </w:p>
    <w:p>
      <w:pPr>
        <w:ind w:left="380"/>
        <w:spacing w:after="0" w:line="210" w:lineRule="auto"/>
        <w:rPr>
          <w:rFonts w:ascii="Arial" w:cs="Arial" w:eastAsia="Arial" w:hAnsi="Arial"/>
          <w:sz w:val="13"/>
          <w:szCs w:val="13"/>
          <w:color w:val="auto"/>
        </w:rPr>
      </w:pPr>
      <w:r>
        <w:rPr>
          <w:rFonts w:ascii="Arial" w:cs="Arial" w:eastAsia="Arial" w:hAnsi="Arial"/>
          <w:sz w:val="13"/>
          <w:szCs w:val="13"/>
          <w:color w:val="005A64"/>
        </w:rPr>
        <w:t>2.3.7 Business Combinations and Goodwill</w:t>
      </w:r>
    </w:p>
    <w:p>
      <w:pPr>
        <w:ind w:left="380" w:right="2220"/>
        <w:spacing w:after="0" w:line="226" w:lineRule="auto"/>
        <w:rPr>
          <w:rFonts w:ascii="Arial" w:cs="Arial" w:eastAsia="Arial" w:hAnsi="Arial"/>
          <w:sz w:val="13"/>
          <w:szCs w:val="13"/>
          <w:color w:val="auto"/>
        </w:rPr>
      </w:pPr>
      <w:r>
        <w:rPr>
          <w:rFonts w:ascii="Arial" w:cs="Arial" w:eastAsia="Arial" w:hAnsi="Arial"/>
          <w:sz w:val="13"/>
          <w:szCs w:val="13"/>
          <w:color w:val="auto"/>
        </w:rPr>
        <w:t>Business combinations are accounted for using the acquisition method. The cost of an acquisition is measured as the aggregate of the consideration transferred, which is measured at acquisition date fair value, and the amount of any non-controlling interests in the acquiree.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F-19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jc w:val="both"/>
        <w:ind w:left="380" w:right="2300"/>
        <w:spacing w:after="0" w:line="217" w:lineRule="auto"/>
        <w:rPr>
          <w:sz w:val="20"/>
          <w:szCs w:val="20"/>
          <w:color w:val="auto"/>
        </w:rPr>
      </w:pPr>
      <w:r>
        <w:rPr>
          <w:rFonts w:ascii="Arial" w:cs="Arial" w:eastAsia="Arial" w:hAnsi="Arial"/>
          <w:sz w:val="13"/>
          <w:szCs w:val="13"/>
          <w:color w:val="auto"/>
        </w:rPr>
        <w:t>Goodwill is initially measured at cost as the excess of the aggregate of the consideration transferred and the amount recognized for non-controlling interests and any previous interest held over the net identifiable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240"/>
        <w:spacing w:after="0" w:line="210" w:lineRule="auto"/>
        <w:rPr>
          <w:sz w:val="20"/>
          <w:szCs w:val="20"/>
          <w:color w:val="auto"/>
        </w:rPr>
      </w:pPr>
      <w:r>
        <w:rPr>
          <w:rFonts w:ascii="Arial" w:cs="Arial" w:eastAsia="Arial" w:hAnsi="Arial"/>
          <w:sz w:val="13"/>
          <w:szCs w:val="13"/>
          <w:color w:val="auto"/>
        </w:rPr>
        <w:t>Costs related to executing business combinations are recognized when they are incurred and are classified as general and administrative expenses.</w:t>
      </w:r>
    </w:p>
    <w:p>
      <w:pPr>
        <w:spacing w:after="0" w:line="1" w:lineRule="exact"/>
        <w:rPr>
          <w:sz w:val="20"/>
          <w:szCs w:val="20"/>
          <w:color w:val="auto"/>
        </w:rPr>
      </w:pPr>
    </w:p>
    <w:p>
      <w:pPr>
        <w:ind w:left="380" w:right="2360"/>
        <w:spacing w:after="0" w:line="210" w:lineRule="auto"/>
        <w:rPr>
          <w:sz w:val="20"/>
          <w:szCs w:val="20"/>
          <w:color w:val="auto"/>
        </w:rPr>
      </w:pPr>
      <w:r>
        <w:rPr>
          <w:rFonts w:ascii="Arial" w:cs="Arial" w:eastAsia="Arial" w:hAnsi="Arial"/>
          <w:sz w:val="13"/>
          <w:szCs w:val="13"/>
          <w:color w:val="auto"/>
        </w:rPr>
        <w:t>After initial recognition, goodwill is tested at least annually or when there is an indication for impairment. See Note 2.3.10. For the purpose of impairment testing, goodwill acquired in a business combination is, from the acquisition date, allocated to each of the cash-generating units that are expected to benefit from the combination, irrespective of whether other assets or liabilities of the acquiree are assigned to those units.</w:t>
      </w:r>
    </w:p>
    <w:p>
      <w:pPr>
        <w:ind w:left="380"/>
        <w:spacing w:after="0" w:line="214" w:lineRule="auto"/>
        <w:rPr>
          <w:sz w:val="20"/>
          <w:szCs w:val="20"/>
          <w:color w:val="auto"/>
        </w:rPr>
      </w:pPr>
      <w:r>
        <w:rPr>
          <w:rFonts w:ascii="Arial" w:cs="Arial" w:eastAsia="Arial" w:hAnsi="Arial"/>
          <w:sz w:val="13"/>
          <w:szCs w:val="13"/>
          <w:color w:val="005A64"/>
        </w:rPr>
        <w:t>2.3.8 Intangible Assets</w:t>
      </w:r>
    </w:p>
    <w:p>
      <w:pPr>
        <w:ind w:left="380" w:right="2100"/>
        <w:spacing w:after="0" w:line="210" w:lineRule="auto"/>
        <w:rPr>
          <w:sz w:val="20"/>
          <w:szCs w:val="20"/>
          <w:color w:val="auto"/>
        </w:rPr>
      </w:pPr>
      <w:r>
        <w:rPr>
          <w:rFonts w:ascii="Arial" w:cs="Arial" w:eastAsia="Arial" w:hAnsi="Arial"/>
          <w:sz w:val="13"/>
          <w:szCs w:val="13"/>
          <w:color w:val="auto"/>
        </w:rPr>
        <w:t>Intangible assets acquired separately are measured on initial recognition at cost. The cost of intangible assets acquired in a business combination is their fair value at the date of acquisition. Following initial recognition, intangible assets are carried at cost less any accumulated amortization and accumulated impairment losses. The portion of the consideration paid by us in in- licensing agreements to acquire rights to intellectual property is recognized as an intangible asset, referred to as In-process R&amp;D. If an in-licensing agreement includes research and development services, the share of consideration attributable to these services is deferred and recognized in research and development expenses as goods or services are received. Payments depending on the achievement of specific milestones as part of the purchase of intangible assets, except for intangible assets acquired in a business combination, are recognized as subsequent acquisition cost of the intangible asset and as a financial liability once the milestone is reached.</w:t>
      </w:r>
    </w:p>
    <w:p>
      <w:pPr>
        <w:ind w:left="380"/>
        <w:spacing w:after="0" w:line="220" w:lineRule="auto"/>
        <w:rPr>
          <w:sz w:val="20"/>
          <w:szCs w:val="20"/>
          <w:color w:val="auto"/>
        </w:rPr>
      </w:pPr>
      <w:r>
        <w:rPr>
          <w:rFonts w:ascii="Arial" w:cs="Arial" w:eastAsia="Arial" w:hAnsi="Arial"/>
          <w:sz w:val="13"/>
          <w:szCs w:val="13"/>
          <w:color w:val="auto"/>
        </w:rPr>
        <w:t>The useful lives of intangible assets are assessed as either finite or indefinite.</w:t>
      </w:r>
    </w:p>
    <w:p>
      <w:pPr>
        <w:ind w:left="380" w:right="2280"/>
        <w:spacing w:after="0" w:line="210" w:lineRule="auto"/>
        <w:rPr>
          <w:sz w:val="20"/>
          <w:szCs w:val="20"/>
          <w:color w:val="auto"/>
        </w:rPr>
      </w:pPr>
      <w:r>
        <w:rPr>
          <w:rFonts w:ascii="Arial" w:cs="Arial" w:eastAsia="Arial" w:hAnsi="Arial"/>
          <w:sz w:val="13"/>
          <w:szCs w:val="13"/>
          <w:color w:val="auto"/>
        </w:rPr>
        <w:t>Intangible assets with finite lives are amortized generally on a straight-line basis over the useful life and assessed for impairment whenever there is an indication that the intangible asset may be impaired. The amortization period and the amortization method for an intangible asset with a finite useful life are reviewed at the end of each reporting period at the least. The amortization expense on intangible assets with finite lives is recognized in the consolidated statements of profit or loss in the expense category that is consistent with the function of the intangible assets.</w:t>
      </w:r>
    </w:p>
    <w:p>
      <w:pPr>
        <w:spacing w:after="0" w:line="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 summary of the useful lives applied to the Group’s intangible assets is as follows:</w:t>
      </w:r>
    </w:p>
    <w:p>
      <w:pPr>
        <w:sectPr>
          <w:pgSz w:w="11900" w:h="16840" w:orient="portrait"/>
          <w:cols w:equalWidth="0" w:num="1">
            <w:col w:w="9020"/>
          </w:cols>
          <w:pgMar w:left="1440" w:top="1301" w:right="1440" w:bottom="58" w:gutter="0" w:footer="0" w:header="0"/>
        </w:sectPr>
      </w:pPr>
    </w:p>
    <w:bookmarkStart w:id="193" w:name="page194"/>
    <w:bookmarkEnd w:id="193"/>
    <w:tbl>
      <w:tblPr>
        <w:tblLayout w:type="fixed"/>
        <w:tblInd w:w="380" w:type="dxa"/>
        <w:tblCellMar>
          <w:top w:w="0" w:type="dxa"/>
          <w:left w:w="0" w:type="dxa"/>
          <w:bottom w:w="0" w:type="dxa"/>
          <w:right w:w="0" w:type="dxa"/>
        </w:tblCellMar>
      </w:tblPr>
      <w:tr>
        <w:trPr>
          <w:trHeight w:val="166"/>
        </w:trPr>
        <w:tc>
          <w:tcPr>
            <w:tcW w:w="5520" w:type="dxa"/>
            <w:vAlign w:val="bottom"/>
          </w:tcPr>
          <w:p>
            <w:pPr>
              <w:ind w:left="20"/>
              <w:spacing w:after="0"/>
              <w:rPr>
                <w:sz w:val="20"/>
                <w:szCs w:val="20"/>
                <w:color w:val="auto"/>
              </w:rPr>
            </w:pPr>
            <w:r>
              <w:rPr>
                <w:rFonts w:ascii="Arial" w:cs="Arial" w:eastAsia="Arial" w:hAnsi="Arial"/>
                <w:sz w:val="12"/>
                <w:szCs w:val="12"/>
                <w:b w:val="1"/>
                <w:bCs w:val="1"/>
                <w:color w:val="005A64"/>
              </w:rPr>
              <w:t>Intangible assets</w:t>
            </w:r>
          </w:p>
        </w:tc>
        <w:tc>
          <w:tcPr>
            <w:tcW w:w="4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2"/>
                <w:szCs w:val="12"/>
                <w:b w:val="1"/>
                <w:bCs w:val="1"/>
                <w:color w:val="005A64"/>
              </w:rPr>
              <w:t>Useful life (years)</w:t>
            </w:r>
          </w:p>
        </w:tc>
        <w:tc>
          <w:tcPr>
            <w:tcW w:w="0" w:type="dxa"/>
            <w:vAlign w:val="bottom"/>
          </w:tcPr>
          <w:p>
            <w:pPr>
              <w:spacing w:after="0"/>
              <w:rPr>
                <w:sz w:val="1"/>
                <w:szCs w:val="1"/>
                <w:color w:val="auto"/>
              </w:rPr>
            </w:pPr>
          </w:p>
        </w:tc>
      </w:tr>
      <w:tr>
        <w:trPr>
          <w:trHeight w:val="47"/>
        </w:trPr>
        <w:tc>
          <w:tcPr>
            <w:tcW w:w="5520" w:type="dxa"/>
            <w:vAlign w:val="bottom"/>
            <w:tcBorders>
              <w:bottom w:val="single" w:sz="8" w:color="005A64"/>
            </w:tcBorders>
          </w:tcPr>
          <w:p>
            <w:pPr>
              <w:spacing w:after="0"/>
              <w:rPr>
                <w:sz w:val="4"/>
                <w:szCs w:val="4"/>
                <w:color w:val="auto"/>
              </w:rPr>
            </w:pPr>
          </w:p>
        </w:tc>
        <w:tc>
          <w:tcPr>
            <w:tcW w:w="40" w:type="dxa"/>
            <w:vAlign w:val="bottom"/>
            <w:vMerge w:val="restart"/>
          </w:tcPr>
          <w:p>
            <w:pPr>
              <w:spacing w:after="0"/>
              <w:rPr>
                <w:sz w:val="4"/>
                <w:szCs w:val="4"/>
                <w:color w:val="auto"/>
              </w:rPr>
            </w:pPr>
          </w:p>
        </w:tc>
        <w:tc>
          <w:tcPr>
            <w:tcW w:w="11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2"/>
                <w:szCs w:val="12"/>
                <w:color w:val="005A64"/>
              </w:rPr>
              <w:t>Intellectual property rights</w:t>
            </w:r>
          </w:p>
        </w:tc>
        <w:tc>
          <w:tcPr>
            <w:tcW w:w="40" w:type="dxa"/>
            <w:vAlign w:val="bottom"/>
            <w:vMerge w:val="continue"/>
          </w:tcPr>
          <w:p>
            <w:pPr>
              <w:spacing w:after="0"/>
              <w:rPr>
                <w:sz w:val="13"/>
                <w:szCs w:val="13"/>
                <w:color w:val="auto"/>
              </w:rPr>
            </w:pPr>
          </w:p>
        </w:tc>
        <w:tc>
          <w:tcPr>
            <w:tcW w:w="1160" w:type="dxa"/>
            <w:vAlign w:val="bottom"/>
          </w:tcPr>
          <w:p>
            <w:pPr>
              <w:ind w:left="20"/>
              <w:spacing w:after="0"/>
              <w:rPr>
                <w:sz w:val="20"/>
                <w:szCs w:val="20"/>
                <w:color w:val="auto"/>
              </w:rPr>
            </w:pPr>
            <w:r>
              <w:rPr>
                <w:rFonts w:ascii="Arial" w:cs="Arial" w:eastAsia="Arial" w:hAnsi="Arial"/>
                <w:sz w:val="12"/>
                <w:szCs w:val="12"/>
                <w:color w:val="005A64"/>
              </w:rPr>
              <w:t>8-20</w:t>
            </w:r>
          </w:p>
        </w:tc>
        <w:tc>
          <w:tcPr>
            <w:tcW w:w="0" w:type="dxa"/>
            <w:vAlign w:val="bottom"/>
          </w:tcPr>
          <w:p>
            <w:pPr>
              <w:spacing w:after="0"/>
              <w:rPr>
                <w:sz w:val="1"/>
                <w:szCs w:val="1"/>
                <w:color w:val="auto"/>
              </w:rPr>
            </w:pPr>
          </w:p>
        </w:tc>
      </w:tr>
      <w:tr>
        <w:trPr>
          <w:trHeight w:val="181"/>
        </w:trPr>
        <w:tc>
          <w:tcPr>
            <w:tcW w:w="5520" w:type="dxa"/>
            <w:vAlign w:val="bottom"/>
          </w:tcPr>
          <w:p>
            <w:pPr>
              <w:ind w:left="20"/>
              <w:spacing w:after="0"/>
              <w:rPr>
                <w:sz w:val="20"/>
                <w:szCs w:val="20"/>
                <w:color w:val="auto"/>
              </w:rPr>
            </w:pPr>
            <w:r>
              <w:rPr>
                <w:rFonts w:ascii="Arial" w:cs="Arial" w:eastAsia="Arial" w:hAnsi="Arial"/>
                <w:sz w:val="12"/>
                <w:szCs w:val="12"/>
                <w:color w:val="005A64"/>
              </w:rPr>
              <w:t>Licenses</w:t>
            </w:r>
          </w:p>
        </w:tc>
        <w:tc>
          <w:tcPr>
            <w:tcW w:w="1200" w:type="dxa"/>
            <w:vAlign w:val="bottom"/>
            <w:gridSpan w:val="2"/>
          </w:tcPr>
          <w:p>
            <w:pPr>
              <w:ind w:left="60"/>
              <w:spacing w:after="0"/>
              <w:rPr>
                <w:sz w:val="20"/>
                <w:szCs w:val="20"/>
                <w:color w:val="auto"/>
              </w:rPr>
            </w:pPr>
            <w:r>
              <w:rPr>
                <w:rFonts w:ascii="Arial" w:cs="Arial" w:eastAsia="Arial" w:hAnsi="Arial"/>
                <w:sz w:val="12"/>
                <w:szCs w:val="12"/>
                <w:color w:val="005A64"/>
              </w:rPr>
              <w:t>3-20</w:t>
            </w:r>
          </w:p>
        </w:tc>
        <w:tc>
          <w:tcPr>
            <w:tcW w:w="0" w:type="dxa"/>
            <w:vAlign w:val="bottom"/>
          </w:tcPr>
          <w:p>
            <w:pPr>
              <w:spacing w:after="0"/>
              <w:rPr>
                <w:sz w:val="1"/>
                <w:szCs w:val="1"/>
                <w:color w:val="auto"/>
              </w:rPr>
            </w:pPr>
          </w:p>
        </w:tc>
      </w:tr>
      <w:tr>
        <w:trPr>
          <w:trHeight w:val="202"/>
        </w:trPr>
        <w:tc>
          <w:tcPr>
            <w:tcW w:w="5520" w:type="dxa"/>
            <w:vAlign w:val="bottom"/>
          </w:tcPr>
          <w:p>
            <w:pPr>
              <w:ind w:left="20"/>
              <w:spacing w:after="0"/>
              <w:rPr>
                <w:sz w:val="20"/>
                <w:szCs w:val="20"/>
                <w:color w:val="auto"/>
              </w:rPr>
            </w:pPr>
            <w:r>
              <w:rPr>
                <w:rFonts w:ascii="Arial" w:cs="Arial" w:eastAsia="Arial" w:hAnsi="Arial"/>
                <w:sz w:val="12"/>
                <w:szCs w:val="12"/>
                <w:color w:val="005A64"/>
              </w:rPr>
              <w:t>Software</w:t>
            </w:r>
          </w:p>
        </w:tc>
        <w:tc>
          <w:tcPr>
            <w:tcW w:w="1200" w:type="dxa"/>
            <w:vAlign w:val="bottom"/>
            <w:gridSpan w:val="2"/>
          </w:tcPr>
          <w:p>
            <w:pPr>
              <w:ind w:left="60"/>
              <w:spacing w:after="0"/>
              <w:rPr>
                <w:sz w:val="20"/>
                <w:szCs w:val="20"/>
                <w:color w:val="auto"/>
              </w:rPr>
            </w:pPr>
            <w:r>
              <w:rPr>
                <w:rFonts w:ascii="Arial" w:cs="Arial" w:eastAsia="Arial" w:hAnsi="Arial"/>
                <w:sz w:val="12"/>
                <w:szCs w:val="12"/>
                <w:color w:val="005A64"/>
              </w:rPr>
              <w:t>3-8</w:t>
            </w:r>
          </w:p>
        </w:tc>
        <w:tc>
          <w:tcPr>
            <w:tcW w:w="0" w:type="dxa"/>
            <w:vAlign w:val="bottom"/>
          </w:tcPr>
          <w:p>
            <w:pPr>
              <w:spacing w:after="0"/>
              <w:rPr>
                <w:sz w:val="1"/>
                <w:szCs w:val="1"/>
                <w:color w:val="auto"/>
              </w:rPr>
            </w:pPr>
          </w:p>
        </w:tc>
      </w:tr>
    </w:tbl>
    <w:p>
      <w:pPr>
        <w:spacing w:after="0" w:line="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1157605</wp:posOffset>
            </wp:positionH>
            <wp:positionV relativeFrom="page">
              <wp:posOffset>361950</wp:posOffset>
            </wp:positionV>
            <wp:extent cx="4268470" cy="127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7">
                      <a:extLst>
                        <a:ext uri="{28A0092B-C50C-407E-A947-70E740481C1C}"/>
                      </a:extLst>
                    </a:blip>
                    <a:srcRect/>
                    <a:stretch>
                      <a:fillRect/>
                    </a:stretch>
                  </pic:blipFill>
                  <pic:spPr bwMode="auto">
                    <a:xfrm>
                      <a:off x="0" y="0"/>
                      <a:ext cx="4268470" cy="12700"/>
                    </a:xfrm>
                    <a:prstGeom prst="rect">
                      <a:avLst/>
                    </a:prstGeom>
                    <a:noFill/>
                  </pic:spPr>
                </pic:pic>
              </a:graphicData>
            </a:graphic>
          </wp:anchor>
        </w:drawing>
      </w:r>
    </w:p>
    <w:p>
      <w:pPr>
        <w:ind w:left="380" w:right="2120"/>
        <w:spacing w:after="0" w:line="213" w:lineRule="auto"/>
        <w:rPr>
          <w:sz w:val="20"/>
          <w:szCs w:val="20"/>
          <w:color w:val="auto"/>
        </w:rPr>
      </w:pPr>
      <w:r>
        <w:rPr>
          <w:rFonts w:ascii="Arial" w:cs="Arial" w:eastAsia="Arial" w:hAnsi="Arial"/>
          <w:sz w:val="13"/>
          <w:szCs w:val="13"/>
          <w:color w:val="auto"/>
        </w:rPr>
        <w:t>Intangible assets with indefinite useful lives are tested for impairment at least annually, or when there is an indication for impairment, either individually or at the level of a cash-generating unit (see Note 2.3.10 for further details) . In the case of intangible assets not yet available for use, the point in time from which a capitalized asset can be expected to generate economic benefit for the Group cannot be determined. Such assets are not amortized, and therefore classified as having an indefinite useful life. The intangible assets not yet available for use are tested for impairment annually, or when there is an indication for impairment on an individual basis. The assessment of indefinite life is reviewed annually to determine whether the indefinite life continues to be supportable. If not, the change in useful life from indefinite to finite is made on a prospective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-667385</wp:posOffset>
            </wp:positionV>
            <wp:extent cx="4268470" cy="63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8">
                      <a:extLst>
                        <a:ext uri="{28A0092B-C50C-407E-A947-70E740481C1C}"/>
                      </a:extLst>
                    </a:blip>
                    <a:srcRect/>
                    <a:stretch>
                      <a:fillRect/>
                    </a:stretch>
                  </pic:blipFill>
                  <pic:spPr bwMode="auto">
                    <a:xfrm>
                      <a:off x="0" y="0"/>
                      <a:ext cx="4268470" cy="6350"/>
                    </a:xfrm>
                    <a:prstGeom prst="rect">
                      <a:avLst/>
                    </a:prstGeom>
                    <a:noFill/>
                  </pic:spPr>
                </pic:pic>
              </a:graphicData>
            </a:graphic>
          </wp:anchor>
        </w:drawing>
      </w:r>
    </w:p>
    <w:p>
      <w:pPr>
        <w:ind w:left="380"/>
        <w:spacing w:after="0" w:line="213" w:lineRule="auto"/>
        <w:rPr>
          <w:sz w:val="20"/>
          <w:szCs w:val="20"/>
          <w:color w:val="auto"/>
        </w:rPr>
      </w:pPr>
      <w:r>
        <w:rPr>
          <w:rFonts w:ascii="Arial" w:cs="Arial" w:eastAsia="Arial" w:hAnsi="Arial"/>
          <w:sz w:val="13"/>
          <w:szCs w:val="13"/>
          <w:color w:val="auto"/>
        </w:rPr>
        <w:t>We have classified advanced payments on intangible assets as intangible assets that are not yet ready for use.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Advanced payments on intangible assets are tested for impairment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F-20</w:t>
      </w:r>
    </w:p>
    <w:p>
      <w:pPr>
        <w:ind w:left="380" w:right="2160"/>
        <w:spacing w:after="0" w:line="210" w:lineRule="auto"/>
        <w:rPr>
          <w:sz w:val="20"/>
          <w:szCs w:val="20"/>
          <w:color w:val="auto"/>
        </w:rPr>
      </w:pPr>
      <w:r>
        <w:rPr>
          <w:rFonts w:ascii="Arial" w:cs="Arial" w:eastAsia="Arial" w:hAnsi="Arial"/>
          <w:sz w:val="13"/>
          <w:szCs w:val="13"/>
          <w:color w:val="auto"/>
        </w:rPr>
        <w:t>An intangible asset is derecognized upon disposal (i.e., at the date the recipient obtains control) or when no future economic benefits are expected from its use or disposal. Any gain or loss arising upon derecognition of the asset (calculated as the difference between the net disposal proceeds and the carrying amount of the asset) is included in the consolidated statements of profit or loss.</w:t>
      </w:r>
    </w:p>
    <w:p>
      <w:pPr>
        <w:ind w:left="380"/>
        <w:spacing w:after="0" w:line="214" w:lineRule="auto"/>
        <w:rPr>
          <w:sz w:val="20"/>
          <w:szCs w:val="20"/>
          <w:color w:val="auto"/>
        </w:rPr>
      </w:pPr>
      <w:r>
        <w:rPr>
          <w:rFonts w:ascii="Arial" w:cs="Arial" w:eastAsia="Arial" w:hAnsi="Arial"/>
          <w:sz w:val="13"/>
          <w:szCs w:val="13"/>
          <w:color w:val="auto"/>
        </w:rPr>
        <w:t>See Note 2.3.4 for further details in connection with our accounting of internally generated intangible assets.</w:t>
      </w:r>
    </w:p>
    <w:p>
      <w:pPr>
        <w:ind w:left="380"/>
        <w:spacing w:after="0" w:line="211" w:lineRule="auto"/>
        <w:rPr>
          <w:sz w:val="20"/>
          <w:szCs w:val="20"/>
          <w:color w:val="auto"/>
        </w:rPr>
      </w:pPr>
      <w:r>
        <w:rPr>
          <w:rFonts w:ascii="Arial" w:cs="Arial" w:eastAsia="Arial" w:hAnsi="Arial"/>
          <w:sz w:val="13"/>
          <w:szCs w:val="13"/>
          <w:color w:val="005A64"/>
        </w:rPr>
        <w:t>2.3.9 Property, Plant and Equipment</w:t>
      </w:r>
    </w:p>
    <w:p>
      <w:pPr>
        <w:ind w:left="380" w:right="2200"/>
        <w:spacing w:after="0" w:line="210" w:lineRule="auto"/>
        <w:rPr>
          <w:sz w:val="20"/>
          <w:szCs w:val="20"/>
          <w:color w:val="auto"/>
        </w:rPr>
      </w:pPr>
      <w:r>
        <w:rPr>
          <w:rFonts w:ascii="Arial" w:cs="Arial" w:eastAsia="Arial" w:hAnsi="Arial"/>
          <w:sz w:val="13"/>
          <w:szCs w:val="13"/>
          <w:color w:val="auto"/>
        </w:rPr>
        <w:t>Construction in progress is stated at cost. Property, plant and equipment are stated at cost, net of accumulated depreciation and accumulated impairment losses, if any. Such cost includes the cost of replacing part of the property, plant and equipment if the recognition criteria are met. All other repair and maintenance costs are expensed as incurred.</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Depreciation is calculated on a straight-line basis over the estimated useful lives of the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-5715</wp:posOffset>
            </wp:positionV>
            <wp:extent cx="4268470" cy="127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9">
                      <a:extLst>
                        <a:ext uri="{28A0092B-C50C-407E-A947-70E740481C1C}"/>
                      </a:extLst>
                    </a:blip>
                    <a:srcRect/>
                    <a:stretch>
                      <a:fillRect/>
                    </a:stretch>
                  </pic:blipFill>
                  <pic:spPr bwMode="auto">
                    <a:xfrm>
                      <a:off x="0" y="0"/>
                      <a:ext cx="4268470" cy="12700"/>
                    </a:xfrm>
                    <a:prstGeom prst="rect">
                      <a:avLst/>
                    </a:prstGeom>
                    <a:noFill/>
                  </pic:spPr>
                </pic:pic>
              </a:graphicData>
            </a:graphic>
          </wp:anchor>
        </w:drawing>
      </w:r>
    </w:p>
    <w:p>
      <w:pPr>
        <w:spacing w:after="0" w:line="101" w:lineRule="exact"/>
        <w:rPr>
          <w:sz w:val="20"/>
          <w:szCs w:val="20"/>
          <w:color w:val="auto"/>
        </w:rPr>
      </w:pPr>
    </w:p>
    <w:tbl>
      <w:tblPr>
        <w:tblLayout w:type="fixed"/>
        <w:tblInd w:w="380" w:type="dxa"/>
        <w:tblCellMar>
          <w:top w:w="0" w:type="dxa"/>
          <w:left w:w="0" w:type="dxa"/>
          <w:bottom w:w="0" w:type="dxa"/>
          <w:right w:w="0" w:type="dxa"/>
        </w:tblCellMar>
      </w:tblPr>
      <w:tr>
        <w:trPr>
          <w:trHeight w:val="166"/>
        </w:trPr>
        <w:tc>
          <w:tcPr>
            <w:tcW w:w="5520" w:type="dxa"/>
            <w:vAlign w:val="bottom"/>
          </w:tcPr>
          <w:p>
            <w:pPr>
              <w:ind w:left="20"/>
              <w:spacing w:after="0"/>
              <w:rPr>
                <w:sz w:val="20"/>
                <w:szCs w:val="20"/>
                <w:color w:val="auto"/>
              </w:rPr>
            </w:pPr>
            <w:r>
              <w:rPr>
                <w:rFonts w:ascii="Arial" w:cs="Arial" w:eastAsia="Arial" w:hAnsi="Arial"/>
                <w:sz w:val="12"/>
                <w:szCs w:val="12"/>
                <w:b w:val="1"/>
                <w:bCs w:val="1"/>
                <w:color w:val="005A64"/>
              </w:rPr>
              <w:t>Property, plant and equipment</w:t>
            </w:r>
          </w:p>
        </w:tc>
        <w:tc>
          <w:tcPr>
            <w:tcW w:w="4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2"/>
                <w:szCs w:val="12"/>
                <w:b w:val="1"/>
                <w:bCs w:val="1"/>
                <w:color w:val="005A64"/>
              </w:rPr>
              <w:t>Useful life (years)</w:t>
            </w:r>
          </w:p>
        </w:tc>
        <w:tc>
          <w:tcPr>
            <w:tcW w:w="0" w:type="dxa"/>
            <w:vAlign w:val="bottom"/>
          </w:tcPr>
          <w:p>
            <w:pPr>
              <w:spacing w:after="0"/>
              <w:rPr>
                <w:sz w:val="1"/>
                <w:szCs w:val="1"/>
                <w:color w:val="auto"/>
              </w:rPr>
            </w:pPr>
          </w:p>
        </w:tc>
      </w:tr>
      <w:tr>
        <w:trPr>
          <w:trHeight w:val="47"/>
        </w:trPr>
        <w:tc>
          <w:tcPr>
            <w:tcW w:w="5520" w:type="dxa"/>
            <w:vAlign w:val="bottom"/>
            <w:tcBorders>
              <w:bottom w:val="single" w:sz="8" w:color="005A64"/>
            </w:tcBorders>
          </w:tcPr>
          <w:p>
            <w:pPr>
              <w:spacing w:after="0"/>
              <w:rPr>
                <w:sz w:val="4"/>
                <w:szCs w:val="4"/>
                <w:color w:val="auto"/>
              </w:rPr>
            </w:pPr>
          </w:p>
        </w:tc>
        <w:tc>
          <w:tcPr>
            <w:tcW w:w="40" w:type="dxa"/>
            <w:vAlign w:val="bottom"/>
            <w:vMerge w:val="restart"/>
          </w:tcPr>
          <w:p>
            <w:pPr>
              <w:spacing w:after="0"/>
              <w:rPr>
                <w:sz w:val="4"/>
                <w:szCs w:val="4"/>
                <w:color w:val="auto"/>
              </w:rPr>
            </w:pPr>
          </w:p>
        </w:tc>
        <w:tc>
          <w:tcPr>
            <w:tcW w:w="11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2"/>
                <w:szCs w:val="12"/>
                <w:color w:val="005A64"/>
              </w:rPr>
              <w:t>Buildings</w:t>
            </w:r>
          </w:p>
        </w:tc>
        <w:tc>
          <w:tcPr>
            <w:tcW w:w="40" w:type="dxa"/>
            <w:vAlign w:val="bottom"/>
            <w:vMerge w:val="continue"/>
          </w:tcPr>
          <w:p>
            <w:pPr>
              <w:spacing w:after="0"/>
              <w:rPr>
                <w:sz w:val="13"/>
                <w:szCs w:val="13"/>
                <w:color w:val="auto"/>
              </w:rPr>
            </w:pPr>
          </w:p>
        </w:tc>
        <w:tc>
          <w:tcPr>
            <w:tcW w:w="1160" w:type="dxa"/>
            <w:vAlign w:val="bottom"/>
          </w:tcPr>
          <w:p>
            <w:pPr>
              <w:ind w:left="20"/>
              <w:spacing w:after="0"/>
              <w:rPr>
                <w:sz w:val="20"/>
                <w:szCs w:val="20"/>
                <w:color w:val="auto"/>
              </w:rPr>
            </w:pPr>
            <w:r>
              <w:rPr>
                <w:rFonts w:ascii="Arial" w:cs="Arial" w:eastAsia="Arial" w:hAnsi="Arial"/>
                <w:sz w:val="12"/>
                <w:szCs w:val="12"/>
                <w:color w:val="005A64"/>
              </w:rPr>
              <w:t>10-33</w:t>
            </w:r>
          </w:p>
        </w:tc>
        <w:tc>
          <w:tcPr>
            <w:tcW w:w="0" w:type="dxa"/>
            <w:vAlign w:val="bottom"/>
          </w:tcPr>
          <w:p>
            <w:pPr>
              <w:spacing w:after="0"/>
              <w:rPr>
                <w:sz w:val="1"/>
                <w:szCs w:val="1"/>
                <w:color w:val="auto"/>
              </w:rPr>
            </w:pPr>
          </w:p>
        </w:tc>
      </w:tr>
      <w:tr>
        <w:trPr>
          <w:trHeight w:val="181"/>
        </w:trPr>
        <w:tc>
          <w:tcPr>
            <w:tcW w:w="5520" w:type="dxa"/>
            <w:vAlign w:val="bottom"/>
          </w:tcPr>
          <w:p>
            <w:pPr>
              <w:ind w:left="20"/>
              <w:spacing w:after="0"/>
              <w:rPr>
                <w:sz w:val="20"/>
                <w:szCs w:val="20"/>
                <w:color w:val="auto"/>
              </w:rPr>
            </w:pPr>
            <w:r>
              <w:rPr>
                <w:rFonts w:ascii="Arial" w:cs="Arial" w:eastAsia="Arial" w:hAnsi="Arial"/>
                <w:sz w:val="12"/>
                <w:szCs w:val="12"/>
                <w:color w:val="005A64"/>
              </w:rPr>
              <w:t>Equipment, tools and installations</w:t>
            </w:r>
          </w:p>
        </w:tc>
        <w:tc>
          <w:tcPr>
            <w:tcW w:w="1200" w:type="dxa"/>
            <w:vAlign w:val="bottom"/>
            <w:gridSpan w:val="2"/>
          </w:tcPr>
          <w:p>
            <w:pPr>
              <w:ind w:left="60"/>
              <w:spacing w:after="0"/>
              <w:rPr>
                <w:sz w:val="20"/>
                <w:szCs w:val="20"/>
                <w:color w:val="auto"/>
              </w:rPr>
            </w:pPr>
            <w:r>
              <w:rPr>
                <w:rFonts w:ascii="Arial" w:cs="Arial" w:eastAsia="Arial" w:hAnsi="Arial"/>
                <w:sz w:val="12"/>
                <w:szCs w:val="12"/>
                <w:color w:val="005A64"/>
              </w:rPr>
              <w:t>7-18</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380" w:right="2140"/>
        <w:spacing w:after="0" w:line="217" w:lineRule="auto"/>
        <w:rPr>
          <w:sz w:val="20"/>
          <w:szCs w:val="20"/>
          <w:color w:val="auto"/>
        </w:rPr>
      </w:pPr>
      <w:r>
        <w:rPr>
          <w:rFonts w:ascii="Arial" w:cs="Arial" w:eastAsia="Arial" w:hAnsi="Arial"/>
          <w:sz w:val="13"/>
          <w:szCs w:val="13"/>
          <w:color w:val="auto"/>
        </w:rPr>
        <w:t>Operating and business equipment has a useful life of 1-10 years and is reported under equipment, tools and installations due to immateriality. Leasehold improvements disclosed in buildings have a useful life of the shorter period of the underlying lease term or the economic useful live (see Note 2.3.16).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4268470" cy="6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0">
                      <a:extLst>
                        <a:ext uri="{28A0092B-C50C-407E-A947-70E740481C1C}"/>
                      </a:extLst>
                    </a:blip>
                    <a:srcRect/>
                    <a:stretch>
                      <a:fillRect/>
                    </a:stretch>
                  </pic:blipFill>
                  <pic:spPr bwMode="auto">
                    <a:xfrm>
                      <a:off x="0" y="0"/>
                      <a:ext cx="4268470" cy="6350"/>
                    </a:xfrm>
                    <a:prstGeom prst="rect">
                      <a:avLst/>
                    </a:prstGeom>
                    <a:noFill/>
                  </pic:spPr>
                </pic:pic>
              </a:graphicData>
            </a:graphic>
          </wp:anchor>
        </w:drawing>
      </w:r>
    </w:p>
    <w:p>
      <w:pPr>
        <w:ind w:left="380" w:right="2140"/>
        <w:spacing w:after="0" w:line="210" w:lineRule="auto"/>
        <w:rPr>
          <w:sz w:val="20"/>
          <w:szCs w:val="20"/>
          <w:color w:val="auto"/>
        </w:rPr>
      </w:pPr>
      <w:r>
        <w:rPr>
          <w:rFonts w:ascii="Arial" w:cs="Arial" w:eastAsia="Arial" w:hAnsi="Arial"/>
          <w:sz w:val="13"/>
          <w:szCs w:val="13"/>
          <w:color w:val="auto"/>
        </w:rPr>
        <w:t>An item of property, plant and equipment initially recognized is derecognized upon disposal (i.e., at the date the recipient obtains control) or when no future economic benefits are expected from its use or disposal. Any gain or loss arising on derecognition of the asset (calculated as the difference between the net disposal proceeds and the carrying amount of the asset) is included in the consolidated statements of profit or loss when the asset is derecognized.</w:t>
      </w:r>
    </w:p>
    <w:p>
      <w:pPr>
        <w:spacing w:after="0" w:line="3" w:lineRule="exact"/>
        <w:rPr>
          <w:sz w:val="20"/>
          <w:szCs w:val="20"/>
          <w:color w:val="auto"/>
        </w:rPr>
      </w:pPr>
    </w:p>
    <w:p>
      <w:pPr>
        <w:ind w:left="380" w:right="2220"/>
        <w:spacing w:after="0" w:line="210" w:lineRule="auto"/>
        <w:rPr>
          <w:sz w:val="20"/>
          <w:szCs w:val="20"/>
          <w:color w:val="auto"/>
        </w:rPr>
      </w:pPr>
      <w:r>
        <w:rPr>
          <w:rFonts w:ascii="Arial" w:cs="Arial" w:eastAsia="Arial" w:hAnsi="Arial"/>
          <w:sz w:val="13"/>
          <w:szCs w:val="13"/>
          <w:color w:val="auto"/>
        </w:rPr>
        <w:t>The residual values, useful lives and methods of depreciation of property, plant and equipment are reviewed at each financial year-end and adjusted prospectively, if appropriate.</w:t>
      </w:r>
    </w:p>
    <w:p>
      <w:pPr>
        <w:ind w:left="380"/>
        <w:spacing w:after="0" w:line="212" w:lineRule="auto"/>
        <w:rPr>
          <w:sz w:val="20"/>
          <w:szCs w:val="20"/>
          <w:color w:val="auto"/>
        </w:rPr>
      </w:pPr>
      <w:r>
        <w:rPr>
          <w:rFonts w:ascii="Arial" w:cs="Arial" w:eastAsia="Arial" w:hAnsi="Arial"/>
          <w:sz w:val="13"/>
          <w:szCs w:val="13"/>
          <w:color w:val="005A64"/>
        </w:rPr>
        <w:t>2.3.10 Impairment of Non-Financial Assets</w:t>
      </w:r>
    </w:p>
    <w:p>
      <w:pPr>
        <w:spacing w:after="0" w:line="1"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At each reporting date, we assess whether there is an indication that a non-financial asset may be impaired. Goodwill is tested for impairment at least annually. Impairment is determined for goodwill by assessing the recoverable amount of each cash-generating unit (or group of CGUs) to which the goodwill relates. If any indication exists, or when annual impairment testing is performed, we estimate the asset’s or CGU’s recoverable amount. The recoverable amount is the higher of an asset’s or CGU’s fair value less costs of disposal and its value in use. The recoverable amount is determined for an individual asset, unless the asset does not generate cash inflows that are largely independent of those from other assets or groups of assets. If the asset does not generate independent cash inflows, the impairment test is performed for the smallest group of assets that generate largely independent cash inflows from other assets (CGU). When the carrying amount of an asset or cash-generating unit exceeds its recoverable amount, the asset or the non-current assets of the CGU are considered impaired and written down to their recoverable amount.</w:t>
      </w:r>
    </w:p>
    <w:p>
      <w:pPr>
        <w:spacing w:after="0" w:line="7" w:lineRule="exact"/>
        <w:rPr>
          <w:sz w:val="20"/>
          <w:szCs w:val="20"/>
          <w:color w:val="auto"/>
        </w:rPr>
      </w:pPr>
    </w:p>
    <w:p>
      <w:pPr>
        <w:ind w:left="380" w:right="2640"/>
        <w:spacing w:after="0" w:line="210" w:lineRule="auto"/>
        <w:rPr>
          <w:sz w:val="20"/>
          <w:szCs w:val="20"/>
          <w:color w:val="auto"/>
        </w:rPr>
      </w:pPr>
      <w:r>
        <w:rPr>
          <w:rFonts w:ascii="Arial" w:cs="Arial" w:eastAsia="Arial" w:hAnsi="Arial"/>
          <w:sz w:val="13"/>
          <w:szCs w:val="13"/>
          <w:color w:val="auto"/>
        </w:rPr>
        <w:t>Impairment losses are recognized in the consolidated statements of profit or loss in expense categories consistent with the function of the impaired asset.</w:t>
      </w:r>
    </w:p>
    <w:p>
      <w:pPr>
        <w:spacing w:after="0" w:line="1" w:lineRule="exact"/>
        <w:rPr>
          <w:sz w:val="20"/>
          <w:szCs w:val="20"/>
          <w:color w:val="auto"/>
        </w:rPr>
      </w:pPr>
    </w:p>
    <w:p>
      <w:pPr>
        <w:ind w:left="380" w:right="2820"/>
        <w:spacing w:after="0" w:line="210" w:lineRule="auto"/>
        <w:rPr>
          <w:sz w:val="20"/>
          <w:szCs w:val="20"/>
          <w:color w:val="auto"/>
        </w:rPr>
      </w:pPr>
      <w:r>
        <w:rPr>
          <w:rFonts w:ascii="Arial" w:cs="Arial" w:eastAsia="Arial" w:hAnsi="Arial"/>
          <w:sz w:val="13"/>
          <w:szCs w:val="13"/>
          <w:color w:val="auto"/>
        </w:rPr>
        <w:t>Intangible assets with an indefinite useful life are tested for impairment annually at the CGU level, as appropriate, and when circumstances indicate that the carrying value may be impaired.</w:t>
      </w:r>
    </w:p>
    <w:p>
      <w:pPr>
        <w:spacing w:after="0" w:line="1" w:lineRule="exact"/>
        <w:rPr>
          <w:sz w:val="20"/>
          <w:szCs w:val="20"/>
          <w:color w:val="auto"/>
        </w:rPr>
      </w:pPr>
    </w:p>
    <w:p>
      <w:pPr>
        <w:ind w:left="380" w:right="2140"/>
        <w:spacing w:after="0" w:line="234" w:lineRule="auto"/>
        <w:rPr>
          <w:sz w:val="20"/>
          <w:szCs w:val="20"/>
          <w:color w:val="auto"/>
        </w:rPr>
      </w:pPr>
      <w:r>
        <w:rPr>
          <w:rFonts w:ascii="Arial" w:cs="Arial" w:eastAsia="Arial" w:hAnsi="Arial"/>
          <w:sz w:val="13"/>
          <w:szCs w:val="13"/>
          <w:color w:val="auto"/>
        </w:rPr>
        <w:t>Intangible assets not yet available for use are not amortized, but rather tested for impairment when a triggering event arises or at least once a year. The identification of triggering events takes place on a quarterly or on an ad</w:t>
      </w:r>
    </w:p>
    <w:p>
      <w:pPr>
        <w:sectPr>
          <w:pgSz w:w="11900" w:h="16840" w:orient="portrait"/>
          <w:cols w:equalWidth="0" w:num="1">
            <w:col w:w="9020"/>
          </w:cols>
          <w:pgMar w:left="1440" w:top="700" w:right="1440" w:bottom="1440" w:gutter="0" w:footer="0" w:header="0"/>
        </w:sectPr>
      </w:pPr>
    </w:p>
    <w:bookmarkStart w:id="194" w:name="page195"/>
    <w:bookmarkEnd w:id="194"/>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F-21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80"/>
        <w:spacing w:after="0" w:line="213" w:lineRule="auto"/>
        <w:rPr>
          <w:sz w:val="20"/>
          <w:szCs w:val="20"/>
          <w:color w:val="auto"/>
        </w:rPr>
      </w:pPr>
      <w:r>
        <w:rPr>
          <w:rFonts w:ascii="Arial" w:cs="Arial" w:eastAsia="Arial" w:hAnsi="Arial"/>
          <w:sz w:val="13"/>
          <w:szCs w:val="13"/>
          <w:color w:val="auto"/>
        </w:rPr>
        <w:t>hoc basis with the involvement of the responsible departments, taking internal and external information sources into consideration. The impairment test is performed annually or if there are indications of impairment by determining the asset’s value in use. In assessing value in use, the estimated discounted future cash flows are based on long-term forecast calculations reflecting the asset’s estimated product life cycles. The assumptions are based on internal estimates along with external market studies. The result of the valuation depends to a large extent on the estimates by the management of the future cash flows of the assets and the discount rate applied, and is therefore subject to uncertainty. Any expense resulting from an impairment of intangible assets with finite lives is recognized in the consolidated statements of profit or loss in the expense category that is consistent with the function of the respective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-751205</wp:posOffset>
            </wp:positionV>
            <wp:extent cx="5231130" cy="6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1" w:lineRule="auto"/>
        <w:rPr>
          <w:sz w:val="20"/>
          <w:szCs w:val="20"/>
          <w:color w:val="auto"/>
        </w:rPr>
      </w:pPr>
      <w:r>
        <w:rPr>
          <w:rFonts w:ascii="Arial" w:cs="Arial" w:eastAsia="Arial" w:hAnsi="Arial"/>
          <w:sz w:val="13"/>
          <w:szCs w:val="13"/>
          <w:color w:val="005A64"/>
        </w:rPr>
        <w:t>2.3.11 Financial Instruments</w:t>
      </w:r>
    </w:p>
    <w:p>
      <w:pPr>
        <w:spacing w:after="0" w:line="1" w:lineRule="exact"/>
        <w:rPr>
          <w:sz w:val="20"/>
          <w:szCs w:val="20"/>
          <w:color w:val="auto"/>
        </w:rPr>
      </w:pPr>
    </w:p>
    <w:p>
      <w:pPr>
        <w:ind w:left="380" w:right="2320"/>
        <w:spacing w:after="0" w:line="210" w:lineRule="auto"/>
        <w:rPr>
          <w:sz w:val="20"/>
          <w:szCs w:val="20"/>
          <w:color w:val="auto"/>
        </w:rPr>
      </w:pPr>
      <w:r>
        <w:rPr>
          <w:rFonts w:ascii="Arial" w:cs="Arial" w:eastAsia="Arial" w:hAnsi="Arial"/>
          <w:sz w:val="13"/>
          <w:szCs w:val="13"/>
          <w:color w:val="auto"/>
        </w:rPr>
        <w:t>A financial instrument is any contract that gives rise to a financial asset of one entity and a financial liability or equity instrument of another entity.</w:t>
      </w:r>
    </w:p>
    <w:p>
      <w:pPr>
        <w:ind w:left="380"/>
        <w:spacing w:after="0" w:line="212" w:lineRule="auto"/>
        <w:rPr>
          <w:sz w:val="20"/>
          <w:szCs w:val="20"/>
          <w:color w:val="auto"/>
        </w:rPr>
      </w:pPr>
      <w:r>
        <w:rPr>
          <w:rFonts w:ascii="Arial" w:cs="Arial" w:eastAsia="Arial" w:hAnsi="Arial"/>
          <w:sz w:val="13"/>
          <w:szCs w:val="13"/>
          <w:b w:val="1"/>
          <w:bCs w:val="1"/>
          <w:color w:val="auto"/>
        </w:rPr>
        <w:t>i) Financial Assets</w:t>
      </w:r>
    </w:p>
    <w:p>
      <w:pPr>
        <w:ind w:left="380"/>
        <w:spacing w:after="0" w:line="211" w:lineRule="auto"/>
        <w:rPr>
          <w:sz w:val="20"/>
          <w:szCs w:val="20"/>
          <w:color w:val="auto"/>
        </w:rPr>
      </w:pPr>
      <w:r>
        <w:rPr>
          <w:rFonts w:ascii="Arial" w:cs="Arial" w:eastAsia="Arial" w:hAnsi="Arial"/>
          <w:sz w:val="13"/>
          <w:szCs w:val="13"/>
          <w:i w:val="1"/>
          <w:iCs w:val="1"/>
          <w:color w:val="auto"/>
        </w:rPr>
        <w:t>Initial Recognition and Measurement</w:t>
      </w:r>
    </w:p>
    <w:p>
      <w:pPr>
        <w:spacing w:after="0" w:line="1"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Financial assets are initially measured at fair value as of the trade date and – depending on their classification – subsequently measured at amortized cost, fair value through other comprehensive income (OCI) or fair value through profit or loss.</w:t>
      </w:r>
    </w:p>
    <w:p>
      <w:pPr>
        <w:ind w:left="380"/>
        <w:spacing w:after="0" w:line="213" w:lineRule="auto"/>
        <w:rPr>
          <w:sz w:val="20"/>
          <w:szCs w:val="20"/>
          <w:color w:val="auto"/>
        </w:rPr>
      </w:pPr>
      <w:r>
        <w:rPr>
          <w:rFonts w:ascii="Arial" w:cs="Arial" w:eastAsia="Arial" w:hAnsi="Arial"/>
          <w:sz w:val="13"/>
          <w:szCs w:val="13"/>
          <w:i w:val="1"/>
          <w:iCs w:val="1"/>
          <w:color w:val="auto"/>
        </w:rPr>
        <w:t>Subsequent Measurement</w:t>
      </w:r>
    </w:p>
    <w:p>
      <w:pPr>
        <w:ind w:left="380"/>
        <w:spacing w:after="0" w:line="211" w:lineRule="auto"/>
        <w:rPr>
          <w:sz w:val="20"/>
          <w:szCs w:val="20"/>
          <w:color w:val="auto"/>
        </w:rPr>
      </w:pPr>
      <w:r>
        <w:rPr>
          <w:rFonts w:ascii="Arial" w:cs="Arial" w:eastAsia="Arial" w:hAnsi="Arial"/>
          <w:sz w:val="13"/>
          <w:szCs w:val="13"/>
          <w:color w:val="auto"/>
        </w:rPr>
        <w:t>The measurement of financial assets depends on their classification, as described below.</w:t>
      </w:r>
    </w:p>
    <w:p>
      <w:pPr>
        <w:ind w:left="380"/>
        <w:spacing w:after="0" w:line="211" w:lineRule="auto"/>
        <w:rPr>
          <w:sz w:val="20"/>
          <w:szCs w:val="20"/>
          <w:color w:val="auto"/>
        </w:rPr>
      </w:pPr>
      <w:r>
        <w:rPr>
          <w:rFonts w:ascii="Arial" w:cs="Arial" w:eastAsia="Arial" w:hAnsi="Arial"/>
          <w:sz w:val="13"/>
          <w:szCs w:val="13"/>
          <w:color w:val="3C9673"/>
        </w:rPr>
        <w:t>Financial Assets Measured at Amortized Cost</w:t>
      </w:r>
    </w:p>
    <w:p>
      <w:pPr>
        <w:ind w:left="380" w:right="2100"/>
        <w:spacing w:after="0" w:line="210" w:lineRule="auto"/>
        <w:rPr>
          <w:sz w:val="20"/>
          <w:szCs w:val="20"/>
          <w:color w:val="auto"/>
        </w:rPr>
      </w:pPr>
      <w:r>
        <w:rPr>
          <w:rFonts w:ascii="Arial" w:cs="Arial" w:eastAsia="Arial" w:hAnsi="Arial"/>
          <w:sz w:val="13"/>
          <w:szCs w:val="13"/>
          <w:color w:val="auto"/>
        </w:rPr>
        <w:t>Financial assets measured at amortized cost include trade receivables and other financial assets that are generally measured using the effective interest rate (EIR) method. With respect to trade receivables, we applied the practical expedient, which means that they are measured at the transaction price determined in accordance with IFRS 15. Refer to the accounting policies in Note 2.3.3. Other financial assets measured at amortized cost are held to collect contractual cash flows, which are solely payments of principal and interest. Gains and losses are recognized in our consolidated statements of profit or loss when the financial asset is derecognized, modified or impaired.</w:t>
      </w:r>
    </w:p>
    <w:p>
      <w:pPr>
        <w:ind w:left="380"/>
        <w:spacing w:after="0" w:line="217" w:lineRule="auto"/>
        <w:rPr>
          <w:sz w:val="20"/>
          <w:szCs w:val="20"/>
          <w:color w:val="auto"/>
        </w:rPr>
      </w:pPr>
      <w:r>
        <w:rPr>
          <w:rFonts w:ascii="Arial" w:cs="Arial" w:eastAsia="Arial" w:hAnsi="Arial"/>
          <w:sz w:val="13"/>
          <w:szCs w:val="13"/>
          <w:color w:val="3C9673"/>
        </w:rPr>
        <w:t>Financial Assets Designated at Fair Value through OCI (Equity Instruments)</w:t>
      </w:r>
    </w:p>
    <w:p>
      <w:pPr>
        <w:ind w:left="380" w:right="2100"/>
        <w:spacing w:after="0" w:line="210" w:lineRule="auto"/>
        <w:rPr>
          <w:sz w:val="20"/>
          <w:szCs w:val="20"/>
          <w:color w:val="auto"/>
        </w:rPr>
      </w:pPr>
      <w:r>
        <w:rPr>
          <w:rFonts w:ascii="Arial" w:cs="Arial" w:eastAsia="Arial" w:hAnsi="Arial"/>
          <w:sz w:val="13"/>
          <w:szCs w:val="13"/>
          <w:color w:val="auto"/>
        </w:rPr>
        <w:t>Upon initial recognition, we can irrevocably elect to classify equity investments as equity instruments designated at fair value through OCI if they meet the definition of equity under IAS 32 and are not held for trading. The classification is determined on an instrument-by-instrument basis. Gains and losses on these financial assets are never recycled to profit or loss. Dividends are recognized as other income in the consolidated statements of profit or loss when the right of payment has been established. If dividends clearly represent a recovery of part of the cost of the investment they are recognized in the OCI. Equity instruments designated at fair value through OCI are not subject to impairment assessment. We elected to irrevocably classify our non-listed and listed equity investments under this category. They are recognized using trade date accounting.</w:t>
      </w:r>
    </w:p>
    <w:p>
      <w:pPr>
        <w:ind w:left="380"/>
        <w:spacing w:after="0" w:line="218" w:lineRule="auto"/>
        <w:rPr>
          <w:sz w:val="20"/>
          <w:szCs w:val="20"/>
          <w:color w:val="auto"/>
        </w:rPr>
      </w:pPr>
      <w:r>
        <w:rPr>
          <w:rFonts w:ascii="Arial" w:cs="Arial" w:eastAsia="Arial" w:hAnsi="Arial"/>
          <w:sz w:val="13"/>
          <w:szCs w:val="13"/>
          <w:color w:val="3C9673"/>
        </w:rPr>
        <w:t>Financial Assets at Fair Value through Profit or Loss</w:t>
      </w:r>
    </w:p>
    <w:p>
      <w:pPr>
        <w:ind w:left="380" w:right="2100"/>
        <w:spacing w:after="0" w:line="216" w:lineRule="auto"/>
        <w:rPr>
          <w:sz w:val="20"/>
          <w:szCs w:val="20"/>
          <w:color w:val="auto"/>
        </w:rPr>
      </w:pPr>
      <w:r>
        <w:rPr>
          <w:rFonts w:ascii="Arial" w:cs="Arial" w:eastAsia="Arial" w:hAnsi="Arial"/>
          <w:sz w:val="13"/>
          <w:szCs w:val="13"/>
          <w:color w:val="auto"/>
        </w:rPr>
        <w:t>When we acquire contractual rights to cash flows from the sale of patent -protected biopharmaceutical products by unrelated biopharmaceutical companies as royalty assets and do not own the intellectual property or have the right to commercialize the underlying products, royalty assets are recognized as financial assets measured at fair value through profit and loss. We recognize day one gains and losses only when the fair value is evidenced by a quoted price in an active market for the same instrument or is based on a valuation technique that only uses data from observable markets. In all other cases, we defer the difference between the fair value at initial recognition and the transaction price. After initial recognition, we recognize that deferred difference as a gain or loss only to the extent that it arises from a change in a factor that market participants would take into account when 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F-22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220"/>
        <w:spacing w:after="0" w:line="220" w:lineRule="auto"/>
        <w:rPr>
          <w:sz w:val="20"/>
          <w:szCs w:val="20"/>
          <w:color w:val="auto"/>
        </w:rPr>
      </w:pPr>
      <w:r>
        <w:rPr>
          <w:rFonts w:ascii="Arial" w:cs="Arial" w:eastAsia="Arial" w:hAnsi="Arial"/>
          <w:sz w:val="13"/>
          <w:szCs w:val="13"/>
          <w:color w:val="auto"/>
        </w:rPr>
        <w:t>Derivatives not designated as hedging instruments are measured at fair value through profit or loss. A financial asset exists if the derivative has a positive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i w:val="1"/>
          <w:iCs w:val="1"/>
          <w:color w:val="auto"/>
        </w:rPr>
        <w:t>Derecognition</w:t>
      </w:r>
    </w:p>
    <w:p>
      <w:pPr>
        <w:ind w:left="380" w:right="2180"/>
        <w:spacing w:after="0" w:line="210" w:lineRule="auto"/>
        <w:rPr>
          <w:sz w:val="20"/>
          <w:szCs w:val="20"/>
          <w:color w:val="auto"/>
        </w:rPr>
      </w:pPr>
      <w:r>
        <w:rPr>
          <w:rFonts w:ascii="Arial" w:cs="Arial" w:eastAsia="Arial" w:hAnsi="Arial"/>
          <w:sz w:val="13"/>
          <w:szCs w:val="13"/>
          <w:color w:val="auto"/>
        </w:rPr>
        <w:t>A financial asset (or, where applicable, a part of a financial asset or part of a group of similar financial assets) is primarily derecognized (i.e., removed from the consolidated statements of financial position) when the rights to receive cash flows from the asset have expired or have been transferred in terms of fulfilling the derecognition criteria.</w:t>
      </w:r>
    </w:p>
    <w:p>
      <w:pPr>
        <w:ind w:left="380"/>
        <w:spacing w:after="0" w:line="214" w:lineRule="auto"/>
        <w:rPr>
          <w:sz w:val="20"/>
          <w:szCs w:val="20"/>
          <w:color w:val="auto"/>
        </w:rPr>
      </w:pPr>
      <w:r>
        <w:rPr>
          <w:rFonts w:ascii="Arial" w:cs="Arial" w:eastAsia="Arial" w:hAnsi="Arial"/>
          <w:sz w:val="13"/>
          <w:szCs w:val="13"/>
          <w:i w:val="1"/>
          <w:iCs w:val="1"/>
          <w:color w:val="auto"/>
        </w:rPr>
        <w:t>Impairment of Financial Assets</w:t>
      </w:r>
    </w:p>
    <w:p>
      <w:pPr>
        <w:ind w:left="380" w:right="2280"/>
        <w:spacing w:after="0" w:line="210" w:lineRule="auto"/>
        <w:rPr>
          <w:sz w:val="20"/>
          <w:szCs w:val="20"/>
          <w:color w:val="auto"/>
        </w:rPr>
      </w:pPr>
      <w:r>
        <w:rPr>
          <w:rFonts w:ascii="Arial" w:cs="Arial" w:eastAsia="Arial" w:hAnsi="Arial"/>
          <w:sz w:val="13"/>
          <w:szCs w:val="13"/>
          <w:color w:val="auto"/>
        </w:rPr>
        <w:t>An allowance for expected credit losses (ECLs) is considered for all non- derivative financial debt investments, including cash, time deposits and debt securities of the Group. ECLs are based on the difference between the contractual cash flows due in accordance with the contract and all of the cash flows that the Group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4"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Since our financial debt investments are considered to be investments with low risk, the expected credit loss in the upcoming twelve months is used to determine the impairment loss. Wherever a considerable increase in the default risk is assumed, the lifetime expected credit loss of the financial asset is considered.</w:t>
      </w:r>
    </w:p>
    <w:p>
      <w:pPr>
        <w:spacing w:after="0" w:line="2" w:lineRule="exact"/>
        <w:rPr>
          <w:sz w:val="20"/>
          <w:szCs w:val="20"/>
          <w:color w:val="auto"/>
        </w:rPr>
      </w:pPr>
    </w:p>
    <w:p>
      <w:pPr>
        <w:ind w:left="380" w:right="2120"/>
        <w:spacing w:after="0" w:line="222" w:lineRule="auto"/>
        <w:rPr>
          <w:sz w:val="20"/>
          <w:szCs w:val="20"/>
          <w:color w:val="auto"/>
        </w:rPr>
      </w:pPr>
      <w:r>
        <w:rPr>
          <w:rFonts w:ascii="Arial" w:cs="Arial" w:eastAsia="Arial" w:hAnsi="Arial"/>
          <w:sz w:val="13"/>
          <w:szCs w:val="13"/>
          <w:color w:val="auto"/>
        </w:rPr>
        <w:t>For trade receivables and contract assets the Group applies a simplified approach in calculating ECLs. This means that the Group does not track changes in credit risk, but instead recognizes a loss allowance based on lifetime ECLs at each reporting date. We have established an ECL model that is based on the probability of default (PD), considers the respective country default probabilities and takes the maturities into account. In order</w:t>
      </w:r>
    </w:p>
    <w:p>
      <w:pPr>
        <w:sectPr>
          <w:pgSz w:w="11900" w:h="16840" w:orient="portrait"/>
          <w:cols w:equalWidth="0" w:num="1">
            <w:col w:w="9020"/>
          </w:cols>
          <w:pgMar w:left="1440" w:top="1440" w:right="1440" w:bottom="38" w:gutter="0" w:footer="0" w:header="0"/>
        </w:sectPr>
      </w:pPr>
    </w:p>
    <w:bookmarkStart w:id="195" w:name="page196"/>
    <w:bookmarkEnd w:id="195"/>
    <w:p>
      <w:pPr>
        <w:ind w:left="380" w:right="2740"/>
        <w:spacing w:after="0" w:line="220" w:lineRule="auto"/>
        <w:rPr>
          <w:sz w:val="20"/>
          <w:szCs w:val="20"/>
          <w:color w:val="auto"/>
        </w:rPr>
      </w:pPr>
      <w:r>
        <w:rPr>
          <w:rFonts w:ascii="Arial" w:cs="Arial" w:eastAsia="Arial" w:hAnsi="Arial"/>
          <w:sz w:val="13"/>
          <w:szCs w:val="13"/>
          <w:color w:val="auto"/>
        </w:rPr>
        <w:t>to determine the PD of companies, we use the maturities of the trade receivables and the score of the companies.</w:t>
      </w:r>
    </w:p>
    <w:p>
      <w:pPr>
        <w:spacing w:after="0" w:line="1" w:lineRule="exact"/>
        <w:rPr>
          <w:sz w:val="20"/>
          <w:szCs w:val="20"/>
          <w:color w:val="auto"/>
        </w:rPr>
      </w:pPr>
    </w:p>
    <w:p>
      <w:pPr>
        <w:ind w:left="380" w:right="2260"/>
        <w:spacing w:after="0" w:line="210" w:lineRule="auto"/>
        <w:rPr>
          <w:sz w:val="20"/>
          <w:szCs w:val="20"/>
          <w:color w:val="auto"/>
        </w:rPr>
      </w:pPr>
      <w:r>
        <w:rPr>
          <w:rFonts w:ascii="Arial" w:cs="Arial" w:eastAsia="Arial" w:hAnsi="Arial"/>
          <w:sz w:val="13"/>
          <w:szCs w:val="13"/>
          <w:color w:val="auto"/>
        </w:rPr>
        <w:t>If there is objective evidence that certain trade receivables or contract assets are fully or partially impaired, additional loss allowances are recognized to account for expected credit losses. A debtor’s creditworthiness is assumed to be impaired if there are objective indications that the debtor is in financial difficulties, such as the disappearance of an active market for its products or impending insolvency.</w:t>
      </w:r>
    </w:p>
    <w:p>
      <w:pPr>
        <w:ind w:left="380"/>
        <w:spacing w:after="0" w:line="214" w:lineRule="auto"/>
        <w:rPr>
          <w:sz w:val="20"/>
          <w:szCs w:val="20"/>
          <w:color w:val="auto"/>
        </w:rPr>
      </w:pPr>
      <w:r>
        <w:rPr>
          <w:rFonts w:ascii="Arial" w:cs="Arial" w:eastAsia="Arial" w:hAnsi="Arial"/>
          <w:sz w:val="13"/>
          <w:szCs w:val="13"/>
          <w:b w:val="1"/>
          <w:bCs w:val="1"/>
          <w:color w:val="auto"/>
        </w:rPr>
        <w:t>ii) Financial Liabilities</w:t>
      </w:r>
    </w:p>
    <w:p>
      <w:pPr>
        <w:ind w:left="380" w:right="2440"/>
        <w:spacing w:after="0" w:line="210" w:lineRule="auto"/>
        <w:rPr>
          <w:sz w:val="20"/>
          <w:szCs w:val="20"/>
          <w:color w:val="auto"/>
        </w:rPr>
      </w:pPr>
      <w:r>
        <w:rPr>
          <w:rFonts w:ascii="Arial" w:cs="Arial" w:eastAsia="Arial" w:hAnsi="Arial"/>
          <w:sz w:val="13"/>
          <w:szCs w:val="13"/>
          <w:color w:val="auto"/>
        </w:rPr>
        <w:t>Financial liabilities are generally measured at amortized cost using the effective interest rate (EIR) method. Derivatives with negative fair values not designated as hedging instruments and liabilities for contingent consideration in business combinations are measured at fair value.</w:t>
      </w:r>
    </w:p>
    <w:p>
      <w:pPr>
        <w:spacing w:after="0" w:line="2"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All financial liabilities are recognized initially at fair value and, in the case of loans and borrowings and payables, net of directly attributable transaction costs.</w:t>
      </w:r>
    </w:p>
    <w:p>
      <w:pPr>
        <w:spacing w:after="0" w:line="1"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Financial liabilities measured at amortized cost include loans and borrowings, trade payables and other financial liabilities. They are measured at amortized cost using the EIR method. Gains and losses are recognized in the consolidated statements of profit or loss when the liabilities are derecognized as well as through the EIR amortization process.</w:t>
      </w:r>
    </w:p>
    <w:p>
      <w:pPr>
        <w:spacing w:after="0" w:line="2" w:lineRule="exact"/>
        <w:rPr>
          <w:sz w:val="20"/>
          <w:szCs w:val="20"/>
          <w:color w:val="auto"/>
        </w:rPr>
      </w:pPr>
    </w:p>
    <w:p>
      <w:pPr>
        <w:jc w:val="both"/>
        <w:ind w:left="380" w:right="2100"/>
        <w:spacing w:after="0" w:line="210" w:lineRule="auto"/>
        <w:rPr>
          <w:sz w:val="20"/>
          <w:szCs w:val="20"/>
          <w:color w:val="auto"/>
        </w:rPr>
      </w:pPr>
      <w:r>
        <w:rPr>
          <w:rFonts w:ascii="Arial" w:cs="Arial" w:eastAsia="Arial" w:hAnsi="Arial"/>
          <w:sz w:val="13"/>
          <w:szCs w:val="13"/>
          <w:color w:val="auto"/>
        </w:rPr>
        <w:t>Amortized cost is calculated by taking into account any discount or premium on acquisition and fees or costs that are an integral part of the EIR. The EIR amortization is included as finance costs in the consolidated statements of profit or loss.</w:t>
      </w:r>
    </w:p>
    <w:p>
      <w:pPr>
        <w:ind w:left="380"/>
        <w:spacing w:after="0" w:line="213" w:lineRule="auto"/>
        <w:rPr>
          <w:sz w:val="20"/>
          <w:szCs w:val="20"/>
          <w:color w:val="auto"/>
        </w:rPr>
      </w:pPr>
      <w:r>
        <w:rPr>
          <w:rFonts w:ascii="Arial" w:cs="Arial" w:eastAsia="Arial" w:hAnsi="Arial"/>
          <w:sz w:val="13"/>
          <w:szCs w:val="13"/>
          <w:i w:val="1"/>
          <w:iCs w:val="1"/>
          <w:color w:val="auto"/>
        </w:rPr>
        <w:t>Derecognition</w:t>
      </w:r>
    </w:p>
    <w:p>
      <w:pPr>
        <w:spacing w:after="0" w:line="1" w:lineRule="exact"/>
        <w:rPr>
          <w:sz w:val="20"/>
          <w:szCs w:val="20"/>
          <w:color w:val="auto"/>
        </w:rPr>
      </w:pPr>
    </w:p>
    <w:p>
      <w:pPr>
        <w:jc w:val="both"/>
        <w:ind w:left="380" w:right="2180"/>
        <w:spacing w:after="0" w:line="226" w:lineRule="auto"/>
        <w:rPr>
          <w:sz w:val="20"/>
          <w:szCs w:val="20"/>
          <w:color w:val="auto"/>
        </w:rPr>
      </w:pPr>
      <w:r>
        <w:rPr>
          <w:rFonts w:ascii="Arial" w:cs="Arial" w:eastAsia="Arial" w:hAnsi="Arial"/>
          <w:sz w:val="13"/>
          <w:szCs w:val="13"/>
          <w:color w:val="auto"/>
        </w:rPr>
        <w:t>A financial liability is derecognized when the obligation under the liability is discharged or cancelled or expires. When an existing financial liability is replaced by another from the same lender on substantially different terms, or the terms of an existing liability are substantially modified, such an exchange or modification is treated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F-23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580"/>
        <w:spacing w:after="0" w:line="220" w:lineRule="auto"/>
        <w:rPr>
          <w:sz w:val="20"/>
          <w:szCs w:val="20"/>
          <w:color w:val="auto"/>
        </w:rPr>
      </w:pPr>
      <w:r>
        <w:rPr>
          <w:rFonts w:ascii="Arial" w:cs="Arial" w:eastAsia="Arial" w:hAnsi="Arial"/>
          <w:sz w:val="13"/>
          <w:szCs w:val="13"/>
          <w:color w:val="auto"/>
        </w:rPr>
        <w:t>derecognition of the original liability and the recognition of a new liability. The difference in the respective carrying amounts is recognized in the consolidated statements of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b w:val="1"/>
          <w:bCs w:val="1"/>
          <w:color w:val="auto"/>
        </w:rPr>
        <w:t>iii) Expenses and Income from Exchange Forward Contracts</w:t>
      </w:r>
    </w:p>
    <w:p>
      <w:pPr>
        <w:jc w:val="both"/>
        <w:ind w:left="380" w:right="2360"/>
        <w:spacing w:after="0" w:line="210" w:lineRule="auto"/>
        <w:rPr>
          <w:sz w:val="20"/>
          <w:szCs w:val="20"/>
          <w:color w:val="auto"/>
        </w:rPr>
      </w:pPr>
      <w:r>
        <w:rPr>
          <w:rFonts w:ascii="Arial" w:cs="Arial" w:eastAsia="Arial" w:hAnsi="Arial"/>
          <w:sz w:val="13"/>
          <w:szCs w:val="13"/>
          <w:color w:val="auto"/>
        </w:rPr>
        <w:t>Effects from foreign exchange forward contracts, which are measured at fair value through profit or loss, are shown as either other operating income or other operating expenses on a cumulative basis and might switch between those two items during the year-to-date reporting periods.</w:t>
      </w:r>
    </w:p>
    <w:p>
      <w:pPr>
        <w:ind w:left="380"/>
        <w:spacing w:after="0" w:line="213" w:lineRule="auto"/>
        <w:rPr>
          <w:sz w:val="20"/>
          <w:szCs w:val="20"/>
          <w:color w:val="auto"/>
        </w:rPr>
      </w:pPr>
      <w:r>
        <w:rPr>
          <w:rFonts w:ascii="Arial" w:cs="Arial" w:eastAsia="Arial" w:hAnsi="Arial"/>
          <w:sz w:val="13"/>
          <w:szCs w:val="13"/>
          <w:color w:val="005A64"/>
        </w:rPr>
        <w:t>2.3.12 Fair Value Measurement</w:t>
      </w:r>
    </w:p>
    <w:p>
      <w:pPr>
        <w:spacing w:after="0" w:line="1" w:lineRule="exact"/>
        <w:rPr>
          <w:sz w:val="20"/>
          <w:szCs w:val="20"/>
          <w:color w:val="auto"/>
        </w:rPr>
      </w:pPr>
    </w:p>
    <w:p>
      <w:pPr>
        <w:ind w:left="380" w:right="2260"/>
        <w:spacing w:after="0" w:line="210" w:lineRule="auto"/>
        <w:rPr>
          <w:sz w:val="20"/>
          <w:szCs w:val="20"/>
          <w:color w:val="auto"/>
        </w:rPr>
      </w:pPr>
      <w:r>
        <w:rPr>
          <w:rFonts w:ascii="Arial" w:cs="Arial" w:eastAsia="Arial" w:hAnsi="Arial"/>
          <w:sz w:val="13"/>
          <w:szCs w:val="13"/>
          <w:color w:val="auto"/>
        </w:rPr>
        <w:t>Fair value is a market-based measurement. For some assets and liabilities, observable market transactions or market information is available. For other assets and liabilities, observable market transactions or market information might not be available. When a price for an identical asset or liability is not observable, another valuation technique is used. To increase consistency and comparability in fair value measurements, there are three levels of the fair value hierarchy:</w:t>
      </w:r>
    </w:p>
    <w:p>
      <w:pPr>
        <w:ind w:left="380"/>
        <w:spacing w:after="0" w:line="215" w:lineRule="auto"/>
        <w:rPr>
          <w:sz w:val="20"/>
          <w:szCs w:val="20"/>
          <w:color w:val="auto"/>
        </w:rPr>
      </w:pPr>
      <w:r>
        <w:rPr>
          <w:rFonts w:ascii="Arial" w:cs="Arial" w:eastAsia="Arial" w:hAnsi="Arial"/>
          <w:sz w:val="13"/>
          <w:szCs w:val="13"/>
          <w:color w:val="auto"/>
        </w:rPr>
        <w:t>•Level 1 contains the use of quoted prices in active markets for identical assets or liabilities.</w:t>
      </w:r>
    </w:p>
    <w:p>
      <w:pPr>
        <w:ind w:left="380"/>
        <w:spacing w:after="0" w:line="211" w:lineRule="auto"/>
        <w:rPr>
          <w:sz w:val="20"/>
          <w:szCs w:val="20"/>
          <w:color w:val="auto"/>
        </w:rPr>
      </w:pPr>
      <w:r>
        <w:rPr>
          <w:rFonts w:ascii="Arial" w:cs="Arial" w:eastAsia="Arial" w:hAnsi="Arial"/>
          <w:sz w:val="13"/>
          <w:szCs w:val="13"/>
          <w:color w:val="auto"/>
        </w:rPr>
        <w:t>•Level 2 inputs are inputs other than quoted prices included within Level 1 that are observable for the</w:t>
      </w:r>
    </w:p>
    <w:p>
      <w:pPr>
        <w:ind w:left="380"/>
        <w:spacing w:after="0" w:line="211" w:lineRule="auto"/>
        <w:rPr>
          <w:sz w:val="20"/>
          <w:szCs w:val="20"/>
          <w:color w:val="auto"/>
        </w:rPr>
      </w:pPr>
      <w:r>
        <w:rPr>
          <w:rFonts w:ascii="Arial" w:cs="Arial" w:eastAsia="Arial" w:hAnsi="Arial"/>
          <w:sz w:val="13"/>
          <w:szCs w:val="13"/>
          <w:color w:val="auto"/>
        </w:rPr>
        <w:t>asset or liability either directly or indirectly.</w:t>
      </w:r>
    </w:p>
    <w:p>
      <w:pPr>
        <w:ind w:left="380"/>
        <w:spacing w:after="0" w:line="211" w:lineRule="auto"/>
        <w:rPr>
          <w:sz w:val="20"/>
          <w:szCs w:val="20"/>
          <w:color w:val="auto"/>
        </w:rPr>
      </w:pPr>
      <w:r>
        <w:rPr>
          <w:rFonts w:ascii="Arial" w:cs="Arial" w:eastAsia="Arial" w:hAnsi="Arial"/>
          <w:sz w:val="13"/>
          <w:szCs w:val="13"/>
          <w:color w:val="auto"/>
        </w:rPr>
        <w:t>•Level 3 inputs are unobservable.</w:t>
      </w:r>
    </w:p>
    <w:p>
      <w:pPr>
        <w:ind w:left="380" w:right="2200"/>
        <w:spacing w:after="0" w:line="210" w:lineRule="auto"/>
        <w:rPr>
          <w:sz w:val="20"/>
          <w:szCs w:val="20"/>
          <w:color w:val="auto"/>
        </w:rPr>
      </w:pPr>
      <w:r>
        <w:rPr>
          <w:rFonts w:ascii="Arial" w:cs="Arial" w:eastAsia="Arial" w:hAnsi="Arial"/>
          <w:sz w:val="13"/>
          <w:szCs w:val="13"/>
          <w:color w:val="auto"/>
        </w:rPr>
        <w:t>Within this hierarchy, estimated values are made by management based on reasonable assumptions, including other fair value methods.</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For assets and liabilities that are recognized in the financial statements at fair value on a recurring basis, we determine whether transfers have occurred between levels in the fair value hierarchy by re-assessing categorization (based on the lowest level input that is significant to the fair value measurement as a whole) at the end of each reporting period.</w:t>
      </w:r>
    </w:p>
    <w:p>
      <w:pPr>
        <w:spacing w:after="0" w:line="2" w:lineRule="exact"/>
        <w:rPr>
          <w:sz w:val="20"/>
          <w:szCs w:val="20"/>
          <w:color w:val="auto"/>
        </w:rPr>
      </w:pPr>
    </w:p>
    <w:p>
      <w:pPr>
        <w:jc w:val="both"/>
        <w:ind w:left="380" w:right="2180"/>
        <w:spacing w:after="0" w:line="210" w:lineRule="auto"/>
        <w:rPr>
          <w:sz w:val="20"/>
          <w:szCs w:val="20"/>
          <w:color w:val="auto"/>
        </w:rPr>
      </w:pPr>
      <w:r>
        <w:rPr>
          <w:rFonts w:ascii="Arial" w:cs="Arial" w:eastAsia="Arial" w:hAnsi="Arial"/>
          <w:sz w:val="13"/>
          <w:szCs w:val="13"/>
          <w:color w:val="auto"/>
        </w:rPr>
        <w:t>For the purpose of fair value disclosures, classes of assets and liabilities have been determined on the basis of the nature, characteristics and risks of the asset or liability and the level of the fair value hierarchy, as explained above.</w:t>
      </w:r>
    </w:p>
    <w:p>
      <w:pPr>
        <w:ind w:left="380"/>
        <w:spacing w:after="0" w:line="213" w:lineRule="auto"/>
        <w:rPr>
          <w:sz w:val="20"/>
          <w:szCs w:val="20"/>
          <w:color w:val="auto"/>
        </w:rPr>
      </w:pPr>
      <w:r>
        <w:rPr>
          <w:rFonts w:ascii="Arial" w:cs="Arial" w:eastAsia="Arial" w:hAnsi="Arial"/>
          <w:sz w:val="13"/>
          <w:szCs w:val="13"/>
          <w:color w:val="005A64"/>
        </w:rPr>
        <w:t>2.3.13 Inventories</w:t>
      </w:r>
    </w:p>
    <w:p>
      <w:pPr>
        <w:ind w:left="380"/>
        <w:spacing w:after="0" w:line="211" w:lineRule="auto"/>
        <w:rPr>
          <w:sz w:val="20"/>
          <w:szCs w:val="20"/>
          <w:color w:val="auto"/>
        </w:rPr>
      </w:pPr>
      <w:r>
        <w:rPr>
          <w:rFonts w:ascii="Arial" w:cs="Arial" w:eastAsia="Arial" w:hAnsi="Arial"/>
          <w:sz w:val="13"/>
          <w:szCs w:val="13"/>
          <w:color w:val="auto"/>
        </w:rPr>
        <w:t>Inventories are valued at the lower of cost and net realizable value.</w:t>
      </w:r>
    </w:p>
    <w:p>
      <w:pPr>
        <w:ind w:left="380"/>
        <w:spacing w:after="0" w:line="211" w:lineRule="auto"/>
        <w:rPr>
          <w:sz w:val="20"/>
          <w:szCs w:val="20"/>
          <w:color w:val="auto"/>
        </w:rPr>
      </w:pPr>
      <w:r>
        <w:rPr>
          <w:rFonts w:ascii="Arial" w:cs="Arial" w:eastAsia="Arial" w:hAnsi="Arial"/>
          <w:sz w:val="13"/>
          <w:szCs w:val="13"/>
          <w:color w:val="auto"/>
        </w:rPr>
        <w:t>Costs incurred in bringing each product to its present location and condition are accounted for as follows:</w:t>
      </w:r>
    </w:p>
    <w:p>
      <w:pPr>
        <w:ind w:left="380"/>
        <w:spacing w:after="0" w:line="211" w:lineRule="auto"/>
        <w:rPr>
          <w:sz w:val="20"/>
          <w:szCs w:val="20"/>
          <w:color w:val="auto"/>
        </w:rPr>
      </w:pPr>
      <w:r>
        <w:rPr>
          <w:rFonts w:ascii="Arial" w:cs="Arial" w:eastAsia="Arial" w:hAnsi="Arial"/>
          <w:sz w:val="13"/>
          <w:szCs w:val="13"/>
          <w:color w:val="auto"/>
        </w:rPr>
        <w:t>•raw materials and supplies: purchase cost on a first-in / first-out basis; or</w:t>
      </w:r>
    </w:p>
    <w:p>
      <w:pPr>
        <w:ind w:left="380" w:right="2960"/>
        <w:spacing w:after="0" w:line="210" w:lineRule="auto"/>
        <w:rPr>
          <w:sz w:val="20"/>
          <w:szCs w:val="20"/>
          <w:color w:val="auto"/>
        </w:rPr>
      </w:pPr>
      <w:r>
        <w:rPr>
          <w:rFonts w:ascii="Arial" w:cs="Arial" w:eastAsia="Arial" w:hAnsi="Arial"/>
          <w:sz w:val="13"/>
          <w:szCs w:val="13"/>
          <w:color w:val="auto"/>
        </w:rPr>
        <w:t>•unfinished goods and finished goods: cost of direct materials and labor, including both internal manufacturing and third-party contract manufacturing organizations, or CMOs, and a proportion of manufacturing overheads based on the normal operating capacity, but excluding borrowing costs.</w:t>
      </w:r>
    </w:p>
    <w:p>
      <w:pPr>
        <w:spacing w:after="0" w:line="2"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Net realizable value is the estimated selling price in the ordinary course of business less estimated costs of completion and the estimated costs necessary to make the sale. Write- offs are recorded if inventories are expected to be unsaleable, do not fulfill the specification defined by our quality standards or if their shelf-life has expired. For our inventories subject to the collaboration partners’ gross profit share mechanism, we consider the contractual compensation payments in the estimate of the net realizable value.</w:t>
      </w:r>
    </w:p>
    <w:p>
      <w:pPr>
        <w:spacing w:after="0" w:line="3" w:lineRule="exact"/>
        <w:rPr>
          <w:sz w:val="20"/>
          <w:szCs w:val="20"/>
          <w:color w:val="auto"/>
        </w:rPr>
      </w:pPr>
    </w:p>
    <w:p>
      <w:pPr>
        <w:ind w:left="380" w:right="2220"/>
        <w:spacing w:after="0" w:line="226" w:lineRule="auto"/>
        <w:rPr>
          <w:sz w:val="20"/>
          <w:szCs w:val="20"/>
          <w:color w:val="auto"/>
        </w:rPr>
      </w:pPr>
      <w:r>
        <w:rPr>
          <w:rFonts w:ascii="Arial" w:cs="Arial" w:eastAsia="Arial" w:hAnsi="Arial"/>
          <w:sz w:val="13"/>
          <w:szCs w:val="13"/>
          <w:color w:val="auto"/>
        </w:rPr>
        <w:t xml:space="preserve">Beginning with the second quarter of 2023, pre-launch products from the </w:t>
      </w:r>
      <w:r>
        <w:rPr>
          <w:rFonts w:ascii="Arial" w:cs="Arial" w:eastAsia="Arial" w:hAnsi="Arial"/>
          <w:sz w:val="13"/>
          <w:szCs w:val="13"/>
          <w:i w:val="1"/>
          <w:iCs w:val="1"/>
          <w:color w:val="auto"/>
        </w:rPr>
        <w:t>Comirnaty</w:t>
      </w:r>
      <w:r>
        <w:rPr>
          <w:rFonts w:ascii="Arial" w:cs="Arial" w:eastAsia="Arial" w:hAnsi="Arial"/>
          <w:sz w:val="13"/>
          <w:szCs w:val="13"/>
          <w:color w:val="auto"/>
        </w:rPr>
        <w:t xml:space="preserve"> product family with their potential for economic benefit fulfill the recognition criteria for an asset under the IFRS Conceptual Framework. At each reporting date, the respective inventory is measured at the lower of cost and net realizable value.</w:t>
      </w:r>
    </w:p>
    <w:p>
      <w:pPr>
        <w:sectPr>
          <w:pgSz w:w="11900" w:h="16840" w:orient="portrait"/>
          <w:cols w:equalWidth="0" w:num="1">
            <w:col w:w="9020"/>
          </w:cols>
          <w:pgMar w:left="1440" w:top="560" w:right="1440" w:bottom="1440" w:gutter="0" w:footer="0" w:header="0"/>
        </w:sectPr>
      </w:pPr>
    </w:p>
    <w:bookmarkStart w:id="196" w:name="page197"/>
    <w:bookmarkEnd w:id="1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F-24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240"/>
        <w:spacing w:after="0" w:line="220" w:lineRule="auto"/>
        <w:rPr>
          <w:sz w:val="20"/>
          <w:szCs w:val="20"/>
          <w:color w:val="auto"/>
        </w:rPr>
      </w:pPr>
      <w:r>
        <w:rPr>
          <w:rFonts w:ascii="Arial" w:cs="Arial" w:eastAsia="Arial" w:hAnsi="Arial"/>
          <w:sz w:val="13"/>
          <w:szCs w:val="13"/>
          <w:color w:val="auto"/>
        </w:rPr>
        <w:t>However, because is not probable until regulatory approval is obtained, we consider the net realizable value to be zero, as this is the probable amount expected to be realized from its sale until approval is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color w:val="005A64"/>
        </w:rPr>
        <w:t>2.3.14 Cash and Cash Equivalents</w:t>
      </w:r>
    </w:p>
    <w:p>
      <w:pPr>
        <w:ind w:left="380" w:right="2120"/>
        <w:spacing w:after="0" w:line="210" w:lineRule="auto"/>
        <w:rPr>
          <w:sz w:val="20"/>
          <w:szCs w:val="20"/>
          <w:color w:val="auto"/>
        </w:rPr>
      </w:pPr>
      <w:r>
        <w:rPr>
          <w:rFonts w:ascii="Arial" w:cs="Arial" w:eastAsia="Arial" w:hAnsi="Arial"/>
          <w:sz w:val="13"/>
          <w:szCs w:val="13"/>
          <w:color w:val="auto"/>
        </w:rPr>
        <w:t>Cash and cash equivalents comprise cash at banks and on hand and short-term investments that we consider to be highly liquid (including deposits, money market funds and reverse repos) with an original maturity of three months or less that are readily convertible to a known amount of cash and subject to an insignificant risk of changes in value. Deposits with an original maturity of more than three months are recognized as other financial assets.</w:t>
      </w:r>
    </w:p>
    <w:p>
      <w:pPr>
        <w:ind w:left="380"/>
        <w:spacing w:after="0" w:line="215" w:lineRule="auto"/>
        <w:rPr>
          <w:sz w:val="20"/>
          <w:szCs w:val="20"/>
          <w:color w:val="auto"/>
        </w:rPr>
      </w:pPr>
      <w:r>
        <w:rPr>
          <w:rFonts w:ascii="Arial" w:cs="Arial" w:eastAsia="Arial" w:hAnsi="Arial"/>
          <w:sz w:val="13"/>
          <w:szCs w:val="13"/>
          <w:color w:val="005A64"/>
        </w:rPr>
        <w:t>2.3.15 Treasury Shares</w:t>
      </w:r>
    </w:p>
    <w:p>
      <w:pPr>
        <w:ind w:left="380" w:right="2080"/>
        <w:spacing w:after="0" w:line="210" w:lineRule="auto"/>
        <w:rPr>
          <w:sz w:val="20"/>
          <w:szCs w:val="20"/>
          <w:color w:val="auto"/>
        </w:rPr>
      </w:pPr>
      <w:r>
        <w:rPr>
          <w:rFonts w:ascii="Arial" w:cs="Arial" w:eastAsia="Arial" w:hAnsi="Arial"/>
          <w:sz w:val="13"/>
          <w:szCs w:val="13"/>
          <w:color w:val="auto"/>
        </w:rPr>
        <w:t>We apply the par value method to our repurchases of outstanding American Depositary Shares, or ADSs. Accordingly, the nominal value of acquired treasury shares is deducted from equity and shown in the separate item “Treasury shares”. Any premium paid in excess of the nominal value of a repurchased ADS is deducted from the capital reserve. On the trade date, we recognize a liability, and on the settlement date, we settle in cash. We recognize the foreign exchange differences that may occur between the trade and settlement date as profit or loss.</w:t>
      </w:r>
    </w:p>
    <w:p>
      <w:pPr>
        <w:ind w:left="380"/>
        <w:spacing w:after="0" w:line="216" w:lineRule="auto"/>
        <w:rPr>
          <w:sz w:val="20"/>
          <w:szCs w:val="20"/>
          <w:color w:val="auto"/>
        </w:rPr>
      </w:pPr>
      <w:r>
        <w:rPr>
          <w:rFonts w:ascii="Arial" w:cs="Arial" w:eastAsia="Arial" w:hAnsi="Arial"/>
          <w:sz w:val="13"/>
          <w:szCs w:val="13"/>
          <w:color w:val="005A64"/>
        </w:rPr>
        <w:t>2.3.16 Leases</w:t>
      </w:r>
    </w:p>
    <w:p>
      <w:pPr>
        <w:jc w:val="both"/>
        <w:ind w:left="380" w:right="2180"/>
        <w:spacing w:after="0" w:line="210" w:lineRule="auto"/>
        <w:rPr>
          <w:sz w:val="20"/>
          <w:szCs w:val="20"/>
          <w:color w:val="auto"/>
        </w:rPr>
      </w:pPr>
      <w:r>
        <w:rPr>
          <w:rFonts w:ascii="Arial" w:cs="Arial" w:eastAsia="Arial" w:hAnsi="Arial"/>
          <w:sz w:val="13"/>
          <w:szCs w:val="13"/>
          <w:color w:val="auto"/>
        </w:rPr>
        <w:t>At the inception of a contract, we assess whether the contract is, or contains, a lease. A contract is, or contains, a lease if the contract conveys the right to control the use of an identified asset for a period of time in exchange for consideration.</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At inception or on reassessment of a contract that contains a lease component, the consideration in the contract is allocated to each lease component on the basis of their relative standalone prices. However, for leases of land and buildings in which we are a lessee, we have elected not to separate non-lease components, and instead account for the lease and non-lease components as a single lease component.</w:t>
      </w:r>
    </w:p>
    <w:p>
      <w:pPr>
        <w:ind w:left="380"/>
        <w:spacing w:after="0" w:line="214" w:lineRule="auto"/>
        <w:rPr>
          <w:sz w:val="20"/>
          <w:szCs w:val="20"/>
          <w:color w:val="auto"/>
        </w:rPr>
      </w:pPr>
      <w:r>
        <w:rPr>
          <w:rFonts w:ascii="Arial" w:cs="Arial" w:eastAsia="Arial" w:hAnsi="Arial"/>
          <w:sz w:val="13"/>
          <w:szCs w:val="13"/>
          <w:color w:val="auto"/>
        </w:rPr>
        <w:t>We recognize a right-of-use asset and a lease liability at the lease commencement date.</w:t>
      </w:r>
    </w:p>
    <w:p>
      <w:pPr>
        <w:ind w:left="380"/>
        <w:spacing w:after="0" w:line="211" w:lineRule="auto"/>
        <w:rPr>
          <w:sz w:val="20"/>
          <w:szCs w:val="20"/>
          <w:color w:val="auto"/>
        </w:rPr>
      </w:pPr>
      <w:r>
        <w:rPr>
          <w:rFonts w:ascii="Arial" w:cs="Arial" w:eastAsia="Arial" w:hAnsi="Arial"/>
          <w:sz w:val="13"/>
          <w:szCs w:val="13"/>
          <w:color w:val="auto"/>
        </w:rPr>
        <w:t>The right-of-use asset is initially measured at cost.</w:t>
      </w:r>
    </w:p>
    <w:p>
      <w:pPr>
        <w:ind w:left="380" w:right="2180"/>
        <w:spacing w:after="0" w:line="234" w:lineRule="auto"/>
        <w:rPr>
          <w:sz w:val="20"/>
          <w:szCs w:val="20"/>
          <w:color w:val="auto"/>
        </w:rPr>
      </w:pPr>
      <w:r>
        <w:rPr>
          <w:rFonts w:ascii="Arial" w:cs="Arial" w:eastAsia="Arial" w:hAnsi="Arial"/>
          <w:sz w:val="13"/>
          <w:szCs w:val="13"/>
          <w:color w:val="auto"/>
        </w:rPr>
        <w:t>The depreciation of the right-of-use asset is calculated on a straight-line basis over the estimated useful lives of the assets or shorter lease term,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-12700</wp:posOffset>
            </wp:positionV>
            <wp:extent cx="4268470" cy="127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5">
                      <a:extLst>
                        <a:ext uri="{28A0092B-C50C-407E-A947-70E740481C1C}"/>
                      </a:extLst>
                    </a:blip>
                    <a:srcRect/>
                    <a:stretch>
                      <a:fillRect/>
                    </a:stretch>
                  </pic:blipFill>
                  <pic:spPr bwMode="auto">
                    <a:xfrm>
                      <a:off x="0" y="0"/>
                      <a:ext cx="4268470" cy="12700"/>
                    </a:xfrm>
                    <a:prstGeom prst="rect">
                      <a:avLst/>
                    </a:prstGeom>
                    <a:noFill/>
                  </pic:spPr>
                </pic:pic>
              </a:graphicData>
            </a:graphic>
          </wp:anchor>
        </w:drawing>
      </w:r>
    </w:p>
    <w:p>
      <w:pPr>
        <w:spacing w:after="0" w:line="74"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5240" w:type="dxa"/>
            <w:vAlign w:val="bottom"/>
          </w:tcPr>
          <w:p>
            <w:pPr>
              <w:ind w:left="20"/>
              <w:spacing w:after="0"/>
              <w:rPr>
                <w:sz w:val="20"/>
                <w:szCs w:val="20"/>
                <w:color w:val="auto"/>
              </w:rPr>
            </w:pPr>
            <w:r>
              <w:rPr>
                <w:rFonts w:ascii="Arial" w:cs="Arial" w:eastAsia="Arial" w:hAnsi="Arial"/>
                <w:sz w:val="12"/>
                <w:szCs w:val="12"/>
                <w:b w:val="1"/>
                <w:bCs w:val="1"/>
                <w:color w:val="005A64"/>
              </w:rPr>
              <w:t>Right-of-use assets</w:t>
            </w:r>
          </w:p>
        </w:tc>
        <w:tc>
          <w:tcPr>
            <w:tcW w:w="40" w:type="dxa"/>
            <w:vAlign w:val="bottom"/>
          </w:tcPr>
          <w:p>
            <w:pPr>
              <w:spacing w:after="0"/>
              <w:rPr>
                <w:sz w:val="12"/>
                <w:szCs w:val="12"/>
                <w:color w:val="auto"/>
              </w:rPr>
            </w:pPr>
          </w:p>
        </w:tc>
        <w:tc>
          <w:tcPr>
            <w:tcW w:w="1440" w:type="dxa"/>
            <w:vAlign w:val="bottom"/>
          </w:tcPr>
          <w:p>
            <w:pPr>
              <w:ind w:left="20"/>
              <w:spacing w:after="0"/>
              <w:rPr>
                <w:sz w:val="20"/>
                <w:szCs w:val="20"/>
                <w:color w:val="auto"/>
              </w:rPr>
            </w:pPr>
            <w:r>
              <w:rPr>
                <w:rFonts w:ascii="Arial" w:cs="Arial" w:eastAsia="Arial" w:hAnsi="Arial"/>
                <w:sz w:val="12"/>
                <w:szCs w:val="12"/>
                <w:b w:val="1"/>
                <w:bCs w:val="1"/>
                <w:color w:val="005A64"/>
              </w:rPr>
              <w:t>Useful life or shorter</w:t>
            </w:r>
          </w:p>
        </w:tc>
        <w:tc>
          <w:tcPr>
            <w:tcW w:w="0" w:type="dxa"/>
            <w:vAlign w:val="bottom"/>
          </w:tcPr>
          <w:p>
            <w:pPr>
              <w:spacing w:after="0"/>
              <w:rPr>
                <w:sz w:val="1"/>
                <w:szCs w:val="1"/>
                <w:color w:val="auto"/>
              </w:rPr>
            </w:pPr>
          </w:p>
        </w:tc>
      </w:tr>
      <w:tr>
        <w:trPr>
          <w:trHeight w:val="166"/>
        </w:trPr>
        <w:tc>
          <w:tcPr>
            <w:tcW w:w="5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ind w:left="20"/>
              <w:spacing w:after="0"/>
              <w:rPr>
                <w:sz w:val="20"/>
                <w:szCs w:val="20"/>
                <w:color w:val="auto"/>
              </w:rPr>
            </w:pPr>
            <w:r>
              <w:rPr>
                <w:rFonts w:ascii="Arial" w:cs="Arial" w:eastAsia="Arial" w:hAnsi="Arial"/>
                <w:sz w:val="12"/>
                <w:szCs w:val="12"/>
                <w:b w:val="1"/>
                <w:bCs w:val="1"/>
                <w:color w:val="005A64"/>
              </w:rPr>
              <w:t>lease term (years)</w:t>
            </w:r>
          </w:p>
        </w:tc>
        <w:tc>
          <w:tcPr>
            <w:tcW w:w="0" w:type="dxa"/>
            <w:vAlign w:val="bottom"/>
          </w:tcPr>
          <w:p>
            <w:pPr>
              <w:spacing w:after="0"/>
              <w:rPr>
                <w:sz w:val="1"/>
                <w:szCs w:val="1"/>
                <w:color w:val="auto"/>
              </w:rPr>
            </w:pPr>
          </w:p>
        </w:tc>
      </w:tr>
      <w:tr>
        <w:trPr>
          <w:trHeight w:val="57"/>
        </w:trPr>
        <w:tc>
          <w:tcPr>
            <w:tcW w:w="5240" w:type="dxa"/>
            <w:vAlign w:val="bottom"/>
            <w:tcBorders>
              <w:bottom w:val="single" w:sz="8" w:color="005A64"/>
            </w:tcBorders>
          </w:tcPr>
          <w:p>
            <w:pPr>
              <w:spacing w:after="0"/>
              <w:rPr>
                <w:sz w:val="4"/>
                <w:szCs w:val="4"/>
                <w:color w:val="auto"/>
              </w:rPr>
            </w:pPr>
          </w:p>
        </w:tc>
        <w:tc>
          <w:tcPr>
            <w:tcW w:w="40" w:type="dxa"/>
            <w:vAlign w:val="bottom"/>
            <w:vMerge w:val="restart"/>
          </w:tcPr>
          <w:p>
            <w:pPr>
              <w:spacing w:after="0"/>
              <w:rPr>
                <w:sz w:val="4"/>
                <w:szCs w:val="4"/>
                <w:color w:val="auto"/>
              </w:rPr>
            </w:pPr>
          </w:p>
        </w:tc>
        <w:tc>
          <w:tcPr>
            <w:tcW w:w="14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5240" w:type="dxa"/>
            <w:vAlign w:val="bottom"/>
          </w:tcPr>
          <w:p>
            <w:pPr>
              <w:ind w:left="20"/>
              <w:spacing w:after="0"/>
              <w:rPr>
                <w:sz w:val="20"/>
                <w:szCs w:val="20"/>
                <w:color w:val="auto"/>
              </w:rPr>
            </w:pPr>
            <w:r>
              <w:rPr>
                <w:rFonts w:ascii="Arial" w:cs="Arial" w:eastAsia="Arial" w:hAnsi="Arial"/>
                <w:sz w:val="12"/>
                <w:szCs w:val="12"/>
                <w:color w:val="005A64"/>
              </w:rPr>
              <w:t>Buildings</w:t>
            </w:r>
          </w:p>
        </w:tc>
        <w:tc>
          <w:tcPr>
            <w:tcW w:w="40" w:type="dxa"/>
            <w:vAlign w:val="bottom"/>
            <w:vMerge w:val="continue"/>
          </w:tcPr>
          <w:p>
            <w:pPr>
              <w:spacing w:after="0"/>
              <w:rPr>
                <w:sz w:val="13"/>
                <w:szCs w:val="13"/>
                <w:color w:val="auto"/>
              </w:rPr>
            </w:pPr>
          </w:p>
        </w:tc>
        <w:tc>
          <w:tcPr>
            <w:tcW w:w="1440" w:type="dxa"/>
            <w:vAlign w:val="bottom"/>
          </w:tcPr>
          <w:p>
            <w:pPr>
              <w:ind w:left="20"/>
              <w:spacing w:after="0"/>
              <w:rPr>
                <w:sz w:val="20"/>
                <w:szCs w:val="20"/>
                <w:color w:val="auto"/>
              </w:rPr>
            </w:pPr>
            <w:r>
              <w:rPr>
                <w:rFonts w:ascii="Arial" w:cs="Arial" w:eastAsia="Arial" w:hAnsi="Arial"/>
                <w:sz w:val="12"/>
                <w:szCs w:val="12"/>
                <w:color w:val="005A64"/>
              </w:rPr>
              <w:t>2-25</w:t>
            </w:r>
          </w:p>
        </w:tc>
        <w:tc>
          <w:tcPr>
            <w:tcW w:w="0" w:type="dxa"/>
            <w:vAlign w:val="bottom"/>
          </w:tcPr>
          <w:p>
            <w:pPr>
              <w:spacing w:after="0"/>
              <w:rPr>
                <w:sz w:val="1"/>
                <w:szCs w:val="1"/>
                <w:color w:val="auto"/>
              </w:rPr>
            </w:pPr>
          </w:p>
        </w:tc>
      </w:tr>
      <w:tr>
        <w:trPr>
          <w:trHeight w:val="181"/>
        </w:trPr>
        <w:tc>
          <w:tcPr>
            <w:tcW w:w="5240" w:type="dxa"/>
            <w:vAlign w:val="bottom"/>
          </w:tcPr>
          <w:p>
            <w:pPr>
              <w:ind w:left="20"/>
              <w:spacing w:after="0"/>
              <w:rPr>
                <w:sz w:val="20"/>
                <w:szCs w:val="20"/>
                <w:color w:val="auto"/>
              </w:rPr>
            </w:pPr>
            <w:r>
              <w:rPr>
                <w:rFonts w:ascii="Arial" w:cs="Arial" w:eastAsia="Arial" w:hAnsi="Arial"/>
                <w:sz w:val="12"/>
                <w:szCs w:val="12"/>
                <w:color w:val="005A64"/>
              </w:rPr>
              <w:t>Equipment, tools and installations</w:t>
            </w:r>
          </w:p>
        </w:tc>
        <w:tc>
          <w:tcPr>
            <w:tcW w:w="1480" w:type="dxa"/>
            <w:vAlign w:val="bottom"/>
            <w:gridSpan w:val="2"/>
          </w:tcPr>
          <w:p>
            <w:pPr>
              <w:ind w:left="60"/>
              <w:spacing w:after="0"/>
              <w:rPr>
                <w:sz w:val="20"/>
                <w:szCs w:val="20"/>
                <w:color w:val="auto"/>
              </w:rPr>
            </w:pPr>
            <w:r>
              <w:rPr>
                <w:rFonts w:ascii="Arial" w:cs="Arial" w:eastAsia="Arial" w:hAnsi="Arial"/>
                <w:sz w:val="12"/>
                <w:szCs w:val="12"/>
                <w:color w:val="005A64"/>
              </w:rPr>
              <w:t>2-5</w:t>
            </w:r>
          </w:p>
        </w:tc>
        <w:tc>
          <w:tcPr>
            <w:tcW w:w="0" w:type="dxa"/>
            <w:vAlign w:val="bottom"/>
          </w:tcPr>
          <w:p>
            <w:pPr>
              <w:spacing w:after="0"/>
              <w:rPr>
                <w:sz w:val="1"/>
                <w:szCs w:val="1"/>
                <w:color w:val="auto"/>
              </w:rPr>
            </w:pPr>
          </w:p>
        </w:tc>
      </w:tr>
      <w:tr>
        <w:trPr>
          <w:trHeight w:val="202"/>
        </w:trPr>
        <w:tc>
          <w:tcPr>
            <w:tcW w:w="5240" w:type="dxa"/>
            <w:vAlign w:val="bottom"/>
          </w:tcPr>
          <w:p>
            <w:pPr>
              <w:ind w:left="20"/>
              <w:spacing w:after="0"/>
              <w:rPr>
                <w:sz w:val="20"/>
                <w:szCs w:val="20"/>
                <w:color w:val="auto"/>
              </w:rPr>
            </w:pPr>
            <w:r>
              <w:rPr>
                <w:rFonts w:ascii="Arial" w:cs="Arial" w:eastAsia="Arial" w:hAnsi="Arial"/>
                <w:sz w:val="12"/>
                <w:szCs w:val="12"/>
                <w:color w:val="005A64"/>
              </w:rPr>
              <w:t>Production facilities</w:t>
            </w:r>
          </w:p>
        </w:tc>
        <w:tc>
          <w:tcPr>
            <w:tcW w:w="1480" w:type="dxa"/>
            <w:vAlign w:val="bottom"/>
            <w:gridSpan w:val="2"/>
          </w:tcPr>
          <w:p>
            <w:pPr>
              <w:ind w:left="60"/>
              <w:spacing w:after="0"/>
              <w:rPr>
                <w:sz w:val="20"/>
                <w:szCs w:val="20"/>
                <w:color w:val="auto"/>
              </w:rPr>
            </w:pPr>
            <w:r>
              <w:rPr>
                <w:rFonts w:ascii="Arial" w:cs="Arial" w:eastAsia="Arial" w:hAnsi="Arial"/>
                <w:sz w:val="12"/>
                <w:szCs w:val="12"/>
                <w:color w:val="005A64"/>
              </w:rPr>
              <w:t>2-3</w:t>
            </w:r>
          </w:p>
        </w:tc>
        <w:tc>
          <w:tcPr>
            <w:tcW w:w="0" w:type="dxa"/>
            <w:vAlign w:val="bottom"/>
          </w:tcPr>
          <w:p>
            <w:pPr>
              <w:spacing w:after="0"/>
              <w:rPr>
                <w:sz w:val="1"/>
                <w:szCs w:val="1"/>
                <w:color w:val="auto"/>
              </w:rPr>
            </w:pPr>
          </w:p>
        </w:tc>
      </w:tr>
      <w:tr>
        <w:trPr>
          <w:trHeight w:val="202"/>
        </w:trPr>
        <w:tc>
          <w:tcPr>
            <w:tcW w:w="5240" w:type="dxa"/>
            <w:vAlign w:val="bottom"/>
          </w:tcPr>
          <w:p>
            <w:pPr>
              <w:ind w:left="20"/>
              <w:spacing w:after="0"/>
              <w:rPr>
                <w:sz w:val="20"/>
                <w:szCs w:val="20"/>
                <w:color w:val="auto"/>
              </w:rPr>
            </w:pPr>
            <w:r>
              <w:rPr>
                <w:rFonts w:ascii="Arial" w:cs="Arial" w:eastAsia="Arial" w:hAnsi="Arial"/>
                <w:sz w:val="12"/>
                <w:szCs w:val="12"/>
                <w:color w:val="005A64"/>
              </w:rPr>
              <w:t>Automobiles</w:t>
            </w:r>
          </w:p>
        </w:tc>
        <w:tc>
          <w:tcPr>
            <w:tcW w:w="1480" w:type="dxa"/>
            <w:vAlign w:val="bottom"/>
            <w:gridSpan w:val="2"/>
          </w:tcPr>
          <w:p>
            <w:pPr>
              <w:ind w:left="60"/>
              <w:spacing w:after="0"/>
              <w:rPr>
                <w:sz w:val="20"/>
                <w:szCs w:val="20"/>
                <w:color w:val="auto"/>
              </w:rPr>
            </w:pPr>
            <w:r>
              <w:rPr>
                <w:rFonts w:ascii="Arial" w:cs="Arial" w:eastAsia="Arial" w:hAnsi="Arial"/>
                <w:sz w:val="12"/>
                <w:szCs w:val="12"/>
                <w:color w:val="005A64"/>
              </w:rPr>
              <w:t>3-4</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380" w:right="2120"/>
        <w:spacing w:after="0" w:line="215" w:lineRule="auto"/>
        <w:rPr>
          <w:sz w:val="20"/>
          <w:szCs w:val="20"/>
          <w:color w:val="auto"/>
        </w:rPr>
      </w:pPr>
      <w:r>
        <w:rPr>
          <w:rFonts w:ascii="Arial" w:cs="Arial" w:eastAsia="Arial" w:hAnsi="Arial"/>
          <w:sz w:val="13"/>
          <w:szCs w:val="13"/>
          <w:color w:val="auto"/>
        </w:rPr>
        <w:t>The lease liability is initially measured at the present value of the lease payments that are not paid at the commencement date, discounted using the incremental borrowing interest rate implicit in the lease or, if that rate cannot be readily determined, the Group’s incremental borrowing rate. Generally, the incremental borrowing rate is used as the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4268470"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6">
                      <a:extLst>
                        <a:ext uri="{28A0092B-C50C-407E-A947-70E740481C1C}"/>
                      </a:extLst>
                    </a:blip>
                    <a:srcRect/>
                    <a:stretch>
                      <a:fillRect/>
                    </a:stretch>
                  </pic:blipFill>
                  <pic:spPr bwMode="auto">
                    <a:xfrm>
                      <a:off x="0" y="0"/>
                      <a:ext cx="4268470" cy="6350"/>
                    </a:xfrm>
                    <a:prstGeom prst="rect">
                      <a:avLst/>
                    </a:prstGeom>
                    <a:noFill/>
                  </pic:spPr>
                </pic:pic>
              </a:graphicData>
            </a:graphic>
          </wp:anchor>
        </w:drawing>
      </w:r>
    </w:p>
    <w:p>
      <w:pPr>
        <w:ind w:left="380" w:right="2160"/>
        <w:spacing w:after="0" w:line="220" w:lineRule="auto"/>
        <w:rPr>
          <w:sz w:val="20"/>
          <w:szCs w:val="20"/>
          <w:color w:val="auto"/>
        </w:rPr>
      </w:pPr>
      <w:r>
        <w:rPr>
          <w:rFonts w:ascii="Arial" w:cs="Arial" w:eastAsia="Arial" w:hAnsi="Arial"/>
          <w:sz w:val="13"/>
          <w:szCs w:val="13"/>
          <w:color w:val="auto"/>
        </w:rPr>
        <w:t>The lease liability is subsequently measured at amortized cost using the EIR method. It is remeasured when there is a change in future lease payments arising from a change in an index or rate, if there is a change in the estimate of the amount expected to be payable under a residual value guarantee, or if we change our assessment of whether we will exercise a purchase, extension or termination option. When the lease liability is remeasured, a corresponding adjustment is made to the carrying amount of the right-of-use asset or is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F-25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60"/>
        <w:spacing w:after="0" w:line="220" w:lineRule="auto"/>
        <w:rPr>
          <w:sz w:val="20"/>
          <w:szCs w:val="20"/>
          <w:color w:val="auto"/>
        </w:rPr>
      </w:pPr>
      <w:r>
        <w:rPr>
          <w:rFonts w:ascii="Arial" w:cs="Arial" w:eastAsia="Arial" w:hAnsi="Arial"/>
          <w:sz w:val="13"/>
          <w:szCs w:val="13"/>
          <w:color w:val="auto"/>
        </w:rPr>
        <w:t>in the consolidated statements of profit or loss if the carrying amount of the right-of-use asset has been reduced to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20"/>
        <w:spacing w:after="0" w:line="210" w:lineRule="auto"/>
        <w:rPr>
          <w:sz w:val="20"/>
          <w:szCs w:val="20"/>
          <w:color w:val="auto"/>
        </w:rPr>
      </w:pPr>
      <w:r>
        <w:rPr>
          <w:rFonts w:ascii="Arial" w:cs="Arial" w:eastAsia="Arial" w:hAnsi="Arial"/>
          <w:sz w:val="13"/>
          <w:szCs w:val="13"/>
          <w:color w:val="auto"/>
        </w:rPr>
        <w:t>Right-of-use assets are presented separately and lease liabilities are presented under “Financial liabilities” in the consolidated statements of financial position.</w:t>
      </w:r>
    </w:p>
    <w:p>
      <w:pPr>
        <w:ind w:left="380"/>
        <w:spacing w:after="0" w:line="212" w:lineRule="auto"/>
        <w:rPr>
          <w:sz w:val="20"/>
          <w:szCs w:val="20"/>
          <w:color w:val="auto"/>
        </w:rPr>
      </w:pPr>
      <w:r>
        <w:rPr>
          <w:rFonts w:ascii="Arial" w:cs="Arial" w:eastAsia="Arial" w:hAnsi="Arial"/>
          <w:sz w:val="13"/>
          <w:szCs w:val="13"/>
          <w:b w:val="1"/>
          <w:bCs w:val="1"/>
          <w:color w:val="auto"/>
        </w:rPr>
        <w:t>Short-Term Leases and Leases of Low-Value Assets</w:t>
      </w:r>
    </w:p>
    <w:p>
      <w:pPr>
        <w:spacing w:after="0" w:line="1"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We have elected not to recognize right- of- use assets and lease liabilities for short-term leases of machinery that have a lease term of 12 months or less or leases of low-value assets. We recognize the lease payments associated with these leases as an expense in the consolidated statements of profit or loss on a straight-line basis over the lease term.</w:t>
      </w:r>
    </w:p>
    <w:p>
      <w:pPr>
        <w:ind w:left="380"/>
        <w:spacing w:after="0" w:line="214" w:lineRule="auto"/>
        <w:rPr>
          <w:sz w:val="20"/>
          <w:szCs w:val="20"/>
          <w:color w:val="auto"/>
        </w:rPr>
      </w:pPr>
      <w:r>
        <w:rPr>
          <w:rFonts w:ascii="Arial" w:cs="Arial" w:eastAsia="Arial" w:hAnsi="Arial"/>
          <w:sz w:val="13"/>
          <w:szCs w:val="13"/>
          <w:color w:val="005A64"/>
        </w:rPr>
        <w:t>2.3.17 Provisions</w:t>
      </w:r>
    </w:p>
    <w:p>
      <w:pPr>
        <w:ind w:left="380" w:right="2160"/>
        <w:spacing w:after="0" w:line="222" w:lineRule="auto"/>
        <w:rPr>
          <w:sz w:val="20"/>
          <w:szCs w:val="20"/>
          <w:color w:val="auto"/>
        </w:rPr>
      </w:pPr>
      <w:r>
        <w:rPr>
          <w:rFonts w:ascii="Arial" w:cs="Arial" w:eastAsia="Arial" w:hAnsi="Arial"/>
          <w:sz w:val="13"/>
          <w:szCs w:val="13"/>
          <w:color w:val="auto"/>
        </w:rPr>
        <w:t>Provisions are recognized when there is a present obligation (legal or constructive) as a result of a past event, it is probable that an outflow of resources embodying economic benefits will be required to settle the obligation and a reliable estimate can be made of the amount of the obligation. When we expect some or all of a provision to be reimbursed, for example, under an insurance contract, the reimbursement is recognized as a separate</w:t>
      </w:r>
    </w:p>
    <w:p>
      <w:pPr>
        <w:sectPr>
          <w:pgSz w:w="11900" w:h="16840" w:orient="portrait"/>
          <w:cols w:equalWidth="0" w:num="1">
            <w:col w:w="9020"/>
          </w:cols>
          <w:pgMar w:left="1440" w:top="1440" w:right="1440" w:bottom="28" w:gutter="0" w:footer="0" w:header="0"/>
        </w:sectPr>
      </w:pPr>
    </w:p>
    <w:bookmarkStart w:id="197" w:name="page198"/>
    <w:bookmarkEnd w:id="197"/>
    <w:p>
      <w:pPr>
        <w:ind w:left="380"/>
        <w:spacing w:after="0"/>
        <w:rPr>
          <w:sz w:val="20"/>
          <w:szCs w:val="20"/>
          <w:color w:val="auto"/>
        </w:rPr>
      </w:pPr>
      <w:r>
        <w:rPr>
          <w:rFonts w:ascii="Arial" w:cs="Arial" w:eastAsia="Arial" w:hAnsi="Arial"/>
          <w:sz w:val="13"/>
          <w:szCs w:val="13"/>
          <w:color w:val="auto"/>
        </w:rPr>
        <w:t>asset, but only when the reimbursement is virtually certain.</w:t>
      </w:r>
    </w:p>
    <w:p>
      <w:pPr>
        <w:ind w:left="380" w:right="2140"/>
        <w:spacing w:after="0" w:line="210" w:lineRule="auto"/>
        <w:rPr>
          <w:sz w:val="20"/>
          <w:szCs w:val="20"/>
          <w:color w:val="auto"/>
        </w:rPr>
      </w:pPr>
      <w:r>
        <w:rPr>
          <w:rFonts w:ascii="Arial" w:cs="Arial" w:eastAsia="Arial" w:hAnsi="Arial"/>
          <w:sz w:val="13"/>
          <w:szCs w:val="13"/>
          <w:color w:val="auto"/>
        </w:rPr>
        <w:t>A provision is also recognized for certain contracts with suppliers for which the unavoidable costs of meeting the obligations exceed the economic benefits expected to be received. The economic benefits considered in the assessment comprise the future benefits we are directly entitled to under the contract as well as the anticipated future benefits that are the economic consequence of the contract if these benefits can be reliably determined. The expense relating to a provision is presented in the consolidated statements of profit or loss net of any reimbursement if reimbursement is considered to be virtually certain.</w:t>
      </w:r>
    </w:p>
    <w:p>
      <w:pPr>
        <w:ind w:left="380"/>
        <w:spacing w:after="0" w:line="216" w:lineRule="auto"/>
        <w:rPr>
          <w:sz w:val="20"/>
          <w:szCs w:val="20"/>
          <w:color w:val="auto"/>
        </w:rPr>
      </w:pPr>
      <w:r>
        <w:rPr>
          <w:rFonts w:ascii="Arial" w:cs="Arial" w:eastAsia="Arial" w:hAnsi="Arial"/>
          <w:sz w:val="13"/>
          <w:szCs w:val="13"/>
          <w:color w:val="005A64"/>
        </w:rPr>
        <w:t>2.3.18 Share-Based Payments</w:t>
      </w:r>
    </w:p>
    <w:p>
      <w:pPr>
        <w:ind w:left="380" w:right="2260"/>
        <w:spacing w:after="0" w:line="210" w:lineRule="auto"/>
        <w:rPr>
          <w:sz w:val="20"/>
          <w:szCs w:val="20"/>
          <w:color w:val="auto"/>
        </w:rPr>
      </w:pPr>
      <w:r>
        <w:rPr>
          <w:rFonts w:ascii="Arial" w:cs="Arial" w:eastAsia="Arial" w:hAnsi="Arial"/>
          <w:sz w:val="13"/>
          <w:szCs w:val="13"/>
          <w:color w:val="auto"/>
        </w:rPr>
        <w:t>Employees (and others providing similar services) receive remuneration in the form of share-based payments, which are settled in equity instruments (equity-settled transactions) or in cash (cash-settled transactions).</w:t>
      </w:r>
    </w:p>
    <w:p>
      <w:pPr>
        <w:spacing w:after="0" w:line="1"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In accordance with IFRS 2, share-based payments are generally divided into cash-settled and equity -settled. Both types of payment transactions are measured initially at their fair value as of the grant date. The fair value is determined using an appropriate valuation model, further details of which are given in Note 16. Rights granted under cash-settled transactions are remeasured at fair value at the end of each reporting period until the settlement date. The cost of share-based payment awards is recognized over the relevant service period, applying either the straight-line method or the graded vesting method, where applicable.</w:t>
      </w:r>
    </w:p>
    <w:p>
      <w:pPr>
        <w:spacing w:after="0" w:line="4"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These costs are recognized in cost of sales, research and development expenses, sales and marketing expenses or general and administrative expenses, together with a corresponding increase in equity (other reserves) or other liabilities, over the period in which the service is provided (the vesting period). The cumulative expense recognized for cash- and equity-settled transactions at each reporting date until the vesting date reflects the extent to which the vesting period has expired, and also reflects the best estimate of the number of equity instruments expected to ultimately vest.</w:t>
      </w:r>
    </w:p>
    <w:p>
      <w:pPr>
        <w:spacing w:after="0" w:line="4" w:lineRule="exact"/>
        <w:rPr>
          <w:sz w:val="20"/>
          <w:szCs w:val="20"/>
          <w:color w:val="auto"/>
        </w:rPr>
      </w:pPr>
    </w:p>
    <w:p>
      <w:pPr>
        <w:ind w:left="380" w:right="2140"/>
        <w:spacing w:after="0" w:line="216" w:lineRule="auto"/>
        <w:rPr>
          <w:sz w:val="20"/>
          <w:szCs w:val="20"/>
          <w:color w:val="auto"/>
        </w:rPr>
      </w:pPr>
      <w:r>
        <w:rPr>
          <w:rFonts w:ascii="Arial" w:cs="Arial" w:eastAsia="Arial" w:hAnsi="Arial"/>
          <w:sz w:val="13"/>
          <w:szCs w:val="13"/>
          <w:color w:val="auto"/>
        </w:rPr>
        <w:t>Service and non- market performance conditions are not taken into account when determining the grant date fair value of awards, but the likelihood of the conditions being met is assessed as part of our best estimate of the number of equity instruments that will ultimately vest. Market performance conditions are reflected within the grant date fair value. Any other conditions attached to an award, but without an associated service requirement, are considered to be non- vesting conditions. Non -vesting conditions are reflected in the fair value of an award and lead to an immediate expensing of an award unless there are also service and/or performance conditions. If we have a choice of settling either in cash or by providing equity instruments, the rights granted are accounted for as an equity-settled transaction, unless there is a present obligation to settle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F-26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80"/>
        <w:spacing w:after="0" w:line="214" w:lineRule="auto"/>
        <w:rPr>
          <w:sz w:val="20"/>
          <w:szCs w:val="20"/>
          <w:color w:val="auto"/>
        </w:rPr>
      </w:pPr>
      <w:r>
        <w:rPr>
          <w:rFonts w:ascii="Arial" w:cs="Arial" w:eastAsia="Arial" w:hAnsi="Arial"/>
          <w:sz w:val="13"/>
          <w:szCs w:val="13"/>
          <w:color w:val="auto"/>
        </w:rPr>
        <w:t>If, due to local tax regulations, an amount is withheld for the employee’s tax obligations and paid directly to the tax authorities in cash on the employee’s behalf, the entire share-based payment program remains an equity-settled plan based on the IFRS 2 classification. Accordingly, the amount withheld for the employee’s tax obligations expected to be paid directly to the tax authorities is reclassified from “Other reserves” to “Other non-financial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-416560</wp:posOffset>
            </wp:positionV>
            <wp:extent cx="5231130"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5" w:lineRule="auto"/>
        <w:rPr>
          <w:sz w:val="20"/>
          <w:szCs w:val="20"/>
          <w:color w:val="auto"/>
        </w:rPr>
      </w:pPr>
      <w:r>
        <w:rPr>
          <w:rFonts w:ascii="Arial" w:cs="Arial" w:eastAsia="Arial" w:hAnsi="Arial"/>
          <w:sz w:val="13"/>
          <w:szCs w:val="13"/>
          <w:color w:val="005A64"/>
        </w:rPr>
        <w:t>2.3.19 Cash Dividend</w:t>
      </w:r>
    </w:p>
    <w:p>
      <w:pPr>
        <w:ind w:left="380" w:right="2200"/>
        <w:spacing w:after="0" w:line="210" w:lineRule="auto"/>
        <w:rPr>
          <w:sz w:val="20"/>
          <w:szCs w:val="20"/>
          <w:color w:val="auto"/>
        </w:rPr>
      </w:pPr>
      <w:r>
        <w:rPr>
          <w:rFonts w:ascii="Arial" w:cs="Arial" w:eastAsia="Arial" w:hAnsi="Arial"/>
          <w:sz w:val="13"/>
          <w:szCs w:val="13"/>
          <w:color w:val="auto"/>
        </w:rPr>
        <w:t>We recognize a liability to pay a dividend when the distribution is authorized. As per the corporate laws of Germany, a distribution is authorized when it is approved by the general shareholder meeting. A corresponding amount is recognized directly in equity.</w:t>
      </w:r>
    </w:p>
    <w:p>
      <w:pPr>
        <w:ind w:left="380"/>
        <w:spacing w:after="0" w:line="213" w:lineRule="auto"/>
        <w:rPr>
          <w:sz w:val="20"/>
          <w:szCs w:val="20"/>
          <w:color w:val="auto"/>
        </w:rPr>
      </w:pPr>
      <w:r>
        <w:rPr>
          <w:rFonts w:ascii="Arial" w:cs="Arial" w:eastAsia="Arial" w:hAnsi="Arial"/>
          <w:sz w:val="13"/>
          <w:szCs w:val="13"/>
          <w:b w:val="1"/>
          <w:bCs w:val="1"/>
          <w:color w:val="005A64"/>
        </w:rPr>
        <w:t>2.4 Standards Applied for the First Time</w:t>
      </w:r>
    </w:p>
    <w:p>
      <w:pPr>
        <w:spacing w:after="0" w:line="1" w:lineRule="exact"/>
        <w:rPr>
          <w:sz w:val="20"/>
          <w:szCs w:val="20"/>
          <w:color w:val="auto"/>
        </w:rPr>
      </w:pPr>
    </w:p>
    <w:p>
      <w:pPr>
        <w:ind w:left="380" w:right="2140"/>
        <w:spacing w:after="0" w:line="234" w:lineRule="auto"/>
        <w:rPr>
          <w:sz w:val="20"/>
          <w:szCs w:val="20"/>
          <w:color w:val="auto"/>
        </w:rPr>
      </w:pPr>
      <w:r>
        <w:rPr>
          <w:rFonts w:ascii="Arial" w:cs="Arial" w:eastAsia="Arial" w:hAnsi="Arial"/>
          <w:sz w:val="13"/>
          <w:szCs w:val="13"/>
          <w:color w:val="auto"/>
        </w:rPr>
        <w:t>In 2024, the following potentially relevant new and amended standards and interpretations became effective, but did not have a material impact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-12700</wp:posOffset>
            </wp:positionV>
            <wp:extent cx="4268470" cy="127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9">
                      <a:extLst>
                        <a:ext uri="{28A0092B-C50C-407E-A947-70E740481C1C}"/>
                      </a:extLst>
                    </a:blip>
                    <a:srcRect/>
                    <a:stretch>
                      <a:fillRect/>
                    </a:stretch>
                  </pic:blipFill>
                  <pic:spPr bwMode="auto">
                    <a:xfrm>
                      <a:off x="0" y="0"/>
                      <a:ext cx="4268470" cy="12700"/>
                    </a:xfrm>
                    <a:prstGeom prst="rect">
                      <a:avLst/>
                    </a:prstGeom>
                    <a:noFill/>
                  </pic:spPr>
                </pic:pic>
              </a:graphicData>
            </a:graphic>
          </wp:anchor>
        </w:drawing>
      </w:r>
    </w:p>
    <w:p>
      <w:pPr>
        <w:spacing w:after="0" w:line="90" w:lineRule="exact"/>
        <w:rPr>
          <w:sz w:val="20"/>
          <w:szCs w:val="20"/>
          <w:color w:val="auto"/>
        </w:rPr>
      </w:pPr>
    </w:p>
    <w:tbl>
      <w:tblPr>
        <w:tblLayout w:type="fixed"/>
        <w:tblInd w:w="380" w:type="dxa"/>
        <w:tblCellMar>
          <w:top w:w="0" w:type="dxa"/>
          <w:left w:w="0" w:type="dxa"/>
          <w:bottom w:w="0" w:type="dxa"/>
          <w:right w:w="0" w:type="dxa"/>
        </w:tblCellMar>
      </w:tblPr>
      <w:tr>
        <w:trPr>
          <w:trHeight w:val="166"/>
        </w:trPr>
        <w:tc>
          <w:tcPr>
            <w:tcW w:w="5440" w:type="dxa"/>
            <w:vAlign w:val="bottom"/>
            <w:gridSpan w:val="2"/>
          </w:tcPr>
          <w:p>
            <w:pPr>
              <w:ind w:left="20"/>
              <w:spacing w:after="0"/>
              <w:rPr>
                <w:sz w:val="20"/>
                <w:szCs w:val="20"/>
                <w:color w:val="auto"/>
              </w:rPr>
            </w:pPr>
            <w:r>
              <w:rPr>
                <w:rFonts w:ascii="Arial" w:cs="Arial" w:eastAsia="Arial" w:hAnsi="Arial"/>
                <w:sz w:val="12"/>
                <w:szCs w:val="12"/>
                <w:b w:val="1"/>
                <w:bCs w:val="1"/>
                <w:color w:val="005A64"/>
              </w:rPr>
              <w:t>Standards / Interpretations</w:t>
            </w:r>
          </w:p>
        </w:tc>
        <w:tc>
          <w:tcPr>
            <w:tcW w:w="40" w:type="dxa"/>
            <w:vAlign w:val="bottom"/>
          </w:tcPr>
          <w:p>
            <w:pPr>
              <w:spacing w:after="0"/>
              <w:rPr>
                <w:sz w:val="14"/>
                <w:szCs w:val="14"/>
                <w:color w:val="auto"/>
              </w:rPr>
            </w:pPr>
          </w:p>
        </w:tc>
        <w:tc>
          <w:tcPr>
            <w:tcW w:w="1240" w:type="dxa"/>
            <w:vAlign w:val="bottom"/>
          </w:tcPr>
          <w:p>
            <w:pPr>
              <w:ind w:left="20"/>
              <w:spacing w:after="0"/>
              <w:rPr>
                <w:sz w:val="20"/>
                <w:szCs w:val="20"/>
                <w:color w:val="auto"/>
              </w:rPr>
            </w:pPr>
            <w:r>
              <w:rPr>
                <w:rFonts w:ascii="Arial" w:cs="Arial" w:eastAsia="Arial" w:hAnsi="Arial"/>
                <w:sz w:val="12"/>
                <w:szCs w:val="12"/>
                <w:b w:val="1"/>
                <w:bCs w:val="1"/>
                <w:color w:val="005A64"/>
              </w:rPr>
              <w:t>Date of application</w:t>
            </w:r>
          </w:p>
        </w:tc>
        <w:tc>
          <w:tcPr>
            <w:tcW w:w="0" w:type="dxa"/>
            <w:vAlign w:val="bottom"/>
          </w:tcPr>
          <w:p>
            <w:pPr>
              <w:spacing w:after="0"/>
              <w:rPr>
                <w:sz w:val="1"/>
                <w:szCs w:val="1"/>
                <w:color w:val="auto"/>
              </w:rPr>
            </w:pPr>
          </w:p>
        </w:tc>
      </w:tr>
      <w:tr>
        <w:trPr>
          <w:trHeight w:val="47"/>
        </w:trPr>
        <w:tc>
          <w:tcPr>
            <w:tcW w:w="5440" w:type="dxa"/>
            <w:vAlign w:val="bottom"/>
            <w:tcBorders>
              <w:bottom w:val="single" w:sz="8" w:color="005A64"/>
            </w:tcBorders>
            <w:gridSpan w:val="2"/>
          </w:tcPr>
          <w:p>
            <w:pPr>
              <w:spacing w:after="0"/>
              <w:rPr>
                <w:sz w:val="4"/>
                <w:szCs w:val="4"/>
                <w:color w:val="auto"/>
              </w:rPr>
            </w:pPr>
          </w:p>
        </w:tc>
        <w:tc>
          <w:tcPr>
            <w:tcW w:w="40" w:type="dxa"/>
            <w:vAlign w:val="bottom"/>
            <w:vMerge w:val="restart"/>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5440" w:type="dxa"/>
            <w:vAlign w:val="bottom"/>
            <w:gridSpan w:val="2"/>
          </w:tcPr>
          <w:p>
            <w:pPr>
              <w:ind w:left="20"/>
              <w:spacing w:after="0"/>
              <w:rPr>
                <w:sz w:val="20"/>
                <w:szCs w:val="20"/>
                <w:color w:val="auto"/>
              </w:rPr>
            </w:pPr>
            <w:r>
              <w:rPr>
                <w:rFonts w:ascii="Arial" w:cs="Arial" w:eastAsia="Arial" w:hAnsi="Arial"/>
                <w:sz w:val="12"/>
                <w:szCs w:val="12"/>
                <w:color w:val="005A64"/>
              </w:rPr>
              <w:t>Amendments to IFRS 16 Leases: Lease Liability in a Sale and Leaseback</w:t>
            </w:r>
          </w:p>
        </w:tc>
        <w:tc>
          <w:tcPr>
            <w:tcW w:w="40" w:type="dxa"/>
            <w:vAlign w:val="bottom"/>
            <w:vMerge w:val="continue"/>
          </w:tcPr>
          <w:p>
            <w:pPr>
              <w:spacing w:after="0"/>
              <w:rPr>
                <w:sz w:val="13"/>
                <w:szCs w:val="13"/>
                <w:color w:val="auto"/>
              </w:rPr>
            </w:pPr>
          </w:p>
        </w:tc>
        <w:tc>
          <w:tcPr>
            <w:tcW w:w="1240" w:type="dxa"/>
            <w:vAlign w:val="bottom"/>
          </w:tcPr>
          <w:p>
            <w:pPr>
              <w:ind w:left="20"/>
              <w:spacing w:after="0"/>
              <w:rPr>
                <w:sz w:val="20"/>
                <w:szCs w:val="20"/>
                <w:color w:val="auto"/>
              </w:rPr>
            </w:pPr>
            <w:r>
              <w:rPr>
                <w:rFonts w:ascii="Arial" w:cs="Arial" w:eastAsia="Arial" w:hAnsi="Arial"/>
                <w:sz w:val="12"/>
                <w:szCs w:val="12"/>
                <w:color w:val="005A64"/>
              </w:rPr>
              <w:t>January 1, 2024</w:t>
            </w:r>
          </w:p>
        </w:tc>
        <w:tc>
          <w:tcPr>
            <w:tcW w:w="0" w:type="dxa"/>
            <w:vAlign w:val="bottom"/>
          </w:tcPr>
          <w:p>
            <w:pPr>
              <w:spacing w:after="0"/>
              <w:rPr>
                <w:sz w:val="1"/>
                <w:szCs w:val="1"/>
                <w:color w:val="auto"/>
              </w:rPr>
            </w:pPr>
          </w:p>
        </w:tc>
      </w:tr>
      <w:tr>
        <w:trPr>
          <w:trHeight w:val="143"/>
        </w:trPr>
        <w:tc>
          <w:tcPr>
            <w:tcW w:w="1200" w:type="dxa"/>
            <w:vAlign w:val="bottom"/>
          </w:tcPr>
          <w:p>
            <w:pPr>
              <w:ind w:left="20"/>
              <w:spacing w:after="0"/>
              <w:rPr>
                <w:sz w:val="20"/>
                <w:szCs w:val="20"/>
                <w:color w:val="auto"/>
              </w:rPr>
            </w:pPr>
            <w:r>
              <w:rPr>
                <w:rFonts w:ascii="Arial" w:cs="Arial" w:eastAsia="Arial" w:hAnsi="Arial"/>
                <w:sz w:val="12"/>
                <w:szCs w:val="12"/>
                <w:color w:val="005A64"/>
                <w:w w:val="99"/>
              </w:rPr>
              <w:t>Amendments to IAS 7</w:t>
            </w:r>
          </w:p>
        </w:tc>
        <w:tc>
          <w:tcPr>
            <w:tcW w:w="4240" w:type="dxa"/>
            <w:vAlign w:val="bottom"/>
          </w:tcPr>
          <w:p>
            <w:pPr>
              <w:ind w:left="20"/>
              <w:spacing w:after="0"/>
              <w:rPr>
                <w:sz w:val="20"/>
                <w:szCs w:val="20"/>
                <w:color w:val="auto"/>
              </w:rPr>
            </w:pPr>
            <w:r>
              <w:rPr>
                <w:rFonts w:ascii="Arial" w:cs="Arial" w:eastAsia="Arial" w:hAnsi="Arial"/>
                <w:sz w:val="12"/>
                <w:szCs w:val="12"/>
                <w:color w:val="005A64"/>
              </w:rPr>
              <w:t>Statement of Cash Flows and IFRS 7 Financial Instruments: Disclosures:</w:t>
            </w:r>
          </w:p>
        </w:tc>
        <w:tc>
          <w:tcPr>
            <w:tcW w:w="40" w:type="dxa"/>
            <w:vAlign w:val="bottom"/>
          </w:tcPr>
          <w:p>
            <w:pPr>
              <w:spacing w:after="0"/>
              <w:rPr>
                <w:sz w:val="12"/>
                <w:szCs w:val="12"/>
                <w:color w:val="auto"/>
              </w:rPr>
            </w:pPr>
          </w:p>
        </w:tc>
        <w:tc>
          <w:tcPr>
            <w:tcW w:w="1240" w:type="dxa"/>
            <w:vAlign w:val="bottom"/>
          </w:tcPr>
          <w:p>
            <w:pPr>
              <w:ind w:left="20"/>
              <w:spacing w:after="0"/>
              <w:rPr>
                <w:sz w:val="20"/>
                <w:szCs w:val="20"/>
                <w:color w:val="auto"/>
              </w:rPr>
            </w:pPr>
            <w:r>
              <w:rPr>
                <w:rFonts w:ascii="Arial" w:cs="Arial" w:eastAsia="Arial" w:hAnsi="Arial"/>
                <w:sz w:val="12"/>
                <w:szCs w:val="12"/>
                <w:color w:val="005A64"/>
              </w:rPr>
              <w:t>January 1, 2024</w:t>
            </w:r>
          </w:p>
        </w:tc>
        <w:tc>
          <w:tcPr>
            <w:tcW w:w="0" w:type="dxa"/>
            <w:vAlign w:val="bottom"/>
          </w:tcPr>
          <w:p>
            <w:pPr>
              <w:spacing w:after="0"/>
              <w:rPr>
                <w:sz w:val="1"/>
                <w:szCs w:val="1"/>
                <w:color w:val="auto"/>
              </w:rPr>
            </w:pPr>
          </w:p>
        </w:tc>
      </w:tr>
      <w:tr>
        <w:trPr>
          <w:trHeight w:val="160"/>
        </w:trPr>
        <w:tc>
          <w:tcPr>
            <w:tcW w:w="5440" w:type="dxa"/>
            <w:vAlign w:val="bottom"/>
            <w:gridSpan w:val="2"/>
          </w:tcPr>
          <w:p>
            <w:pPr>
              <w:ind w:left="20"/>
              <w:spacing w:after="0"/>
              <w:rPr>
                <w:sz w:val="20"/>
                <w:szCs w:val="20"/>
                <w:color w:val="auto"/>
              </w:rPr>
            </w:pPr>
            <w:r>
              <w:rPr>
                <w:rFonts w:ascii="Arial" w:cs="Arial" w:eastAsia="Arial" w:hAnsi="Arial"/>
                <w:sz w:val="12"/>
                <w:szCs w:val="12"/>
                <w:color w:val="005A64"/>
              </w:rPr>
              <w:t>Supplier Finance Arrangements</w:t>
            </w: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200" w:type="dxa"/>
            <w:vAlign w:val="bottom"/>
          </w:tcPr>
          <w:p>
            <w:pPr>
              <w:ind w:left="20"/>
              <w:spacing w:after="0"/>
              <w:rPr>
                <w:sz w:val="20"/>
                <w:szCs w:val="20"/>
                <w:color w:val="auto"/>
              </w:rPr>
            </w:pPr>
            <w:r>
              <w:rPr>
                <w:rFonts w:ascii="Arial" w:cs="Arial" w:eastAsia="Arial" w:hAnsi="Arial"/>
                <w:sz w:val="12"/>
                <w:szCs w:val="12"/>
                <w:color w:val="005A64"/>
                <w:w w:val="99"/>
              </w:rPr>
              <w:t>Amendments to IAS 1</w:t>
            </w:r>
          </w:p>
        </w:tc>
        <w:tc>
          <w:tcPr>
            <w:tcW w:w="4240" w:type="dxa"/>
            <w:vAlign w:val="bottom"/>
          </w:tcPr>
          <w:p>
            <w:pPr>
              <w:ind w:left="20"/>
              <w:spacing w:after="0"/>
              <w:rPr>
                <w:sz w:val="20"/>
                <w:szCs w:val="20"/>
                <w:color w:val="auto"/>
              </w:rPr>
            </w:pPr>
            <w:r>
              <w:rPr>
                <w:rFonts w:ascii="Arial" w:cs="Arial" w:eastAsia="Arial" w:hAnsi="Arial"/>
                <w:sz w:val="12"/>
                <w:szCs w:val="12"/>
                <w:color w:val="005A64"/>
              </w:rPr>
              <w:t>Presentation of Financial Statements: Classification of Liabilities as Current</w:t>
            </w:r>
          </w:p>
        </w:tc>
        <w:tc>
          <w:tcPr>
            <w:tcW w:w="40" w:type="dxa"/>
            <w:vAlign w:val="bottom"/>
          </w:tcPr>
          <w:p>
            <w:pPr>
              <w:spacing w:after="0"/>
              <w:rPr>
                <w:sz w:val="14"/>
                <w:szCs w:val="14"/>
                <w:color w:val="auto"/>
              </w:rPr>
            </w:pPr>
          </w:p>
        </w:tc>
        <w:tc>
          <w:tcPr>
            <w:tcW w:w="1240" w:type="dxa"/>
            <w:vAlign w:val="bottom"/>
          </w:tcPr>
          <w:p>
            <w:pPr>
              <w:ind w:left="20"/>
              <w:spacing w:after="0"/>
              <w:rPr>
                <w:sz w:val="20"/>
                <w:szCs w:val="20"/>
                <w:color w:val="auto"/>
              </w:rPr>
            </w:pPr>
            <w:r>
              <w:rPr>
                <w:rFonts w:ascii="Arial" w:cs="Arial" w:eastAsia="Arial" w:hAnsi="Arial"/>
                <w:sz w:val="12"/>
                <w:szCs w:val="12"/>
                <w:color w:val="005A64"/>
              </w:rPr>
              <w:t>January 1, 2024</w:t>
            </w:r>
          </w:p>
        </w:tc>
        <w:tc>
          <w:tcPr>
            <w:tcW w:w="0" w:type="dxa"/>
            <w:vAlign w:val="bottom"/>
          </w:tcPr>
          <w:p>
            <w:pPr>
              <w:spacing w:after="0"/>
              <w:rPr>
                <w:sz w:val="1"/>
                <w:szCs w:val="1"/>
                <w:color w:val="auto"/>
              </w:rPr>
            </w:pPr>
          </w:p>
        </w:tc>
      </w:tr>
      <w:tr>
        <w:trPr>
          <w:trHeight w:val="160"/>
        </w:trPr>
        <w:tc>
          <w:tcPr>
            <w:tcW w:w="1200" w:type="dxa"/>
            <w:vAlign w:val="bottom"/>
          </w:tcPr>
          <w:p>
            <w:pPr>
              <w:ind w:left="20"/>
              <w:spacing w:after="0"/>
              <w:rPr>
                <w:sz w:val="20"/>
                <w:szCs w:val="20"/>
                <w:color w:val="auto"/>
              </w:rPr>
            </w:pPr>
            <w:r>
              <w:rPr>
                <w:rFonts w:ascii="Arial" w:cs="Arial" w:eastAsia="Arial" w:hAnsi="Arial"/>
                <w:sz w:val="12"/>
                <w:szCs w:val="12"/>
                <w:color w:val="005A64"/>
              </w:rPr>
              <w:t>or Non-Current</w:t>
            </w:r>
          </w:p>
        </w:tc>
        <w:tc>
          <w:tcPr>
            <w:tcW w:w="4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200" w:type="dxa"/>
            <w:vAlign w:val="bottom"/>
          </w:tcPr>
          <w:p>
            <w:pPr>
              <w:ind w:left="20"/>
              <w:spacing w:after="0"/>
              <w:rPr>
                <w:sz w:val="20"/>
                <w:szCs w:val="20"/>
                <w:color w:val="auto"/>
              </w:rPr>
            </w:pPr>
            <w:r>
              <w:rPr>
                <w:rFonts w:ascii="Arial" w:cs="Arial" w:eastAsia="Arial" w:hAnsi="Arial"/>
                <w:sz w:val="12"/>
                <w:szCs w:val="12"/>
                <w:color w:val="005A64"/>
                <w:w w:val="99"/>
              </w:rPr>
              <w:t>Amendments to IAS 1</w:t>
            </w:r>
          </w:p>
        </w:tc>
        <w:tc>
          <w:tcPr>
            <w:tcW w:w="4240" w:type="dxa"/>
            <w:vAlign w:val="bottom"/>
          </w:tcPr>
          <w:p>
            <w:pPr>
              <w:ind w:left="20"/>
              <w:spacing w:after="0"/>
              <w:rPr>
                <w:sz w:val="20"/>
                <w:szCs w:val="20"/>
                <w:color w:val="auto"/>
              </w:rPr>
            </w:pPr>
            <w:r>
              <w:rPr>
                <w:rFonts w:ascii="Arial" w:cs="Arial" w:eastAsia="Arial" w:hAnsi="Arial"/>
                <w:sz w:val="12"/>
                <w:szCs w:val="12"/>
                <w:color w:val="005A64"/>
              </w:rPr>
              <w:t>Presentation of Financial Statements: Non-current Liabilities with Covenants</w:t>
            </w:r>
          </w:p>
        </w:tc>
        <w:tc>
          <w:tcPr>
            <w:tcW w:w="40" w:type="dxa"/>
            <w:vAlign w:val="bottom"/>
          </w:tcPr>
          <w:p>
            <w:pPr>
              <w:spacing w:after="0"/>
              <w:rPr>
                <w:sz w:val="17"/>
                <w:szCs w:val="17"/>
                <w:color w:val="auto"/>
              </w:rPr>
            </w:pPr>
          </w:p>
        </w:tc>
        <w:tc>
          <w:tcPr>
            <w:tcW w:w="1240" w:type="dxa"/>
            <w:vAlign w:val="bottom"/>
          </w:tcPr>
          <w:p>
            <w:pPr>
              <w:ind w:left="20"/>
              <w:spacing w:after="0"/>
              <w:rPr>
                <w:sz w:val="20"/>
                <w:szCs w:val="20"/>
                <w:color w:val="auto"/>
              </w:rPr>
            </w:pPr>
            <w:r>
              <w:rPr>
                <w:rFonts w:ascii="Arial" w:cs="Arial" w:eastAsia="Arial" w:hAnsi="Arial"/>
                <w:sz w:val="12"/>
                <w:szCs w:val="12"/>
                <w:color w:val="005A64"/>
              </w:rPr>
              <w:t>January 1, 2024</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005A64"/>
        </w:rPr>
        <w:t>2.5 Standards Issued but Not Yet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4268470"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0">
                      <a:extLst>
                        <a:ext uri="{28A0092B-C50C-407E-A947-70E740481C1C}"/>
                      </a:extLst>
                    </a:blip>
                    <a:srcRect/>
                    <a:stretch>
                      <a:fillRect/>
                    </a:stretch>
                  </pic:blipFill>
                  <pic:spPr bwMode="auto">
                    <a:xfrm>
                      <a:off x="0" y="0"/>
                      <a:ext cx="4268470" cy="6350"/>
                    </a:xfrm>
                    <a:prstGeom prst="rect">
                      <a:avLst/>
                    </a:prstGeom>
                    <a:noFill/>
                  </pic:spPr>
                </pic:pic>
              </a:graphicData>
            </a:graphic>
          </wp:anchor>
        </w:drawing>
      </w:r>
    </w:p>
    <w:p>
      <w:pPr>
        <w:ind w:left="380" w:right="2100"/>
        <w:spacing w:after="0" w:line="222" w:lineRule="auto"/>
        <w:rPr>
          <w:sz w:val="20"/>
          <w:szCs w:val="20"/>
          <w:color w:val="auto"/>
        </w:rPr>
      </w:pPr>
      <w:r>
        <w:rPr>
          <w:rFonts w:ascii="Arial" w:cs="Arial" w:eastAsia="Arial" w:hAnsi="Arial"/>
          <w:sz w:val="13"/>
          <w:szCs w:val="13"/>
          <w:color w:val="auto"/>
        </w:rPr>
        <w:t>The new and amended standards and interpretations that are issued but not yet effective by the date of issuance of the financial statements and that might have an impact on our financial statements are disclosed below. We have not adopted any standards early and intend to adopt these new and amended standards and interpretations, if applicable, when they become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-12065</wp:posOffset>
            </wp:positionV>
            <wp:extent cx="4268470" cy="127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1">
                      <a:extLst>
                        <a:ext uri="{28A0092B-C50C-407E-A947-70E740481C1C}"/>
                      </a:extLst>
                    </a:blip>
                    <a:srcRect/>
                    <a:stretch>
                      <a:fillRect/>
                    </a:stretch>
                  </pic:blipFill>
                  <pic:spPr bwMode="auto">
                    <a:xfrm>
                      <a:off x="0" y="0"/>
                      <a:ext cx="4268470" cy="12700"/>
                    </a:xfrm>
                    <a:prstGeom prst="rect">
                      <a:avLst/>
                    </a:prstGeom>
                    <a:noFill/>
                  </pic:spPr>
                </pic:pic>
              </a:graphicData>
            </a:graphic>
          </wp:anchor>
        </w:drawing>
      </w:r>
    </w:p>
    <w:p>
      <w:pPr>
        <w:spacing w:after="0" w:line="91" w:lineRule="exact"/>
        <w:rPr>
          <w:sz w:val="20"/>
          <w:szCs w:val="20"/>
          <w:color w:val="auto"/>
        </w:rPr>
      </w:pPr>
    </w:p>
    <w:tbl>
      <w:tblPr>
        <w:tblLayout w:type="fixed"/>
        <w:tblInd w:w="380" w:type="dxa"/>
        <w:tblCellMar>
          <w:top w:w="0" w:type="dxa"/>
          <w:left w:w="0" w:type="dxa"/>
          <w:bottom w:w="0" w:type="dxa"/>
          <w:right w:w="0" w:type="dxa"/>
        </w:tblCellMar>
      </w:tblPr>
      <w:tr>
        <w:trPr>
          <w:trHeight w:val="166"/>
        </w:trPr>
        <w:tc>
          <w:tcPr>
            <w:tcW w:w="5500" w:type="dxa"/>
            <w:vAlign w:val="bottom"/>
            <w:gridSpan w:val="2"/>
          </w:tcPr>
          <w:p>
            <w:pPr>
              <w:ind w:left="20"/>
              <w:spacing w:after="0"/>
              <w:rPr>
                <w:sz w:val="20"/>
                <w:szCs w:val="20"/>
                <w:color w:val="auto"/>
              </w:rPr>
            </w:pPr>
            <w:r>
              <w:rPr>
                <w:rFonts w:ascii="Arial" w:cs="Arial" w:eastAsia="Arial" w:hAnsi="Arial"/>
                <w:sz w:val="12"/>
                <w:szCs w:val="12"/>
                <w:b w:val="1"/>
                <w:bCs w:val="1"/>
                <w:color w:val="005A64"/>
              </w:rPr>
              <w:t>Standards / Interpretations</w:t>
            </w:r>
          </w:p>
        </w:tc>
        <w:tc>
          <w:tcPr>
            <w:tcW w:w="40" w:type="dxa"/>
            <w:vAlign w:val="bottom"/>
          </w:tcPr>
          <w:p>
            <w:pPr>
              <w:spacing w:after="0"/>
              <w:rPr>
                <w:sz w:val="14"/>
                <w:szCs w:val="14"/>
                <w:color w:val="auto"/>
              </w:rPr>
            </w:pPr>
          </w:p>
        </w:tc>
        <w:tc>
          <w:tcPr>
            <w:tcW w:w="1180" w:type="dxa"/>
            <w:vAlign w:val="bottom"/>
          </w:tcPr>
          <w:p>
            <w:pPr>
              <w:ind w:left="20"/>
              <w:spacing w:after="0"/>
              <w:rPr>
                <w:sz w:val="20"/>
                <w:szCs w:val="20"/>
                <w:color w:val="auto"/>
              </w:rPr>
            </w:pPr>
            <w:r>
              <w:rPr>
                <w:rFonts w:ascii="Arial" w:cs="Arial" w:eastAsia="Arial" w:hAnsi="Arial"/>
                <w:sz w:val="12"/>
                <w:szCs w:val="12"/>
                <w:b w:val="1"/>
                <w:bCs w:val="1"/>
                <w:color w:val="005A64"/>
              </w:rPr>
              <w:t>Date of application</w:t>
            </w:r>
          </w:p>
        </w:tc>
        <w:tc>
          <w:tcPr>
            <w:tcW w:w="0" w:type="dxa"/>
            <w:vAlign w:val="bottom"/>
          </w:tcPr>
          <w:p>
            <w:pPr>
              <w:spacing w:after="0"/>
              <w:rPr>
                <w:sz w:val="1"/>
                <w:szCs w:val="1"/>
                <w:color w:val="auto"/>
              </w:rPr>
            </w:pPr>
          </w:p>
        </w:tc>
      </w:tr>
      <w:tr>
        <w:trPr>
          <w:trHeight w:val="47"/>
        </w:trPr>
        <w:tc>
          <w:tcPr>
            <w:tcW w:w="5500" w:type="dxa"/>
            <w:vAlign w:val="bottom"/>
            <w:tcBorders>
              <w:bottom w:val="single" w:sz="8" w:color="005A64"/>
            </w:tcBorders>
            <w:gridSpan w:val="2"/>
          </w:tcPr>
          <w:p>
            <w:pPr>
              <w:spacing w:after="0"/>
              <w:rPr>
                <w:sz w:val="4"/>
                <w:szCs w:val="4"/>
                <w:color w:val="auto"/>
              </w:rPr>
            </w:pPr>
          </w:p>
        </w:tc>
        <w:tc>
          <w:tcPr>
            <w:tcW w:w="40" w:type="dxa"/>
            <w:vAlign w:val="bottom"/>
            <w:vMerge w:val="restart"/>
          </w:tcPr>
          <w:p>
            <w:pPr>
              <w:spacing w:after="0"/>
              <w:rPr>
                <w:sz w:val="4"/>
                <w:szCs w:val="4"/>
                <w:color w:val="auto"/>
              </w:rPr>
            </w:pPr>
          </w:p>
        </w:tc>
        <w:tc>
          <w:tcPr>
            <w:tcW w:w="118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5500" w:type="dxa"/>
            <w:vAlign w:val="bottom"/>
            <w:gridSpan w:val="2"/>
          </w:tcPr>
          <w:p>
            <w:pPr>
              <w:ind w:left="20"/>
              <w:spacing w:after="0"/>
              <w:rPr>
                <w:sz w:val="20"/>
                <w:szCs w:val="20"/>
                <w:color w:val="auto"/>
              </w:rPr>
            </w:pPr>
            <w:r>
              <w:rPr>
                <w:rFonts w:ascii="Arial" w:cs="Arial" w:eastAsia="Arial" w:hAnsi="Arial"/>
                <w:sz w:val="12"/>
                <w:szCs w:val="12"/>
                <w:color w:val="005A64"/>
              </w:rPr>
              <w:t>Amendments to IAS 21 The Effects of Changes in Foreign Exchange Rates: Lack of Exchangeability</w:t>
            </w:r>
          </w:p>
        </w:tc>
        <w:tc>
          <w:tcPr>
            <w:tcW w:w="40" w:type="dxa"/>
            <w:vAlign w:val="bottom"/>
            <w:vMerge w:val="continue"/>
          </w:tcPr>
          <w:p>
            <w:pPr>
              <w:spacing w:after="0"/>
              <w:rPr>
                <w:sz w:val="13"/>
                <w:szCs w:val="13"/>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005A64"/>
              </w:rPr>
              <w:t>January 1, 2025</w:t>
            </w:r>
          </w:p>
        </w:tc>
        <w:tc>
          <w:tcPr>
            <w:tcW w:w="0" w:type="dxa"/>
            <w:vAlign w:val="bottom"/>
          </w:tcPr>
          <w:p>
            <w:pPr>
              <w:spacing w:after="0"/>
              <w:rPr>
                <w:sz w:val="1"/>
                <w:szCs w:val="1"/>
                <w:color w:val="auto"/>
              </w:rPr>
            </w:pPr>
          </w:p>
        </w:tc>
      </w:tr>
      <w:tr>
        <w:trPr>
          <w:trHeight w:val="143"/>
        </w:trPr>
        <w:tc>
          <w:tcPr>
            <w:tcW w:w="5500" w:type="dxa"/>
            <w:vAlign w:val="bottom"/>
            <w:gridSpan w:val="2"/>
          </w:tcPr>
          <w:p>
            <w:pPr>
              <w:ind w:left="20"/>
              <w:spacing w:after="0"/>
              <w:rPr>
                <w:sz w:val="20"/>
                <w:szCs w:val="20"/>
                <w:color w:val="auto"/>
              </w:rPr>
            </w:pPr>
            <w:r>
              <w:rPr>
                <w:rFonts w:ascii="Arial" w:cs="Arial" w:eastAsia="Arial" w:hAnsi="Arial"/>
                <w:sz w:val="12"/>
                <w:szCs w:val="12"/>
                <w:color w:val="005A64"/>
              </w:rPr>
              <w:t>Amendments to the Classification and Measurement of Financial Instruments:</w:t>
            </w:r>
          </w:p>
        </w:tc>
        <w:tc>
          <w:tcPr>
            <w:tcW w:w="40" w:type="dxa"/>
            <w:vAlign w:val="bottom"/>
          </w:tcPr>
          <w:p>
            <w:pPr>
              <w:spacing w:after="0"/>
              <w:rPr>
                <w:sz w:val="12"/>
                <w:szCs w:val="12"/>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005A64"/>
              </w:rPr>
              <w:t>January 1, 2026</w:t>
            </w:r>
          </w:p>
        </w:tc>
        <w:tc>
          <w:tcPr>
            <w:tcW w:w="0" w:type="dxa"/>
            <w:vAlign w:val="bottom"/>
          </w:tcPr>
          <w:p>
            <w:pPr>
              <w:spacing w:after="0"/>
              <w:rPr>
                <w:sz w:val="1"/>
                <w:szCs w:val="1"/>
                <w:color w:val="auto"/>
              </w:rPr>
            </w:pPr>
          </w:p>
        </w:tc>
      </w:tr>
      <w:tr>
        <w:trPr>
          <w:trHeight w:val="160"/>
        </w:trPr>
        <w:tc>
          <w:tcPr>
            <w:tcW w:w="5500" w:type="dxa"/>
            <w:vAlign w:val="bottom"/>
            <w:gridSpan w:val="2"/>
          </w:tcPr>
          <w:p>
            <w:pPr>
              <w:ind w:left="20"/>
              <w:spacing w:after="0"/>
              <w:rPr>
                <w:sz w:val="20"/>
                <w:szCs w:val="20"/>
                <w:color w:val="auto"/>
              </w:rPr>
            </w:pPr>
            <w:r>
              <w:rPr>
                <w:rFonts w:ascii="Arial" w:cs="Arial" w:eastAsia="Arial" w:hAnsi="Arial"/>
                <w:sz w:val="12"/>
                <w:szCs w:val="12"/>
                <w:color w:val="005A64"/>
              </w:rPr>
              <w:t>– Amendments to IFRS 9 and IFRS 7</w:t>
            </w: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500" w:type="dxa"/>
            <w:vAlign w:val="bottom"/>
            <w:gridSpan w:val="2"/>
          </w:tcPr>
          <w:p>
            <w:pPr>
              <w:ind w:left="20"/>
              <w:spacing w:after="0"/>
              <w:rPr>
                <w:sz w:val="20"/>
                <w:szCs w:val="20"/>
                <w:color w:val="auto"/>
              </w:rPr>
            </w:pPr>
            <w:r>
              <w:rPr>
                <w:rFonts w:ascii="Arial" w:cs="Arial" w:eastAsia="Arial" w:hAnsi="Arial"/>
                <w:sz w:val="12"/>
                <w:szCs w:val="12"/>
                <w:color w:val="005A64"/>
              </w:rPr>
              <w:t>Annual Improvements Volume 11</w:t>
            </w:r>
          </w:p>
        </w:tc>
        <w:tc>
          <w:tcPr>
            <w:tcW w:w="40" w:type="dxa"/>
            <w:vAlign w:val="bottom"/>
          </w:tcPr>
          <w:p>
            <w:pPr>
              <w:spacing w:after="0"/>
              <w:rPr>
                <w:sz w:val="18"/>
                <w:szCs w:val="18"/>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005A64"/>
              </w:rPr>
              <w:t>January 1, 2026</w:t>
            </w:r>
          </w:p>
        </w:tc>
        <w:tc>
          <w:tcPr>
            <w:tcW w:w="0" w:type="dxa"/>
            <w:vAlign w:val="bottom"/>
          </w:tcPr>
          <w:p>
            <w:pPr>
              <w:spacing w:after="0"/>
              <w:rPr>
                <w:sz w:val="1"/>
                <w:szCs w:val="1"/>
                <w:color w:val="auto"/>
              </w:rPr>
            </w:pPr>
          </w:p>
        </w:tc>
      </w:tr>
      <w:tr>
        <w:trPr>
          <w:trHeight w:val="202"/>
        </w:trPr>
        <w:tc>
          <w:tcPr>
            <w:tcW w:w="5500" w:type="dxa"/>
            <w:vAlign w:val="bottom"/>
            <w:gridSpan w:val="2"/>
          </w:tcPr>
          <w:p>
            <w:pPr>
              <w:ind w:left="20"/>
              <w:spacing w:after="0"/>
              <w:rPr>
                <w:sz w:val="20"/>
                <w:szCs w:val="20"/>
                <w:color w:val="auto"/>
              </w:rPr>
            </w:pPr>
            <w:r>
              <w:rPr>
                <w:rFonts w:ascii="Arial" w:cs="Arial" w:eastAsia="Arial" w:hAnsi="Arial"/>
                <w:sz w:val="12"/>
                <w:szCs w:val="12"/>
                <w:color w:val="005A64"/>
              </w:rPr>
              <w:t>Contracts Referencing Nature-dependent Electricity – Amendments to IFRS 9 and IFRS 7</w:t>
            </w:r>
          </w:p>
        </w:tc>
        <w:tc>
          <w:tcPr>
            <w:tcW w:w="40" w:type="dxa"/>
            <w:vAlign w:val="bottom"/>
          </w:tcPr>
          <w:p>
            <w:pPr>
              <w:spacing w:after="0"/>
              <w:rPr>
                <w:sz w:val="17"/>
                <w:szCs w:val="17"/>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005A64"/>
              </w:rPr>
              <w:t>January 1, 2026</w:t>
            </w:r>
          </w:p>
        </w:tc>
        <w:tc>
          <w:tcPr>
            <w:tcW w:w="0" w:type="dxa"/>
            <w:vAlign w:val="bottom"/>
          </w:tcPr>
          <w:p>
            <w:pPr>
              <w:spacing w:after="0"/>
              <w:rPr>
                <w:sz w:val="1"/>
                <w:szCs w:val="1"/>
                <w:color w:val="auto"/>
              </w:rPr>
            </w:pPr>
          </w:p>
        </w:tc>
      </w:tr>
      <w:tr>
        <w:trPr>
          <w:trHeight w:val="202"/>
        </w:trPr>
        <w:tc>
          <w:tcPr>
            <w:tcW w:w="480" w:type="dxa"/>
            <w:vAlign w:val="bottom"/>
          </w:tcPr>
          <w:p>
            <w:pPr>
              <w:ind w:left="20"/>
              <w:spacing w:after="0"/>
              <w:rPr>
                <w:sz w:val="20"/>
                <w:szCs w:val="20"/>
                <w:color w:val="auto"/>
              </w:rPr>
            </w:pPr>
            <w:r>
              <w:rPr>
                <w:rFonts w:ascii="Arial" w:cs="Arial" w:eastAsia="Arial" w:hAnsi="Arial"/>
                <w:sz w:val="12"/>
                <w:szCs w:val="12"/>
                <w:color w:val="005A64"/>
                <w:w w:val="99"/>
              </w:rPr>
              <w:t>IFRS 18</w:t>
            </w:r>
          </w:p>
        </w:tc>
        <w:tc>
          <w:tcPr>
            <w:tcW w:w="5020" w:type="dxa"/>
            <w:vAlign w:val="bottom"/>
          </w:tcPr>
          <w:p>
            <w:pPr>
              <w:ind w:left="20"/>
              <w:spacing w:after="0"/>
              <w:rPr>
                <w:sz w:val="20"/>
                <w:szCs w:val="20"/>
                <w:color w:val="auto"/>
              </w:rPr>
            </w:pPr>
            <w:r>
              <w:rPr>
                <w:rFonts w:ascii="Arial" w:cs="Arial" w:eastAsia="Arial" w:hAnsi="Arial"/>
                <w:sz w:val="12"/>
                <w:szCs w:val="12"/>
                <w:color w:val="005A64"/>
              </w:rPr>
              <w:t>Presentation and Disclosure in Financial Statements</w:t>
            </w:r>
          </w:p>
        </w:tc>
        <w:tc>
          <w:tcPr>
            <w:tcW w:w="40" w:type="dxa"/>
            <w:vAlign w:val="bottom"/>
          </w:tcPr>
          <w:p>
            <w:pPr>
              <w:spacing w:after="0"/>
              <w:rPr>
                <w:sz w:val="17"/>
                <w:szCs w:val="17"/>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005A64"/>
              </w:rPr>
              <w:t>January 1, 2027</w:t>
            </w:r>
          </w:p>
        </w:tc>
        <w:tc>
          <w:tcPr>
            <w:tcW w:w="0" w:type="dxa"/>
            <w:vAlign w:val="bottom"/>
          </w:tcPr>
          <w:p>
            <w:pPr>
              <w:spacing w:after="0"/>
              <w:rPr>
                <w:sz w:val="1"/>
                <w:szCs w:val="1"/>
                <w:color w:val="auto"/>
              </w:rPr>
            </w:pPr>
          </w:p>
        </w:tc>
      </w:tr>
      <w:tr>
        <w:trPr>
          <w:trHeight w:val="202"/>
        </w:trPr>
        <w:tc>
          <w:tcPr>
            <w:tcW w:w="480" w:type="dxa"/>
            <w:vAlign w:val="bottom"/>
          </w:tcPr>
          <w:p>
            <w:pPr>
              <w:ind w:left="20"/>
              <w:spacing w:after="0"/>
              <w:rPr>
                <w:sz w:val="20"/>
                <w:szCs w:val="20"/>
                <w:color w:val="auto"/>
              </w:rPr>
            </w:pPr>
            <w:r>
              <w:rPr>
                <w:rFonts w:ascii="Arial" w:cs="Arial" w:eastAsia="Arial" w:hAnsi="Arial"/>
                <w:sz w:val="12"/>
                <w:szCs w:val="12"/>
                <w:color w:val="005A64"/>
                <w:w w:val="99"/>
              </w:rPr>
              <w:t>IFRS 19</w:t>
            </w:r>
          </w:p>
        </w:tc>
        <w:tc>
          <w:tcPr>
            <w:tcW w:w="5020" w:type="dxa"/>
            <w:vAlign w:val="bottom"/>
          </w:tcPr>
          <w:p>
            <w:pPr>
              <w:ind w:left="20"/>
              <w:spacing w:after="0"/>
              <w:rPr>
                <w:sz w:val="20"/>
                <w:szCs w:val="20"/>
                <w:color w:val="auto"/>
              </w:rPr>
            </w:pPr>
            <w:r>
              <w:rPr>
                <w:rFonts w:ascii="Arial" w:cs="Arial" w:eastAsia="Arial" w:hAnsi="Arial"/>
                <w:sz w:val="12"/>
                <w:szCs w:val="12"/>
                <w:color w:val="005A64"/>
              </w:rPr>
              <w:t>Subsidiaries without Public Accountability: Disclosures</w:t>
            </w:r>
          </w:p>
        </w:tc>
        <w:tc>
          <w:tcPr>
            <w:tcW w:w="40" w:type="dxa"/>
            <w:vAlign w:val="bottom"/>
          </w:tcPr>
          <w:p>
            <w:pPr>
              <w:spacing w:after="0"/>
              <w:rPr>
                <w:sz w:val="17"/>
                <w:szCs w:val="17"/>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005A64"/>
              </w:rPr>
              <w:t>January 1, 2027</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380" w:right="2140"/>
        <w:spacing w:after="0" w:line="214" w:lineRule="auto"/>
        <w:rPr>
          <w:sz w:val="20"/>
          <w:szCs w:val="20"/>
          <w:color w:val="auto"/>
        </w:rPr>
      </w:pPr>
      <w:r>
        <w:rPr>
          <w:rFonts w:ascii="Arial" w:cs="Arial" w:eastAsia="Arial" w:hAnsi="Arial"/>
          <w:sz w:val="13"/>
          <w:szCs w:val="13"/>
          <w:color w:val="auto"/>
        </w:rPr>
        <w:t>An analysis of the effects of IFRS 18 on us with regard to the presentation and disclosures in the financial statements has been started and is ongoing. IFRS 18 requires additional defined subtotals (operating, investing, financing) in the statement of profit and loss and disclosures about management performance measures, and adds new principles for aggregating and disaggregating information. With regard to the first-time application of the other standards and interpretations listed in the table and other standards amended in the annual improvements, it is currently estimated that there will be no material impact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-585470</wp:posOffset>
            </wp:positionV>
            <wp:extent cx="4268470"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2">
                      <a:extLst>
                        <a:ext uri="{28A0092B-C50C-407E-A947-70E740481C1C}"/>
                      </a:extLst>
                    </a:blip>
                    <a:srcRect/>
                    <a:stretch>
                      <a:fillRect/>
                    </a:stretch>
                  </pic:blipFill>
                  <pic:spPr bwMode="auto">
                    <a:xfrm>
                      <a:off x="0" y="0"/>
                      <a:ext cx="4268470" cy="6350"/>
                    </a:xfrm>
                    <a:prstGeom prst="rect">
                      <a:avLst/>
                    </a:prstGeom>
                    <a:noFill/>
                  </pic:spPr>
                </pic:pic>
              </a:graphicData>
            </a:graphic>
          </wp:anchor>
        </w:drawing>
      </w:r>
    </w:p>
    <w:p>
      <w:pPr>
        <w:ind w:left="380"/>
        <w:spacing w:after="0" w:line="209" w:lineRule="auto"/>
        <w:rPr>
          <w:sz w:val="20"/>
          <w:szCs w:val="20"/>
          <w:color w:val="auto"/>
        </w:rPr>
      </w:pPr>
      <w:r>
        <w:rPr>
          <w:rFonts w:ascii="Arial" w:cs="Arial" w:eastAsia="Arial" w:hAnsi="Arial"/>
          <w:sz w:val="16"/>
          <w:szCs w:val="16"/>
          <w:b w:val="1"/>
          <w:bCs w:val="1"/>
          <w:color w:val="005A64"/>
        </w:rPr>
        <w:t>3 Significant Accounting Judgements, Estimates and Assumptions</w:t>
      </w:r>
    </w:p>
    <w:p>
      <w:pPr>
        <w:sectPr>
          <w:pgSz w:w="11900" w:h="16840" w:orient="portrait"/>
          <w:cols w:equalWidth="0" w:num="1">
            <w:col w:w="9020"/>
          </w:cols>
          <w:pgMar w:left="1440" w:top="554" w:right="1440" w:bottom="108" w:gutter="0" w:footer="0" w:header="0"/>
        </w:sectPr>
      </w:pPr>
    </w:p>
    <w:p>
      <w:pPr>
        <w:ind w:left="380" w:right="2280"/>
        <w:spacing w:after="0" w:line="234" w:lineRule="auto"/>
        <w:rPr>
          <w:sz w:val="20"/>
          <w:szCs w:val="20"/>
          <w:color w:val="auto"/>
        </w:rPr>
      </w:pPr>
      <w:r>
        <w:rPr>
          <w:rFonts w:ascii="Arial" w:cs="Arial" w:eastAsia="Arial" w:hAnsi="Arial"/>
          <w:sz w:val="13"/>
          <w:szCs w:val="13"/>
          <w:color w:val="auto"/>
        </w:rPr>
        <w:t>The preparation of the consolidated financial statements requires management to make judgments, estimates and assumptions that affect the reported amounts of revenues, expenses, assets and liabilities, the</w:t>
      </w:r>
    </w:p>
    <w:p>
      <w:pPr>
        <w:sectPr>
          <w:pgSz w:w="11900" w:h="16840" w:orient="portrait"/>
          <w:cols w:equalWidth="0" w:num="1">
            <w:col w:w="9020"/>
          </w:cols>
          <w:pgMar w:left="1440" w:top="554" w:right="1440" w:bottom="108" w:gutter="0" w:footer="0" w:header="0"/>
          <w:type w:val="continuous"/>
        </w:sectPr>
      </w:pPr>
    </w:p>
    <w:bookmarkStart w:id="198" w:name="page199"/>
    <w:bookmarkEnd w:id="1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F-27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80"/>
        <w:spacing w:after="0" w:line="217" w:lineRule="auto"/>
        <w:rPr>
          <w:sz w:val="20"/>
          <w:szCs w:val="20"/>
          <w:color w:val="auto"/>
        </w:rPr>
      </w:pPr>
      <w:r>
        <w:rPr>
          <w:rFonts w:ascii="Arial" w:cs="Arial" w:eastAsia="Arial" w:hAnsi="Arial"/>
          <w:sz w:val="13"/>
          <w:szCs w:val="13"/>
          <w:color w:val="auto"/>
        </w:rPr>
        <w:t>accompanying disclosures and the disclosure of contingent liabilities. Uncertainty about these assumptions and estimates could result in outcomes that require a material adjustment to the carrying amount of assets or liabilities affected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60"/>
        <w:spacing w:after="0" w:line="210" w:lineRule="auto"/>
        <w:rPr>
          <w:sz w:val="20"/>
          <w:szCs w:val="20"/>
          <w:color w:val="auto"/>
        </w:rPr>
      </w:pPr>
      <w:r>
        <w:rPr>
          <w:rFonts w:ascii="Arial" w:cs="Arial" w:eastAsia="Arial" w:hAnsi="Arial"/>
          <w:sz w:val="13"/>
          <w:szCs w:val="13"/>
          <w:color w:val="auto"/>
        </w:rPr>
        <w:t>Significant accounting judgments, as well as key assumptions concerning the future and other key sources of estimation uncertainty at the reporting date that have a significant risk of causing a material adjustment to the carrying amounts of assets and liabilities within the next financial year, are described below. We based our assumptions and estimates on parameters available when the consolidated financial statements were prepared. Existing circumstances and assumptions about future developments, however, may change due to market changes or circumstances arising that are beyond the control of the Group. Such changes are reflected in the assumptions when they occur.</w:t>
      </w:r>
    </w:p>
    <w:p>
      <w:pPr>
        <w:ind w:left="380"/>
        <w:spacing w:after="0" w:line="217" w:lineRule="auto"/>
        <w:rPr>
          <w:sz w:val="20"/>
          <w:szCs w:val="20"/>
          <w:color w:val="auto"/>
        </w:rPr>
      </w:pPr>
      <w:r>
        <w:rPr>
          <w:rFonts w:ascii="Arial" w:cs="Arial" w:eastAsia="Arial" w:hAnsi="Arial"/>
          <w:sz w:val="13"/>
          <w:szCs w:val="13"/>
          <w:b w:val="1"/>
          <w:bCs w:val="1"/>
          <w:color w:val="005A64"/>
        </w:rPr>
        <w:t>Revenues from Contracts with Customers</w:t>
      </w:r>
    </w:p>
    <w:p>
      <w:pPr>
        <w:ind w:left="380" w:right="2160"/>
        <w:spacing w:after="0" w:line="210" w:lineRule="auto"/>
        <w:rPr>
          <w:sz w:val="20"/>
          <w:szCs w:val="20"/>
          <w:color w:val="auto"/>
        </w:rPr>
      </w:pPr>
      <w:r>
        <w:rPr>
          <w:rFonts w:ascii="Arial" w:cs="Arial" w:eastAsia="Arial" w:hAnsi="Arial"/>
          <w:sz w:val="13"/>
          <w:szCs w:val="13"/>
          <w:color w:val="auto"/>
        </w:rPr>
        <w:t>We applied the following judgments, estimates and assumptions that significantly affect the determination of the amount and timing of revenues from contracts with customers:</w:t>
      </w:r>
    </w:p>
    <w:p>
      <w:pPr>
        <w:ind w:left="380"/>
        <w:spacing w:after="0" w:line="212" w:lineRule="auto"/>
        <w:rPr>
          <w:sz w:val="20"/>
          <w:szCs w:val="20"/>
          <w:color w:val="auto"/>
        </w:rPr>
      </w:pPr>
      <w:r>
        <w:rPr>
          <w:rFonts w:ascii="Arial" w:cs="Arial" w:eastAsia="Arial" w:hAnsi="Arial"/>
          <w:sz w:val="13"/>
          <w:szCs w:val="13"/>
          <w:color w:val="005A64"/>
        </w:rPr>
        <w:t>Identification and Determination of Performance Obligations</w:t>
      </w:r>
    </w:p>
    <w:p>
      <w:pPr>
        <w:spacing w:after="0" w:line="1"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We generate revenues from collaboration and license agreements, which contain multiple elements, including licenses to use, research, develop, manufacture and commercialize candidates and products, research and development services as well as obligations to develop and manufacture preclinical and clinical material and products. We determined that those collaboration and license agreements qualify as contracts with customers. A contract is an agreement between two or more parties that establishes enforceable rights and obligations. At inception of each agreement, we apply judgment when determining which promises represent distinct performance obligations. If promises are not distinct, they are combined until the bundle of promised goods and services is distinct. For some agreements, this results in accounting for goods and services promised in a collaboration and license agreement as a single performance obligation with a single measure of progress. For these combined performance obligations, we assess which of these promises is the predominant promise to determine the nature of the performance obligation. When licenses are granted, we determined that the grant of the license is the predominant promise within the combined performance obligations. In our view, we grant our customers a right to access or a right to use our intellectual property due to the collaboration and license agreements.</w:t>
      </w:r>
    </w:p>
    <w:p>
      <w:pPr>
        <w:ind w:left="380"/>
        <w:spacing w:after="0" w:line="224" w:lineRule="auto"/>
        <w:rPr>
          <w:sz w:val="20"/>
          <w:szCs w:val="20"/>
          <w:color w:val="auto"/>
        </w:rPr>
      </w:pPr>
      <w:r>
        <w:rPr>
          <w:rFonts w:ascii="Arial" w:cs="Arial" w:eastAsia="Arial" w:hAnsi="Arial"/>
          <w:sz w:val="13"/>
          <w:szCs w:val="13"/>
          <w:color w:val="005A64"/>
        </w:rPr>
        <w:t>Measurement of the Transaction Price</w:t>
      </w:r>
    </w:p>
    <w:p>
      <w:pPr>
        <w:ind w:left="380" w:right="2120"/>
        <w:spacing w:after="0" w:line="210" w:lineRule="auto"/>
        <w:rPr>
          <w:sz w:val="20"/>
          <w:szCs w:val="20"/>
          <w:color w:val="auto"/>
        </w:rPr>
      </w:pPr>
      <w:r>
        <w:rPr>
          <w:rFonts w:ascii="Arial" w:cs="Arial" w:eastAsia="Arial" w:hAnsi="Arial"/>
          <w:sz w:val="13"/>
          <w:szCs w:val="13"/>
          <w:color w:val="auto"/>
        </w:rPr>
        <w:t>Our collaboration and license agreements often include variable consideration, which is contingent on the occurrence or non-occurrence of a future event (i.e., reaching a certain milestone). When determining deferred revenues from a collaboration and license agreement, we need to estimate the amount of consideration to which we will be entitled in exchange for transferring the promised goods or services to our customers.</w:t>
      </w:r>
    </w:p>
    <w:p>
      <w:pPr>
        <w:spacing w:after="0" w:line="2"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As there are usually only two possible outcomes (i.e., milestone is reached or not), we have assessed that the method of the most likely amount is the best method to predict the amount of consideration to which we will be entitled. At contract inception, the most likely amount for milestone payments is estimated to be zero. We have assessed that the likelihood of achieving the respective milestone decreases depending on how far the expected date of achieving the milestone lies in the future. At each reporting date, we use judgment to determine when to include variable consideration in the transaction price in such a way that it is highly probable that a significant revenue reversal in the amount of cumulative revenue recognized will not occur when the associated uncertainty with respect to the variable consideration is subsequently resolved. We have concluded that future milestone payments are fully constrained at the end of the current financial year.</w:t>
      </w:r>
    </w:p>
    <w:p>
      <w:pPr>
        <w:spacing w:after="0" w:line="5" w:lineRule="exact"/>
        <w:rPr>
          <w:sz w:val="20"/>
          <w:szCs w:val="20"/>
          <w:color w:val="auto"/>
        </w:rPr>
      </w:pPr>
    </w:p>
    <w:p>
      <w:pPr>
        <w:ind w:left="380" w:right="2720"/>
        <w:spacing w:after="0" w:line="234" w:lineRule="auto"/>
        <w:rPr>
          <w:sz w:val="20"/>
          <w:szCs w:val="20"/>
          <w:color w:val="auto"/>
        </w:rPr>
      </w:pPr>
      <w:r>
        <w:rPr>
          <w:rFonts w:ascii="Arial" w:cs="Arial" w:eastAsia="Arial" w:hAnsi="Arial"/>
          <w:sz w:val="13"/>
          <w:szCs w:val="13"/>
          <w:color w:val="auto"/>
        </w:rPr>
        <w:t>Future milestone payments would become unconstrained upon the satisfaction of the milestone event, specifically a development event, regulatory approval or achievement of a sales milestone.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F-28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500"/>
        <w:spacing w:after="0" w:line="220" w:lineRule="auto"/>
        <w:rPr>
          <w:sz w:val="20"/>
          <w:szCs w:val="20"/>
          <w:color w:val="auto"/>
        </w:rPr>
      </w:pPr>
      <w:r>
        <w:rPr>
          <w:rFonts w:ascii="Arial" w:cs="Arial" w:eastAsia="Arial" w:hAnsi="Arial"/>
          <w:sz w:val="13"/>
          <w:szCs w:val="13"/>
          <w:color w:val="005A64"/>
        </w:rPr>
        <w:t>Allocation of the Transaction Price to Performance Obligations and Revenue Recognition as Performance Obligations are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320"/>
        <w:spacing w:after="0" w:line="210" w:lineRule="auto"/>
        <w:rPr>
          <w:sz w:val="20"/>
          <w:szCs w:val="20"/>
          <w:color w:val="auto"/>
        </w:rPr>
      </w:pPr>
      <w:r>
        <w:rPr>
          <w:rFonts w:ascii="Arial" w:cs="Arial" w:eastAsia="Arial" w:hAnsi="Arial"/>
          <w:sz w:val="13"/>
          <w:szCs w:val="13"/>
          <w:color w:val="auto"/>
        </w:rPr>
        <w:t>We allocate the transaction price to performance obligations based on their relative standalone selling prices, which are generally based on our best estimates and interpretations of facts and circumstances of each contractual agreement and may require significant judgment to determine appropriate allocation.</w:t>
      </w:r>
    </w:p>
    <w:p>
      <w:pPr>
        <w:spacing w:after="0" w:line="2" w:lineRule="exact"/>
        <w:rPr>
          <w:sz w:val="20"/>
          <w:szCs w:val="20"/>
          <w:color w:val="auto"/>
        </w:rPr>
      </w:pPr>
    </w:p>
    <w:p>
      <w:pPr>
        <w:ind w:left="380" w:right="2460"/>
        <w:spacing w:after="0" w:line="234" w:lineRule="auto"/>
        <w:rPr>
          <w:sz w:val="20"/>
          <w:szCs w:val="20"/>
          <w:color w:val="auto"/>
        </w:rPr>
      </w:pPr>
      <w:r>
        <w:rPr>
          <w:rFonts w:ascii="Arial" w:cs="Arial" w:eastAsia="Arial" w:hAnsi="Arial"/>
          <w:sz w:val="13"/>
          <w:szCs w:val="13"/>
          <w:color w:val="auto"/>
        </w:rPr>
        <w:t>Upfront payments and reimbursement for expenses are initially deferred on our consolidated statements of financial position. We assessed that no significant financing component exists within our collaboration</w:t>
      </w:r>
    </w:p>
    <w:p>
      <w:pPr>
        <w:sectPr>
          <w:pgSz w:w="11900" w:h="16840" w:orient="portrait"/>
          <w:cols w:equalWidth="0" w:num="1">
            <w:col w:w="9020"/>
          </w:cols>
          <w:pgMar w:left="1440" w:top="1440" w:right="1440" w:bottom="17" w:gutter="0" w:footer="0" w:header="0"/>
        </w:sectPr>
      </w:pPr>
    </w:p>
    <w:bookmarkStart w:id="199" w:name="page200"/>
    <w:bookmarkEnd w:id="199"/>
    <w:p>
      <w:pPr>
        <w:ind w:left="380" w:right="2100"/>
        <w:spacing w:after="0" w:line="213" w:lineRule="auto"/>
        <w:rPr>
          <w:sz w:val="20"/>
          <w:szCs w:val="20"/>
          <w:color w:val="auto"/>
        </w:rPr>
      </w:pPr>
      <w:r>
        <w:rPr>
          <w:rFonts w:ascii="Arial" w:cs="Arial" w:eastAsia="Arial" w:hAnsi="Arial"/>
          <w:sz w:val="13"/>
          <w:szCs w:val="13"/>
          <w:color w:val="auto"/>
        </w:rPr>
        <w:t>agreements since the overall business purpose of advanced payments is to support the payment structure rather than to provide a significant benefit of financing. For performance obligations in which the costs vary based on progress, an input-based measure that takes into account cost incurred is the most reliable indicator of the progress of the related research activities. In other cases, revenue recognition on a straight-line basis may be the most reliable indicator of our performance toward complete satisfaction. If the contractual activities progress, the achievement of development milestones will be used to measure the progress toward complete satisfaction. We evaluate the measure of progress in each reporting period and, if necessary, adjust the measure of performance and related revenue recognition. Any such adjustments are recorded on a cumulative catch-up basis, which would affect revenues and net profit or loss in the period of adjustment.</w:t>
      </w:r>
    </w:p>
    <w:p>
      <w:pPr>
        <w:spacing w:after="0" w:line="1"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Upon successfully commercializing a pharmaceutical product, the collaboration and license agreements also provide for additional profit-sharing or tiered royalties earned when customers recognize net sales of licensed products as well as sales milestone payments. Revenue is recognized based on the sales-based or usage-based royalty exemption; i.e., when, or as, the underlying sales occur, which is when the performance obligation has been satisfied.</w:t>
      </w:r>
    </w:p>
    <w:p>
      <w:pPr>
        <w:ind w:left="380"/>
        <w:spacing w:after="0" w:line="215" w:lineRule="auto"/>
        <w:rPr>
          <w:sz w:val="20"/>
          <w:szCs w:val="20"/>
          <w:color w:val="auto"/>
        </w:rPr>
      </w:pPr>
      <w:r>
        <w:rPr>
          <w:rFonts w:ascii="Arial" w:cs="Arial" w:eastAsia="Arial" w:hAnsi="Arial"/>
          <w:sz w:val="13"/>
          <w:szCs w:val="13"/>
          <w:color w:val="005A64"/>
        </w:rPr>
        <w:t>Principal-Agent Considerations</w:t>
      </w:r>
    </w:p>
    <w:p>
      <w:pPr>
        <w:ind w:left="380" w:right="2160"/>
        <w:spacing w:after="0" w:line="210" w:lineRule="auto"/>
        <w:rPr>
          <w:sz w:val="20"/>
          <w:szCs w:val="20"/>
          <w:color w:val="auto"/>
        </w:rPr>
      </w:pPr>
      <w:r>
        <w:rPr>
          <w:rFonts w:ascii="Arial" w:cs="Arial" w:eastAsia="Arial" w:hAnsi="Arial"/>
          <w:sz w:val="13"/>
          <w:szCs w:val="13"/>
          <w:color w:val="auto"/>
        </w:rPr>
        <w:t>Collaboration agreements that involve two or more partners who contribute to the provision of a specific good or service to a customer are assessed in terms of principal -agent considerations. Under our current collaboration agreements, the allocation of marketing and distribution rights defines territories in which the collaboration partner acts as a principal in each case. We recognize revenue net based on the collaboration partners’ gross profit in territories where the partner is responsible for supply, and on a gross basis when directly supplying our customers in our territories when control has been transferred. Amounts paid to collaboration partners for their share of our profits earned where we are the principal in the transaction are recorded as cost of sales.</w:t>
      </w:r>
    </w:p>
    <w:p>
      <w:pPr>
        <w:ind w:left="380"/>
        <w:spacing w:after="0" w:line="217" w:lineRule="auto"/>
        <w:rPr>
          <w:sz w:val="20"/>
          <w:szCs w:val="20"/>
          <w:color w:val="auto"/>
        </w:rPr>
      </w:pPr>
      <w:r>
        <w:rPr>
          <w:rFonts w:ascii="Arial" w:cs="Arial" w:eastAsia="Arial" w:hAnsi="Arial"/>
          <w:sz w:val="13"/>
          <w:szCs w:val="13"/>
          <w:color w:val="005A64"/>
        </w:rPr>
        <w:t>Pfizer Agreement Characteristics</w:t>
      </w:r>
    </w:p>
    <w:p>
      <w:pPr>
        <w:ind w:left="380" w:right="2180"/>
        <w:spacing w:after="0" w:line="210" w:lineRule="auto"/>
        <w:rPr>
          <w:sz w:val="20"/>
          <w:szCs w:val="20"/>
          <w:color w:val="auto"/>
        </w:rPr>
      </w:pPr>
      <w:r>
        <w:rPr>
          <w:rFonts w:ascii="Arial" w:cs="Arial" w:eastAsia="Arial" w:hAnsi="Arial"/>
          <w:sz w:val="13"/>
          <w:szCs w:val="13"/>
          <w:color w:val="auto"/>
        </w:rPr>
        <w:t>With respect to our collaboration with Pfizer, commercial revenues are recognized based on our collaboration partner’s gross profit from COVID-19 vaccine sales, which is shared under the respective collaboration agreement. In determining commercial revenues pursuant to this collaboration agreement, we are reliant on our collaboration partner for details regarding its gross profit for the period at hand. Some of the information which our collaboration partner provides us with to identify the gross profit is, by necessity, preliminary and subject to change.</w:t>
      </w:r>
    </w:p>
    <w:p>
      <w:pPr>
        <w:spacing w:after="0" w:line="4" w:lineRule="exact"/>
        <w:rPr>
          <w:sz w:val="20"/>
          <w:szCs w:val="20"/>
          <w:color w:val="auto"/>
        </w:rPr>
      </w:pPr>
    </w:p>
    <w:p>
      <w:pPr>
        <w:ind w:left="380" w:right="2180"/>
        <w:spacing w:after="0" w:line="215" w:lineRule="auto"/>
        <w:rPr>
          <w:sz w:val="20"/>
          <w:szCs w:val="20"/>
          <w:color w:val="auto"/>
        </w:rPr>
      </w:pPr>
      <w:r>
        <w:rPr>
          <w:rFonts w:ascii="Arial" w:cs="Arial" w:eastAsia="Arial" w:hAnsi="Arial"/>
          <w:sz w:val="13"/>
          <w:szCs w:val="13"/>
          <w:color w:val="auto"/>
        </w:rPr>
        <w:t>Pfizer’s gross profit share is calculated based on sales and takes into account transfer prices. The latter include manufacturing and shipping costs, which represent standard prices and include mark-ups on manufacturing costs as specified by the terms of the agreement. Manufacturing and shipping cost variances were considered as far as those have been identified. Nevertheless, those input parameters may be adjusted once actual costs are determined. The sales as reported by Pfizer have been used to estimate license obligations in terms of royalties and sales milestones. Sales milestones and royalties are recognized as they are earned by the partners. Sales milestones are shared equally, while royalty payments are borne by the partners on the basis of revenues in the territories for which the partners are responsible and subsequently deducted as cost under the gross profit shared. The estimated royalty fees applied to net sales reflect the license obligations to the extent currently identified from third-party contractual arrangements. Changes in estimates are accounted for prospectively, when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F-29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080"/>
        <w:spacing w:after="0" w:line="214" w:lineRule="auto"/>
        <w:rPr>
          <w:sz w:val="20"/>
          <w:szCs w:val="20"/>
          <w:color w:val="auto"/>
        </w:rPr>
      </w:pPr>
      <w:r>
        <w:rPr>
          <w:rFonts w:ascii="Arial" w:cs="Arial" w:eastAsia="Arial" w:hAnsi="Arial"/>
          <w:sz w:val="13"/>
          <w:szCs w:val="13"/>
          <w:color w:val="auto"/>
        </w:rPr>
        <w:t>Manufacturing cost variances include among others expenses from unused contract manufacturing capacities and overstock inventories finally scrapped. As only materialized costs – which for example means manufacturing capacities finally lapsed or inventories finally scrapped – are shared with the partner in a cash-effective manner, the gross profit share impact is anticipated once assessed as being highly probable to occur. Any changes to this assessment will be recognized prospectively.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-416560</wp:posOffset>
            </wp:positionV>
            <wp:extent cx="5231130" cy="63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color w:val="auto"/>
        </w:rPr>
        <w:t>Pfizer’s determination of manufacturing and shipping costs also affects the transfer prices that have been charged to COVID-19 vaccine supplies that it manufactures and supplies to us and may be subject to adjustment whenever manufacturing and shipping cost variances are identified. Likewise, our own cost of sales and the respective gross profit share owed to our partner may be adjusted prospectively, when changes are determined. For contract balances related to the Pfizer agreement, see Note 6. Judgment is required in determining whether a right to consideration is unconditional and thus qualifies as a receivable.</w:t>
      </w:r>
    </w:p>
    <w:p>
      <w:pPr>
        <w:ind w:left="380"/>
        <w:spacing w:after="0" w:line="216" w:lineRule="auto"/>
        <w:rPr>
          <w:sz w:val="20"/>
          <w:szCs w:val="20"/>
          <w:color w:val="auto"/>
        </w:rPr>
      </w:pPr>
      <w:r>
        <w:rPr>
          <w:rFonts w:ascii="Arial" w:cs="Arial" w:eastAsia="Arial" w:hAnsi="Arial"/>
          <w:sz w:val="13"/>
          <w:szCs w:val="13"/>
          <w:b w:val="1"/>
          <w:bCs w:val="1"/>
          <w:color w:val="005A64"/>
        </w:rPr>
        <w:t>Intangible Assets</w:t>
      </w:r>
    </w:p>
    <w:p>
      <w:pPr>
        <w:ind w:left="380" w:right="2080"/>
        <w:spacing w:after="0" w:line="210" w:lineRule="auto"/>
        <w:rPr>
          <w:sz w:val="20"/>
          <w:szCs w:val="20"/>
          <w:color w:val="auto"/>
        </w:rPr>
      </w:pPr>
      <w:r>
        <w:rPr>
          <w:rFonts w:ascii="Arial" w:cs="Arial" w:eastAsia="Arial" w:hAnsi="Arial"/>
          <w:sz w:val="13"/>
          <w:szCs w:val="13"/>
          <w:color w:val="auto"/>
        </w:rPr>
        <w:t>Significant assumptions and estimates are required for the identification of a potential need to recognize an impairment loss. These estimates include management’s assumptions regarding future cash flow projections and economic risks that require significant judgment and assumptions about future developments. They can be affected by a variety of factors, including, but not limited to, changes in business strategy, assumptions regarding funding ability of expected R&amp;D expenses, assumptions regarding the size of addressable markets and number of addressable indications as well as the time and probability to reach market.</w:t>
      </w:r>
    </w:p>
    <w:p>
      <w:pPr>
        <w:spacing w:after="0" w:line="4" w:lineRule="exact"/>
        <w:rPr>
          <w:sz w:val="20"/>
          <w:szCs w:val="20"/>
          <w:color w:val="auto"/>
        </w:rPr>
      </w:pPr>
    </w:p>
    <w:p>
      <w:pPr>
        <w:ind w:left="380" w:right="2240"/>
        <w:spacing w:after="0" w:line="210" w:lineRule="auto"/>
        <w:rPr>
          <w:sz w:val="20"/>
          <w:szCs w:val="20"/>
          <w:color w:val="auto"/>
        </w:rPr>
      </w:pPr>
      <w:r>
        <w:rPr>
          <w:rFonts w:ascii="Arial" w:cs="Arial" w:eastAsia="Arial" w:hAnsi="Arial"/>
          <w:sz w:val="13"/>
          <w:szCs w:val="13"/>
          <w:color w:val="auto"/>
        </w:rPr>
        <w:t>Changes to the assumptions underlying our assessment of the impairment of goodwill and intangible assets could require material adjustments to the carrying amount of our recognized goodwill and intangible assets, as well as to the amounts of impairment charges recognized in profit or loss.</w:t>
      </w:r>
    </w:p>
    <w:p>
      <w:pPr>
        <w:spacing w:after="0" w:line="2"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Significant assumptions and estimates are also required to determine the appropriate amount of amortization of intangible assets. They relate in particular to the determination of the underlying useful life. The useful life of an intangible asset is based on our estimates regarding the period over which the intangible asset is expected to generate economic benefits for us.</w:t>
      </w:r>
    </w:p>
    <w:p>
      <w:pPr>
        <w:ind w:left="380"/>
        <w:spacing w:after="0" w:line="214" w:lineRule="auto"/>
        <w:rPr>
          <w:sz w:val="20"/>
          <w:szCs w:val="20"/>
          <w:color w:val="auto"/>
        </w:rPr>
      </w:pPr>
      <w:r>
        <w:rPr>
          <w:rFonts w:ascii="Arial" w:cs="Arial" w:eastAsia="Arial" w:hAnsi="Arial"/>
          <w:sz w:val="13"/>
          <w:szCs w:val="13"/>
          <w:b w:val="1"/>
          <w:bCs w:val="1"/>
          <w:color w:val="005A64"/>
        </w:rPr>
        <w:t>Contingencies</w:t>
      </w:r>
    </w:p>
    <w:p>
      <w:pPr>
        <w:ind w:left="380" w:right="2280"/>
        <w:spacing w:after="0" w:line="210" w:lineRule="auto"/>
        <w:rPr>
          <w:sz w:val="20"/>
          <w:szCs w:val="20"/>
          <w:color w:val="auto"/>
        </w:rPr>
      </w:pPr>
      <w:r>
        <w:rPr>
          <w:rFonts w:ascii="Arial" w:cs="Arial" w:eastAsia="Arial" w:hAnsi="Arial"/>
          <w:sz w:val="13"/>
          <w:szCs w:val="13"/>
          <w:color w:val="auto"/>
        </w:rPr>
        <w:t>Disclosures in respect of third-party claims and litigation for which no provisions have been recognized disclosures are made in the form of contingent liabilities, unless a potential outflow of resources is considered remote. It is not practicable to estimate the financial impact of our contingent liabilities due to the uncertainties around lawsuits and claims as outlined above.</w:t>
      </w:r>
    </w:p>
    <w:p>
      <w:pPr>
        <w:ind w:left="380"/>
        <w:spacing w:after="0" w:line="214" w:lineRule="auto"/>
        <w:rPr>
          <w:sz w:val="20"/>
          <w:szCs w:val="20"/>
          <w:color w:val="auto"/>
        </w:rPr>
      </w:pPr>
      <w:r>
        <w:rPr>
          <w:rFonts w:ascii="Arial" w:cs="Arial" w:eastAsia="Arial" w:hAnsi="Arial"/>
          <w:sz w:val="13"/>
          <w:szCs w:val="13"/>
          <w:color w:val="auto"/>
        </w:rPr>
        <w:t>For further disclosures relating to contingencies see Note 18.</w:t>
      </w:r>
    </w:p>
    <w:p>
      <w:pPr>
        <w:ind w:left="380"/>
        <w:spacing w:after="0" w:line="211" w:lineRule="auto"/>
        <w:rPr>
          <w:sz w:val="20"/>
          <w:szCs w:val="20"/>
          <w:color w:val="auto"/>
        </w:rPr>
      </w:pPr>
      <w:r>
        <w:rPr>
          <w:rFonts w:ascii="Arial" w:cs="Arial" w:eastAsia="Arial" w:hAnsi="Arial"/>
          <w:sz w:val="13"/>
          <w:szCs w:val="13"/>
          <w:b w:val="1"/>
          <w:bCs w:val="1"/>
          <w:color w:val="005A64"/>
        </w:rPr>
        <w:t>Research and Development Expenses</w:t>
      </w:r>
    </w:p>
    <w:p>
      <w:pPr>
        <w:ind w:left="380" w:right="2100"/>
        <w:spacing w:after="0" w:line="214" w:lineRule="auto"/>
        <w:rPr>
          <w:sz w:val="20"/>
          <w:szCs w:val="20"/>
          <w:color w:val="auto"/>
        </w:rPr>
      </w:pPr>
      <w:r>
        <w:rPr>
          <w:rFonts w:ascii="Arial" w:cs="Arial" w:eastAsia="Arial" w:hAnsi="Arial"/>
          <w:sz w:val="13"/>
          <w:szCs w:val="13"/>
          <w:color w:val="auto"/>
        </w:rPr>
        <w:t>The nature of our business and primary focus of our activities, including development of our platforms and manufacturing technologies, generate a significant amount of research and development expenses. Research costs are expensed as incurred. Development expenditures on an individual project are recognized as an intangible asset if, and only if, the capitalization criteria are met. Based on our assessment, we have concluded that, due to the inherent risk of failure in pharmaceutical development and the uncertainty of approval, these criteria are usually not met before regulatory approval is achieved. The related expenditure is reflected in the consolidated statements of profit or loss in the period in which the expenditure is incurred. We have entered into agreements under which third parties grant licenses to us, which are known as in-license agreements. If in-licensing results in consideration for the acquisition of intellectual property that meets the definition of an identifiable asset, this is capitalized as an intangible asset. If the transaction also includes research and development services to be provided by the licensor, the share of consideration attributable to these services is recognized in research and development expenses in line with the performance of the services. The allocation of</w:t>
      </w:r>
    </w:p>
    <w:p>
      <w:pPr>
        <w:sectPr>
          <w:pgSz w:w="11900" w:h="16840" w:orient="portrait"/>
          <w:cols w:equalWidth="0" w:num="1">
            <w:col w:w="9020"/>
          </w:cols>
          <w:pgMar w:left="1440" w:top="560" w:right="1440" w:bottom="84" w:gutter="0" w:footer="0" w:header="0"/>
        </w:sectPr>
      </w:pPr>
    </w:p>
    <w:bookmarkStart w:id="200" w:name="page201"/>
    <w:bookmarkEnd w:id="200"/>
    <w:p>
      <w:pPr>
        <w:ind w:left="380" w:right="2100"/>
        <w:spacing w:after="0" w:line="248" w:lineRule="auto"/>
        <w:rPr>
          <w:sz w:val="20"/>
          <w:szCs w:val="20"/>
          <w:color w:val="auto"/>
        </w:rPr>
      </w:pPr>
      <w:r>
        <w:rPr>
          <w:rFonts w:ascii="Arial" w:cs="Arial" w:eastAsia="Arial" w:hAnsi="Arial"/>
          <w:sz w:val="13"/>
          <w:szCs w:val="13"/>
          <w:color w:val="auto"/>
        </w:rPr>
        <w:t>consideration attributable to the acquisition of intellectual property and consideration attributable to the research and development services provided by the licensor requires management to make judgements and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F-30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340"/>
        <w:spacing w:after="0" w:line="220" w:lineRule="auto"/>
        <w:rPr>
          <w:sz w:val="20"/>
          <w:szCs w:val="20"/>
          <w:color w:val="auto"/>
        </w:rPr>
      </w:pPr>
      <w:r>
        <w:rPr>
          <w:rFonts w:ascii="Arial" w:cs="Arial" w:eastAsia="Arial" w:hAnsi="Arial"/>
          <w:sz w:val="13"/>
          <w:szCs w:val="13"/>
          <w:color w:val="auto"/>
        </w:rPr>
        <w:t>These judgments and assumptions need to be applied on a case-by-case basis and can materially affect our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b w:val="1"/>
          <w:bCs w:val="1"/>
          <w:color w:val="005A64"/>
        </w:rPr>
        <w:t>Business Combinations</w:t>
      </w:r>
    </w:p>
    <w:p>
      <w:pPr>
        <w:ind w:left="380" w:right="2180"/>
        <w:spacing w:after="0" w:line="210" w:lineRule="auto"/>
        <w:rPr>
          <w:sz w:val="20"/>
          <w:szCs w:val="20"/>
          <w:color w:val="auto"/>
        </w:rPr>
      </w:pPr>
      <w:r>
        <w:rPr>
          <w:rFonts w:ascii="Arial" w:cs="Arial" w:eastAsia="Arial" w:hAnsi="Arial"/>
          <w:sz w:val="13"/>
          <w:szCs w:val="13"/>
          <w:color w:val="auto"/>
        </w:rPr>
        <w:t>In our accounting for business combinations, judgment is required in determining whether an intangible asset is identifiable and whether it should be recorded separately from goodwill. Additionally, estimating the acquisition-date fair values in conjunction with purchase price allocation involves estimation uncertainty and discretionary decisions. The necessary measurements are based on information available on the acquisition date and on expectations and assumptions that have been deemed reasonable by management. These judgments, estimates and assumptions can materially affect our financial position and profit.</w:t>
      </w:r>
    </w:p>
    <w:p>
      <w:pPr>
        <w:ind w:left="380"/>
        <w:spacing w:after="0" w:line="216" w:lineRule="auto"/>
        <w:rPr>
          <w:sz w:val="20"/>
          <w:szCs w:val="20"/>
          <w:color w:val="auto"/>
        </w:rPr>
      </w:pPr>
      <w:r>
        <w:rPr>
          <w:rFonts w:ascii="Arial" w:cs="Arial" w:eastAsia="Arial" w:hAnsi="Arial"/>
          <w:sz w:val="13"/>
          <w:szCs w:val="13"/>
          <w:b w:val="1"/>
          <w:bCs w:val="1"/>
          <w:color w:val="005A64"/>
        </w:rPr>
        <w:t>Share-Based Payments</w:t>
      </w:r>
    </w:p>
    <w:p>
      <w:pPr>
        <w:ind w:left="380" w:right="2160"/>
        <w:spacing w:after="0" w:line="210" w:lineRule="auto"/>
        <w:rPr>
          <w:sz w:val="20"/>
          <w:szCs w:val="20"/>
          <w:color w:val="auto"/>
        </w:rPr>
      </w:pPr>
      <w:r>
        <w:rPr>
          <w:rFonts w:ascii="Arial" w:cs="Arial" w:eastAsia="Arial" w:hAnsi="Arial"/>
          <w:sz w:val="13"/>
          <w:szCs w:val="13"/>
          <w:color w:val="auto"/>
        </w:rPr>
        <w:t>Determining the fair value of share-based payment transactions requires the most appropriate valuation for the specific program, which depends on the underlying terms and conditions. We used valuation models such as a binomial or Monte Carlo simulation model for the measurement of the cash- and equity- settled transactions’ fair value, taking into account certain assumptions relating to a number of factors, including the volatility of the stock price, the determination of an appropriate risk-free interest rate, expected dividends and the probability of reaching a minimum hurdle to exercise the relevant options. For awards which were granted prior to the initial public offering, at a time where no quoted market prices existed, the valuation model assumptions included the option’s underlying share price. For awards which were granted after the initial public offering, the grant date’s share prices on the Nasdaq Global Select Market were included in the valuation.</w:t>
      </w:r>
    </w:p>
    <w:p>
      <w:pPr>
        <w:spacing w:after="0" w:line="5" w:lineRule="exact"/>
        <w:rPr>
          <w:sz w:val="20"/>
          <w:szCs w:val="20"/>
          <w:color w:val="auto"/>
        </w:rPr>
      </w:pPr>
    </w:p>
    <w:p>
      <w:pPr>
        <w:ind w:left="380" w:right="2300"/>
        <w:spacing w:after="0" w:line="210" w:lineRule="auto"/>
        <w:rPr>
          <w:sz w:val="20"/>
          <w:szCs w:val="20"/>
          <w:color w:val="auto"/>
        </w:rPr>
      </w:pPr>
      <w:r>
        <w:rPr>
          <w:rFonts w:ascii="Arial" w:cs="Arial" w:eastAsia="Arial" w:hAnsi="Arial"/>
          <w:sz w:val="13"/>
          <w:szCs w:val="13"/>
          <w:color w:val="auto"/>
        </w:rPr>
        <w:t>A fluctuation assumption is applied when estimating the number of equity instruments for which service conditions are expected to be satisfied and will be revised if material differences arise. Ultimately, a true-up to the number satisfied by the settlement date will be recorded.</w:t>
      </w:r>
    </w:p>
    <w:p>
      <w:pPr>
        <w:ind w:left="380"/>
        <w:spacing w:after="0" w:line="213" w:lineRule="auto"/>
        <w:rPr>
          <w:sz w:val="20"/>
          <w:szCs w:val="20"/>
          <w:color w:val="auto"/>
        </w:rPr>
      </w:pPr>
      <w:r>
        <w:rPr>
          <w:rFonts w:ascii="Arial" w:cs="Arial" w:eastAsia="Arial" w:hAnsi="Arial"/>
          <w:sz w:val="13"/>
          <w:szCs w:val="13"/>
          <w:color w:val="auto"/>
        </w:rPr>
        <w:t>For further disclosures relating to share-based payments, see Note 16.</w:t>
      </w:r>
    </w:p>
    <w:p>
      <w:pPr>
        <w:ind w:left="380"/>
        <w:spacing w:after="0" w:line="211" w:lineRule="auto"/>
        <w:rPr>
          <w:sz w:val="20"/>
          <w:szCs w:val="20"/>
          <w:color w:val="auto"/>
        </w:rPr>
      </w:pPr>
      <w:r>
        <w:rPr>
          <w:rFonts w:ascii="Arial" w:cs="Arial" w:eastAsia="Arial" w:hAnsi="Arial"/>
          <w:sz w:val="13"/>
          <w:szCs w:val="13"/>
          <w:b w:val="1"/>
          <w:bCs w:val="1"/>
          <w:color w:val="005A64"/>
        </w:rPr>
        <w:t>Income Taxes</w:t>
      </w:r>
    </w:p>
    <w:p>
      <w:pPr>
        <w:ind w:left="380" w:right="2120"/>
        <w:spacing w:after="0" w:line="210" w:lineRule="auto"/>
        <w:rPr>
          <w:sz w:val="20"/>
          <w:szCs w:val="20"/>
          <w:color w:val="auto"/>
        </w:rPr>
      </w:pPr>
      <w:r>
        <w:rPr>
          <w:rFonts w:ascii="Arial" w:cs="Arial" w:eastAsia="Arial" w:hAnsi="Arial"/>
          <w:sz w:val="13"/>
          <w:szCs w:val="13"/>
          <w:color w:val="auto"/>
        </w:rPr>
        <w:t>We are subject to income taxes in more than one tax jurisdiction. Due to the increasing complexity of tax laws and the corresponding uncertainty regarding the legal interpretation by the fiscal authorities, tax calculations are generally subject to an elevated amount of uncertainty. To the extent necessary, possible tax risks are taken into account in the form of provisions.</w:t>
      </w:r>
    </w:p>
    <w:p>
      <w:pPr>
        <w:spacing w:after="0" w:line="2" w:lineRule="exact"/>
        <w:rPr>
          <w:sz w:val="20"/>
          <w:szCs w:val="20"/>
          <w:color w:val="auto"/>
        </w:rPr>
      </w:pPr>
    </w:p>
    <w:p>
      <w:pPr>
        <w:ind w:left="380" w:right="2080"/>
        <w:spacing w:after="0" w:line="228" w:lineRule="auto"/>
        <w:rPr>
          <w:sz w:val="20"/>
          <w:szCs w:val="20"/>
          <w:color w:val="auto"/>
        </w:rPr>
      </w:pPr>
      <w:r>
        <w:rPr>
          <w:rFonts w:ascii="Arial" w:cs="Arial" w:eastAsia="Arial" w:hAnsi="Arial"/>
          <w:sz w:val="13"/>
          <w:szCs w:val="13"/>
          <w:color w:val="auto"/>
        </w:rPr>
        <w:t>We do not recognize or we would impair deferred tax assets if it is unlikely that a corresponding amount of future taxable profit will be available against which the deductible temporary differences, tax loss carry forwards and tax credits can be utilized. The assessment whether a deferred tax asset can be recognized or is impaired requires significant judgment, as we need to estimate future taxable profits to determine whether the utilization of the deferred tax asset is probable. In evaluating our ability to utilize our deferred tax assets, we consider all available positive and negative evidence, including the level of historical taxable income and projections for future taxable income over the periods in which the deferred tax assets are recoverable. Based on the requirements in IAS 12, to not place reliance on future events that are uncertain as they for example cannot be controlled, managements assessment takes particular into account the fact that there is an inherent risk of failure in pharmaceutical development and an uncertainty of approval which is dependent on external regulatory agencies’ opinions. This also includes management’s assessment on the character and amounts of taxable future profits, the periods in which those profits are expected to occur, and the availability of tax planning opportunities.</w:t>
      </w:r>
    </w:p>
    <w:p>
      <w:pPr>
        <w:spacing w:after="0" w:line="4"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Our management continued to take the view that deferred tax assets on tax losses carried forward that relate to subsidiaries which have a loss-making history cannot be recognized. This includes the assessment that those subsidiaries have neither any taxable temporary differences nor any tax planning opportunities available that could support the recognition of deferred tax assets.</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For further disclosures relating to deferred taxes, see Note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F-31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sectPr>
          <w:pgSz w:w="11900" w:h="16840" w:orient="portrait"/>
          <w:cols w:equalWidth="0" w:num="1">
            <w:col w:w="9020"/>
          </w:cols>
          <w:pgMar w:left="1440" w:top="560" w:right="1440" w:bottom="97" w:gutter="0" w:footer="0" w:header="0"/>
        </w:sectPr>
      </w:pPr>
    </w:p>
    <w:p>
      <w:pPr>
        <w:ind w:left="1120"/>
        <w:spacing w:after="0"/>
        <w:rPr>
          <w:rFonts w:ascii="Arial" w:cs="Arial" w:eastAsia="Arial" w:hAnsi="Arial"/>
          <w:sz w:val="9"/>
          <w:szCs w:val="9"/>
          <w:b w:val="1"/>
          <w:bCs w:val="1"/>
          <w:color w:val="005A64"/>
        </w:rPr>
      </w:pPr>
      <w:hyperlink w:anchor="page3">
        <w:r>
          <w:rPr>
            <w:rFonts w:ascii="Arial" w:cs="Arial" w:eastAsia="Arial" w:hAnsi="Arial"/>
            <w:sz w:val="9"/>
            <w:szCs w:val="9"/>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37465</wp:posOffset>
            </wp:positionV>
            <wp:extent cx="5231130" cy="6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560" w:right="1440" w:bottom="97" w:gutter="0" w:footer="0" w:header="0"/>
          <w:type w:val="continuous"/>
        </w:sectPr>
      </w:pPr>
    </w:p>
    <w:bookmarkStart w:id="201" w:name="page202"/>
    <w:bookmarkEnd w:id="201"/>
    <w:p>
      <w:pPr>
        <w:ind w:left="380"/>
        <w:spacing w:after="0"/>
        <w:rPr>
          <w:sz w:val="20"/>
          <w:szCs w:val="20"/>
          <w:color w:val="auto"/>
        </w:rPr>
      </w:pPr>
      <w:r>
        <w:rPr>
          <w:rFonts w:ascii="Arial" w:cs="Arial" w:eastAsia="Arial" w:hAnsi="Arial"/>
          <w:sz w:val="16"/>
          <w:szCs w:val="16"/>
          <w:b w:val="1"/>
          <w:bCs w:val="1"/>
          <w:color w:val="005A64"/>
        </w:rPr>
        <w:t>4 Group Information</w:t>
      </w:r>
    </w:p>
    <w:p>
      <w:pPr>
        <w:ind w:left="380"/>
        <w:spacing w:after="0" w:line="210" w:lineRule="auto"/>
        <w:rPr>
          <w:sz w:val="20"/>
          <w:szCs w:val="20"/>
          <w:color w:val="auto"/>
        </w:rPr>
      </w:pPr>
      <w:r>
        <w:rPr>
          <w:rFonts w:ascii="Arial" w:cs="Arial" w:eastAsia="Arial" w:hAnsi="Arial"/>
          <w:sz w:val="13"/>
          <w:szCs w:val="13"/>
          <w:b w:val="1"/>
          <w:bCs w:val="1"/>
          <w:color w:val="005A64"/>
        </w:rPr>
        <w:t>Information about Subsidiaries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consolidated financial statements include the following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-5715</wp:posOffset>
            </wp:positionV>
            <wp:extent cx="4262120" cy="127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8">
                      <a:extLst>
                        <a:ext uri="{28A0092B-C50C-407E-A947-70E740481C1C}"/>
                      </a:extLst>
                    </a:blip>
                    <a:srcRect/>
                    <a:stretch>
                      <a:fillRect/>
                    </a:stretch>
                  </pic:blipFill>
                  <pic:spPr bwMode="auto">
                    <a:xfrm>
                      <a:off x="0" y="0"/>
                      <a:ext cx="4262120" cy="12700"/>
                    </a:xfrm>
                    <a:prstGeom prst="rect">
                      <a:avLst/>
                    </a:prstGeom>
                    <a:noFill/>
                  </pic:spPr>
                </pic:pic>
              </a:graphicData>
            </a:graphic>
          </wp:anchor>
        </w:drawing>
      </w:r>
    </w:p>
    <w:p>
      <w:pPr>
        <w:spacing w:after="0" w:line="50" w:lineRule="exact"/>
        <w:rPr>
          <w:sz w:val="20"/>
          <w:szCs w:val="20"/>
          <w:color w:val="auto"/>
        </w:rPr>
      </w:pPr>
    </w:p>
    <w:tbl>
      <w:tblPr>
        <w:tblLayout w:type="fixed"/>
        <w:tblInd w:w="380" w:type="dxa"/>
        <w:tblCellMar>
          <w:top w:w="0" w:type="dxa"/>
          <w:left w:w="0" w:type="dxa"/>
          <w:bottom w:w="0" w:type="dxa"/>
          <w:right w:w="0" w:type="dxa"/>
        </w:tblCellMar>
      </w:tblPr>
      <w:tr>
        <w:trPr>
          <w:trHeight w:val="174"/>
        </w:trPr>
        <w:tc>
          <w:tcPr>
            <w:tcW w:w="2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Borders>
              <w:bottom w:val="single" w:sz="8" w:color="005A64"/>
            </w:tcBorders>
            <w:gridSpan w:val="4"/>
          </w:tcPr>
          <w:p>
            <w:pPr>
              <w:spacing w:after="0"/>
              <w:rPr>
                <w:sz w:val="20"/>
                <w:szCs w:val="20"/>
                <w:color w:val="auto"/>
              </w:rPr>
            </w:pPr>
            <w:r>
              <w:rPr>
                <w:rFonts w:ascii="Arial" w:cs="Arial" w:eastAsia="Arial" w:hAnsi="Arial"/>
                <w:sz w:val="12"/>
                <w:szCs w:val="12"/>
                <w:b w:val="1"/>
                <w:bCs w:val="1"/>
                <w:color w:val="005A64"/>
              </w:rPr>
              <w:t>% equity interest</w:t>
            </w:r>
          </w:p>
        </w:tc>
        <w:tc>
          <w:tcPr>
            <w:tcW w:w="680" w:type="dxa"/>
            <w:vAlign w:val="bottom"/>
            <w:tcBorders>
              <w:bottom w:val="single" w:sz="8" w:color="005A64"/>
            </w:tcBorders>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960" w:type="dxa"/>
            <w:vAlign w:val="bottom"/>
            <w:vMerge w:val="restart"/>
          </w:tcPr>
          <w:p>
            <w:pPr>
              <w:ind w:left="20"/>
              <w:spacing w:after="0"/>
              <w:rPr>
                <w:sz w:val="20"/>
                <w:szCs w:val="20"/>
                <w:color w:val="auto"/>
              </w:rPr>
            </w:pPr>
            <w:r>
              <w:rPr>
                <w:rFonts w:ascii="Arial" w:cs="Arial" w:eastAsia="Arial" w:hAnsi="Arial"/>
                <w:sz w:val="12"/>
                <w:szCs w:val="12"/>
                <w:b w:val="1"/>
                <w:bCs w:val="1"/>
                <w:color w:val="005A64"/>
              </w:rPr>
              <w:t>Name</w:t>
            </w:r>
          </w:p>
        </w:tc>
        <w:tc>
          <w:tcPr>
            <w:tcW w:w="40" w:type="dxa"/>
            <w:vAlign w:val="bottom"/>
          </w:tcPr>
          <w:p>
            <w:pPr>
              <w:spacing w:after="0"/>
              <w:rPr>
                <w:sz w:val="6"/>
                <w:szCs w:val="6"/>
                <w:color w:val="auto"/>
              </w:rPr>
            </w:pPr>
          </w:p>
        </w:tc>
        <w:tc>
          <w:tcPr>
            <w:tcW w:w="960" w:type="dxa"/>
            <w:vAlign w:val="bottom"/>
            <w:vMerge w:val="restart"/>
          </w:tcPr>
          <w:p>
            <w:pPr>
              <w:spacing w:after="0"/>
              <w:rPr>
                <w:sz w:val="20"/>
                <w:szCs w:val="20"/>
                <w:color w:val="auto"/>
              </w:rPr>
            </w:pPr>
            <w:r>
              <w:rPr>
                <w:rFonts w:ascii="Arial" w:cs="Arial" w:eastAsia="Arial" w:hAnsi="Arial"/>
                <w:sz w:val="12"/>
                <w:szCs w:val="12"/>
                <w:b w:val="1"/>
                <w:bCs w:val="1"/>
                <w:color w:val="005A64"/>
              </w:rPr>
              <w:t>Country of</w:t>
            </w:r>
          </w:p>
        </w:tc>
        <w:tc>
          <w:tcPr>
            <w:tcW w:w="40" w:type="dxa"/>
            <w:vAlign w:val="bottom"/>
          </w:tcPr>
          <w:p>
            <w:pPr>
              <w:spacing w:after="0"/>
              <w:rPr>
                <w:sz w:val="6"/>
                <w:szCs w:val="6"/>
                <w:color w:val="auto"/>
              </w:rPr>
            </w:pPr>
          </w:p>
        </w:tc>
        <w:tc>
          <w:tcPr>
            <w:tcW w:w="900" w:type="dxa"/>
            <w:vAlign w:val="bottom"/>
            <w:gridSpan w:val="2"/>
            <w:vMerge w:val="restart"/>
          </w:tcPr>
          <w:p>
            <w:pPr>
              <w:spacing w:after="0"/>
              <w:rPr>
                <w:sz w:val="20"/>
                <w:szCs w:val="20"/>
                <w:color w:val="auto"/>
              </w:rPr>
            </w:pPr>
            <w:r>
              <w:rPr>
                <w:rFonts w:ascii="Arial" w:cs="Arial" w:eastAsia="Arial" w:hAnsi="Arial"/>
                <w:sz w:val="12"/>
                <w:szCs w:val="12"/>
                <w:b w:val="1"/>
                <w:bCs w:val="1"/>
                <w:color w:val="005A64"/>
              </w:rPr>
              <w:t>Registered</w:t>
            </w:r>
          </w:p>
        </w:tc>
        <w:tc>
          <w:tcPr>
            <w:tcW w:w="40" w:type="dxa"/>
            <w:vAlign w:val="bottom"/>
            <w:tcBorders>
              <w:bottom w:val="single" w:sz="8" w:color="BECE33"/>
            </w:tcBorders>
          </w:tcPr>
          <w:p>
            <w:pPr>
              <w:spacing w:after="0"/>
              <w:rPr>
                <w:sz w:val="6"/>
                <w:szCs w:val="6"/>
                <w:color w:val="auto"/>
              </w:rPr>
            </w:pPr>
          </w:p>
        </w:tc>
        <w:tc>
          <w:tcPr>
            <w:tcW w:w="840" w:type="dxa"/>
            <w:vAlign w:val="bottom"/>
            <w:tcBorders>
              <w:bottom w:val="single" w:sz="8" w:color="BECE33"/>
            </w:tcBorders>
          </w:tcPr>
          <w:p>
            <w:pPr>
              <w:spacing w:after="0"/>
              <w:rPr>
                <w:sz w:val="6"/>
                <w:szCs w:val="6"/>
                <w:color w:val="auto"/>
              </w:rPr>
            </w:pPr>
          </w:p>
        </w:tc>
        <w:tc>
          <w:tcPr>
            <w:tcW w:w="60" w:type="dxa"/>
            <w:vAlign w:val="bottom"/>
            <w:tcBorders>
              <w:bottom w:val="single" w:sz="8" w:color="BECE33"/>
            </w:tcBorders>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005A64"/>
              </w:rPr>
              <w:t>December</w:t>
            </w:r>
          </w:p>
        </w:tc>
        <w:tc>
          <w:tcPr>
            <w:tcW w:w="0" w:type="dxa"/>
            <w:vAlign w:val="bottom"/>
          </w:tcPr>
          <w:p>
            <w:pPr>
              <w:spacing w:after="0"/>
              <w:rPr>
                <w:sz w:val="1"/>
                <w:szCs w:val="1"/>
                <w:color w:val="auto"/>
              </w:rPr>
            </w:pPr>
          </w:p>
        </w:tc>
      </w:tr>
      <w:tr>
        <w:trPr>
          <w:trHeight w:val="101"/>
        </w:trPr>
        <w:tc>
          <w:tcPr>
            <w:tcW w:w="29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40" w:type="dxa"/>
            <w:vAlign w:val="bottom"/>
            <w:tcBorders>
              <w:left w:val="single" w:sz="8" w:color="BECE33"/>
            </w:tcBorders>
          </w:tcPr>
          <w:p>
            <w:pPr>
              <w:spacing w:after="0"/>
              <w:rPr>
                <w:sz w:val="8"/>
                <w:szCs w:val="8"/>
                <w:color w:val="auto"/>
              </w:rPr>
            </w:pPr>
          </w:p>
        </w:tc>
        <w:tc>
          <w:tcPr>
            <w:tcW w:w="840" w:type="dxa"/>
            <w:vAlign w:val="bottom"/>
          </w:tcPr>
          <w:p>
            <w:pPr>
              <w:spacing w:after="0" w:line="102" w:lineRule="exact"/>
              <w:rPr>
                <w:sz w:val="20"/>
                <w:szCs w:val="20"/>
                <w:color w:val="auto"/>
              </w:rPr>
            </w:pPr>
            <w:r>
              <w:rPr>
                <w:rFonts w:ascii="Arial" w:cs="Arial" w:eastAsia="Arial" w:hAnsi="Arial"/>
                <w:sz w:val="11"/>
                <w:szCs w:val="11"/>
                <w:b w:val="1"/>
                <w:bCs w:val="1"/>
                <w:color w:val="005A64"/>
              </w:rPr>
              <w:t>December</w:t>
            </w:r>
          </w:p>
        </w:tc>
        <w:tc>
          <w:tcPr>
            <w:tcW w:w="60" w:type="dxa"/>
            <w:vAlign w:val="bottom"/>
            <w:tcBorders>
              <w:right w:val="single" w:sz="8" w:color="BECE33"/>
            </w:tcBorders>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b w:val="1"/>
                <w:bCs w:val="1"/>
                <w:color w:val="005A64"/>
              </w:rPr>
              <w:t>incorporation</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b w:val="1"/>
                <w:bCs w:val="1"/>
                <w:color w:val="005A64"/>
              </w:rPr>
              <w:t>office</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005A64"/>
              </w:rPr>
              <w:t>31, 2024</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b w:val="1"/>
                <w:bCs w:val="1"/>
                <w:color w:val="005A64"/>
              </w:rPr>
              <w:t>31, 2023</w:t>
            </w:r>
          </w:p>
        </w:tc>
        <w:tc>
          <w:tcPr>
            <w:tcW w:w="0" w:type="dxa"/>
            <w:vAlign w:val="bottom"/>
          </w:tcPr>
          <w:p>
            <w:pPr>
              <w:spacing w:after="0"/>
              <w:rPr>
                <w:sz w:val="1"/>
                <w:szCs w:val="1"/>
                <w:color w:val="auto"/>
              </w:rPr>
            </w:pPr>
          </w:p>
        </w:tc>
      </w:tr>
      <w:tr>
        <w:trPr>
          <w:trHeight w:val="36"/>
        </w:trPr>
        <w:tc>
          <w:tcPr>
            <w:tcW w:w="2960" w:type="dxa"/>
            <w:vAlign w:val="bottom"/>
            <w:tcBorders>
              <w:bottom w:val="single" w:sz="8" w:color="005A64"/>
            </w:tcBorders>
          </w:tcPr>
          <w:p>
            <w:pPr>
              <w:spacing w:after="0"/>
              <w:rPr>
                <w:sz w:val="3"/>
                <w:szCs w:val="3"/>
                <w:color w:val="auto"/>
              </w:rPr>
            </w:pPr>
          </w:p>
        </w:tc>
        <w:tc>
          <w:tcPr>
            <w:tcW w:w="40" w:type="dxa"/>
            <w:vAlign w:val="bottom"/>
            <w:vMerge w:val="restart"/>
          </w:tcPr>
          <w:p>
            <w:pPr>
              <w:spacing w:after="0"/>
              <w:rPr>
                <w:sz w:val="3"/>
                <w:szCs w:val="3"/>
                <w:color w:val="auto"/>
              </w:rPr>
            </w:pPr>
          </w:p>
        </w:tc>
        <w:tc>
          <w:tcPr>
            <w:tcW w:w="960" w:type="dxa"/>
            <w:vAlign w:val="bottom"/>
            <w:tcBorders>
              <w:bottom w:val="single" w:sz="8" w:color="005A64"/>
            </w:tcBorders>
          </w:tcPr>
          <w:p>
            <w:pPr>
              <w:spacing w:after="0"/>
              <w:rPr>
                <w:sz w:val="3"/>
                <w:szCs w:val="3"/>
                <w:color w:val="auto"/>
              </w:rPr>
            </w:pPr>
          </w:p>
        </w:tc>
        <w:tc>
          <w:tcPr>
            <w:tcW w:w="40" w:type="dxa"/>
            <w:vAlign w:val="bottom"/>
            <w:vMerge w:val="restart"/>
          </w:tcPr>
          <w:p>
            <w:pPr>
              <w:spacing w:after="0"/>
              <w:rPr>
                <w:sz w:val="3"/>
                <w:szCs w:val="3"/>
                <w:color w:val="auto"/>
              </w:rPr>
            </w:pPr>
          </w:p>
        </w:tc>
        <w:tc>
          <w:tcPr>
            <w:tcW w:w="860" w:type="dxa"/>
            <w:vAlign w:val="bottom"/>
            <w:tcBorders>
              <w:bottom w:val="single" w:sz="8" w:color="005A64"/>
            </w:tcBorders>
          </w:tcPr>
          <w:p>
            <w:pPr>
              <w:spacing w:after="0"/>
              <w:rPr>
                <w:sz w:val="3"/>
                <w:szCs w:val="3"/>
                <w:color w:val="auto"/>
              </w:rPr>
            </w:pPr>
          </w:p>
        </w:tc>
        <w:tc>
          <w:tcPr>
            <w:tcW w:w="40" w:type="dxa"/>
            <w:vAlign w:val="bottom"/>
            <w:vMerge w:val="restart"/>
          </w:tcPr>
          <w:p>
            <w:pPr>
              <w:spacing w:after="0"/>
              <w:rPr>
                <w:sz w:val="3"/>
                <w:szCs w:val="3"/>
                <w:color w:val="auto"/>
              </w:rPr>
            </w:pPr>
          </w:p>
        </w:tc>
        <w:tc>
          <w:tcPr>
            <w:tcW w:w="40" w:type="dxa"/>
            <w:vAlign w:val="bottom"/>
            <w:tcBorders>
              <w:left w:val="single" w:sz="8" w:color="BECE33"/>
            </w:tcBorders>
            <w:vMerge w:val="restart"/>
          </w:tcPr>
          <w:p>
            <w:pPr>
              <w:spacing w:after="0"/>
              <w:rPr>
                <w:sz w:val="3"/>
                <w:szCs w:val="3"/>
                <w:color w:val="auto"/>
              </w:rPr>
            </w:pPr>
          </w:p>
        </w:tc>
        <w:tc>
          <w:tcPr>
            <w:tcW w:w="840" w:type="dxa"/>
            <w:vAlign w:val="bottom"/>
            <w:tcBorders>
              <w:bottom w:val="single" w:sz="8" w:color="005A64"/>
            </w:tcBorders>
          </w:tcPr>
          <w:p>
            <w:pPr>
              <w:spacing w:after="0"/>
              <w:rPr>
                <w:sz w:val="3"/>
                <w:szCs w:val="3"/>
                <w:color w:val="auto"/>
              </w:rPr>
            </w:pPr>
          </w:p>
        </w:tc>
        <w:tc>
          <w:tcPr>
            <w:tcW w:w="60" w:type="dxa"/>
            <w:vAlign w:val="bottom"/>
            <w:tcBorders>
              <w:right w:val="single" w:sz="8" w:color="BECE33"/>
            </w:tcBorders>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860" w:type="dxa"/>
            <w:vAlign w:val="bottom"/>
            <w:tcBorders>
              <w:bottom w:val="single" w:sz="8" w:color="005A64"/>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2960" w:type="dxa"/>
            <w:vAlign w:val="bottom"/>
          </w:tcPr>
          <w:p>
            <w:pPr>
              <w:ind w:left="20"/>
              <w:spacing w:after="0"/>
              <w:rPr>
                <w:sz w:val="20"/>
                <w:szCs w:val="20"/>
                <w:color w:val="auto"/>
              </w:rPr>
            </w:pPr>
            <w:r>
              <w:rPr>
                <w:rFonts w:ascii="Arial" w:cs="Arial" w:eastAsia="Arial" w:hAnsi="Arial"/>
                <w:sz w:val="12"/>
                <w:szCs w:val="12"/>
                <w:color w:val="005A64"/>
              </w:rPr>
              <w:t>BioNTech BioNTainer Holding GmbH</w:t>
            </w:r>
          </w:p>
        </w:tc>
        <w:tc>
          <w:tcPr>
            <w:tcW w:w="40" w:type="dxa"/>
            <w:vAlign w:val="bottom"/>
            <w:vMerge w:val="continue"/>
          </w:tcPr>
          <w:p>
            <w:pPr>
              <w:spacing w:after="0"/>
              <w:rPr>
                <w:sz w:val="12"/>
                <w:szCs w:val="12"/>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Germany</w:t>
            </w:r>
          </w:p>
        </w:tc>
        <w:tc>
          <w:tcPr>
            <w:tcW w:w="40" w:type="dxa"/>
            <w:vAlign w:val="bottom"/>
            <w:vMerge w:val="continue"/>
          </w:tcPr>
          <w:p>
            <w:pPr>
              <w:spacing w:after="0"/>
              <w:rPr>
                <w:sz w:val="12"/>
                <w:szCs w:val="12"/>
                <w:color w:val="auto"/>
              </w:rPr>
            </w:pPr>
          </w:p>
        </w:tc>
        <w:tc>
          <w:tcPr>
            <w:tcW w:w="860" w:type="dxa"/>
            <w:vAlign w:val="bottom"/>
          </w:tcPr>
          <w:p>
            <w:pPr>
              <w:spacing w:after="0"/>
              <w:rPr>
                <w:sz w:val="20"/>
                <w:szCs w:val="20"/>
                <w:color w:val="auto"/>
              </w:rPr>
            </w:pPr>
            <w:r>
              <w:rPr>
                <w:rFonts w:ascii="Arial" w:cs="Arial" w:eastAsia="Arial" w:hAnsi="Arial"/>
                <w:sz w:val="12"/>
                <w:szCs w:val="12"/>
                <w:color w:val="005A64"/>
              </w:rPr>
              <w:t>Mainz</w:t>
            </w:r>
          </w:p>
        </w:tc>
        <w:tc>
          <w:tcPr>
            <w:tcW w:w="40" w:type="dxa"/>
            <w:vAlign w:val="bottom"/>
            <w:vMerge w:val="continue"/>
          </w:tcPr>
          <w:p>
            <w:pPr>
              <w:spacing w:after="0"/>
              <w:rPr>
                <w:sz w:val="12"/>
                <w:szCs w:val="12"/>
                <w:color w:val="auto"/>
              </w:rPr>
            </w:pPr>
          </w:p>
        </w:tc>
        <w:tc>
          <w:tcPr>
            <w:tcW w:w="40" w:type="dxa"/>
            <w:vAlign w:val="bottom"/>
            <w:tcBorders>
              <w:left w:val="single" w:sz="8" w:color="BECE33"/>
            </w:tcBorders>
            <w:vMerge w:val="continue"/>
          </w:tcPr>
          <w:p>
            <w:pPr>
              <w:spacing w:after="0"/>
              <w:rPr>
                <w:sz w:val="12"/>
                <w:szCs w:val="12"/>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60"/>
        </w:trPr>
        <w:tc>
          <w:tcPr>
            <w:tcW w:w="2960" w:type="dxa"/>
            <w:vAlign w:val="bottom"/>
          </w:tcPr>
          <w:p>
            <w:pPr>
              <w:ind w:left="20"/>
              <w:spacing w:after="0"/>
              <w:rPr>
                <w:sz w:val="20"/>
                <w:szCs w:val="20"/>
                <w:color w:val="auto"/>
              </w:rPr>
            </w:pPr>
            <w:r>
              <w:rPr>
                <w:rFonts w:ascii="Arial" w:cs="Arial" w:eastAsia="Arial" w:hAnsi="Arial"/>
                <w:sz w:val="12"/>
                <w:szCs w:val="12"/>
                <w:color w:val="005A64"/>
              </w:rPr>
              <w:t>BioNTech Cell &amp; Gene Therapies GmbH</w:t>
            </w:r>
          </w:p>
        </w:tc>
        <w:tc>
          <w:tcPr>
            <w:tcW w:w="4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Germany</w:t>
            </w:r>
          </w:p>
        </w:tc>
        <w:tc>
          <w:tcPr>
            <w:tcW w:w="4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Mainz</w:t>
            </w:r>
          </w:p>
        </w:tc>
        <w:tc>
          <w:tcPr>
            <w:tcW w:w="40" w:type="dxa"/>
            <w:vAlign w:val="bottom"/>
            <w:tcBorders>
              <w:left w:val="single" w:sz="8" w:color="BECE33"/>
            </w:tcBorders>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3"/>
                <w:szCs w:val="13"/>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BioNTech Collaborations GmbH</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Germany</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Mainz</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vMerge w:val="restart"/>
          </w:tcPr>
          <w:p>
            <w:pPr>
              <w:ind w:left="20"/>
              <w:spacing w:after="0"/>
              <w:rPr>
                <w:sz w:val="20"/>
                <w:szCs w:val="20"/>
                <w:color w:val="auto"/>
              </w:rPr>
            </w:pPr>
            <w:r>
              <w:rPr>
                <w:rFonts w:ascii="Arial" w:cs="Arial" w:eastAsia="Arial" w:hAnsi="Arial"/>
                <w:sz w:val="12"/>
                <w:szCs w:val="12"/>
                <w:color w:val="005A64"/>
                <w:w w:val="83"/>
              </w:rPr>
              <w:t>n/a</w:t>
            </w:r>
          </w:p>
        </w:tc>
        <w:tc>
          <w:tcPr>
            <w:tcW w:w="680" w:type="dxa"/>
            <w:vAlign w:val="bottom"/>
          </w:tcPr>
          <w:p>
            <w:pPr>
              <w:jc w:val="right"/>
              <w:ind w:right="540"/>
              <w:spacing w:after="0"/>
              <w:rPr>
                <w:sz w:val="20"/>
                <w:szCs w:val="20"/>
                <w:color w:val="auto"/>
              </w:rPr>
            </w:pPr>
            <w:r>
              <w:rPr>
                <w:rFonts w:ascii="Arial" w:cs="Arial" w:eastAsia="Arial" w:hAnsi="Arial"/>
                <w:sz w:val="8"/>
                <w:szCs w:val="8"/>
                <w:color w:val="005A64"/>
                <w:w w:val="81"/>
              </w:rPr>
              <w:t>(1)</w:t>
            </w:r>
          </w:p>
        </w:tc>
        <w:tc>
          <w:tcPr>
            <w:tcW w:w="0" w:type="dxa"/>
            <w:vAlign w:val="bottom"/>
          </w:tcPr>
          <w:p>
            <w:pPr>
              <w:spacing w:after="0"/>
              <w:rPr>
                <w:sz w:val="1"/>
                <w:szCs w:val="1"/>
                <w:color w:val="auto"/>
              </w:rPr>
            </w:pPr>
          </w:p>
        </w:tc>
      </w:tr>
      <w:tr>
        <w:trPr>
          <w:trHeight w:val="32"/>
        </w:trPr>
        <w:tc>
          <w:tcPr>
            <w:tcW w:w="296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left w:val="single" w:sz="8" w:color="BECE33"/>
            </w:tcBorders>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Borders>
              <w:right w:val="single" w:sz="8" w:color="BECE33"/>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960" w:type="dxa"/>
            <w:vAlign w:val="bottom"/>
          </w:tcPr>
          <w:p>
            <w:pPr>
              <w:ind w:left="20"/>
              <w:spacing w:after="0"/>
              <w:rPr>
                <w:sz w:val="20"/>
                <w:szCs w:val="20"/>
                <w:color w:val="auto"/>
              </w:rPr>
            </w:pPr>
            <w:r>
              <w:rPr>
                <w:rFonts w:ascii="Arial" w:cs="Arial" w:eastAsia="Arial" w:hAnsi="Arial"/>
                <w:sz w:val="12"/>
                <w:szCs w:val="12"/>
                <w:color w:val="005A64"/>
              </w:rPr>
              <w:t>BioNTech Delivery Technologies GmbH</w:t>
            </w:r>
          </w:p>
        </w:tc>
        <w:tc>
          <w:tcPr>
            <w:tcW w:w="4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Germany</w:t>
            </w:r>
          </w:p>
        </w:tc>
        <w:tc>
          <w:tcPr>
            <w:tcW w:w="4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Halle</w:t>
            </w:r>
          </w:p>
        </w:tc>
        <w:tc>
          <w:tcPr>
            <w:tcW w:w="40" w:type="dxa"/>
            <w:vAlign w:val="bottom"/>
            <w:tcBorders>
              <w:left w:val="single" w:sz="8" w:color="BECE33"/>
            </w:tcBorders>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3"/>
                <w:szCs w:val="13"/>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BioNTech Diagnostics GmbH</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Germany</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Mainz</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BioNTech Europe GmbH</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Germany</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Mainz</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BioNTech Idar-Oberstein Services GmbH</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Germany</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Idar-Oberstein</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BioNTech Individualized mRNA Manufacturing GmbH</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Germany</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Mainz</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BioNTech Innovation and Services Marburg GmbH</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Germany</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Marburg</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BioNTech Innovation GmbH</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Germany</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Mainz</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BioNTech Innovative Manufacturing Services GmbH</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Germany</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Idar-Oberstein</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BioNTech Manufacturing GmbH</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Germany</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Mainz</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BioNTech Manufacturing Marburg GmbH</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Germany</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Marburg</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BioNTech Real Estate Holding GmbH</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Germany</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Holzkirchen</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InstaDeep DE GmbH</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Germany</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Berlin</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JPT Peptide Technologies GmbH</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Germany</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Berlin</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NT Security and Services GmbH</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Germany</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Mainz</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reSano GmbH</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Germany</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Mainz</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BioNTech Australia Pty Ltd.</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Australia</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Melbourne</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BioNTech R&amp;D (Austria) GmbH</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Austria</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Vienna</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Simba Merger Sub</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Cayman Islands</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George Town</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vMerge w:val="restart"/>
          </w:tcPr>
          <w:p>
            <w:pPr>
              <w:ind w:left="20"/>
              <w:spacing w:after="0"/>
              <w:rPr>
                <w:sz w:val="20"/>
                <w:szCs w:val="20"/>
                <w:color w:val="auto"/>
              </w:rPr>
            </w:pPr>
            <w:r>
              <w:rPr>
                <w:rFonts w:ascii="Arial" w:cs="Arial" w:eastAsia="Arial" w:hAnsi="Arial"/>
                <w:sz w:val="12"/>
                <w:szCs w:val="12"/>
                <w:color w:val="005A64"/>
                <w:w w:val="83"/>
              </w:rPr>
              <w:t>n/a</w:t>
            </w:r>
          </w:p>
        </w:tc>
        <w:tc>
          <w:tcPr>
            <w:tcW w:w="680" w:type="dxa"/>
            <w:vAlign w:val="bottom"/>
          </w:tcPr>
          <w:p>
            <w:pPr>
              <w:jc w:val="right"/>
              <w:ind w:right="540"/>
              <w:spacing w:after="0"/>
              <w:rPr>
                <w:sz w:val="20"/>
                <w:szCs w:val="20"/>
                <w:color w:val="auto"/>
              </w:rPr>
            </w:pPr>
            <w:r>
              <w:rPr>
                <w:rFonts w:ascii="Arial" w:cs="Arial" w:eastAsia="Arial" w:hAnsi="Arial"/>
                <w:sz w:val="8"/>
                <w:szCs w:val="8"/>
                <w:color w:val="005A64"/>
                <w:w w:val="81"/>
              </w:rPr>
              <w:t>(1)</w:t>
            </w:r>
          </w:p>
        </w:tc>
        <w:tc>
          <w:tcPr>
            <w:tcW w:w="0" w:type="dxa"/>
            <w:vAlign w:val="bottom"/>
          </w:tcPr>
          <w:p>
            <w:pPr>
              <w:spacing w:after="0"/>
              <w:rPr>
                <w:sz w:val="1"/>
                <w:szCs w:val="1"/>
                <w:color w:val="auto"/>
              </w:rPr>
            </w:pPr>
          </w:p>
        </w:tc>
      </w:tr>
      <w:tr>
        <w:trPr>
          <w:trHeight w:val="32"/>
        </w:trPr>
        <w:tc>
          <w:tcPr>
            <w:tcW w:w="296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left w:val="single" w:sz="8" w:color="BECE33"/>
            </w:tcBorders>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Borders>
              <w:right w:val="single" w:sz="8" w:color="BECE33"/>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960" w:type="dxa"/>
            <w:vAlign w:val="bottom"/>
          </w:tcPr>
          <w:p>
            <w:pPr>
              <w:ind w:left="20"/>
              <w:spacing w:after="0"/>
              <w:rPr>
                <w:sz w:val="20"/>
                <w:szCs w:val="20"/>
                <w:color w:val="auto"/>
              </w:rPr>
            </w:pPr>
            <w:r>
              <w:rPr>
                <w:rFonts w:ascii="Arial" w:cs="Arial" w:eastAsia="Arial" w:hAnsi="Arial"/>
                <w:sz w:val="12"/>
                <w:szCs w:val="12"/>
                <w:color w:val="005A64"/>
              </w:rPr>
              <w:t>BioNTech (Shanghai) Pharmaceuticals Co. Ltd.</w:t>
            </w:r>
          </w:p>
        </w:tc>
        <w:tc>
          <w:tcPr>
            <w:tcW w:w="4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China</w:t>
            </w:r>
          </w:p>
        </w:tc>
        <w:tc>
          <w:tcPr>
            <w:tcW w:w="4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Shanghai</w:t>
            </w:r>
          </w:p>
        </w:tc>
        <w:tc>
          <w:tcPr>
            <w:tcW w:w="40" w:type="dxa"/>
            <w:vAlign w:val="bottom"/>
            <w:tcBorders>
              <w:left w:val="single" w:sz="8" w:color="BECE33"/>
            </w:tcBorders>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3"/>
                <w:szCs w:val="13"/>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InstaDeep France SAS</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France</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Paris</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Biopharma BioNTech Israel Ltd.</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Israel</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Tel Aviv</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New Technologies Re</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Luxembourg</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Luxembourg</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InstaDeep Nigeria Limited</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Nigeria</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Lagos</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BioNTech Rwanda Ltd.</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Rwanda</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Kigali</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BioNTech Pharmaceuticals Asia Pacific Pte. Ltd.</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Singapore</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Singapore</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BioNTech Pharmaceuticals Spain S.L</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Spain</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Barcelona</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BioNTech Switzerland GmbH</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Switzerland</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Basel</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BioNTech Taiwan Co. Ltd.</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Taiwan</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Taipei</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InstaDeep Tunisia SARL</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Tunisia</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Tunis</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34"/>
        </w:trPr>
        <w:tc>
          <w:tcPr>
            <w:tcW w:w="2960" w:type="dxa"/>
            <w:vAlign w:val="bottom"/>
          </w:tcPr>
          <w:p>
            <w:pPr>
              <w:ind w:left="20"/>
              <w:spacing w:after="0" w:line="134" w:lineRule="exact"/>
              <w:rPr>
                <w:sz w:val="20"/>
                <w:szCs w:val="20"/>
                <w:color w:val="auto"/>
              </w:rPr>
            </w:pPr>
            <w:r>
              <w:rPr>
                <w:rFonts w:ascii="Arial" w:cs="Arial" w:eastAsia="Arial" w:hAnsi="Arial"/>
                <w:sz w:val="12"/>
                <w:szCs w:val="12"/>
                <w:color w:val="005A64"/>
              </w:rPr>
              <w:t>BioNTech Turkey Tıbbi Ürünler Ve Klinik Araştirma</w:t>
            </w:r>
          </w:p>
        </w:tc>
        <w:tc>
          <w:tcPr>
            <w:tcW w:w="40" w:type="dxa"/>
            <w:vAlign w:val="bottom"/>
          </w:tcPr>
          <w:p>
            <w:pPr>
              <w:spacing w:after="0"/>
              <w:rPr>
                <w:sz w:val="11"/>
                <w:szCs w:val="11"/>
                <w:color w:val="auto"/>
              </w:rPr>
            </w:pPr>
          </w:p>
        </w:tc>
        <w:tc>
          <w:tcPr>
            <w:tcW w:w="960" w:type="dxa"/>
            <w:vAlign w:val="bottom"/>
          </w:tcPr>
          <w:p>
            <w:pPr>
              <w:spacing w:after="0" w:line="134" w:lineRule="exact"/>
              <w:rPr>
                <w:sz w:val="20"/>
                <w:szCs w:val="20"/>
                <w:color w:val="auto"/>
              </w:rPr>
            </w:pPr>
            <w:r>
              <w:rPr>
                <w:rFonts w:ascii="Arial" w:cs="Arial" w:eastAsia="Arial" w:hAnsi="Arial"/>
                <w:sz w:val="12"/>
                <w:szCs w:val="12"/>
                <w:color w:val="005A64"/>
              </w:rPr>
              <w:t>Turkey</w:t>
            </w:r>
          </w:p>
        </w:tc>
        <w:tc>
          <w:tcPr>
            <w:tcW w:w="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color w:val="005A64"/>
              </w:rPr>
              <w:t>Istanbul</w:t>
            </w:r>
          </w:p>
        </w:tc>
        <w:tc>
          <w:tcPr>
            <w:tcW w:w="40" w:type="dxa"/>
            <w:vAlign w:val="bottom"/>
            <w:tcBorders>
              <w:left w:val="single" w:sz="8" w:color="BECE33"/>
            </w:tcBorders>
          </w:tcPr>
          <w:p>
            <w:pPr>
              <w:spacing w:after="0"/>
              <w:rPr>
                <w:sz w:val="11"/>
                <w:szCs w:val="11"/>
                <w:color w:val="auto"/>
              </w:rPr>
            </w:pPr>
          </w:p>
        </w:tc>
        <w:tc>
          <w:tcPr>
            <w:tcW w:w="840" w:type="dxa"/>
            <w:vAlign w:val="bottom"/>
          </w:tcPr>
          <w:p>
            <w:pPr>
              <w:spacing w:after="0" w:line="134" w:lineRule="exact"/>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1"/>
                <w:szCs w:val="11"/>
                <w:color w:val="auto"/>
              </w:rPr>
            </w:pPr>
          </w:p>
        </w:tc>
        <w:tc>
          <w:tcPr>
            <w:tcW w:w="880" w:type="dxa"/>
            <w:vAlign w:val="bottom"/>
            <w:gridSpan w:val="3"/>
          </w:tcPr>
          <w:p>
            <w:pPr>
              <w:ind w:left="40"/>
              <w:spacing w:after="0" w:line="134" w:lineRule="exact"/>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60"/>
        </w:trPr>
        <w:tc>
          <w:tcPr>
            <w:tcW w:w="2960" w:type="dxa"/>
            <w:vAlign w:val="bottom"/>
          </w:tcPr>
          <w:p>
            <w:pPr>
              <w:ind w:left="20"/>
              <w:spacing w:after="0"/>
              <w:rPr>
                <w:sz w:val="20"/>
                <w:szCs w:val="20"/>
                <w:color w:val="auto"/>
              </w:rPr>
            </w:pPr>
            <w:r>
              <w:rPr>
                <w:rFonts w:ascii="Arial" w:cs="Arial" w:eastAsia="Arial" w:hAnsi="Arial"/>
                <w:sz w:val="12"/>
                <w:szCs w:val="12"/>
                <w:color w:val="005A64"/>
              </w:rPr>
              <w:t>Ticaret Anonim Şirketi</w:t>
            </w: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left w:val="single" w:sz="8" w:color="BECE33"/>
            </w:tcBorders>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Borders>
              <w:right w:val="single" w:sz="8" w:color="BECE33"/>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960" w:type="dxa"/>
            <w:vAlign w:val="bottom"/>
          </w:tcPr>
          <w:p>
            <w:pPr>
              <w:ind w:left="20"/>
              <w:spacing w:after="0"/>
              <w:rPr>
                <w:sz w:val="20"/>
                <w:szCs w:val="20"/>
                <w:color w:val="auto"/>
              </w:rPr>
            </w:pPr>
            <w:r>
              <w:rPr>
                <w:rFonts w:ascii="Arial" w:cs="Arial" w:eastAsia="Arial" w:hAnsi="Arial"/>
                <w:sz w:val="12"/>
                <w:szCs w:val="12"/>
                <w:color w:val="005A64"/>
              </w:rPr>
              <w:t>BioNTech UK Ltd.</w:t>
            </w:r>
          </w:p>
        </w:tc>
        <w:tc>
          <w:tcPr>
            <w:tcW w:w="4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United Kingdom</w:t>
            </w:r>
          </w:p>
        </w:tc>
        <w:tc>
          <w:tcPr>
            <w:tcW w:w="40" w:type="dxa"/>
            <w:vAlign w:val="bottom"/>
          </w:tcPr>
          <w:p>
            <w:pPr>
              <w:spacing w:after="0"/>
              <w:rPr>
                <w:sz w:val="17"/>
                <w:szCs w:val="17"/>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London</w:t>
            </w:r>
          </w:p>
        </w:tc>
        <w:tc>
          <w:tcPr>
            <w:tcW w:w="40" w:type="dxa"/>
            <w:vAlign w:val="bottom"/>
            <w:tcBorders>
              <w:left w:val="single" w:sz="8" w:color="BECE33"/>
            </w:tcBorders>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7"/>
                <w:szCs w:val="17"/>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InstaDeep Ltd.</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United Kingdom</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London</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BioNTech Research and Development, Inc.</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United States</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Cambridge</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BioNTech USA Holding, LLC</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United States</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Cambridge</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BioNTech US Inc.</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United States</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Cambridge</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BioNTech Delivery Technologies (US), LLC</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United States</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Cambridge</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InstaDeep LLC</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United States</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Dover</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2"/>
                <w:szCs w:val="12"/>
                <w:color w:val="005A64"/>
              </w:rPr>
              <w:t>JPT Peptide Technologies Inc.</w:t>
            </w:r>
          </w:p>
        </w:tc>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United States</w:t>
            </w:r>
          </w:p>
        </w:tc>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color w:val="005A64"/>
              </w:rPr>
              <w:t>Cambridge</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100 %</w:t>
            </w:r>
          </w:p>
        </w:tc>
        <w:tc>
          <w:tcPr>
            <w:tcW w:w="60" w:type="dxa"/>
            <w:vAlign w:val="bottom"/>
            <w:tcBorders>
              <w:right w:val="single" w:sz="8" w:color="BECE33"/>
            </w:tcBorders>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color w:val="005A64"/>
              </w:rPr>
              <w:t>100 %</w:t>
            </w:r>
          </w:p>
        </w:tc>
        <w:tc>
          <w:tcPr>
            <w:tcW w:w="0" w:type="dxa"/>
            <w:vAlign w:val="bottom"/>
          </w:tcPr>
          <w:p>
            <w:pPr>
              <w:spacing w:after="0"/>
              <w:rPr>
                <w:sz w:val="1"/>
                <w:szCs w:val="1"/>
                <w:color w:val="auto"/>
              </w:rPr>
            </w:pPr>
          </w:p>
        </w:tc>
      </w:tr>
      <w:tr>
        <w:trPr>
          <w:trHeight w:val="23"/>
        </w:trPr>
        <w:tc>
          <w:tcPr>
            <w:tcW w:w="2960" w:type="dxa"/>
            <w:vAlign w:val="bottom"/>
            <w:tcBorders>
              <w:bottom w:val="single" w:sz="8" w:color="005A6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005A6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005A6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left w:val="single" w:sz="8" w:color="BECE33"/>
            </w:tcBorders>
          </w:tcPr>
          <w:p>
            <w:pPr>
              <w:spacing w:after="0" w:line="20" w:lineRule="exact"/>
              <w:rPr>
                <w:sz w:val="1"/>
                <w:szCs w:val="1"/>
                <w:color w:val="auto"/>
              </w:rPr>
            </w:pPr>
          </w:p>
        </w:tc>
        <w:tc>
          <w:tcPr>
            <w:tcW w:w="840" w:type="dxa"/>
            <w:vAlign w:val="bottom"/>
            <w:tcBorders>
              <w:bottom w:val="single" w:sz="8" w:color="005A64"/>
            </w:tcBorders>
          </w:tcPr>
          <w:p>
            <w:pPr>
              <w:spacing w:after="0" w:line="20" w:lineRule="exact"/>
              <w:rPr>
                <w:sz w:val="1"/>
                <w:szCs w:val="1"/>
                <w:color w:val="auto"/>
              </w:rPr>
            </w:pPr>
          </w:p>
        </w:tc>
        <w:tc>
          <w:tcPr>
            <w:tcW w:w="60" w:type="dxa"/>
            <w:vAlign w:val="bottom"/>
            <w:tcBorders>
              <w:right w:val="single" w:sz="8" w:color="BECE3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5A64"/>
            </w:tcBorders>
          </w:tcPr>
          <w:p>
            <w:pPr>
              <w:spacing w:after="0" w:line="20" w:lineRule="exact"/>
              <w:rPr>
                <w:sz w:val="1"/>
                <w:szCs w:val="1"/>
                <w:color w:val="auto"/>
              </w:rPr>
            </w:pPr>
          </w:p>
        </w:tc>
        <w:tc>
          <w:tcPr>
            <w:tcW w:w="680" w:type="dxa"/>
            <w:vAlign w:val="bottom"/>
            <w:tcBorders>
              <w:bottom w:val="single" w:sz="8" w:color="005A64"/>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3350260</wp:posOffset>
            </wp:positionH>
            <wp:positionV relativeFrom="paragraph">
              <wp:posOffset>-5715</wp:posOffset>
            </wp:positionV>
            <wp:extent cx="25400" cy="63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9">
                      <a:extLst>
                        <a:ext uri="{28A0092B-C50C-407E-A947-70E740481C1C}"/>
                      </a:extLst>
                    </a:blip>
                    <a:srcRect/>
                    <a:stretch>
                      <a:fillRect/>
                    </a:stretch>
                  </pic:blipFill>
                  <pic:spPr bwMode="auto">
                    <a:xfrm>
                      <a:off x="0" y="0"/>
                      <a:ext cx="25400" cy="635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-5715</wp:posOffset>
            </wp:positionV>
            <wp:extent cx="32385" cy="63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0">
                      <a:extLst>
                        <a:ext uri="{28A0092B-C50C-407E-A947-70E740481C1C}"/>
                      </a:extLst>
                    </a:blip>
                    <a:srcRect/>
                    <a:stretch>
                      <a:fillRect/>
                    </a:stretch>
                  </pic:blipFill>
                  <pic:spPr bwMode="auto">
                    <a:xfrm>
                      <a:off x="0" y="0"/>
                      <a:ext cx="32385" cy="6350"/>
                    </a:xfrm>
                    <a:prstGeom prst="rect">
                      <a:avLst/>
                    </a:prstGeom>
                    <a:noFill/>
                  </pic:spPr>
                </pic:pic>
              </a:graphicData>
            </a:graphic>
          </wp:anchor>
        </w:drawing>
      </w:r>
    </w:p>
    <w:p>
      <w:pPr>
        <w:ind w:left="580" w:hanging="197"/>
        <w:spacing w:after="0"/>
        <w:tabs>
          <w:tab w:leader="none" w:pos="580" w:val="left"/>
        </w:tabs>
        <w:numPr>
          <w:ilvl w:val="0"/>
          <w:numId w:val="49"/>
        </w:numPr>
        <w:rPr>
          <w:rFonts w:ascii="Arial" w:cs="Arial" w:eastAsia="Arial" w:hAnsi="Arial"/>
          <w:sz w:val="16"/>
          <w:szCs w:val="16"/>
          <w:color w:val="005A64"/>
          <w:vertAlign w:val="superscript"/>
        </w:rPr>
      </w:pPr>
      <w:r>
        <w:rPr>
          <w:rFonts w:ascii="Arial" w:cs="Arial" w:eastAsia="Arial" w:hAnsi="Arial"/>
          <w:sz w:val="12"/>
          <w:szCs w:val="12"/>
          <w:color w:val="005A64"/>
        </w:rPr>
        <w:t>Included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F-32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All entities listed above are included in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0" w:lineRule="auto"/>
        <w:rPr>
          <w:sz w:val="20"/>
          <w:szCs w:val="20"/>
          <w:color w:val="auto"/>
        </w:rPr>
      </w:pPr>
      <w:r>
        <w:rPr>
          <w:rFonts w:ascii="Arial" w:cs="Arial" w:eastAsia="Arial" w:hAnsi="Arial"/>
          <w:sz w:val="13"/>
          <w:szCs w:val="13"/>
          <w:b w:val="1"/>
          <w:bCs w:val="1"/>
          <w:color w:val="005A64"/>
        </w:rPr>
        <w:t>Parent Company</w:t>
      </w:r>
    </w:p>
    <w:p>
      <w:pPr>
        <w:spacing w:after="0" w:line="1" w:lineRule="exact"/>
        <w:rPr>
          <w:sz w:val="20"/>
          <w:szCs w:val="20"/>
          <w:color w:val="auto"/>
        </w:rPr>
      </w:pPr>
    </w:p>
    <w:p>
      <w:pPr>
        <w:jc w:val="both"/>
        <w:ind w:left="380" w:right="2140"/>
        <w:spacing w:after="0" w:line="222" w:lineRule="auto"/>
        <w:rPr>
          <w:sz w:val="20"/>
          <w:szCs w:val="20"/>
          <w:color w:val="auto"/>
        </w:rPr>
      </w:pPr>
      <w:r>
        <w:rPr>
          <w:rFonts w:ascii="Arial" w:cs="Arial" w:eastAsia="Arial" w:hAnsi="Arial"/>
          <w:sz w:val="13"/>
          <w:szCs w:val="13"/>
          <w:color w:val="auto"/>
        </w:rPr>
        <w:t>ATHOS KG, Holzkirchen, Germany, is the sole shareholder of AT Impf GmbH, Munich, Germany, and beneficial owner of the following percentage of ordinary shares in BioNTech at the dates as indicated. ATHOS KG via AT Impf GmbH has de facto control over BioNTech based on its substantial shareholding, which practically enables it to exercise the majority of voting rights to pass resolutions at our Annual General Meeting, or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-12065</wp:posOffset>
            </wp:positionV>
            <wp:extent cx="4268470" cy="127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2">
                      <a:extLst>
                        <a:ext uri="{28A0092B-C50C-407E-A947-70E740481C1C}"/>
                      </a:extLst>
                    </a:blip>
                    <a:srcRect/>
                    <a:stretch>
                      <a:fillRect/>
                    </a:stretch>
                  </pic:blipFill>
                  <pic:spPr bwMode="auto">
                    <a:xfrm>
                      <a:off x="0" y="0"/>
                      <a:ext cx="4268470" cy="12700"/>
                    </a:xfrm>
                    <a:prstGeom prst="rect">
                      <a:avLst/>
                    </a:prstGeom>
                    <a:noFill/>
                  </pic:spPr>
                </pic:pic>
              </a:graphicData>
            </a:graphic>
          </wp:anchor>
        </w:drawing>
      </w:r>
    </w:p>
    <w:p>
      <w:pPr>
        <w:spacing w:after="0" w:line="24"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gridSpan w:val="4"/>
          </w:tcPr>
          <w:p>
            <w:pPr>
              <w:ind w:left="20"/>
              <w:spacing w:after="0"/>
              <w:rPr>
                <w:sz w:val="20"/>
                <w:szCs w:val="20"/>
                <w:color w:val="auto"/>
              </w:rPr>
            </w:pPr>
            <w:r>
              <w:rPr>
                <w:rFonts w:ascii="Arial" w:cs="Arial" w:eastAsia="Arial" w:hAnsi="Arial"/>
                <w:sz w:val="12"/>
                <w:szCs w:val="12"/>
                <w:b w:val="1"/>
                <w:bCs w:val="1"/>
                <w:color w:val="005A64"/>
              </w:rPr>
              <w:t>Ownership of ordinary shares in</w:t>
            </w: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005A64"/>
              </w:rPr>
              <w:t>BioNTech (in %)</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2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20" w:type="dxa"/>
            <w:vAlign w:val="bottom"/>
            <w:tcBorders>
              <w:bottom w:val="single" w:sz="8" w:color="005A64"/>
            </w:tcBorders>
          </w:tcPr>
          <w:p>
            <w:pPr>
              <w:spacing w:after="0"/>
              <w:rPr>
                <w:sz w:val="4"/>
                <w:szCs w:val="4"/>
                <w:color w:val="auto"/>
              </w:rPr>
            </w:pPr>
          </w:p>
        </w:tc>
        <w:tc>
          <w:tcPr>
            <w:tcW w:w="10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420" w:type="dxa"/>
            <w:vAlign w:val="bottom"/>
            <w:vMerge w:val="restart"/>
          </w:tcPr>
          <w:p>
            <w:pPr>
              <w:ind w:left="20"/>
              <w:spacing w:after="0"/>
              <w:rPr>
                <w:sz w:val="20"/>
                <w:szCs w:val="20"/>
                <w:color w:val="auto"/>
              </w:rPr>
            </w:pPr>
            <w:r>
              <w:rPr>
                <w:rFonts w:ascii="Arial" w:cs="Arial" w:eastAsia="Arial" w:hAnsi="Arial"/>
                <w:sz w:val="12"/>
                <w:szCs w:val="12"/>
                <w:b w:val="1"/>
                <w:bCs w:val="1"/>
                <w:color w:val="005A64"/>
              </w:rPr>
              <w:t>Name</w:t>
            </w:r>
          </w:p>
        </w:tc>
        <w:tc>
          <w:tcPr>
            <w:tcW w:w="20" w:type="dxa"/>
            <w:vAlign w:val="bottom"/>
          </w:tcPr>
          <w:p>
            <w:pPr>
              <w:spacing w:after="0"/>
              <w:rPr>
                <w:sz w:val="5"/>
                <w:szCs w:val="5"/>
                <w:color w:val="auto"/>
              </w:rPr>
            </w:pPr>
          </w:p>
        </w:tc>
        <w:tc>
          <w:tcPr>
            <w:tcW w:w="1040" w:type="dxa"/>
            <w:vAlign w:val="bottom"/>
            <w:vMerge w:val="restart"/>
          </w:tcPr>
          <w:p>
            <w:pPr>
              <w:ind w:left="20"/>
              <w:spacing w:after="0"/>
              <w:rPr>
                <w:sz w:val="20"/>
                <w:szCs w:val="20"/>
                <w:color w:val="auto"/>
              </w:rPr>
            </w:pPr>
            <w:r>
              <w:rPr>
                <w:rFonts w:ascii="Arial" w:cs="Arial" w:eastAsia="Arial" w:hAnsi="Arial"/>
                <w:sz w:val="12"/>
                <w:szCs w:val="12"/>
                <w:b w:val="1"/>
                <w:bCs w:val="1"/>
                <w:color w:val="005A64"/>
              </w:rPr>
              <w:t>Country of</w:t>
            </w:r>
          </w:p>
        </w:tc>
        <w:tc>
          <w:tcPr>
            <w:tcW w:w="40" w:type="dxa"/>
            <w:vAlign w:val="bottom"/>
          </w:tcPr>
          <w:p>
            <w:pPr>
              <w:spacing w:after="0"/>
              <w:rPr>
                <w:sz w:val="5"/>
                <w:szCs w:val="5"/>
                <w:color w:val="auto"/>
              </w:rPr>
            </w:pPr>
          </w:p>
        </w:tc>
        <w:tc>
          <w:tcPr>
            <w:tcW w:w="1040" w:type="dxa"/>
            <w:vAlign w:val="bottom"/>
            <w:gridSpan w:val="2"/>
            <w:vMerge w:val="restart"/>
          </w:tcPr>
          <w:p>
            <w:pPr>
              <w:spacing w:after="0"/>
              <w:rPr>
                <w:sz w:val="20"/>
                <w:szCs w:val="20"/>
                <w:color w:val="auto"/>
              </w:rPr>
            </w:pPr>
            <w:r>
              <w:rPr>
                <w:rFonts w:ascii="Arial" w:cs="Arial" w:eastAsia="Arial" w:hAnsi="Arial"/>
                <w:sz w:val="12"/>
                <w:szCs w:val="12"/>
                <w:b w:val="1"/>
                <w:bCs w:val="1"/>
                <w:color w:val="005A64"/>
              </w:rPr>
              <w:t>Registered</w:t>
            </w:r>
          </w:p>
        </w:tc>
        <w:tc>
          <w:tcPr>
            <w:tcW w:w="40" w:type="dxa"/>
            <w:vAlign w:val="bottom"/>
            <w:tcBorders>
              <w:bottom w:val="single" w:sz="8" w:color="BECE33"/>
            </w:tcBorders>
          </w:tcPr>
          <w:p>
            <w:pPr>
              <w:spacing w:after="0"/>
              <w:rPr>
                <w:sz w:val="5"/>
                <w:szCs w:val="5"/>
                <w:color w:val="auto"/>
              </w:rPr>
            </w:pPr>
          </w:p>
        </w:tc>
        <w:tc>
          <w:tcPr>
            <w:tcW w:w="1020" w:type="dxa"/>
            <w:vAlign w:val="bottom"/>
            <w:tcBorders>
              <w:bottom w:val="single" w:sz="8" w:color="BECE33"/>
            </w:tcBorders>
          </w:tcPr>
          <w:p>
            <w:pPr>
              <w:spacing w:after="0"/>
              <w:rPr>
                <w:sz w:val="5"/>
                <w:szCs w:val="5"/>
                <w:color w:val="auto"/>
              </w:rPr>
            </w:pPr>
          </w:p>
        </w:tc>
        <w:tc>
          <w:tcPr>
            <w:tcW w:w="60" w:type="dxa"/>
            <w:vAlign w:val="bottom"/>
            <w:tcBorders>
              <w:bottom w:val="single" w:sz="8" w:color="BECE33"/>
            </w:tcBorders>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vMerge w:val="restart"/>
          </w:tcPr>
          <w:p>
            <w:pPr>
              <w:ind w:left="20"/>
              <w:spacing w:after="0"/>
              <w:rPr>
                <w:sz w:val="20"/>
                <w:szCs w:val="20"/>
                <w:color w:val="auto"/>
              </w:rPr>
            </w:pPr>
            <w:r>
              <w:rPr>
                <w:rFonts w:ascii="Arial" w:cs="Arial" w:eastAsia="Arial" w:hAnsi="Arial"/>
                <w:sz w:val="12"/>
                <w:szCs w:val="12"/>
                <w:b w:val="1"/>
                <w:bCs w:val="1"/>
                <w:color w:val="005A64"/>
              </w:rPr>
              <w:t>December 31,</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ind w:left="20"/>
              <w:spacing w:after="0" w:line="102" w:lineRule="exact"/>
              <w:rPr>
                <w:sz w:val="20"/>
                <w:szCs w:val="20"/>
                <w:color w:val="auto"/>
              </w:rPr>
            </w:pPr>
            <w:r>
              <w:rPr>
                <w:rFonts w:ascii="Arial" w:cs="Arial" w:eastAsia="Arial" w:hAnsi="Arial"/>
                <w:sz w:val="11"/>
                <w:szCs w:val="11"/>
                <w:b w:val="1"/>
                <w:bCs w:val="1"/>
                <w:color w:val="005A64"/>
              </w:rPr>
              <w:t>December 31,</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2"/>
                <w:szCs w:val="12"/>
                <w:b w:val="1"/>
                <w:bCs w:val="1"/>
                <w:color w:val="005A64"/>
              </w:rPr>
              <w:t>incorporation</w:t>
            </w:r>
          </w:p>
        </w:tc>
        <w:tc>
          <w:tcPr>
            <w:tcW w:w="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005A64"/>
              </w:rPr>
              <w:t>office</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005A64"/>
              </w:rPr>
              <w:t>2024</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005A64"/>
              </w:rPr>
              <w:t>2023</w:t>
            </w:r>
          </w:p>
        </w:tc>
        <w:tc>
          <w:tcPr>
            <w:tcW w:w="0" w:type="dxa"/>
            <w:vAlign w:val="bottom"/>
          </w:tcPr>
          <w:p>
            <w:pPr>
              <w:spacing w:after="0"/>
              <w:rPr>
                <w:sz w:val="1"/>
                <w:szCs w:val="1"/>
                <w:color w:val="auto"/>
              </w:rPr>
            </w:pPr>
          </w:p>
        </w:tc>
      </w:tr>
      <w:tr>
        <w:trPr>
          <w:trHeight w:val="46"/>
        </w:trPr>
        <w:tc>
          <w:tcPr>
            <w:tcW w:w="242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1040" w:type="dxa"/>
            <w:vAlign w:val="bottom"/>
            <w:tcBorders>
              <w:bottom w:val="single" w:sz="8" w:color="005A64"/>
            </w:tcBorders>
          </w:tcPr>
          <w:p>
            <w:pPr>
              <w:spacing w:after="0"/>
              <w:rPr>
                <w:sz w:val="4"/>
                <w:szCs w:val="4"/>
                <w:color w:val="auto"/>
              </w:rPr>
            </w:pPr>
          </w:p>
        </w:tc>
        <w:tc>
          <w:tcPr>
            <w:tcW w:w="40" w:type="dxa"/>
            <w:vAlign w:val="bottom"/>
            <w:vMerge w:val="restart"/>
          </w:tcPr>
          <w:p>
            <w:pPr>
              <w:spacing w:after="0"/>
              <w:rPr>
                <w:sz w:val="4"/>
                <w:szCs w:val="4"/>
                <w:color w:val="auto"/>
              </w:rPr>
            </w:pPr>
          </w:p>
        </w:tc>
        <w:tc>
          <w:tcPr>
            <w:tcW w:w="102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1020" w:type="dxa"/>
            <w:vAlign w:val="bottom"/>
            <w:tcBorders>
              <w:bottom w:val="single" w:sz="8" w:color="005A64"/>
            </w:tcBorders>
          </w:tcPr>
          <w:p>
            <w:pPr>
              <w:spacing w:after="0"/>
              <w:rPr>
                <w:sz w:val="4"/>
                <w:szCs w:val="4"/>
                <w:color w:val="auto"/>
              </w:rPr>
            </w:pPr>
          </w:p>
        </w:tc>
        <w:tc>
          <w:tcPr>
            <w:tcW w:w="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0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420" w:type="dxa"/>
            <w:vAlign w:val="bottom"/>
          </w:tcPr>
          <w:p>
            <w:pPr>
              <w:ind w:left="20"/>
              <w:spacing w:after="0"/>
              <w:rPr>
                <w:sz w:val="20"/>
                <w:szCs w:val="20"/>
                <w:color w:val="auto"/>
              </w:rPr>
            </w:pPr>
            <w:r>
              <w:rPr>
                <w:rFonts w:ascii="Arial" w:cs="Arial" w:eastAsia="Arial" w:hAnsi="Arial"/>
                <w:sz w:val="12"/>
                <w:szCs w:val="12"/>
                <w:color w:val="005A64"/>
              </w:rPr>
              <w:t>AT Impf GmbH</w:t>
            </w:r>
          </w:p>
        </w:tc>
        <w:tc>
          <w:tcPr>
            <w:tcW w:w="20" w:type="dxa"/>
            <w:vAlign w:val="bottom"/>
            <w:vMerge w:val="continue"/>
          </w:tcPr>
          <w:p>
            <w:pPr>
              <w:spacing w:after="0"/>
              <w:rPr>
                <w:sz w:val="13"/>
                <w:szCs w:val="13"/>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005A64"/>
              </w:rPr>
              <w:t>Germany</w:t>
            </w:r>
          </w:p>
        </w:tc>
        <w:tc>
          <w:tcPr>
            <w:tcW w:w="40" w:type="dxa"/>
            <w:vAlign w:val="bottom"/>
            <w:vMerge w:val="continue"/>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2"/>
                <w:szCs w:val="12"/>
                <w:color w:val="005A64"/>
              </w:rPr>
              <w:t>Munich</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020" w:type="dxa"/>
            <w:vAlign w:val="bottom"/>
          </w:tcPr>
          <w:p>
            <w:pPr>
              <w:ind w:left="20"/>
              <w:spacing w:after="0"/>
              <w:rPr>
                <w:sz w:val="20"/>
                <w:szCs w:val="20"/>
                <w:color w:val="auto"/>
              </w:rPr>
            </w:pPr>
            <w:r>
              <w:rPr>
                <w:rFonts w:ascii="Arial" w:cs="Arial" w:eastAsia="Arial" w:hAnsi="Arial"/>
                <w:sz w:val="12"/>
                <w:szCs w:val="12"/>
                <w:color w:val="005A64"/>
              </w:rPr>
              <w:t>42.44%</w:t>
            </w:r>
          </w:p>
        </w:tc>
        <w:tc>
          <w:tcPr>
            <w:tcW w:w="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20" w:type="dxa"/>
            <w:vAlign w:val="bottom"/>
          </w:tcPr>
          <w:p>
            <w:pPr>
              <w:ind w:left="20"/>
              <w:spacing w:after="0"/>
              <w:rPr>
                <w:sz w:val="20"/>
                <w:szCs w:val="20"/>
                <w:color w:val="auto"/>
              </w:rPr>
            </w:pPr>
            <w:r>
              <w:rPr>
                <w:rFonts w:ascii="Arial" w:cs="Arial" w:eastAsia="Arial" w:hAnsi="Arial"/>
                <w:sz w:val="12"/>
                <w:szCs w:val="12"/>
                <w:color w:val="005A64"/>
              </w:rPr>
              <w:t>43.77%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3138170</wp:posOffset>
            </wp:positionH>
            <wp:positionV relativeFrom="paragraph">
              <wp:posOffset>-318770</wp:posOffset>
            </wp:positionV>
            <wp:extent cx="706120" cy="3467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3">
                      <a:extLst>
                        <a:ext uri="{28A0092B-C50C-407E-A947-70E740481C1C}"/>
                      </a:extLst>
                    </a:blip>
                    <a:srcRect/>
                    <a:stretch>
                      <a:fillRect/>
                    </a:stretch>
                  </pic:blipFill>
                  <pic:spPr bwMode="auto">
                    <a:xfrm>
                      <a:off x="0" y="0"/>
                      <a:ext cx="706120" cy="34671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b w:val="1"/>
          <w:bCs w:val="1"/>
          <w:color w:val="005A64"/>
        </w:rPr>
        <w:t>Entity with Significant Influence over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4268470" cy="63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4">
                      <a:extLst>
                        <a:ext uri="{28A0092B-C50C-407E-A947-70E740481C1C}"/>
                      </a:extLst>
                    </a:blip>
                    <a:srcRect/>
                    <a:stretch>
                      <a:fillRect/>
                    </a:stretch>
                  </pic:blipFill>
                  <pic:spPr bwMode="auto">
                    <a:xfrm>
                      <a:off x="0" y="0"/>
                      <a:ext cx="4268470" cy="6350"/>
                    </a:xfrm>
                    <a:prstGeom prst="rect">
                      <a:avLst/>
                    </a:prstGeom>
                    <a:noFill/>
                  </pic:spPr>
                </pic:pic>
              </a:graphicData>
            </a:graphic>
          </wp:anchor>
        </w:drawing>
      </w:r>
    </w:p>
    <w:p>
      <w:pPr>
        <w:ind w:left="380" w:right="2080"/>
        <w:spacing w:after="0" w:line="234" w:lineRule="auto"/>
        <w:rPr>
          <w:sz w:val="20"/>
          <w:szCs w:val="20"/>
          <w:color w:val="auto"/>
        </w:rPr>
      </w:pPr>
      <w:r>
        <w:rPr>
          <w:rFonts w:ascii="Arial" w:cs="Arial" w:eastAsia="Arial" w:hAnsi="Arial"/>
          <w:sz w:val="13"/>
          <w:szCs w:val="13"/>
          <w:color w:val="auto"/>
        </w:rPr>
        <w:t>Medine GmbH, Mainz, Germany, owned the following percentage of ordinary shares in BioNTech at the following dates as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-12700</wp:posOffset>
            </wp:positionV>
            <wp:extent cx="4268470" cy="127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5">
                      <a:extLst>
                        <a:ext uri="{28A0092B-C50C-407E-A947-70E740481C1C}"/>
                      </a:extLst>
                    </a:blip>
                    <a:srcRect/>
                    <a:stretch>
                      <a:fillRect/>
                    </a:stretch>
                  </pic:blipFill>
                  <pic:spPr bwMode="auto">
                    <a:xfrm>
                      <a:off x="0" y="0"/>
                      <a:ext cx="4268470" cy="12700"/>
                    </a:xfrm>
                    <a:prstGeom prst="rect">
                      <a:avLst/>
                    </a:prstGeom>
                    <a:noFill/>
                  </pic:spPr>
                </pic:pic>
              </a:graphicData>
            </a:graphic>
          </wp:anchor>
        </w:drawing>
      </w:r>
    </w:p>
    <w:p>
      <w:pPr>
        <w:spacing w:after="0" w:line="23"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gridSpan w:val="4"/>
          </w:tcPr>
          <w:p>
            <w:pPr>
              <w:ind w:left="20"/>
              <w:spacing w:after="0"/>
              <w:rPr>
                <w:sz w:val="20"/>
                <w:szCs w:val="20"/>
                <w:color w:val="auto"/>
              </w:rPr>
            </w:pPr>
            <w:r>
              <w:rPr>
                <w:rFonts w:ascii="Arial" w:cs="Arial" w:eastAsia="Arial" w:hAnsi="Arial"/>
                <w:sz w:val="12"/>
                <w:szCs w:val="12"/>
                <w:b w:val="1"/>
                <w:bCs w:val="1"/>
                <w:color w:val="005A64"/>
              </w:rPr>
              <w:t>Ownership of ordinary shares in</w:t>
            </w: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005A64"/>
              </w:rPr>
              <w:t>BioNTech (in %)</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2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20" w:type="dxa"/>
            <w:vAlign w:val="bottom"/>
            <w:tcBorders>
              <w:bottom w:val="single" w:sz="8" w:color="005A64"/>
            </w:tcBorders>
          </w:tcPr>
          <w:p>
            <w:pPr>
              <w:spacing w:after="0"/>
              <w:rPr>
                <w:sz w:val="4"/>
                <w:szCs w:val="4"/>
                <w:color w:val="auto"/>
              </w:rPr>
            </w:pPr>
          </w:p>
        </w:tc>
        <w:tc>
          <w:tcPr>
            <w:tcW w:w="10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420" w:type="dxa"/>
            <w:vAlign w:val="bottom"/>
            <w:vMerge w:val="restart"/>
          </w:tcPr>
          <w:p>
            <w:pPr>
              <w:ind w:left="20"/>
              <w:spacing w:after="0"/>
              <w:rPr>
                <w:sz w:val="20"/>
                <w:szCs w:val="20"/>
                <w:color w:val="auto"/>
              </w:rPr>
            </w:pPr>
            <w:r>
              <w:rPr>
                <w:rFonts w:ascii="Arial" w:cs="Arial" w:eastAsia="Arial" w:hAnsi="Arial"/>
                <w:sz w:val="12"/>
                <w:szCs w:val="12"/>
                <w:b w:val="1"/>
                <w:bCs w:val="1"/>
                <w:color w:val="005A64"/>
              </w:rPr>
              <w:t>Name</w:t>
            </w:r>
          </w:p>
        </w:tc>
        <w:tc>
          <w:tcPr>
            <w:tcW w:w="20" w:type="dxa"/>
            <w:vAlign w:val="bottom"/>
          </w:tcPr>
          <w:p>
            <w:pPr>
              <w:spacing w:after="0"/>
              <w:rPr>
                <w:sz w:val="5"/>
                <w:szCs w:val="5"/>
                <w:color w:val="auto"/>
              </w:rPr>
            </w:pPr>
          </w:p>
        </w:tc>
        <w:tc>
          <w:tcPr>
            <w:tcW w:w="1040" w:type="dxa"/>
            <w:vAlign w:val="bottom"/>
            <w:vMerge w:val="restart"/>
          </w:tcPr>
          <w:p>
            <w:pPr>
              <w:ind w:left="20"/>
              <w:spacing w:after="0"/>
              <w:rPr>
                <w:sz w:val="20"/>
                <w:szCs w:val="20"/>
                <w:color w:val="auto"/>
              </w:rPr>
            </w:pPr>
            <w:r>
              <w:rPr>
                <w:rFonts w:ascii="Arial" w:cs="Arial" w:eastAsia="Arial" w:hAnsi="Arial"/>
                <w:sz w:val="12"/>
                <w:szCs w:val="12"/>
                <w:b w:val="1"/>
                <w:bCs w:val="1"/>
                <w:color w:val="005A64"/>
              </w:rPr>
              <w:t>Country of</w:t>
            </w:r>
          </w:p>
        </w:tc>
        <w:tc>
          <w:tcPr>
            <w:tcW w:w="40" w:type="dxa"/>
            <w:vAlign w:val="bottom"/>
          </w:tcPr>
          <w:p>
            <w:pPr>
              <w:spacing w:after="0"/>
              <w:rPr>
                <w:sz w:val="5"/>
                <w:szCs w:val="5"/>
                <w:color w:val="auto"/>
              </w:rPr>
            </w:pPr>
          </w:p>
        </w:tc>
        <w:tc>
          <w:tcPr>
            <w:tcW w:w="1040" w:type="dxa"/>
            <w:vAlign w:val="bottom"/>
            <w:gridSpan w:val="2"/>
            <w:vMerge w:val="restart"/>
          </w:tcPr>
          <w:p>
            <w:pPr>
              <w:spacing w:after="0"/>
              <w:rPr>
                <w:sz w:val="20"/>
                <w:szCs w:val="20"/>
                <w:color w:val="auto"/>
              </w:rPr>
            </w:pPr>
            <w:r>
              <w:rPr>
                <w:rFonts w:ascii="Arial" w:cs="Arial" w:eastAsia="Arial" w:hAnsi="Arial"/>
                <w:sz w:val="12"/>
                <w:szCs w:val="12"/>
                <w:b w:val="1"/>
                <w:bCs w:val="1"/>
                <w:color w:val="005A64"/>
              </w:rPr>
              <w:t>Registered</w:t>
            </w:r>
          </w:p>
        </w:tc>
        <w:tc>
          <w:tcPr>
            <w:tcW w:w="40" w:type="dxa"/>
            <w:vAlign w:val="bottom"/>
            <w:tcBorders>
              <w:bottom w:val="single" w:sz="8" w:color="BECE33"/>
            </w:tcBorders>
          </w:tcPr>
          <w:p>
            <w:pPr>
              <w:spacing w:after="0"/>
              <w:rPr>
                <w:sz w:val="5"/>
                <w:szCs w:val="5"/>
                <w:color w:val="auto"/>
              </w:rPr>
            </w:pPr>
          </w:p>
        </w:tc>
        <w:tc>
          <w:tcPr>
            <w:tcW w:w="1020" w:type="dxa"/>
            <w:vAlign w:val="bottom"/>
            <w:tcBorders>
              <w:bottom w:val="single" w:sz="8" w:color="BECE33"/>
            </w:tcBorders>
          </w:tcPr>
          <w:p>
            <w:pPr>
              <w:spacing w:after="0"/>
              <w:rPr>
                <w:sz w:val="5"/>
                <w:szCs w:val="5"/>
                <w:color w:val="auto"/>
              </w:rPr>
            </w:pPr>
          </w:p>
        </w:tc>
        <w:tc>
          <w:tcPr>
            <w:tcW w:w="60" w:type="dxa"/>
            <w:vAlign w:val="bottom"/>
            <w:tcBorders>
              <w:bottom w:val="single" w:sz="8" w:color="BECE33"/>
            </w:tcBorders>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vMerge w:val="restart"/>
          </w:tcPr>
          <w:p>
            <w:pPr>
              <w:ind w:left="20"/>
              <w:spacing w:after="0"/>
              <w:rPr>
                <w:sz w:val="20"/>
                <w:szCs w:val="20"/>
                <w:color w:val="auto"/>
              </w:rPr>
            </w:pPr>
            <w:r>
              <w:rPr>
                <w:rFonts w:ascii="Arial" w:cs="Arial" w:eastAsia="Arial" w:hAnsi="Arial"/>
                <w:sz w:val="12"/>
                <w:szCs w:val="12"/>
                <w:b w:val="1"/>
                <w:bCs w:val="1"/>
                <w:color w:val="005A64"/>
              </w:rPr>
              <w:t>December 31,</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ind w:left="20"/>
              <w:spacing w:after="0" w:line="102" w:lineRule="exact"/>
              <w:rPr>
                <w:sz w:val="20"/>
                <w:szCs w:val="20"/>
                <w:color w:val="auto"/>
              </w:rPr>
            </w:pPr>
            <w:r>
              <w:rPr>
                <w:rFonts w:ascii="Arial" w:cs="Arial" w:eastAsia="Arial" w:hAnsi="Arial"/>
                <w:sz w:val="11"/>
                <w:szCs w:val="11"/>
                <w:b w:val="1"/>
                <w:bCs w:val="1"/>
                <w:color w:val="005A64"/>
              </w:rPr>
              <w:t>December 31,</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2"/>
                <w:szCs w:val="12"/>
                <w:b w:val="1"/>
                <w:bCs w:val="1"/>
                <w:color w:val="005A64"/>
              </w:rPr>
              <w:t>incorporation</w:t>
            </w:r>
          </w:p>
        </w:tc>
        <w:tc>
          <w:tcPr>
            <w:tcW w:w="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005A64"/>
              </w:rPr>
              <w:t>office</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005A64"/>
              </w:rPr>
              <w:t>2024</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005A64"/>
              </w:rPr>
              <w:t>2023</w:t>
            </w:r>
          </w:p>
        </w:tc>
        <w:tc>
          <w:tcPr>
            <w:tcW w:w="0" w:type="dxa"/>
            <w:vAlign w:val="bottom"/>
          </w:tcPr>
          <w:p>
            <w:pPr>
              <w:spacing w:after="0"/>
              <w:rPr>
                <w:sz w:val="1"/>
                <w:szCs w:val="1"/>
                <w:color w:val="auto"/>
              </w:rPr>
            </w:pPr>
          </w:p>
        </w:tc>
      </w:tr>
      <w:tr>
        <w:trPr>
          <w:trHeight w:val="46"/>
        </w:trPr>
        <w:tc>
          <w:tcPr>
            <w:tcW w:w="242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1040" w:type="dxa"/>
            <w:vAlign w:val="bottom"/>
            <w:tcBorders>
              <w:bottom w:val="single" w:sz="8" w:color="005A64"/>
            </w:tcBorders>
          </w:tcPr>
          <w:p>
            <w:pPr>
              <w:spacing w:after="0"/>
              <w:rPr>
                <w:sz w:val="4"/>
                <w:szCs w:val="4"/>
                <w:color w:val="auto"/>
              </w:rPr>
            </w:pPr>
          </w:p>
        </w:tc>
        <w:tc>
          <w:tcPr>
            <w:tcW w:w="40" w:type="dxa"/>
            <w:vAlign w:val="bottom"/>
            <w:vMerge w:val="restart"/>
          </w:tcPr>
          <w:p>
            <w:pPr>
              <w:spacing w:after="0"/>
              <w:rPr>
                <w:sz w:val="4"/>
                <w:szCs w:val="4"/>
                <w:color w:val="auto"/>
              </w:rPr>
            </w:pPr>
          </w:p>
        </w:tc>
        <w:tc>
          <w:tcPr>
            <w:tcW w:w="102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1020" w:type="dxa"/>
            <w:vAlign w:val="bottom"/>
            <w:tcBorders>
              <w:bottom w:val="single" w:sz="8" w:color="005A64"/>
            </w:tcBorders>
          </w:tcPr>
          <w:p>
            <w:pPr>
              <w:spacing w:after="0"/>
              <w:rPr>
                <w:sz w:val="4"/>
                <w:szCs w:val="4"/>
                <w:color w:val="auto"/>
              </w:rPr>
            </w:pPr>
          </w:p>
        </w:tc>
        <w:tc>
          <w:tcPr>
            <w:tcW w:w="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0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420" w:type="dxa"/>
            <w:vAlign w:val="bottom"/>
          </w:tcPr>
          <w:p>
            <w:pPr>
              <w:ind w:left="20"/>
              <w:spacing w:after="0"/>
              <w:rPr>
                <w:sz w:val="20"/>
                <w:szCs w:val="20"/>
                <w:color w:val="auto"/>
              </w:rPr>
            </w:pPr>
            <w:r>
              <w:rPr>
                <w:rFonts w:ascii="Arial" w:cs="Arial" w:eastAsia="Arial" w:hAnsi="Arial"/>
                <w:sz w:val="12"/>
                <w:szCs w:val="12"/>
                <w:color w:val="005A64"/>
              </w:rPr>
              <w:t>Medine GmbH</w:t>
            </w:r>
          </w:p>
        </w:tc>
        <w:tc>
          <w:tcPr>
            <w:tcW w:w="20" w:type="dxa"/>
            <w:vAlign w:val="bottom"/>
            <w:vMerge w:val="continue"/>
          </w:tcPr>
          <w:p>
            <w:pPr>
              <w:spacing w:after="0"/>
              <w:rPr>
                <w:sz w:val="13"/>
                <w:szCs w:val="13"/>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005A64"/>
              </w:rPr>
              <w:t>Germany</w:t>
            </w:r>
          </w:p>
        </w:tc>
        <w:tc>
          <w:tcPr>
            <w:tcW w:w="40" w:type="dxa"/>
            <w:vAlign w:val="bottom"/>
            <w:vMerge w:val="continue"/>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2"/>
                <w:szCs w:val="12"/>
                <w:color w:val="005A64"/>
              </w:rPr>
              <w:t>Mainz</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020" w:type="dxa"/>
            <w:vAlign w:val="bottom"/>
          </w:tcPr>
          <w:p>
            <w:pPr>
              <w:ind w:left="20"/>
              <w:spacing w:after="0"/>
              <w:rPr>
                <w:sz w:val="20"/>
                <w:szCs w:val="20"/>
                <w:color w:val="auto"/>
              </w:rPr>
            </w:pPr>
            <w:r>
              <w:rPr>
                <w:rFonts w:ascii="Arial" w:cs="Arial" w:eastAsia="Arial" w:hAnsi="Arial"/>
                <w:sz w:val="12"/>
                <w:szCs w:val="12"/>
                <w:color w:val="005A64"/>
              </w:rPr>
              <w:t>16.85%</w:t>
            </w:r>
          </w:p>
        </w:tc>
        <w:tc>
          <w:tcPr>
            <w:tcW w:w="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20" w:type="dxa"/>
            <w:vAlign w:val="bottom"/>
          </w:tcPr>
          <w:p>
            <w:pPr>
              <w:ind w:left="20"/>
              <w:spacing w:after="0"/>
              <w:rPr>
                <w:sz w:val="20"/>
                <w:szCs w:val="20"/>
                <w:color w:val="auto"/>
              </w:rPr>
            </w:pPr>
            <w:r>
              <w:rPr>
                <w:rFonts w:ascii="Arial" w:cs="Arial" w:eastAsia="Arial" w:hAnsi="Arial"/>
                <w:sz w:val="12"/>
                <w:szCs w:val="12"/>
                <w:color w:val="005A64"/>
              </w:rPr>
              <w:t>17.01%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3138170</wp:posOffset>
            </wp:positionH>
            <wp:positionV relativeFrom="paragraph">
              <wp:posOffset>-318770</wp:posOffset>
            </wp:positionV>
            <wp:extent cx="706120" cy="3467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6">
                      <a:extLst>
                        <a:ext uri="{28A0092B-C50C-407E-A947-70E740481C1C}"/>
                      </a:extLst>
                    </a:blip>
                    <a:srcRect/>
                    <a:stretch>
                      <a:fillRect/>
                    </a:stretch>
                  </pic:blipFill>
                  <pic:spPr bwMode="auto">
                    <a:xfrm>
                      <a:off x="0" y="0"/>
                      <a:ext cx="706120" cy="34671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b w:val="1"/>
          <w:bCs w:val="1"/>
          <w:color w:val="005A64"/>
        </w:rPr>
        <w:t>5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-103505</wp:posOffset>
            </wp:positionV>
            <wp:extent cx="4268470"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7">
                      <a:extLst>
                        <a:ext uri="{28A0092B-C50C-407E-A947-70E740481C1C}"/>
                      </a:extLst>
                    </a:blip>
                    <a:srcRect/>
                    <a:stretch>
                      <a:fillRect/>
                    </a:stretch>
                  </pic:blipFill>
                  <pic:spPr bwMode="auto">
                    <a:xfrm>
                      <a:off x="0" y="0"/>
                      <a:ext cx="4268470" cy="6350"/>
                    </a:xfrm>
                    <a:prstGeom prst="rect">
                      <a:avLst/>
                    </a:prstGeom>
                    <a:noFill/>
                  </pic:spPr>
                </pic:pic>
              </a:graphicData>
            </a:graphic>
          </wp:anchor>
        </w:drawing>
      </w:r>
    </w:p>
    <w:p>
      <w:pPr>
        <w:ind w:left="380"/>
        <w:spacing w:after="0" w:line="210" w:lineRule="auto"/>
        <w:rPr>
          <w:sz w:val="20"/>
          <w:szCs w:val="20"/>
          <w:color w:val="auto"/>
        </w:rPr>
      </w:pPr>
      <w:r>
        <w:rPr>
          <w:rFonts w:ascii="Arial" w:cs="Arial" w:eastAsia="Arial" w:hAnsi="Arial"/>
          <w:sz w:val="13"/>
          <w:szCs w:val="13"/>
          <w:b w:val="1"/>
          <w:bCs w:val="1"/>
          <w:color w:val="005A64"/>
        </w:rPr>
        <w:t>Acquisition of Biotheus</w:t>
      </w:r>
    </w:p>
    <w:p>
      <w:pPr>
        <w:spacing w:after="0" w:line="1"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On November 13, 2024, our subsidiary, BioNTech Collaborations GmbH, entered into an agreement and plan of merger, or the Merger Agreement, with Biotheus, a clinical -stage biotechnology company dedicated to the discovery and development of novel antibodies to address unmet medical needs of patients with oncological or inflammatory diseases. The acquisition supports the global execution of our oncology strategy and provides full global rights to BNT327/PM8002, an investigational PD-L1 x VEGF -A bispecific antibody, with potential to replace current checkpoint inhibitor standard of care treatments for solid tumors.</w:t>
      </w:r>
    </w:p>
    <w:p>
      <w:pPr>
        <w:spacing w:after="0" w:line="4" w:lineRule="exact"/>
        <w:rPr>
          <w:sz w:val="20"/>
          <w:szCs w:val="20"/>
          <w:color w:val="auto"/>
        </w:rPr>
      </w:pPr>
    </w:p>
    <w:p>
      <w:pPr>
        <w:ind w:left="380" w:right="2380"/>
        <w:spacing w:after="0" w:line="210" w:lineRule="auto"/>
        <w:rPr>
          <w:sz w:val="20"/>
          <w:szCs w:val="20"/>
          <w:color w:val="auto"/>
        </w:rPr>
      </w:pPr>
      <w:r>
        <w:rPr>
          <w:rFonts w:ascii="Arial" w:cs="Arial" w:eastAsia="Arial" w:hAnsi="Arial"/>
          <w:sz w:val="13"/>
          <w:szCs w:val="13"/>
          <w:color w:val="auto"/>
        </w:rPr>
        <w:t>Following the satisfaction of several customary closing conditions and regulatory approvals as defined in the Merger Agreement, the acquisition closed on January 31, 2025.</w:t>
      </w:r>
    </w:p>
    <w:p>
      <w:pPr>
        <w:spacing w:after="0" w:line="1" w:lineRule="exact"/>
        <w:rPr>
          <w:sz w:val="20"/>
          <w:szCs w:val="20"/>
          <w:color w:val="auto"/>
        </w:rPr>
      </w:pPr>
    </w:p>
    <w:p>
      <w:pPr>
        <w:ind w:left="380" w:right="2200"/>
        <w:spacing w:after="0" w:line="234" w:lineRule="auto"/>
        <w:rPr>
          <w:sz w:val="20"/>
          <w:szCs w:val="20"/>
          <w:color w:val="auto"/>
        </w:rPr>
      </w:pPr>
      <w:r>
        <w:rPr>
          <w:rFonts w:ascii="Arial" w:cs="Arial" w:eastAsia="Arial" w:hAnsi="Arial"/>
          <w:sz w:val="13"/>
          <w:szCs w:val="13"/>
          <w:color w:val="auto"/>
        </w:rPr>
        <w:t>Upon closing and under the terms of the agreement, we paid Biotheus shareholders upfront of approximately $850.0 million, predominantly in cash, with a small portion in ADSs, to acquire 100% of the issued share capital</w:t>
      </w:r>
    </w:p>
    <w:p>
      <w:pPr>
        <w:sectPr>
          <w:pgSz w:w="11900" w:h="16840" w:orient="portrait"/>
          <w:cols w:equalWidth="0" w:num="1">
            <w:col w:w="9020"/>
          </w:cols>
          <w:pgMar w:left="1440" w:top="550" w:right="1440" w:bottom="37" w:gutter="0" w:footer="0" w:header="0"/>
        </w:sectPr>
      </w:pPr>
    </w:p>
    <w:bookmarkStart w:id="202" w:name="page203"/>
    <w:bookmarkEnd w:id="202"/>
    <w:p>
      <w:pPr>
        <w:ind w:left="380" w:right="2160"/>
        <w:spacing w:after="0" w:line="220" w:lineRule="auto"/>
        <w:rPr>
          <w:sz w:val="20"/>
          <w:szCs w:val="20"/>
          <w:color w:val="auto"/>
        </w:rPr>
      </w:pPr>
      <w:r>
        <w:rPr>
          <w:rFonts w:ascii="Arial" w:cs="Arial" w:eastAsia="Arial" w:hAnsi="Arial"/>
          <w:sz w:val="13"/>
          <w:szCs w:val="13"/>
          <w:color w:val="auto"/>
        </w:rPr>
        <w:t>of Biotheus, subject to customary purchase price adjustments, and agreed to pay additional performance-based contingent payments of up to $150.0 million if certain milestones are met.</w:t>
      </w:r>
    </w:p>
    <w:p>
      <w:pPr>
        <w:spacing w:after="0" w:line="1" w:lineRule="exact"/>
        <w:rPr>
          <w:sz w:val="20"/>
          <w:szCs w:val="20"/>
          <w:color w:val="auto"/>
        </w:rPr>
      </w:pPr>
    </w:p>
    <w:p>
      <w:pPr>
        <w:ind w:left="380" w:right="2160"/>
        <w:spacing w:after="0" w:line="220" w:lineRule="auto"/>
        <w:rPr>
          <w:sz w:val="20"/>
          <w:szCs w:val="20"/>
          <w:color w:val="auto"/>
        </w:rPr>
      </w:pPr>
      <w:r>
        <w:rPr>
          <w:rFonts w:ascii="Arial" w:cs="Arial" w:eastAsia="Arial" w:hAnsi="Arial"/>
          <w:sz w:val="13"/>
          <w:szCs w:val="13"/>
          <w:color w:val="auto"/>
        </w:rPr>
        <w:t>By closing the acquisition, we gained full rights to Biotheus’s pipeline candidates and its in-house bispecific antibody drug conjugate capability. The acquisition has expanded our footprint in China, adding a local research and development hub to conduct clinical trials. In addition, we have gained a biologics manufacturing facility to contribute to our future global manufacturing and supply, and more than 300 Biotheus employees in R&amp;D, manufacturing and enabling functions have joined the BioNTech workforce.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F-33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jc w:val="both"/>
        <w:ind w:left="380" w:right="2120"/>
        <w:spacing w:after="0" w:line="217" w:lineRule="auto"/>
        <w:rPr>
          <w:sz w:val="20"/>
          <w:szCs w:val="20"/>
          <w:color w:val="auto"/>
        </w:rPr>
      </w:pPr>
      <w:r>
        <w:rPr>
          <w:rFonts w:ascii="Arial" w:cs="Arial" w:eastAsia="Arial" w:hAnsi="Arial"/>
          <w:sz w:val="13"/>
          <w:szCs w:val="13"/>
          <w:color w:val="auto"/>
        </w:rPr>
        <w:t>We are in the process of performing a preliminary allocation of the total consideration and the underlying assets acquired and liabilities assumed based on their estimated fair value as of the acquisition date in accordance with IFRS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20"/>
        <w:spacing w:after="0" w:line="210" w:lineRule="auto"/>
        <w:rPr>
          <w:sz w:val="20"/>
          <w:szCs w:val="20"/>
          <w:color w:val="auto"/>
        </w:rPr>
      </w:pPr>
      <w:r>
        <w:rPr>
          <w:rFonts w:ascii="Arial" w:cs="Arial" w:eastAsia="Arial" w:hAnsi="Arial"/>
          <w:sz w:val="13"/>
          <w:szCs w:val="13"/>
          <w:color w:val="auto"/>
        </w:rPr>
        <w:t>Based on our initial assessment, the purchase price will be mainly allocated to amounts related to the settlement of the pre-existing relationship in connection with the License and Collaboration Agreement with Biotheus as of November 2023, which comprised the development, manufacturing and commercialization of BNT327 ex-Greater China.</w:t>
      </w:r>
    </w:p>
    <w:p>
      <w:pPr>
        <w:spacing w:after="0" w:line="2"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The amount related to the settlement of the pre-existing relationship is identified based on the fair value of the settled rights of Biotheus in connection with contingent payments in relation to the License and Collaboration Agreement and will be separated from the remaining consideration to be transferred for the acquired business of Biotheus. The consideration for the acquired business of Biotheus will be allocated to net assets acquired, which include identified intangible assets in connection with Biotheus’ BNT327 Greater China rights and other clinical pipeline candidates, property, plant and equipment, cash, financial liabilities, deferred tax liabilities and if applicable goodwill as residual.</w:t>
      </w:r>
    </w:p>
    <w:p>
      <w:pPr>
        <w:spacing w:after="0" w:line="4" w:lineRule="exact"/>
        <w:rPr>
          <w:sz w:val="20"/>
          <w:szCs w:val="20"/>
          <w:color w:val="auto"/>
        </w:rPr>
      </w:pPr>
    </w:p>
    <w:p>
      <w:pPr>
        <w:ind w:left="380" w:right="2160"/>
        <w:spacing w:after="0" w:line="234" w:lineRule="auto"/>
        <w:rPr>
          <w:sz w:val="20"/>
          <w:szCs w:val="20"/>
          <w:color w:val="auto"/>
        </w:rPr>
      </w:pPr>
      <w:r>
        <w:rPr>
          <w:rFonts w:ascii="Arial" w:cs="Arial" w:eastAsia="Arial" w:hAnsi="Arial"/>
          <w:sz w:val="13"/>
          <w:szCs w:val="13"/>
          <w:color w:val="auto"/>
        </w:rPr>
        <w:t>The assessment is preliminary as the accounting for the settlement of the pre-existing relationship and business combination is still in progress.</w:t>
      </w:r>
    </w:p>
    <w:p>
      <w:pPr>
        <w:sectPr>
          <w:pgSz w:w="11900" w:h="16840" w:orient="portrait"/>
          <w:cols w:equalWidth="0" w:num="1">
            <w:col w:w="9020"/>
          </w:cols>
          <w:pgMar w:left="1440" w:top="560" w:right="1440" w:bottom="1440" w:gutter="0" w:footer="0" w:header="0"/>
        </w:sectPr>
      </w:pPr>
    </w:p>
    <w:bookmarkStart w:id="203" w:name="page204"/>
    <w:bookmarkEnd w:id="203"/>
    <w:p>
      <w:pPr>
        <w:ind w:left="380"/>
        <w:spacing w:after="0"/>
        <w:rPr>
          <w:sz w:val="20"/>
          <w:szCs w:val="20"/>
          <w:color w:val="auto"/>
        </w:rPr>
      </w:pPr>
      <w:r>
        <w:rPr>
          <w:rFonts w:ascii="Arial" w:cs="Arial" w:eastAsia="Arial" w:hAnsi="Arial"/>
          <w:sz w:val="13"/>
          <w:szCs w:val="13"/>
          <w:color w:val="auto"/>
        </w:rPr>
        <w:t>F-34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7"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5A64"/>
        </w:rPr>
        <w:t>6 Revenues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-103505</wp:posOffset>
            </wp:positionV>
            <wp:extent cx="5231130"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0" w:lineRule="auto"/>
        <w:rPr>
          <w:sz w:val="20"/>
          <w:szCs w:val="20"/>
          <w:color w:val="auto"/>
        </w:rPr>
      </w:pPr>
      <w:r>
        <w:rPr>
          <w:rFonts w:ascii="Arial" w:cs="Arial" w:eastAsia="Arial" w:hAnsi="Arial"/>
          <w:sz w:val="13"/>
          <w:szCs w:val="13"/>
          <w:b w:val="1"/>
          <w:bCs w:val="1"/>
          <w:color w:val="005A64"/>
        </w:rPr>
        <w:t>6.1 Disaggregated Revenue Information</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Set out below is the disaggregation of the Group’s revenues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-5715</wp:posOffset>
            </wp:positionV>
            <wp:extent cx="4274820" cy="127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0">
                      <a:extLst>
                        <a:ext uri="{28A0092B-C50C-407E-A947-70E740481C1C}"/>
                      </a:extLst>
                    </a:blip>
                    <a:srcRect/>
                    <a:stretch>
                      <a:fillRect/>
                    </a:stretch>
                  </pic:blipFill>
                  <pic:spPr bwMode="auto">
                    <a:xfrm>
                      <a:off x="0" y="0"/>
                      <a:ext cx="4274820" cy="12700"/>
                    </a:xfrm>
                    <a:prstGeom prst="rect">
                      <a:avLst/>
                    </a:prstGeom>
                    <a:noFill/>
                  </pic:spPr>
                </pic:pic>
              </a:graphicData>
            </a:graphic>
          </wp:anchor>
        </w:drawing>
      </w:r>
    </w:p>
    <w:p>
      <w:pPr>
        <w:spacing w:after="0" w:line="50" w:lineRule="exact"/>
        <w:rPr>
          <w:sz w:val="20"/>
          <w:szCs w:val="20"/>
          <w:color w:val="auto"/>
        </w:rPr>
      </w:pPr>
    </w:p>
    <w:tbl>
      <w:tblPr>
        <w:tblLayout w:type="fixed"/>
        <w:tblInd w:w="380" w:type="dxa"/>
        <w:tblCellMar>
          <w:top w:w="0" w:type="dxa"/>
          <w:left w:w="0" w:type="dxa"/>
          <w:bottom w:w="0" w:type="dxa"/>
          <w:right w:w="0" w:type="dxa"/>
        </w:tblCellMar>
      </w:tblPr>
      <w:tr>
        <w:trPr>
          <w:trHeight w:val="166"/>
        </w:trPr>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gridSpan w:val="5"/>
          </w:tcPr>
          <w:p>
            <w:pPr>
              <w:spacing w:after="0"/>
              <w:rPr>
                <w:sz w:val="20"/>
                <w:szCs w:val="20"/>
                <w:color w:val="auto"/>
              </w:rPr>
            </w:pPr>
            <w:r>
              <w:rPr>
                <w:rFonts w:ascii="Arial" w:cs="Arial" w:eastAsia="Arial" w:hAnsi="Arial"/>
                <w:sz w:val="12"/>
                <w:szCs w:val="12"/>
                <w:b w:val="1"/>
                <w:bCs w:val="1"/>
                <w:color w:val="005A64"/>
              </w:rPr>
              <w:t>Years ended December 31,</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380" w:type="dxa"/>
            <w:vAlign w:val="bottom"/>
            <w:gridSpan w:val="2"/>
            <w:vMerge w:val="restart"/>
          </w:tcPr>
          <w:p>
            <w:pPr>
              <w:ind w:left="20"/>
              <w:spacing w:after="0"/>
              <w:rPr>
                <w:sz w:val="20"/>
                <w:szCs w:val="20"/>
                <w:color w:val="auto"/>
              </w:rPr>
            </w:pPr>
            <w:r>
              <w:rPr>
                <w:rFonts w:ascii="Arial" w:cs="Arial" w:eastAsia="Arial" w:hAnsi="Arial"/>
                <w:sz w:val="12"/>
                <w:szCs w:val="12"/>
                <w:i w:val="1"/>
                <w:iCs w:val="1"/>
                <w:color w:val="005A64"/>
              </w:rPr>
              <w:t>(in millions €)</w:t>
            </w:r>
          </w:p>
        </w:tc>
        <w:tc>
          <w:tcPr>
            <w:tcW w:w="40" w:type="dxa"/>
            <w:vAlign w:val="bottom"/>
            <w:tcBorders>
              <w:bottom w:val="single" w:sz="8" w:color="BECD32"/>
            </w:tcBorders>
          </w:tcPr>
          <w:p>
            <w:pPr>
              <w:spacing w:after="0"/>
              <w:rPr>
                <w:sz w:val="11"/>
                <w:szCs w:val="11"/>
                <w:color w:val="auto"/>
              </w:rPr>
            </w:pPr>
          </w:p>
        </w:tc>
        <w:tc>
          <w:tcPr>
            <w:tcW w:w="660" w:type="dxa"/>
            <w:vAlign w:val="bottom"/>
            <w:tcBorders>
              <w:bottom w:val="single" w:sz="8" w:color="BECD32"/>
            </w:tcBorders>
          </w:tcPr>
          <w:p>
            <w:pPr>
              <w:spacing w:after="0"/>
              <w:rPr>
                <w:sz w:val="11"/>
                <w:szCs w:val="11"/>
                <w:color w:val="auto"/>
              </w:rPr>
            </w:pPr>
          </w:p>
        </w:tc>
        <w:tc>
          <w:tcPr>
            <w:tcW w:w="760" w:type="dxa"/>
            <w:vAlign w:val="bottom"/>
            <w:tcBorders>
              <w:bottom w:val="single" w:sz="8" w:color="BECD32"/>
            </w:tcBorders>
          </w:tcPr>
          <w:p>
            <w:pPr>
              <w:spacing w:after="0"/>
              <w:rPr>
                <w:sz w:val="11"/>
                <w:szCs w:val="11"/>
                <w:color w:val="auto"/>
              </w:rPr>
            </w:pPr>
          </w:p>
        </w:tc>
        <w:tc>
          <w:tcPr>
            <w:tcW w:w="40" w:type="dxa"/>
            <w:vAlign w:val="bottom"/>
            <w:tcBorders>
              <w:bottom w:val="single" w:sz="8" w:color="BECD32"/>
            </w:tcBorders>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005A64"/>
              </w:rPr>
              <w:t>2023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005A64"/>
              </w:rPr>
              <w:t>2022</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380" w:type="dxa"/>
            <w:vAlign w:val="bottom"/>
            <w:gridSpan w:val="2"/>
            <w:vMerge w:val="continue"/>
          </w:tcPr>
          <w:p>
            <w:pPr>
              <w:spacing w:after="0"/>
              <w:rPr>
                <w:sz w:val="13"/>
                <w:szCs w:val="13"/>
                <w:color w:val="auto"/>
              </w:rPr>
            </w:pPr>
          </w:p>
        </w:tc>
        <w:tc>
          <w:tcPr>
            <w:tcW w:w="700" w:type="dxa"/>
            <w:vAlign w:val="bottom"/>
            <w:tcBorders>
              <w:left w:val="single" w:sz="8" w:color="BECD32"/>
            </w:tcBorders>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760" w:type="dxa"/>
            <w:vAlign w:val="bottom"/>
          </w:tcPr>
          <w:p>
            <w:pPr>
              <w:spacing w:after="0"/>
              <w:rPr>
                <w:sz w:val="13"/>
                <w:szCs w:val="13"/>
                <w:color w:val="auto"/>
              </w:rPr>
            </w:pPr>
          </w:p>
        </w:tc>
        <w:tc>
          <w:tcPr>
            <w:tcW w:w="40" w:type="dxa"/>
            <w:vAlign w:val="bottom"/>
            <w:tcBorders>
              <w:right w:val="single" w:sz="8" w:color="BECD32"/>
            </w:tcBorders>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36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left w:val="single" w:sz="8" w:color="BECD32"/>
            </w:tcBorders>
            <w:vMerge w:val="restart"/>
          </w:tcPr>
          <w:p>
            <w:pPr>
              <w:spacing w:after="0"/>
              <w:rPr>
                <w:sz w:val="2"/>
                <w:szCs w:val="2"/>
                <w:color w:val="auto"/>
              </w:rPr>
            </w:pPr>
          </w:p>
        </w:tc>
        <w:tc>
          <w:tcPr>
            <w:tcW w:w="660" w:type="dxa"/>
            <w:vAlign w:val="bottom"/>
            <w:tcBorders>
              <w:bottom w:val="single" w:sz="8" w:color="005A64"/>
            </w:tcBorders>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40" w:type="dxa"/>
            <w:vAlign w:val="bottom"/>
            <w:tcBorders>
              <w:right w:val="single" w:sz="8" w:color="BECD32"/>
            </w:tcBorders>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60" w:type="dxa"/>
            <w:vAlign w:val="bottom"/>
            <w:tcBorders>
              <w:bottom w:val="single" w:sz="8" w:color="005A64"/>
            </w:tcBorders>
          </w:tcPr>
          <w:p>
            <w:pPr>
              <w:spacing w:after="0"/>
              <w:rPr>
                <w:sz w:val="2"/>
                <w:szCs w:val="2"/>
                <w:color w:val="auto"/>
              </w:rPr>
            </w:pPr>
          </w:p>
        </w:tc>
        <w:tc>
          <w:tcPr>
            <w:tcW w:w="80" w:type="dxa"/>
            <w:vAlign w:val="bottom"/>
            <w:tcBorders>
              <w:bottom w:val="single" w:sz="8" w:color="005A64"/>
            </w:tcBorders>
          </w:tcPr>
          <w:p>
            <w:pPr>
              <w:spacing w:after="0"/>
              <w:rPr>
                <w:sz w:val="2"/>
                <w:szCs w:val="2"/>
                <w:color w:val="auto"/>
              </w:rPr>
            </w:pPr>
          </w:p>
        </w:tc>
        <w:tc>
          <w:tcPr>
            <w:tcW w:w="66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660" w:type="dxa"/>
            <w:vAlign w:val="bottom"/>
            <w:tcBorders>
              <w:bottom w:val="single" w:sz="8" w:color="005A64"/>
            </w:tcBorders>
          </w:tcPr>
          <w:p>
            <w:pPr>
              <w:spacing w:after="0"/>
              <w:rPr>
                <w:sz w:val="2"/>
                <w:szCs w:val="2"/>
                <w:color w:val="auto"/>
              </w:rPr>
            </w:pPr>
          </w:p>
        </w:tc>
        <w:tc>
          <w:tcPr>
            <w:tcW w:w="80" w:type="dxa"/>
            <w:vAlign w:val="bottom"/>
            <w:tcBorders>
              <w:bottom w:val="single" w:sz="8" w:color="005A64"/>
            </w:tcBorders>
          </w:tcPr>
          <w:p>
            <w:pPr>
              <w:spacing w:after="0"/>
              <w:rPr>
                <w:sz w:val="2"/>
                <w:szCs w:val="2"/>
                <w:color w:val="auto"/>
              </w:rPr>
            </w:pPr>
          </w:p>
        </w:tc>
        <w:tc>
          <w:tcPr>
            <w:tcW w:w="6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360" w:type="dxa"/>
            <w:vAlign w:val="bottom"/>
          </w:tcPr>
          <w:p>
            <w:pPr>
              <w:ind w:left="20"/>
              <w:spacing w:after="0"/>
              <w:rPr>
                <w:sz w:val="20"/>
                <w:szCs w:val="20"/>
                <w:color w:val="auto"/>
              </w:rPr>
            </w:pPr>
            <w:r>
              <w:rPr>
                <w:rFonts w:ascii="Arial" w:cs="Arial" w:eastAsia="Arial" w:hAnsi="Arial"/>
                <w:sz w:val="12"/>
                <w:szCs w:val="12"/>
                <w:color w:val="005A64"/>
              </w:rPr>
              <w:t>COVID-19 vaccine revenues</w:t>
            </w:r>
          </w:p>
        </w:tc>
        <w:tc>
          <w:tcPr>
            <w:tcW w:w="20" w:type="dxa"/>
            <w:vAlign w:val="bottom"/>
            <w:vMerge w:val="continue"/>
          </w:tcPr>
          <w:p>
            <w:pPr>
              <w:spacing w:after="0"/>
              <w:rPr>
                <w:sz w:val="13"/>
                <w:szCs w:val="13"/>
                <w:color w:val="auto"/>
              </w:rPr>
            </w:pPr>
          </w:p>
        </w:tc>
        <w:tc>
          <w:tcPr>
            <w:tcW w:w="40" w:type="dxa"/>
            <w:vAlign w:val="bottom"/>
            <w:tcBorders>
              <w:left w:val="single" w:sz="8" w:color="BECD32"/>
            </w:tcBorders>
            <w:vMerge w:val="continue"/>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color w:val="005A64"/>
              </w:rPr>
              <w:t>2,432.1</w:t>
            </w:r>
          </w:p>
        </w:tc>
        <w:tc>
          <w:tcPr>
            <w:tcW w:w="760" w:type="dxa"/>
            <w:vAlign w:val="bottom"/>
          </w:tcPr>
          <w:p>
            <w:pPr>
              <w:ind w:left="100"/>
              <w:spacing w:after="0"/>
              <w:rPr>
                <w:sz w:val="20"/>
                <w:szCs w:val="20"/>
                <w:color w:val="auto"/>
              </w:rPr>
            </w:pPr>
            <w:r>
              <w:rPr>
                <w:rFonts w:ascii="Arial" w:cs="Arial" w:eastAsia="Arial" w:hAnsi="Arial"/>
                <w:sz w:val="12"/>
                <w:szCs w:val="12"/>
                <w:color w:val="005A64"/>
              </w:rPr>
              <w:t>88%</w:t>
            </w:r>
          </w:p>
        </w:tc>
        <w:tc>
          <w:tcPr>
            <w:tcW w:w="40" w:type="dxa"/>
            <w:vAlign w:val="bottom"/>
            <w:tcBorders>
              <w:right w:val="single" w:sz="8" w:color="BECD32"/>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color w:val="005A64"/>
              </w:rPr>
              <w:t>3,776.2</w:t>
            </w:r>
          </w:p>
        </w:tc>
        <w:tc>
          <w:tcPr>
            <w:tcW w:w="740" w:type="dxa"/>
            <w:vAlign w:val="bottom"/>
            <w:gridSpan w:val="2"/>
          </w:tcPr>
          <w:p>
            <w:pPr>
              <w:ind w:left="80"/>
              <w:spacing w:after="0"/>
              <w:rPr>
                <w:sz w:val="20"/>
                <w:szCs w:val="20"/>
                <w:color w:val="auto"/>
              </w:rPr>
            </w:pPr>
            <w:r>
              <w:rPr>
                <w:rFonts w:ascii="Arial" w:cs="Arial" w:eastAsia="Arial" w:hAnsi="Arial"/>
                <w:sz w:val="12"/>
                <w:szCs w:val="12"/>
                <w:color w:val="005A64"/>
              </w:rPr>
              <w:t>99%</w:t>
            </w:r>
          </w:p>
        </w:tc>
        <w:tc>
          <w:tcPr>
            <w:tcW w:w="20" w:type="dxa"/>
            <w:vAlign w:val="bottom"/>
            <w:vMerge w:val="continue"/>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2"/>
                <w:szCs w:val="12"/>
                <w:color w:val="005A64"/>
              </w:rPr>
              <w:t>17,145.2</w:t>
            </w:r>
          </w:p>
        </w:tc>
        <w:tc>
          <w:tcPr>
            <w:tcW w:w="760" w:type="dxa"/>
            <w:vAlign w:val="bottom"/>
            <w:gridSpan w:val="2"/>
          </w:tcPr>
          <w:p>
            <w:pPr>
              <w:ind w:left="100"/>
              <w:spacing w:after="0"/>
              <w:rPr>
                <w:sz w:val="20"/>
                <w:szCs w:val="20"/>
                <w:color w:val="auto"/>
              </w:rPr>
            </w:pPr>
            <w:r>
              <w:rPr>
                <w:rFonts w:ascii="Arial" w:cs="Arial" w:eastAsia="Arial" w:hAnsi="Arial"/>
                <w:sz w:val="12"/>
                <w:szCs w:val="12"/>
                <w:color w:val="005A64"/>
              </w:rPr>
              <w:t>99%</w:t>
            </w:r>
          </w:p>
        </w:tc>
        <w:tc>
          <w:tcPr>
            <w:tcW w:w="0" w:type="dxa"/>
            <w:vAlign w:val="bottom"/>
          </w:tcPr>
          <w:p>
            <w:pPr>
              <w:spacing w:after="0"/>
              <w:rPr>
                <w:sz w:val="1"/>
                <w:szCs w:val="1"/>
                <w:color w:val="auto"/>
              </w:rPr>
            </w:pPr>
          </w:p>
        </w:tc>
      </w:tr>
      <w:tr>
        <w:trPr>
          <w:trHeight w:val="181"/>
        </w:trPr>
        <w:tc>
          <w:tcPr>
            <w:tcW w:w="2380" w:type="dxa"/>
            <w:vAlign w:val="bottom"/>
            <w:gridSpan w:val="2"/>
          </w:tcPr>
          <w:p>
            <w:pPr>
              <w:ind w:left="20"/>
              <w:spacing w:after="0"/>
              <w:rPr>
                <w:sz w:val="20"/>
                <w:szCs w:val="20"/>
                <w:color w:val="auto"/>
              </w:rPr>
            </w:pPr>
            <w:r>
              <w:rPr>
                <w:rFonts w:ascii="Arial" w:cs="Arial" w:eastAsia="Arial" w:hAnsi="Arial"/>
                <w:sz w:val="12"/>
                <w:szCs w:val="12"/>
                <w:color w:val="005A64"/>
              </w:rPr>
              <w:t>Other revenues</w:t>
            </w:r>
          </w:p>
        </w:tc>
        <w:tc>
          <w:tcPr>
            <w:tcW w:w="700" w:type="dxa"/>
            <w:vAlign w:val="bottom"/>
            <w:tcBorders>
              <w:left w:val="single" w:sz="8" w:color="BECD32"/>
            </w:tcBorders>
            <w:gridSpan w:val="2"/>
          </w:tcPr>
          <w:p>
            <w:pPr>
              <w:ind w:left="40"/>
              <w:spacing w:after="0"/>
              <w:rPr>
                <w:sz w:val="20"/>
                <w:szCs w:val="20"/>
                <w:color w:val="auto"/>
              </w:rPr>
            </w:pPr>
            <w:r>
              <w:rPr>
                <w:rFonts w:ascii="Arial" w:cs="Arial" w:eastAsia="Arial" w:hAnsi="Arial"/>
                <w:sz w:val="12"/>
                <w:szCs w:val="12"/>
                <w:color w:val="005A64"/>
              </w:rPr>
              <w:t>319.0</w:t>
            </w:r>
          </w:p>
        </w:tc>
        <w:tc>
          <w:tcPr>
            <w:tcW w:w="760" w:type="dxa"/>
            <w:vAlign w:val="bottom"/>
          </w:tcPr>
          <w:p>
            <w:pPr>
              <w:ind w:left="100"/>
              <w:spacing w:after="0"/>
              <w:rPr>
                <w:sz w:val="20"/>
                <w:szCs w:val="20"/>
                <w:color w:val="auto"/>
              </w:rPr>
            </w:pPr>
            <w:r>
              <w:rPr>
                <w:rFonts w:ascii="Arial" w:cs="Arial" w:eastAsia="Arial" w:hAnsi="Arial"/>
                <w:sz w:val="12"/>
                <w:szCs w:val="12"/>
                <w:color w:val="005A64"/>
              </w:rPr>
              <w:t>12%</w:t>
            </w:r>
          </w:p>
        </w:tc>
        <w:tc>
          <w:tcPr>
            <w:tcW w:w="40" w:type="dxa"/>
            <w:vAlign w:val="bottom"/>
            <w:tcBorders>
              <w:right w:val="single" w:sz="8" w:color="BECD32"/>
            </w:tcBorders>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color w:val="005A64"/>
              </w:rPr>
              <w:t>42.8</w:t>
            </w:r>
          </w:p>
        </w:tc>
        <w:tc>
          <w:tcPr>
            <w:tcW w:w="740" w:type="dxa"/>
            <w:vAlign w:val="bottom"/>
            <w:gridSpan w:val="2"/>
          </w:tcPr>
          <w:p>
            <w:pPr>
              <w:ind w:left="80"/>
              <w:spacing w:after="0"/>
              <w:rPr>
                <w:sz w:val="20"/>
                <w:szCs w:val="20"/>
                <w:color w:val="auto"/>
              </w:rPr>
            </w:pPr>
            <w:r>
              <w:rPr>
                <w:rFonts w:ascii="Arial" w:cs="Arial" w:eastAsia="Arial" w:hAnsi="Arial"/>
                <w:sz w:val="12"/>
                <w:szCs w:val="12"/>
                <w:color w:val="005A64"/>
              </w:rPr>
              <w:t>1%</w:t>
            </w:r>
          </w:p>
        </w:tc>
        <w:tc>
          <w:tcPr>
            <w:tcW w:w="680" w:type="dxa"/>
            <w:vAlign w:val="bottom"/>
            <w:gridSpan w:val="2"/>
          </w:tcPr>
          <w:p>
            <w:pPr>
              <w:ind w:left="40"/>
              <w:spacing w:after="0"/>
              <w:rPr>
                <w:sz w:val="20"/>
                <w:szCs w:val="20"/>
                <w:color w:val="auto"/>
              </w:rPr>
            </w:pPr>
            <w:r>
              <w:rPr>
                <w:rFonts w:ascii="Arial" w:cs="Arial" w:eastAsia="Arial" w:hAnsi="Arial"/>
                <w:sz w:val="12"/>
                <w:szCs w:val="12"/>
                <w:color w:val="005A64"/>
              </w:rPr>
              <w:t>165.4</w:t>
            </w:r>
          </w:p>
        </w:tc>
        <w:tc>
          <w:tcPr>
            <w:tcW w:w="760" w:type="dxa"/>
            <w:vAlign w:val="bottom"/>
            <w:gridSpan w:val="2"/>
          </w:tcPr>
          <w:p>
            <w:pPr>
              <w:ind w:left="100"/>
              <w:spacing w:after="0"/>
              <w:rPr>
                <w:sz w:val="20"/>
                <w:szCs w:val="20"/>
                <w:color w:val="auto"/>
              </w:rPr>
            </w:pPr>
            <w:r>
              <w:rPr>
                <w:rFonts w:ascii="Arial" w:cs="Arial" w:eastAsia="Arial" w:hAnsi="Arial"/>
                <w:sz w:val="12"/>
                <w:szCs w:val="12"/>
                <w:color w:val="005A64"/>
              </w:rPr>
              <w:t>1%</w:t>
            </w:r>
          </w:p>
        </w:tc>
        <w:tc>
          <w:tcPr>
            <w:tcW w:w="0" w:type="dxa"/>
            <w:vAlign w:val="bottom"/>
          </w:tcPr>
          <w:p>
            <w:pPr>
              <w:spacing w:after="0"/>
              <w:rPr>
                <w:sz w:val="1"/>
                <w:szCs w:val="1"/>
                <w:color w:val="auto"/>
              </w:rPr>
            </w:pPr>
          </w:p>
        </w:tc>
      </w:tr>
      <w:tr>
        <w:trPr>
          <w:trHeight w:val="208"/>
        </w:trPr>
        <w:tc>
          <w:tcPr>
            <w:tcW w:w="238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w:t>
            </w:r>
          </w:p>
        </w:tc>
        <w:tc>
          <w:tcPr>
            <w:tcW w:w="700" w:type="dxa"/>
            <w:vAlign w:val="bottom"/>
            <w:tcBorders>
              <w:left w:val="single" w:sz="8" w:color="BECD32"/>
            </w:tcBorders>
            <w:gridSpan w:val="2"/>
          </w:tcPr>
          <w:p>
            <w:pPr>
              <w:ind w:left="40"/>
              <w:spacing w:after="0"/>
              <w:rPr>
                <w:sz w:val="20"/>
                <w:szCs w:val="20"/>
                <w:color w:val="auto"/>
              </w:rPr>
            </w:pPr>
            <w:r>
              <w:rPr>
                <w:rFonts w:ascii="Arial" w:cs="Arial" w:eastAsia="Arial" w:hAnsi="Arial"/>
                <w:sz w:val="12"/>
                <w:szCs w:val="12"/>
                <w:b w:val="1"/>
                <w:bCs w:val="1"/>
                <w:color w:val="005A64"/>
              </w:rPr>
              <w:t>2,751.1</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005A64"/>
              </w:rPr>
              <w:t>100%</w:t>
            </w:r>
          </w:p>
        </w:tc>
        <w:tc>
          <w:tcPr>
            <w:tcW w:w="40" w:type="dxa"/>
            <w:vAlign w:val="bottom"/>
            <w:tcBorders>
              <w:right w:val="single" w:sz="8" w:color="BECD32"/>
            </w:tcBorders>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005A64"/>
              </w:rPr>
              <w:t>3,819.0</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005A64"/>
              </w:rPr>
              <w:t>100%</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005A64"/>
              </w:rPr>
              <w:t>17,310.6</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005A64"/>
              </w:rPr>
              <w:t>100%</w:t>
            </w:r>
          </w:p>
        </w:tc>
        <w:tc>
          <w:tcPr>
            <w:tcW w:w="0" w:type="dxa"/>
            <w:vAlign w:val="bottom"/>
          </w:tcPr>
          <w:p>
            <w:pPr>
              <w:spacing w:after="0"/>
              <w:rPr>
                <w:sz w:val="1"/>
                <w:szCs w:val="1"/>
                <w:color w:val="auto"/>
              </w:rPr>
            </w:pPr>
          </w:p>
        </w:tc>
      </w:tr>
      <w:tr>
        <w:trPr>
          <w:trHeight w:val="57"/>
        </w:trPr>
        <w:tc>
          <w:tcPr>
            <w:tcW w:w="2360" w:type="dxa"/>
            <w:vAlign w:val="bottom"/>
            <w:tcBorders>
              <w:bottom w:val="single" w:sz="8" w:color="005A64"/>
            </w:tcBorders>
          </w:tcPr>
          <w:p>
            <w:pPr>
              <w:spacing w:after="0"/>
              <w:rPr>
                <w:sz w:val="4"/>
                <w:szCs w:val="4"/>
                <w:color w:val="auto"/>
              </w:rPr>
            </w:pPr>
          </w:p>
        </w:tc>
        <w:tc>
          <w:tcPr>
            <w:tcW w:w="20" w:type="dxa"/>
            <w:vAlign w:val="bottom"/>
            <w:tcBorders>
              <w:bottom w:val="single" w:sz="8" w:color="BECD32"/>
            </w:tcBorders>
          </w:tcPr>
          <w:p>
            <w:pPr>
              <w:spacing w:after="0"/>
              <w:rPr>
                <w:sz w:val="4"/>
                <w:szCs w:val="4"/>
                <w:color w:val="auto"/>
              </w:rPr>
            </w:pPr>
          </w:p>
        </w:tc>
        <w:tc>
          <w:tcPr>
            <w:tcW w:w="40" w:type="dxa"/>
            <w:vAlign w:val="bottom"/>
            <w:tcBorders>
              <w:left w:val="single" w:sz="8" w:color="BECD32"/>
              <w:bottom w:val="single" w:sz="8" w:color="BECD32"/>
            </w:tcBorders>
          </w:tcPr>
          <w:p>
            <w:pPr>
              <w:spacing w:after="0"/>
              <w:rPr>
                <w:sz w:val="4"/>
                <w:szCs w:val="4"/>
                <w:color w:val="auto"/>
              </w:rPr>
            </w:pPr>
          </w:p>
        </w:tc>
        <w:tc>
          <w:tcPr>
            <w:tcW w:w="1420" w:type="dxa"/>
            <w:vAlign w:val="bottom"/>
            <w:tcBorders>
              <w:bottom w:val="single" w:sz="8" w:color="BECD32"/>
            </w:tcBorders>
            <w:gridSpan w:val="2"/>
          </w:tcPr>
          <w:p>
            <w:pPr>
              <w:spacing w:after="0"/>
              <w:rPr>
                <w:sz w:val="4"/>
                <w:szCs w:val="4"/>
                <w:color w:val="auto"/>
              </w:rPr>
            </w:pPr>
          </w:p>
        </w:tc>
        <w:tc>
          <w:tcPr>
            <w:tcW w:w="40" w:type="dxa"/>
            <w:vAlign w:val="bottom"/>
            <w:tcBorders>
              <w:bottom w:val="single" w:sz="8" w:color="BECD32"/>
              <w:right w:val="single" w:sz="8" w:color="BECD32"/>
            </w:tcBorders>
          </w:tcPr>
          <w:p>
            <w:pPr>
              <w:spacing w:after="0"/>
              <w:rPr>
                <w:sz w:val="4"/>
                <w:szCs w:val="4"/>
                <w:color w:val="auto"/>
              </w:rPr>
            </w:pPr>
          </w:p>
        </w:tc>
        <w:tc>
          <w:tcPr>
            <w:tcW w:w="20" w:type="dxa"/>
            <w:vAlign w:val="bottom"/>
            <w:tcBorders>
              <w:bottom w:val="single" w:sz="8" w:color="BECD32"/>
            </w:tcBorders>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80" w:type="dxa"/>
            <w:vAlign w:val="bottom"/>
            <w:tcBorders>
              <w:bottom w:val="single" w:sz="8" w:color="BECE33"/>
            </w:tcBorders>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80" w:type="dxa"/>
            <w:vAlign w:val="bottom"/>
            <w:tcBorders>
              <w:bottom w:val="single" w:sz="8" w:color="BECE33"/>
            </w:tcBorders>
          </w:tcPr>
          <w:p>
            <w:pPr>
              <w:spacing w:after="0"/>
              <w:rPr>
                <w:sz w:val="4"/>
                <w:szCs w:val="4"/>
                <w:color w:val="auto"/>
              </w:rPr>
            </w:pPr>
          </w:p>
        </w:tc>
        <w:tc>
          <w:tcPr>
            <w:tcW w:w="68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2380" w:type="dxa"/>
            <w:vAlign w:val="bottom"/>
            <w:gridSpan w:val="2"/>
          </w:tcPr>
          <w:p>
            <w:pPr>
              <w:ind w:left="20"/>
              <w:spacing w:after="0"/>
              <w:rPr>
                <w:sz w:val="20"/>
                <w:szCs w:val="20"/>
                <w:color w:val="auto"/>
              </w:rPr>
            </w:pPr>
            <w:r>
              <w:rPr>
                <w:rFonts w:ascii="Arial" w:cs="Arial" w:eastAsia="Arial" w:hAnsi="Arial"/>
                <w:sz w:val="12"/>
                <w:szCs w:val="12"/>
                <w:i w:val="1"/>
                <w:iCs w:val="1"/>
                <w:color w:val="005A64"/>
              </w:rPr>
              <w:t>(in millions €)</w:t>
            </w:r>
          </w:p>
        </w:tc>
        <w:tc>
          <w:tcPr>
            <w:tcW w:w="40" w:type="dxa"/>
            <w:vAlign w:val="bottom"/>
          </w:tcPr>
          <w:p>
            <w:pPr>
              <w:spacing w:after="0"/>
              <w:rPr>
                <w:sz w:val="19"/>
                <w:szCs w:val="19"/>
                <w:color w:val="auto"/>
              </w:rPr>
            </w:pPr>
          </w:p>
        </w:tc>
        <w:tc>
          <w:tcPr>
            <w:tcW w:w="2140" w:type="dxa"/>
            <w:vAlign w:val="bottom"/>
            <w:gridSpan w:val="5"/>
          </w:tcPr>
          <w:p>
            <w:pPr>
              <w:spacing w:after="0"/>
              <w:rPr>
                <w:sz w:val="20"/>
                <w:szCs w:val="20"/>
                <w:color w:val="auto"/>
              </w:rPr>
            </w:pPr>
            <w:r>
              <w:rPr>
                <w:rFonts w:ascii="Arial" w:cs="Arial" w:eastAsia="Arial" w:hAnsi="Arial"/>
                <w:sz w:val="12"/>
                <w:szCs w:val="12"/>
                <w:b w:val="1"/>
                <w:bCs w:val="1"/>
                <w:color w:val="005A64"/>
              </w:rPr>
              <w:t>Years ended December 31,</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23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005A64"/>
              </w:rPr>
              <w:t>Revenues by customers</w:t>
            </w:r>
          </w:p>
        </w:tc>
        <w:tc>
          <w:tcPr>
            <w:tcW w:w="700" w:type="dxa"/>
            <w:vAlign w:val="bottom"/>
            <w:tcBorders>
              <w:bottom w:val="single" w:sz="8" w:color="BECD32"/>
            </w:tcBorders>
            <w:gridSpan w:val="2"/>
          </w:tcPr>
          <w:p>
            <w:pPr>
              <w:spacing w:after="0"/>
              <w:rPr>
                <w:sz w:val="11"/>
                <w:szCs w:val="11"/>
                <w:color w:val="auto"/>
              </w:rPr>
            </w:pPr>
          </w:p>
        </w:tc>
        <w:tc>
          <w:tcPr>
            <w:tcW w:w="760" w:type="dxa"/>
            <w:vAlign w:val="bottom"/>
            <w:tcBorders>
              <w:bottom w:val="single" w:sz="8" w:color="BECD32"/>
            </w:tcBorders>
          </w:tcPr>
          <w:p>
            <w:pPr>
              <w:spacing w:after="0"/>
              <w:rPr>
                <w:sz w:val="11"/>
                <w:szCs w:val="11"/>
                <w:color w:val="auto"/>
              </w:rPr>
            </w:pPr>
          </w:p>
        </w:tc>
        <w:tc>
          <w:tcPr>
            <w:tcW w:w="40" w:type="dxa"/>
            <w:vAlign w:val="bottom"/>
            <w:tcBorders>
              <w:bottom w:val="single" w:sz="8" w:color="BECD32"/>
            </w:tcBorders>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005A64"/>
              </w:rPr>
              <w:t>2023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005A64"/>
              </w:rPr>
              <w:t>2022</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380" w:type="dxa"/>
            <w:vAlign w:val="bottom"/>
            <w:gridSpan w:val="2"/>
            <w:vMerge w:val="continue"/>
          </w:tcPr>
          <w:p>
            <w:pPr>
              <w:spacing w:after="0"/>
              <w:rPr>
                <w:sz w:val="13"/>
                <w:szCs w:val="13"/>
                <w:color w:val="auto"/>
              </w:rPr>
            </w:pPr>
          </w:p>
        </w:tc>
        <w:tc>
          <w:tcPr>
            <w:tcW w:w="700" w:type="dxa"/>
            <w:vAlign w:val="bottom"/>
            <w:tcBorders>
              <w:left w:val="single" w:sz="8" w:color="BECD32"/>
            </w:tcBorders>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760" w:type="dxa"/>
            <w:vAlign w:val="bottom"/>
          </w:tcPr>
          <w:p>
            <w:pPr>
              <w:spacing w:after="0"/>
              <w:rPr>
                <w:sz w:val="13"/>
                <w:szCs w:val="13"/>
                <w:color w:val="auto"/>
              </w:rPr>
            </w:pPr>
          </w:p>
        </w:tc>
        <w:tc>
          <w:tcPr>
            <w:tcW w:w="40" w:type="dxa"/>
            <w:vAlign w:val="bottom"/>
            <w:tcBorders>
              <w:right w:val="single" w:sz="8" w:color="BECD32"/>
            </w:tcBorders>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36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left w:val="single" w:sz="8" w:color="BECD32"/>
            </w:tcBorders>
            <w:vMerge w:val="restart"/>
          </w:tcPr>
          <w:p>
            <w:pPr>
              <w:spacing w:after="0"/>
              <w:rPr>
                <w:sz w:val="2"/>
                <w:szCs w:val="2"/>
                <w:color w:val="auto"/>
              </w:rPr>
            </w:pPr>
          </w:p>
        </w:tc>
        <w:tc>
          <w:tcPr>
            <w:tcW w:w="660" w:type="dxa"/>
            <w:vAlign w:val="bottom"/>
            <w:tcBorders>
              <w:bottom w:val="single" w:sz="8" w:color="005A64"/>
            </w:tcBorders>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40" w:type="dxa"/>
            <w:vAlign w:val="bottom"/>
            <w:tcBorders>
              <w:right w:val="single" w:sz="8" w:color="BECD32"/>
            </w:tcBorders>
          </w:tcPr>
          <w:p>
            <w:pPr>
              <w:spacing w:after="0"/>
              <w:rPr>
                <w:sz w:val="2"/>
                <w:szCs w:val="2"/>
                <w:color w:val="auto"/>
              </w:rPr>
            </w:pPr>
          </w:p>
        </w:tc>
        <w:tc>
          <w:tcPr>
            <w:tcW w:w="20" w:type="dxa"/>
            <w:vAlign w:val="bottom"/>
            <w:vMerge w:val="restart"/>
          </w:tcPr>
          <w:p>
            <w:pPr>
              <w:spacing w:after="0"/>
              <w:rPr>
                <w:sz w:val="2"/>
                <w:szCs w:val="2"/>
                <w:color w:val="auto"/>
              </w:rPr>
            </w:pPr>
          </w:p>
        </w:tc>
        <w:tc>
          <w:tcPr>
            <w:tcW w:w="660" w:type="dxa"/>
            <w:vAlign w:val="bottom"/>
            <w:tcBorders>
              <w:bottom w:val="single" w:sz="8" w:color="005A64"/>
            </w:tcBorders>
          </w:tcPr>
          <w:p>
            <w:pPr>
              <w:spacing w:after="0"/>
              <w:rPr>
                <w:sz w:val="2"/>
                <w:szCs w:val="2"/>
                <w:color w:val="auto"/>
              </w:rPr>
            </w:pPr>
          </w:p>
        </w:tc>
        <w:tc>
          <w:tcPr>
            <w:tcW w:w="740" w:type="dxa"/>
            <w:vAlign w:val="bottom"/>
            <w:tcBorders>
              <w:bottom w:val="single" w:sz="8" w:color="005A64"/>
            </w:tcBorders>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660" w:type="dxa"/>
            <w:vAlign w:val="bottom"/>
            <w:tcBorders>
              <w:bottom w:val="single" w:sz="8" w:color="005A64"/>
            </w:tcBorders>
          </w:tcPr>
          <w:p>
            <w:pPr>
              <w:spacing w:after="0"/>
              <w:rPr>
                <w:sz w:val="2"/>
                <w:szCs w:val="2"/>
                <w:color w:val="auto"/>
              </w:rPr>
            </w:pPr>
          </w:p>
        </w:tc>
        <w:tc>
          <w:tcPr>
            <w:tcW w:w="760" w:type="dxa"/>
            <w:vAlign w:val="bottom"/>
            <w:tcBorders>
              <w:bottom w:val="single" w:sz="8" w:color="005A64"/>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360" w:type="dxa"/>
            <w:vAlign w:val="bottom"/>
          </w:tcPr>
          <w:p>
            <w:pPr>
              <w:ind w:left="20"/>
              <w:spacing w:after="0"/>
              <w:rPr>
                <w:sz w:val="20"/>
                <w:szCs w:val="20"/>
                <w:color w:val="auto"/>
              </w:rPr>
            </w:pPr>
            <w:r>
              <w:rPr>
                <w:rFonts w:ascii="Arial" w:cs="Arial" w:eastAsia="Arial" w:hAnsi="Arial"/>
                <w:sz w:val="12"/>
                <w:szCs w:val="12"/>
                <w:color w:val="005A64"/>
              </w:rPr>
              <w:t>Pfizer</w:t>
            </w:r>
          </w:p>
        </w:tc>
        <w:tc>
          <w:tcPr>
            <w:tcW w:w="20" w:type="dxa"/>
            <w:vAlign w:val="bottom"/>
            <w:vMerge w:val="continue"/>
          </w:tcPr>
          <w:p>
            <w:pPr>
              <w:spacing w:after="0"/>
              <w:rPr>
                <w:sz w:val="13"/>
                <w:szCs w:val="13"/>
                <w:color w:val="auto"/>
              </w:rPr>
            </w:pPr>
          </w:p>
        </w:tc>
        <w:tc>
          <w:tcPr>
            <w:tcW w:w="40" w:type="dxa"/>
            <w:vAlign w:val="bottom"/>
            <w:tcBorders>
              <w:left w:val="single" w:sz="8" w:color="BECD32"/>
            </w:tcBorders>
            <w:vMerge w:val="continue"/>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color w:val="005A64"/>
              </w:rPr>
              <w:t>2,011.7</w:t>
            </w:r>
          </w:p>
        </w:tc>
        <w:tc>
          <w:tcPr>
            <w:tcW w:w="760" w:type="dxa"/>
            <w:vAlign w:val="bottom"/>
          </w:tcPr>
          <w:p>
            <w:pPr>
              <w:ind w:left="100"/>
              <w:spacing w:after="0"/>
              <w:rPr>
                <w:sz w:val="20"/>
                <w:szCs w:val="20"/>
                <w:color w:val="auto"/>
              </w:rPr>
            </w:pPr>
            <w:r>
              <w:rPr>
                <w:rFonts w:ascii="Arial" w:cs="Arial" w:eastAsia="Arial" w:hAnsi="Arial"/>
                <w:sz w:val="12"/>
                <w:szCs w:val="12"/>
                <w:color w:val="005A64"/>
              </w:rPr>
              <w:t>73%</w:t>
            </w:r>
          </w:p>
        </w:tc>
        <w:tc>
          <w:tcPr>
            <w:tcW w:w="40" w:type="dxa"/>
            <w:vAlign w:val="bottom"/>
            <w:tcBorders>
              <w:right w:val="single" w:sz="8" w:color="BECD32"/>
            </w:tcBorders>
          </w:tcPr>
          <w:p>
            <w:pPr>
              <w:spacing w:after="0"/>
              <w:rPr>
                <w:sz w:val="13"/>
                <w:szCs w:val="13"/>
                <w:color w:val="auto"/>
              </w:rPr>
            </w:pPr>
          </w:p>
        </w:tc>
        <w:tc>
          <w:tcPr>
            <w:tcW w:w="20" w:type="dxa"/>
            <w:vAlign w:val="bottom"/>
            <w:vMerge w:val="continue"/>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color w:val="005A64"/>
              </w:rPr>
              <w:t>3,293.0</w:t>
            </w:r>
          </w:p>
        </w:tc>
        <w:tc>
          <w:tcPr>
            <w:tcW w:w="740" w:type="dxa"/>
            <w:vAlign w:val="bottom"/>
            <w:gridSpan w:val="2"/>
          </w:tcPr>
          <w:p>
            <w:pPr>
              <w:ind w:left="80"/>
              <w:spacing w:after="0"/>
              <w:rPr>
                <w:sz w:val="20"/>
                <w:szCs w:val="20"/>
                <w:color w:val="auto"/>
              </w:rPr>
            </w:pPr>
            <w:r>
              <w:rPr>
                <w:rFonts w:ascii="Arial" w:cs="Arial" w:eastAsia="Arial" w:hAnsi="Arial"/>
                <w:sz w:val="12"/>
                <w:szCs w:val="12"/>
                <w:color w:val="005A64"/>
              </w:rPr>
              <w:t>86%</w:t>
            </w:r>
          </w:p>
        </w:tc>
        <w:tc>
          <w:tcPr>
            <w:tcW w:w="20" w:type="dxa"/>
            <w:vAlign w:val="bottom"/>
            <w:vMerge w:val="continue"/>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2"/>
                <w:szCs w:val="12"/>
                <w:color w:val="005A64"/>
              </w:rPr>
              <w:t>13,795.8</w:t>
            </w:r>
          </w:p>
        </w:tc>
        <w:tc>
          <w:tcPr>
            <w:tcW w:w="760" w:type="dxa"/>
            <w:vAlign w:val="bottom"/>
            <w:gridSpan w:val="2"/>
          </w:tcPr>
          <w:p>
            <w:pPr>
              <w:ind w:left="100"/>
              <w:spacing w:after="0"/>
              <w:rPr>
                <w:sz w:val="20"/>
                <w:szCs w:val="20"/>
                <w:color w:val="auto"/>
              </w:rPr>
            </w:pPr>
            <w:r>
              <w:rPr>
                <w:rFonts w:ascii="Arial" w:cs="Arial" w:eastAsia="Arial" w:hAnsi="Arial"/>
                <w:sz w:val="12"/>
                <w:szCs w:val="12"/>
                <w:color w:val="005A64"/>
              </w:rPr>
              <w:t>80%</w:t>
            </w:r>
          </w:p>
        </w:tc>
        <w:tc>
          <w:tcPr>
            <w:tcW w:w="0" w:type="dxa"/>
            <w:vAlign w:val="bottom"/>
          </w:tcPr>
          <w:p>
            <w:pPr>
              <w:spacing w:after="0"/>
              <w:rPr>
                <w:sz w:val="1"/>
                <w:szCs w:val="1"/>
                <w:color w:val="auto"/>
              </w:rPr>
            </w:pPr>
          </w:p>
        </w:tc>
      </w:tr>
      <w:tr>
        <w:trPr>
          <w:trHeight w:val="181"/>
        </w:trPr>
        <w:tc>
          <w:tcPr>
            <w:tcW w:w="2380" w:type="dxa"/>
            <w:vAlign w:val="bottom"/>
            <w:gridSpan w:val="2"/>
          </w:tcPr>
          <w:p>
            <w:pPr>
              <w:ind w:left="20"/>
              <w:spacing w:after="0"/>
              <w:rPr>
                <w:sz w:val="20"/>
                <w:szCs w:val="20"/>
                <w:color w:val="auto"/>
              </w:rPr>
            </w:pPr>
            <w:r>
              <w:rPr>
                <w:rFonts w:ascii="Arial" w:cs="Arial" w:eastAsia="Arial" w:hAnsi="Arial"/>
                <w:sz w:val="12"/>
                <w:szCs w:val="12"/>
                <w:color w:val="005A64"/>
              </w:rPr>
              <w:t>German Federal Ministry of Health</w:t>
            </w:r>
          </w:p>
        </w:tc>
        <w:tc>
          <w:tcPr>
            <w:tcW w:w="700" w:type="dxa"/>
            <w:vAlign w:val="bottom"/>
            <w:tcBorders>
              <w:left w:val="single" w:sz="8" w:color="BECD32"/>
            </w:tcBorders>
            <w:gridSpan w:val="2"/>
          </w:tcPr>
          <w:p>
            <w:pPr>
              <w:ind w:left="40"/>
              <w:spacing w:after="0"/>
              <w:rPr>
                <w:sz w:val="20"/>
                <w:szCs w:val="20"/>
                <w:color w:val="auto"/>
              </w:rPr>
            </w:pPr>
            <w:r>
              <w:rPr>
                <w:rFonts w:ascii="Arial" w:cs="Arial" w:eastAsia="Arial" w:hAnsi="Arial"/>
                <w:sz w:val="12"/>
                <w:szCs w:val="12"/>
                <w:color w:val="005A64"/>
              </w:rPr>
              <w:t>701.0</w:t>
            </w:r>
          </w:p>
        </w:tc>
        <w:tc>
          <w:tcPr>
            <w:tcW w:w="760" w:type="dxa"/>
            <w:vAlign w:val="bottom"/>
          </w:tcPr>
          <w:p>
            <w:pPr>
              <w:ind w:left="100"/>
              <w:spacing w:after="0"/>
              <w:rPr>
                <w:sz w:val="20"/>
                <w:szCs w:val="20"/>
                <w:color w:val="auto"/>
              </w:rPr>
            </w:pPr>
            <w:r>
              <w:rPr>
                <w:rFonts w:ascii="Arial" w:cs="Arial" w:eastAsia="Arial" w:hAnsi="Arial"/>
                <w:sz w:val="12"/>
                <w:szCs w:val="12"/>
                <w:color w:val="005A64"/>
              </w:rPr>
              <w:t>25%</w:t>
            </w:r>
          </w:p>
        </w:tc>
        <w:tc>
          <w:tcPr>
            <w:tcW w:w="40" w:type="dxa"/>
            <w:vAlign w:val="bottom"/>
            <w:tcBorders>
              <w:right w:val="single" w:sz="8" w:color="BECD32"/>
            </w:tcBorders>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color w:val="005A64"/>
              </w:rPr>
              <w:t>473.6</w:t>
            </w:r>
          </w:p>
        </w:tc>
        <w:tc>
          <w:tcPr>
            <w:tcW w:w="740" w:type="dxa"/>
            <w:vAlign w:val="bottom"/>
            <w:gridSpan w:val="2"/>
          </w:tcPr>
          <w:p>
            <w:pPr>
              <w:ind w:left="80"/>
              <w:spacing w:after="0"/>
              <w:rPr>
                <w:sz w:val="20"/>
                <w:szCs w:val="20"/>
                <w:color w:val="auto"/>
              </w:rPr>
            </w:pPr>
            <w:r>
              <w:rPr>
                <w:rFonts w:ascii="Arial" w:cs="Arial" w:eastAsia="Arial" w:hAnsi="Arial"/>
                <w:sz w:val="12"/>
                <w:szCs w:val="12"/>
                <w:color w:val="005A64"/>
              </w:rPr>
              <w:t>12%</w:t>
            </w:r>
          </w:p>
        </w:tc>
        <w:tc>
          <w:tcPr>
            <w:tcW w:w="680" w:type="dxa"/>
            <w:vAlign w:val="bottom"/>
            <w:gridSpan w:val="2"/>
          </w:tcPr>
          <w:p>
            <w:pPr>
              <w:ind w:left="40"/>
              <w:spacing w:after="0"/>
              <w:rPr>
                <w:sz w:val="20"/>
                <w:szCs w:val="20"/>
                <w:color w:val="auto"/>
              </w:rPr>
            </w:pPr>
            <w:r>
              <w:rPr>
                <w:rFonts w:ascii="Arial" w:cs="Arial" w:eastAsia="Arial" w:hAnsi="Arial"/>
                <w:sz w:val="12"/>
                <w:szCs w:val="12"/>
                <w:color w:val="005A64"/>
              </w:rPr>
              <w:t>3,020.5</w:t>
            </w:r>
          </w:p>
        </w:tc>
        <w:tc>
          <w:tcPr>
            <w:tcW w:w="760" w:type="dxa"/>
            <w:vAlign w:val="bottom"/>
            <w:gridSpan w:val="2"/>
          </w:tcPr>
          <w:p>
            <w:pPr>
              <w:ind w:left="100"/>
              <w:spacing w:after="0"/>
              <w:rPr>
                <w:sz w:val="20"/>
                <w:szCs w:val="20"/>
                <w:color w:val="auto"/>
              </w:rPr>
            </w:pPr>
            <w:r>
              <w:rPr>
                <w:rFonts w:ascii="Arial" w:cs="Arial" w:eastAsia="Arial" w:hAnsi="Arial"/>
                <w:sz w:val="12"/>
                <w:szCs w:val="12"/>
                <w:color w:val="005A64"/>
              </w:rPr>
              <w:t>17%</w:t>
            </w:r>
          </w:p>
        </w:tc>
        <w:tc>
          <w:tcPr>
            <w:tcW w:w="0" w:type="dxa"/>
            <w:vAlign w:val="bottom"/>
          </w:tcPr>
          <w:p>
            <w:pPr>
              <w:spacing w:after="0"/>
              <w:rPr>
                <w:sz w:val="1"/>
                <w:szCs w:val="1"/>
                <w:color w:val="auto"/>
              </w:rPr>
            </w:pPr>
          </w:p>
        </w:tc>
      </w:tr>
      <w:tr>
        <w:trPr>
          <w:trHeight w:val="202"/>
        </w:trPr>
        <w:tc>
          <w:tcPr>
            <w:tcW w:w="2380" w:type="dxa"/>
            <w:vAlign w:val="bottom"/>
            <w:gridSpan w:val="2"/>
          </w:tcPr>
          <w:p>
            <w:pPr>
              <w:ind w:left="20"/>
              <w:spacing w:after="0"/>
              <w:rPr>
                <w:sz w:val="20"/>
                <w:szCs w:val="20"/>
                <w:color w:val="auto"/>
              </w:rPr>
            </w:pPr>
            <w:r>
              <w:rPr>
                <w:rFonts w:ascii="Arial" w:cs="Arial" w:eastAsia="Arial" w:hAnsi="Arial"/>
                <w:sz w:val="12"/>
                <w:szCs w:val="12"/>
                <w:color w:val="005A64"/>
              </w:rPr>
              <w:t>Other customers</w:t>
            </w:r>
          </w:p>
        </w:tc>
        <w:tc>
          <w:tcPr>
            <w:tcW w:w="700" w:type="dxa"/>
            <w:vAlign w:val="bottom"/>
            <w:tcBorders>
              <w:left w:val="single" w:sz="8" w:color="BECD32"/>
            </w:tcBorders>
            <w:gridSpan w:val="2"/>
          </w:tcPr>
          <w:p>
            <w:pPr>
              <w:ind w:left="40"/>
              <w:spacing w:after="0"/>
              <w:rPr>
                <w:sz w:val="20"/>
                <w:szCs w:val="20"/>
                <w:color w:val="auto"/>
              </w:rPr>
            </w:pPr>
            <w:r>
              <w:rPr>
                <w:rFonts w:ascii="Arial" w:cs="Arial" w:eastAsia="Arial" w:hAnsi="Arial"/>
                <w:sz w:val="12"/>
                <w:szCs w:val="12"/>
                <w:color w:val="005A64"/>
              </w:rPr>
              <w:t>38.4</w:t>
            </w:r>
          </w:p>
        </w:tc>
        <w:tc>
          <w:tcPr>
            <w:tcW w:w="760" w:type="dxa"/>
            <w:vAlign w:val="bottom"/>
          </w:tcPr>
          <w:p>
            <w:pPr>
              <w:ind w:left="100"/>
              <w:spacing w:after="0"/>
              <w:rPr>
                <w:sz w:val="20"/>
                <w:szCs w:val="20"/>
                <w:color w:val="auto"/>
              </w:rPr>
            </w:pPr>
            <w:r>
              <w:rPr>
                <w:rFonts w:ascii="Arial" w:cs="Arial" w:eastAsia="Arial" w:hAnsi="Arial"/>
                <w:sz w:val="12"/>
                <w:szCs w:val="12"/>
                <w:color w:val="005A64"/>
              </w:rPr>
              <w:t>2%</w:t>
            </w:r>
          </w:p>
        </w:tc>
        <w:tc>
          <w:tcPr>
            <w:tcW w:w="40" w:type="dxa"/>
            <w:vAlign w:val="bottom"/>
            <w:tcBorders>
              <w:right w:val="single" w:sz="8" w:color="BECD32"/>
            </w:tcBorders>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color w:val="005A64"/>
              </w:rPr>
              <w:t>52.4</w:t>
            </w:r>
          </w:p>
        </w:tc>
        <w:tc>
          <w:tcPr>
            <w:tcW w:w="740" w:type="dxa"/>
            <w:vAlign w:val="bottom"/>
            <w:gridSpan w:val="2"/>
          </w:tcPr>
          <w:p>
            <w:pPr>
              <w:ind w:left="80"/>
              <w:spacing w:after="0"/>
              <w:rPr>
                <w:sz w:val="20"/>
                <w:szCs w:val="20"/>
                <w:color w:val="auto"/>
              </w:rPr>
            </w:pPr>
            <w:r>
              <w:rPr>
                <w:rFonts w:ascii="Arial" w:cs="Arial" w:eastAsia="Arial" w:hAnsi="Arial"/>
                <w:sz w:val="12"/>
                <w:szCs w:val="12"/>
                <w:color w:val="005A64"/>
              </w:rPr>
              <w:t>2%</w:t>
            </w:r>
          </w:p>
        </w:tc>
        <w:tc>
          <w:tcPr>
            <w:tcW w:w="680" w:type="dxa"/>
            <w:vAlign w:val="bottom"/>
            <w:gridSpan w:val="2"/>
          </w:tcPr>
          <w:p>
            <w:pPr>
              <w:ind w:left="40"/>
              <w:spacing w:after="0"/>
              <w:rPr>
                <w:sz w:val="20"/>
                <w:szCs w:val="20"/>
                <w:color w:val="auto"/>
              </w:rPr>
            </w:pPr>
            <w:r>
              <w:rPr>
                <w:rFonts w:ascii="Arial" w:cs="Arial" w:eastAsia="Arial" w:hAnsi="Arial"/>
                <w:sz w:val="12"/>
                <w:szCs w:val="12"/>
                <w:color w:val="005A64"/>
              </w:rPr>
              <w:t>494.3</w:t>
            </w:r>
          </w:p>
        </w:tc>
        <w:tc>
          <w:tcPr>
            <w:tcW w:w="760" w:type="dxa"/>
            <w:vAlign w:val="bottom"/>
            <w:gridSpan w:val="2"/>
          </w:tcPr>
          <w:p>
            <w:pPr>
              <w:ind w:left="100"/>
              <w:spacing w:after="0"/>
              <w:rPr>
                <w:sz w:val="20"/>
                <w:szCs w:val="20"/>
                <w:color w:val="auto"/>
              </w:rPr>
            </w:pPr>
            <w:r>
              <w:rPr>
                <w:rFonts w:ascii="Arial" w:cs="Arial" w:eastAsia="Arial" w:hAnsi="Arial"/>
                <w:sz w:val="12"/>
                <w:szCs w:val="12"/>
                <w:color w:val="005A64"/>
              </w:rPr>
              <w:t>3%</w:t>
            </w:r>
          </w:p>
        </w:tc>
        <w:tc>
          <w:tcPr>
            <w:tcW w:w="0" w:type="dxa"/>
            <w:vAlign w:val="bottom"/>
          </w:tcPr>
          <w:p>
            <w:pPr>
              <w:spacing w:after="0"/>
              <w:rPr>
                <w:sz w:val="1"/>
                <w:szCs w:val="1"/>
                <w:color w:val="auto"/>
              </w:rPr>
            </w:pPr>
          </w:p>
        </w:tc>
      </w:tr>
      <w:tr>
        <w:trPr>
          <w:trHeight w:val="208"/>
        </w:trPr>
        <w:tc>
          <w:tcPr>
            <w:tcW w:w="238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w:t>
            </w:r>
          </w:p>
        </w:tc>
        <w:tc>
          <w:tcPr>
            <w:tcW w:w="700" w:type="dxa"/>
            <w:vAlign w:val="bottom"/>
            <w:tcBorders>
              <w:left w:val="single" w:sz="8" w:color="BECD32"/>
            </w:tcBorders>
            <w:gridSpan w:val="2"/>
          </w:tcPr>
          <w:p>
            <w:pPr>
              <w:ind w:left="40"/>
              <w:spacing w:after="0"/>
              <w:rPr>
                <w:sz w:val="20"/>
                <w:szCs w:val="20"/>
                <w:color w:val="auto"/>
              </w:rPr>
            </w:pPr>
            <w:r>
              <w:rPr>
                <w:rFonts w:ascii="Arial" w:cs="Arial" w:eastAsia="Arial" w:hAnsi="Arial"/>
                <w:sz w:val="12"/>
                <w:szCs w:val="12"/>
                <w:b w:val="1"/>
                <w:bCs w:val="1"/>
                <w:color w:val="005A64"/>
              </w:rPr>
              <w:t>2,751.1</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005A64"/>
              </w:rPr>
              <w:t>100%</w:t>
            </w:r>
          </w:p>
        </w:tc>
        <w:tc>
          <w:tcPr>
            <w:tcW w:w="40" w:type="dxa"/>
            <w:vAlign w:val="bottom"/>
            <w:tcBorders>
              <w:right w:val="single" w:sz="8" w:color="BECD32"/>
            </w:tcBorders>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005A64"/>
              </w:rPr>
              <w:t>3,819.0</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005A64"/>
              </w:rPr>
              <w:t>100%</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005A64"/>
              </w:rPr>
              <w:t>17,310.6</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005A64"/>
              </w:rPr>
              <w:t>100%</w:t>
            </w:r>
          </w:p>
        </w:tc>
        <w:tc>
          <w:tcPr>
            <w:tcW w:w="0" w:type="dxa"/>
            <w:vAlign w:val="bottom"/>
          </w:tcPr>
          <w:p>
            <w:pPr>
              <w:spacing w:after="0"/>
              <w:rPr>
                <w:sz w:val="1"/>
                <w:szCs w:val="1"/>
                <w:color w:val="auto"/>
              </w:rPr>
            </w:pPr>
          </w:p>
        </w:tc>
      </w:tr>
      <w:tr>
        <w:trPr>
          <w:trHeight w:val="57"/>
        </w:trPr>
        <w:tc>
          <w:tcPr>
            <w:tcW w:w="2360" w:type="dxa"/>
            <w:vAlign w:val="bottom"/>
            <w:tcBorders>
              <w:bottom w:val="single" w:sz="8" w:color="005A64"/>
            </w:tcBorders>
          </w:tcPr>
          <w:p>
            <w:pPr>
              <w:spacing w:after="0"/>
              <w:rPr>
                <w:sz w:val="4"/>
                <w:szCs w:val="4"/>
                <w:color w:val="auto"/>
              </w:rPr>
            </w:pPr>
          </w:p>
        </w:tc>
        <w:tc>
          <w:tcPr>
            <w:tcW w:w="20" w:type="dxa"/>
            <w:vAlign w:val="bottom"/>
            <w:tcBorders>
              <w:bottom w:val="single" w:sz="8" w:color="BECD32"/>
            </w:tcBorders>
          </w:tcPr>
          <w:p>
            <w:pPr>
              <w:spacing w:after="0"/>
              <w:rPr>
                <w:sz w:val="4"/>
                <w:szCs w:val="4"/>
                <w:color w:val="auto"/>
              </w:rPr>
            </w:pPr>
          </w:p>
        </w:tc>
        <w:tc>
          <w:tcPr>
            <w:tcW w:w="40" w:type="dxa"/>
            <w:vAlign w:val="bottom"/>
            <w:tcBorders>
              <w:left w:val="single" w:sz="8" w:color="BECD32"/>
              <w:bottom w:val="single" w:sz="8" w:color="BECD32"/>
            </w:tcBorders>
          </w:tcPr>
          <w:p>
            <w:pPr>
              <w:spacing w:after="0"/>
              <w:rPr>
                <w:sz w:val="4"/>
                <w:szCs w:val="4"/>
                <w:color w:val="auto"/>
              </w:rPr>
            </w:pPr>
          </w:p>
        </w:tc>
        <w:tc>
          <w:tcPr>
            <w:tcW w:w="1460" w:type="dxa"/>
            <w:vAlign w:val="bottom"/>
            <w:tcBorders>
              <w:bottom w:val="single" w:sz="8" w:color="BECD32"/>
              <w:right w:val="single" w:sz="8" w:color="BECD32"/>
            </w:tcBorders>
            <w:gridSpan w:val="3"/>
          </w:tcPr>
          <w:p>
            <w:pPr>
              <w:spacing w:after="0"/>
              <w:rPr>
                <w:sz w:val="4"/>
                <w:szCs w:val="4"/>
                <w:color w:val="auto"/>
              </w:rPr>
            </w:pPr>
          </w:p>
        </w:tc>
        <w:tc>
          <w:tcPr>
            <w:tcW w:w="20" w:type="dxa"/>
            <w:vAlign w:val="bottom"/>
            <w:tcBorders>
              <w:bottom w:val="single" w:sz="8" w:color="BECD32"/>
            </w:tcBorders>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80" w:type="dxa"/>
            <w:vAlign w:val="bottom"/>
            <w:tcBorders>
              <w:bottom w:val="single" w:sz="8" w:color="BECE33"/>
            </w:tcBorders>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80" w:type="dxa"/>
            <w:vAlign w:val="bottom"/>
            <w:tcBorders>
              <w:bottom w:val="single" w:sz="8" w:color="BECE33"/>
            </w:tcBorders>
          </w:tcPr>
          <w:p>
            <w:pPr>
              <w:spacing w:after="0"/>
              <w:rPr>
                <w:sz w:val="4"/>
                <w:szCs w:val="4"/>
                <w:color w:val="auto"/>
              </w:rPr>
            </w:pPr>
          </w:p>
        </w:tc>
        <w:tc>
          <w:tcPr>
            <w:tcW w:w="68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2380" w:type="dxa"/>
            <w:vAlign w:val="bottom"/>
            <w:gridSpan w:val="2"/>
          </w:tcPr>
          <w:p>
            <w:pPr>
              <w:ind w:left="20"/>
              <w:spacing w:after="0"/>
              <w:rPr>
                <w:sz w:val="20"/>
                <w:szCs w:val="20"/>
                <w:color w:val="auto"/>
              </w:rPr>
            </w:pPr>
            <w:r>
              <w:rPr>
                <w:rFonts w:ascii="Arial" w:cs="Arial" w:eastAsia="Arial" w:hAnsi="Arial"/>
                <w:sz w:val="12"/>
                <w:szCs w:val="12"/>
                <w:i w:val="1"/>
                <w:iCs w:val="1"/>
                <w:color w:val="005A64"/>
              </w:rPr>
              <w:t>(in millions €)</w:t>
            </w:r>
          </w:p>
        </w:tc>
        <w:tc>
          <w:tcPr>
            <w:tcW w:w="40" w:type="dxa"/>
            <w:vAlign w:val="bottom"/>
          </w:tcPr>
          <w:p>
            <w:pPr>
              <w:spacing w:after="0"/>
              <w:rPr>
                <w:sz w:val="19"/>
                <w:szCs w:val="19"/>
                <w:color w:val="auto"/>
              </w:rPr>
            </w:pPr>
          </w:p>
        </w:tc>
        <w:tc>
          <w:tcPr>
            <w:tcW w:w="2140" w:type="dxa"/>
            <w:vAlign w:val="bottom"/>
            <w:gridSpan w:val="5"/>
          </w:tcPr>
          <w:p>
            <w:pPr>
              <w:spacing w:after="0"/>
              <w:rPr>
                <w:sz w:val="20"/>
                <w:szCs w:val="20"/>
                <w:color w:val="auto"/>
              </w:rPr>
            </w:pPr>
            <w:r>
              <w:rPr>
                <w:rFonts w:ascii="Arial" w:cs="Arial" w:eastAsia="Arial" w:hAnsi="Arial"/>
                <w:sz w:val="12"/>
                <w:szCs w:val="12"/>
                <w:b w:val="1"/>
                <w:bCs w:val="1"/>
                <w:color w:val="005A64"/>
              </w:rPr>
              <w:t>Years ended December 31,</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23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005A64"/>
              </w:rPr>
              <w:t>Revenues by countries</w:t>
            </w:r>
          </w:p>
        </w:tc>
        <w:tc>
          <w:tcPr>
            <w:tcW w:w="700" w:type="dxa"/>
            <w:vAlign w:val="bottom"/>
            <w:tcBorders>
              <w:bottom w:val="single" w:sz="8" w:color="BECD32"/>
            </w:tcBorders>
            <w:gridSpan w:val="2"/>
          </w:tcPr>
          <w:p>
            <w:pPr>
              <w:spacing w:after="0"/>
              <w:rPr>
                <w:sz w:val="11"/>
                <w:szCs w:val="11"/>
                <w:color w:val="auto"/>
              </w:rPr>
            </w:pPr>
          </w:p>
        </w:tc>
        <w:tc>
          <w:tcPr>
            <w:tcW w:w="760" w:type="dxa"/>
            <w:vAlign w:val="bottom"/>
            <w:tcBorders>
              <w:bottom w:val="single" w:sz="8" w:color="BECD32"/>
            </w:tcBorders>
          </w:tcPr>
          <w:p>
            <w:pPr>
              <w:spacing w:after="0"/>
              <w:rPr>
                <w:sz w:val="11"/>
                <w:szCs w:val="11"/>
                <w:color w:val="auto"/>
              </w:rPr>
            </w:pPr>
          </w:p>
        </w:tc>
        <w:tc>
          <w:tcPr>
            <w:tcW w:w="40" w:type="dxa"/>
            <w:vAlign w:val="bottom"/>
            <w:tcBorders>
              <w:bottom w:val="single" w:sz="8" w:color="BECD32"/>
            </w:tcBorders>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005A64"/>
              </w:rPr>
              <w:t>2023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005A64"/>
              </w:rPr>
              <w:t>2022</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380" w:type="dxa"/>
            <w:vAlign w:val="bottom"/>
            <w:gridSpan w:val="2"/>
            <w:vMerge w:val="continue"/>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36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660" w:type="dxa"/>
            <w:vAlign w:val="bottom"/>
            <w:tcBorders>
              <w:bottom w:val="single" w:sz="8" w:color="005A64"/>
            </w:tcBorders>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660" w:type="dxa"/>
            <w:vAlign w:val="bottom"/>
            <w:tcBorders>
              <w:bottom w:val="single" w:sz="8" w:color="005A64"/>
            </w:tcBorders>
          </w:tcPr>
          <w:p>
            <w:pPr>
              <w:spacing w:after="0"/>
              <w:rPr>
                <w:sz w:val="2"/>
                <w:szCs w:val="2"/>
                <w:color w:val="auto"/>
              </w:rPr>
            </w:pPr>
          </w:p>
        </w:tc>
        <w:tc>
          <w:tcPr>
            <w:tcW w:w="740" w:type="dxa"/>
            <w:vAlign w:val="bottom"/>
            <w:tcBorders>
              <w:bottom w:val="single" w:sz="8" w:color="005A64"/>
            </w:tcBorders>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660" w:type="dxa"/>
            <w:vAlign w:val="bottom"/>
            <w:tcBorders>
              <w:bottom w:val="single" w:sz="8" w:color="005A64"/>
            </w:tcBorders>
          </w:tcPr>
          <w:p>
            <w:pPr>
              <w:spacing w:after="0"/>
              <w:rPr>
                <w:sz w:val="2"/>
                <w:szCs w:val="2"/>
                <w:color w:val="auto"/>
              </w:rPr>
            </w:pPr>
          </w:p>
        </w:tc>
        <w:tc>
          <w:tcPr>
            <w:tcW w:w="760" w:type="dxa"/>
            <w:vAlign w:val="bottom"/>
            <w:tcBorders>
              <w:bottom w:val="single" w:sz="8" w:color="005A64"/>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360" w:type="dxa"/>
            <w:vAlign w:val="bottom"/>
          </w:tcPr>
          <w:p>
            <w:pPr>
              <w:ind w:left="20"/>
              <w:spacing w:after="0"/>
              <w:rPr>
                <w:sz w:val="20"/>
                <w:szCs w:val="20"/>
                <w:color w:val="auto"/>
              </w:rPr>
            </w:pPr>
            <w:r>
              <w:rPr>
                <w:rFonts w:ascii="Arial" w:cs="Arial" w:eastAsia="Arial" w:hAnsi="Arial"/>
                <w:sz w:val="12"/>
                <w:szCs w:val="12"/>
                <w:color w:val="005A64"/>
              </w:rPr>
              <w:t>United States</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color w:val="005A64"/>
              </w:rPr>
              <w:t>1,847.8</w:t>
            </w:r>
          </w:p>
        </w:tc>
        <w:tc>
          <w:tcPr>
            <w:tcW w:w="760" w:type="dxa"/>
            <w:vAlign w:val="bottom"/>
          </w:tcPr>
          <w:p>
            <w:pPr>
              <w:ind w:left="100"/>
              <w:spacing w:after="0"/>
              <w:rPr>
                <w:sz w:val="20"/>
                <w:szCs w:val="20"/>
                <w:color w:val="auto"/>
              </w:rPr>
            </w:pPr>
            <w:r>
              <w:rPr>
                <w:rFonts w:ascii="Arial" w:cs="Arial" w:eastAsia="Arial" w:hAnsi="Arial"/>
                <w:sz w:val="12"/>
                <w:szCs w:val="12"/>
                <w:color w:val="005A64"/>
              </w:rPr>
              <w:t>67%</w:t>
            </w:r>
          </w:p>
        </w:tc>
        <w:tc>
          <w:tcPr>
            <w:tcW w:w="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color w:val="005A64"/>
              </w:rPr>
              <w:t>3,010.9</w:t>
            </w:r>
          </w:p>
        </w:tc>
        <w:tc>
          <w:tcPr>
            <w:tcW w:w="740" w:type="dxa"/>
            <w:vAlign w:val="bottom"/>
            <w:gridSpan w:val="2"/>
          </w:tcPr>
          <w:p>
            <w:pPr>
              <w:ind w:left="80"/>
              <w:spacing w:after="0"/>
              <w:rPr>
                <w:sz w:val="20"/>
                <w:szCs w:val="20"/>
                <w:color w:val="auto"/>
              </w:rPr>
            </w:pPr>
            <w:r>
              <w:rPr>
                <w:rFonts w:ascii="Arial" w:cs="Arial" w:eastAsia="Arial" w:hAnsi="Arial"/>
                <w:sz w:val="12"/>
                <w:szCs w:val="12"/>
                <w:color w:val="005A64"/>
              </w:rPr>
              <w:t>79%</w:t>
            </w:r>
          </w:p>
        </w:tc>
        <w:tc>
          <w:tcPr>
            <w:tcW w:w="20" w:type="dxa"/>
            <w:vAlign w:val="bottom"/>
            <w:vMerge w:val="continue"/>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2"/>
                <w:szCs w:val="12"/>
                <w:color w:val="005A64"/>
              </w:rPr>
              <w:t>12,709.7</w:t>
            </w:r>
          </w:p>
        </w:tc>
        <w:tc>
          <w:tcPr>
            <w:tcW w:w="760" w:type="dxa"/>
            <w:vAlign w:val="bottom"/>
            <w:gridSpan w:val="2"/>
          </w:tcPr>
          <w:p>
            <w:pPr>
              <w:ind w:left="100"/>
              <w:spacing w:after="0"/>
              <w:rPr>
                <w:sz w:val="20"/>
                <w:szCs w:val="20"/>
                <w:color w:val="auto"/>
              </w:rPr>
            </w:pPr>
            <w:r>
              <w:rPr>
                <w:rFonts w:ascii="Arial" w:cs="Arial" w:eastAsia="Arial" w:hAnsi="Arial"/>
                <w:sz w:val="12"/>
                <w:szCs w:val="12"/>
                <w:color w:val="005A64"/>
              </w:rPr>
              <w:t>73%</w:t>
            </w:r>
          </w:p>
        </w:tc>
        <w:tc>
          <w:tcPr>
            <w:tcW w:w="0" w:type="dxa"/>
            <w:vAlign w:val="bottom"/>
          </w:tcPr>
          <w:p>
            <w:pPr>
              <w:spacing w:after="0"/>
              <w:rPr>
                <w:sz w:val="1"/>
                <w:szCs w:val="1"/>
                <w:color w:val="auto"/>
              </w:rPr>
            </w:pPr>
          </w:p>
        </w:tc>
      </w:tr>
      <w:tr>
        <w:trPr>
          <w:trHeight w:val="181"/>
        </w:trPr>
        <w:tc>
          <w:tcPr>
            <w:tcW w:w="2380" w:type="dxa"/>
            <w:vAlign w:val="bottom"/>
            <w:gridSpan w:val="2"/>
          </w:tcPr>
          <w:p>
            <w:pPr>
              <w:ind w:left="20"/>
              <w:spacing w:after="0"/>
              <w:rPr>
                <w:sz w:val="20"/>
                <w:szCs w:val="20"/>
                <w:color w:val="auto"/>
              </w:rPr>
            </w:pPr>
            <w:r>
              <w:rPr>
                <w:rFonts w:ascii="Arial" w:cs="Arial" w:eastAsia="Arial" w:hAnsi="Arial"/>
                <w:sz w:val="12"/>
                <w:szCs w:val="12"/>
                <w:color w:val="005A64"/>
              </w:rPr>
              <w:t>Germany</w:t>
            </w:r>
          </w:p>
        </w:tc>
        <w:tc>
          <w:tcPr>
            <w:tcW w:w="700" w:type="dxa"/>
            <w:vAlign w:val="bottom"/>
            <w:gridSpan w:val="2"/>
          </w:tcPr>
          <w:p>
            <w:pPr>
              <w:ind w:left="40"/>
              <w:spacing w:after="0"/>
              <w:rPr>
                <w:sz w:val="20"/>
                <w:szCs w:val="20"/>
                <w:color w:val="auto"/>
              </w:rPr>
            </w:pPr>
            <w:r>
              <w:rPr>
                <w:rFonts w:ascii="Arial" w:cs="Arial" w:eastAsia="Arial" w:hAnsi="Arial"/>
                <w:sz w:val="12"/>
                <w:szCs w:val="12"/>
                <w:color w:val="005A64"/>
              </w:rPr>
              <w:t>706.9</w:t>
            </w:r>
          </w:p>
        </w:tc>
        <w:tc>
          <w:tcPr>
            <w:tcW w:w="760" w:type="dxa"/>
            <w:vAlign w:val="bottom"/>
          </w:tcPr>
          <w:p>
            <w:pPr>
              <w:ind w:left="100"/>
              <w:spacing w:after="0"/>
              <w:rPr>
                <w:sz w:val="20"/>
                <w:szCs w:val="20"/>
                <w:color w:val="auto"/>
              </w:rPr>
            </w:pPr>
            <w:r>
              <w:rPr>
                <w:rFonts w:ascii="Arial" w:cs="Arial" w:eastAsia="Arial" w:hAnsi="Arial"/>
                <w:sz w:val="12"/>
                <w:szCs w:val="12"/>
                <w:color w:val="005A64"/>
              </w:rPr>
              <w:t>26%</w:t>
            </w: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color w:val="005A64"/>
              </w:rPr>
              <w:t>482.7</w:t>
            </w:r>
          </w:p>
        </w:tc>
        <w:tc>
          <w:tcPr>
            <w:tcW w:w="740" w:type="dxa"/>
            <w:vAlign w:val="bottom"/>
            <w:gridSpan w:val="2"/>
          </w:tcPr>
          <w:p>
            <w:pPr>
              <w:ind w:left="80"/>
              <w:spacing w:after="0"/>
              <w:rPr>
                <w:sz w:val="20"/>
                <w:szCs w:val="20"/>
                <w:color w:val="auto"/>
              </w:rPr>
            </w:pPr>
            <w:r>
              <w:rPr>
                <w:rFonts w:ascii="Arial" w:cs="Arial" w:eastAsia="Arial" w:hAnsi="Arial"/>
                <w:sz w:val="12"/>
                <w:szCs w:val="12"/>
                <w:color w:val="005A64"/>
              </w:rPr>
              <w:t>13%</w:t>
            </w:r>
          </w:p>
        </w:tc>
        <w:tc>
          <w:tcPr>
            <w:tcW w:w="680" w:type="dxa"/>
            <w:vAlign w:val="bottom"/>
            <w:gridSpan w:val="2"/>
          </w:tcPr>
          <w:p>
            <w:pPr>
              <w:ind w:left="40"/>
              <w:spacing w:after="0"/>
              <w:rPr>
                <w:sz w:val="20"/>
                <w:szCs w:val="20"/>
                <w:color w:val="auto"/>
              </w:rPr>
            </w:pPr>
            <w:r>
              <w:rPr>
                <w:rFonts w:ascii="Arial" w:cs="Arial" w:eastAsia="Arial" w:hAnsi="Arial"/>
                <w:sz w:val="12"/>
                <w:szCs w:val="12"/>
                <w:color w:val="005A64"/>
              </w:rPr>
              <w:t>3,031.0</w:t>
            </w:r>
          </w:p>
        </w:tc>
        <w:tc>
          <w:tcPr>
            <w:tcW w:w="760" w:type="dxa"/>
            <w:vAlign w:val="bottom"/>
            <w:gridSpan w:val="2"/>
          </w:tcPr>
          <w:p>
            <w:pPr>
              <w:ind w:left="100"/>
              <w:spacing w:after="0"/>
              <w:rPr>
                <w:sz w:val="20"/>
                <w:szCs w:val="20"/>
                <w:color w:val="auto"/>
              </w:rPr>
            </w:pPr>
            <w:r>
              <w:rPr>
                <w:rFonts w:ascii="Arial" w:cs="Arial" w:eastAsia="Arial" w:hAnsi="Arial"/>
                <w:sz w:val="12"/>
                <w:szCs w:val="12"/>
                <w:color w:val="005A64"/>
              </w:rPr>
              <w:t>18%</w:t>
            </w:r>
          </w:p>
        </w:tc>
        <w:tc>
          <w:tcPr>
            <w:tcW w:w="0" w:type="dxa"/>
            <w:vAlign w:val="bottom"/>
          </w:tcPr>
          <w:p>
            <w:pPr>
              <w:spacing w:after="0"/>
              <w:rPr>
                <w:sz w:val="1"/>
                <w:szCs w:val="1"/>
                <w:color w:val="auto"/>
              </w:rPr>
            </w:pPr>
          </w:p>
        </w:tc>
      </w:tr>
      <w:tr>
        <w:trPr>
          <w:trHeight w:val="202"/>
        </w:trPr>
        <w:tc>
          <w:tcPr>
            <w:tcW w:w="2380" w:type="dxa"/>
            <w:vAlign w:val="bottom"/>
            <w:gridSpan w:val="2"/>
          </w:tcPr>
          <w:p>
            <w:pPr>
              <w:ind w:left="20"/>
              <w:spacing w:after="0"/>
              <w:rPr>
                <w:sz w:val="20"/>
                <w:szCs w:val="20"/>
                <w:color w:val="auto"/>
              </w:rPr>
            </w:pPr>
            <w:r>
              <w:rPr>
                <w:rFonts w:ascii="Arial" w:cs="Arial" w:eastAsia="Arial" w:hAnsi="Arial"/>
                <w:sz w:val="12"/>
                <w:szCs w:val="12"/>
                <w:color w:val="005A64"/>
              </w:rPr>
              <w:t>Rest of the World</w:t>
            </w:r>
          </w:p>
        </w:tc>
        <w:tc>
          <w:tcPr>
            <w:tcW w:w="700" w:type="dxa"/>
            <w:vAlign w:val="bottom"/>
            <w:gridSpan w:val="2"/>
          </w:tcPr>
          <w:p>
            <w:pPr>
              <w:ind w:left="40"/>
              <w:spacing w:after="0"/>
              <w:rPr>
                <w:sz w:val="20"/>
                <w:szCs w:val="20"/>
                <w:color w:val="auto"/>
              </w:rPr>
            </w:pPr>
            <w:r>
              <w:rPr>
                <w:rFonts w:ascii="Arial" w:cs="Arial" w:eastAsia="Arial" w:hAnsi="Arial"/>
                <w:sz w:val="12"/>
                <w:szCs w:val="12"/>
                <w:color w:val="005A64"/>
              </w:rPr>
              <w:t>196.4</w:t>
            </w:r>
          </w:p>
        </w:tc>
        <w:tc>
          <w:tcPr>
            <w:tcW w:w="760" w:type="dxa"/>
            <w:vAlign w:val="bottom"/>
          </w:tcPr>
          <w:p>
            <w:pPr>
              <w:ind w:left="100"/>
              <w:spacing w:after="0"/>
              <w:rPr>
                <w:sz w:val="20"/>
                <w:szCs w:val="20"/>
                <w:color w:val="auto"/>
              </w:rPr>
            </w:pPr>
            <w:r>
              <w:rPr>
                <w:rFonts w:ascii="Arial" w:cs="Arial" w:eastAsia="Arial" w:hAnsi="Arial"/>
                <w:sz w:val="12"/>
                <w:szCs w:val="12"/>
                <w:color w:val="005A64"/>
              </w:rPr>
              <w:t>7%</w:t>
            </w:r>
          </w:p>
        </w:tc>
        <w:tc>
          <w:tcPr>
            <w:tcW w:w="4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color w:val="005A64"/>
              </w:rPr>
              <w:t>325.4</w:t>
            </w:r>
          </w:p>
        </w:tc>
        <w:tc>
          <w:tcPr>
            <w:tcW w:w="740" w:type="dxa"/>
            <w:vAlign w:val="bottom"/>
            <w:gridSpan w:val="2"/>
          </w:tcPr>
          <w:p>
            <w:pPr>
              <w:ind w:left="80"/>
              <w:spacing w:after="0"/>
              <w:rPr>
                <w:sz w:val="20"/>
                <w:szCs w:val="20"/>
                <w:color w:val="auto"/>
              </w:rPr>
            </w:pPr>
            <w:r>
              <w:rPr>
                <w:rFonts w:ascii="Arial" w:cs="Arial" w:eastAsia="Arial" w:hAnsi="Arial"/>
                <w:sz w:val="12"/>
                <w:szCs w:val="12"/>
                <w:color w:val="005A64"/>
              </w:rPr>
              <w:t>8%</w:t>
            </w:r>
          </w:p>
        </w:tc>
        <w:tc>
          <w:tcPr>
            <w:tcW w:w="680" w:type="dxa"/>
            <w:vAlign w:val="bottom"/>
            <w:gridSpan w:val="2"/>
          </w:tcPr>
          <w:p>
            <w:pPr>
              <w:ind w:left="40"/>
              <w:spacing w:after="0"/>
              <w:rPr>
                <w:sz w:val="20"/>
                <w:szCs w:val="20"/>
                <w:color w:val="auto"/>
              </w:rPr>
            </w:pPr>
            <w:r>
              <w:rPr>
                <w:rFonts w:ascii="Arial" w:cs="Arial" w:eastAsia="Arial" w:hAnsi="Arial"/>
                <w:sz w:val="12"/>
                <w:szCs w:val="12"/>
                <w:color w:val="005A64"/>
              </w:rPr>
              <w:t>1,569.9</w:t>
            </w:r>
          </w:p>
        </w:tc>
        <w:tc>
          <w:tcPr>
            <w:tcW w:w="760" w:type="dxa"/>
            <w:vAlign w:val="bottom"/>
            <w:gridSpan w:val="2"/>
          </w:tcPr>
          <w:p>
            <w:pPr>
              <w:ind w:left="100"/>
              <w:spacing w:after="0"/>
              <w:rPr>
                <w:sz w:val="20"/>
                <w:szCs w:val="20"/>
                <w:color w:val="auto"/>
              </w:rPr>
            </w:pPr>
            <w:r>
              <w:rPr>
                <w:rFonts w:ascii="Arial" w:cs="Arial" w:eastAsia="Arial" w:hAnsi="Arial"/>
                <w:sz w:val="12"/>
                <w:szCs w:val="12"/>
                <w:color w:val="005A64"/>
              </w:rPr>
              <w:t>9%</w:t>
            </w:r>
          </w:p>
        </w:tc>
        <w:tc>
          <w:tcPr>
            <w:tcW w:w="0" w:type="dxa"/>
            <w:vAlign w:val="bottom"/>
          </w:tcPr>
          <w:p>
            <w:pPr>
              <w:spacing w:after="0"/>
              <w:rPr>
                <w:sz w:val="1"/>
                <w:szCs w:val="1"/>
                <w:color w:val="auto"/>
              </w:rPr>
            </w:pPr>
          </w:p>
        </w:tc>
      </w:tr>
      <w:tr>
        <w:trPr>
          <w:trHeight w:val="208"/>
        </w:trPr>
        <w:tc>
          <w:tcPr>
            <w:tcW w:w="238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005A64"/>
              </w:rPr>
              <w:t>2,751.1</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005A64"/>
              </w:rPr>
              <w:t>100%</w:t>
            </w:r>
          </w:p>
        </w:tc>
        <w:tc>
          <w:tcPr>
            <w:tcW w:w="4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005A64"/>
              </w:rPr>
              <w:t>3,819.0</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005A64"/>
              </w:rPr>
              <w:t>100%</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005A64"/>
              </w:rPr>
              <w:t>17,310.6</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005A64"/>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1758315</wp:posOffset>
            </wp:positionH>
            <wp:positionV relativeFrom="paragraph">
              <wp:posOffset>-611505</wp:posOffset>
            </wp:positionV>
            <wp:extent cx="937260" cy="6483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1">
                      <a:extLst>
                        <a:ext uri="{28A0092B-C50C-407E-A947-70E740481C1C}"/>
                      </a:extLst>
                    </a:blip>
                    <a:srcRect/>
                    <a:stretch>
                      <a:fillRect/>
                    </a:stretch>
                  </pic:blipFill>
                  <pic:spPr bwMode="auto">
                    <a:xfrm>
                      <a:off x="0" y="0"/>
                      <a:ext cx="937260" cy="648335"/>
                    </a:xfrm>
                    <a:prstGeom prst="rect">
                      <a:avLst/>
                    </a:prstGeom>
                    <a:noFill/>
                  </pic:spPr>
                </pic:pic>
              </a:graphicData>
            </a:graphic>
          </wp:anchor>
        </w:drawing>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3"/>
          <w:szCs w:val="13"/>
          <w:color w:val="005A64"/>
        </w:rPr>
        <w:t>COVID-19 vaccine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1501775" cy="6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2">
                      <a:extLst>
                        <a:ext uri="{28A0092B-C50C-407E-A947-70E740481C1C}"/>
                      </a:extLst>
                    </a:blip>
                    <a:srcRect/>
                    <a:stretch>
                      <a:fillRect/>
                    </a:stretch>
                  </pic:blipFill>
                  <pic:spPr bwMode="auto">
                    <a:xfrm>
                      <a:off x="0" y="0"/>
                      <a:ext cx="1501775" cy="6350"/>
                    </a:xfrm>
                    <a:prstGeom prst="rect">
                      <a:avLst/>
                    </a:prstGeom>
                    <a:noFill/>
                  </pic:spPr>
                </pic:pic>
              </a:graphicData>
            </a:graphic>
          </wp:anchor>
        </w:drawing>
        <w:drawing>
          <wp:anchor simplePos="0" relativeHeight="251657728" behindDoc="1" locked="0" layoutInCell="0" allowOverlap="1">
            <wp:simplePos x="0" y="0"/>
            <wp:positionH relativeFrom="column">
              <wp:posOffset>2708275</wp:posOffset>
            </wp:positionH>
            <wp:positionV relativeFrom="paragraph">
              <wp:posOffset>-84455</wp:posOffset>
            </wp:positionV>
            <wp:extent cx="1809750"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3">
                      <a:extLst>
                        <a:ext uri="{28A0092B-C50C-407E-A947-70E740481C1C}"/>
                      </a:extLst>
                    </a:blip>
                    <a:srcRect/>
                    <a:stretch>
                      <a:fillRect/>
                    </a:stretch>
                  </pic:blipFill>
                  <pic:spPr bwMode="auto">
                    <a:xfrm>
                      <a:off x="0" y="0"/>
                      <a:ext cx="1809750" cy="6350"/>
                    </a:xfrm>
                    <a:prstGeom prst="rect">
                      <a:avLst/>
                    </a:prstGeom>
                    <a:noFill/>
                  </pic:spPr>
                </pic:pic>
              </a:graphicData>
            </a:graphic>
          </wp:anchor>
        </w:drawing>
      </w:r>
    </w:p>
    <w:p>
      <w:pPr>
        <w:ind w:left="380" w:right="2120"/>
        <w:spacing w:after="0"/>
        <w:rPr>
          <w:sz w:val="20"/>
          <w:szCs w:val="20"/>
          <w:color w:val="auto"/>
        </w:rPr>
      </w:pPr>
      <w:r>
        <w:rPr>
          <w:rFonts w:ascii="Arial" w:cs="Arial" w:eastAsia="Arial" w:hAnsi="Arial"/>
          <w:sz w:val="13"/>
          <w:szCs w:val="13"/>
          <w:color w:val="auto"/>
        </w:rPr>
        <w:t>During the year ended December 31, 2024, COVID-19 vaccines revenues were recognized from the supply and sales of our COVID-19 vaccine worldwide, mainly comprising our share of the collaboration partner’s gross profit derived from sales in the collaboration partner’s territory. During the year ended December 31, 2024, our commercial revenues decreased as compared to the year ended December 31, 2023, in line with a lower COVID-19 vaccine market demand. In addition, write -downs by our collaboration partner Pfizer, significantly reduced our gross profit share and hence negatively influenced our revenues for the year ended December 31, 2024. Our COVID-19 vaccine revenues are subject to seasonal effects in the fall / winter of the northern hemisphere.</w:t>
      </w:r>
    </w:p>
    <w:p>
      <w:pPr>
        <w:ind w:left="380"/>
        <w:spacing w:after="0" w:line="218" w:lineRule="auto"/>
        <w:rPr>
          <w:sz w:val="20"/>
          <w:szCs w:val="20"/>
          <w:color w:val="auto"/>
        </w:rPr>
      </w:pPr>
      <w:r>
        <w:rPr>
          <w:rFonts w:ascii="Arial" w:cs="Arial" w:eastAsia="Arial" w:hAnsi="Arial"/>
          <w:sz w:val="13"/>
          <w:szCs w:val="13"/>
          <w:color w:val="005A64"/>
        </w:rPr>
        <w:t>Other revenues</w:t>
      </w:r>
    </w:p>
    <w:p>
      <w:pPr>
        <w:ind w:left="380" w:right="2160"/>
        <w:spacing w:after="0" w:line="226" w:lineRule="auto"/>
        <w:rPr>
          <w:sz w:val="20"/>
          <w:szCs w:val="20"/>
          <w:color w:val="auto"/>
        </w:rPr>
      </w:pPr>
      <w:r>
        <w:rPr>
          <w:rFonts w:ascii="Arial" w:cs="Arial" w:eastAsia="Arial" w:hAnsi="Arial"/>
          <w:sz w:val="13"/>
          <w:szCs w:val="13"/>
          <w:color w:val="auto"/>
        </w:rPr>
        <w:t>During the year ended December 31, 2024, our other revenues were mainly derived from a pandemic preparedness contract with the German government effectively supplemented in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F-35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revenues from contracts with customers disclosed above were recognized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-88265</wp:posOffset>
            </wp:positionV>
            <wp:extent cx="5231130" cy="63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4">
                      <a:extLst>
                        <a:ext uri="{28A0092B-C50C-407E-A947-70E740481C1C}"/>
                      </a:extLst>
                    </a:blip>
                    <a:srcRect/>
                    <a:stretch>
                      <a:fillRect/>
                    </a:stretch>
                  </pic:blipFill>
                  <pic:spPr bwMode="auto">
                    <a:xfrm>
                      <a:off x="0" y="0"/>
                      <a:ext cx="5231130" cy="635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1270</wp:posOffset>
            </wp:positionV>
            <wp:extent cx="4300220" cy="127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5">
                      <a:extLst>
                        <a:ext uri="{28A0092B-C50C-407E-A947-70E740481C1C}"/>
                      </a:extLst>
                    </a:blip>
                    <a:srcRect/>
                    <a:stretch>
                      <a:fillRect/>
                    </a:stretch>
                  </pic:blipFill>
                  <pic:spPr bwMode="auto">
                    <a:xfrm>
                      <a:off x="0" y="0"/>
                      <a:ext cx="4300220" cy="12700"/>
                    </a:xfrm>
                    <a:prstGeom prst="rect">
                      <a:avLst/>
                    </a:prstGeom>
                    <a:noFill/>
                  </pic:spPr>
                </pic:pic>
              </a:graphicData>
            </a:graphic>
          </wp:anchor>
        </w:drawing>
      </w:r>
    </w:p>
    <w:p>
      <w:pPr>
        <w:spacing w:after="0" w:line="62" w:lineRule="exact"/>
        <w:rPr>
          <w:sz w:val="20"/>
          <w:szCs w:val="20"/>
          <w:color w:val="auto"/>
        </w:rPr>
      </w:pPr>
    </w:p>
    <w:p>
      <w:pPr>
        <w:ind w:left="4060"/>
        <w:spacing w:after="0"/>
        <w:rPr>
          <w:sz w:val="20"/>
          <w:szCs w:val="20"/>
          <w:color w:val="auto"/>
        </w:rPr>
      </w:pPr>
      <w:r>
        <w:rPr>
          <w:rFonts w:ascii="Arial" w:cs="Arial" w:eastAsia="Arial" w:hAnsi="Arial"/>
          <w:sz w:val="12"/>
          <w:szCs w:val="12"/>
          <w:b w:val="1"/>
          <w:bCs w:val="1"/>
          <w:color w:val="005A64"/>
        </w:rPr>
        <w:t>Years ended December 31,</w:t>
      </w:r>
    </w:p>
    <w:p>
      <w:pPr>
        <w:spacing w:after="0" w:line="136"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366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i w:val="1"/>
                <w:iCs w:val="1"/>
                <w:color w:val="005A64"/>
              </w:rPr>
              <w:t>(in millions €)</w:t>
            </w:r>
          </w:p>
        </w:tc>
        <w:tc>
          <w:tcPr>
            <w:tcW w:w="1000" w:type="dxa"/>
            <w:vAlign w:val="bottom"/>
            <w:tcBorders>
              <w:top w:val="single" w:sz="8" w:color="BECE33"/>
            </w:tcBorders>
            <w:gridSpan w:val="2"/>
          </w:tcPr>
          <w:p>
            <w:pPr>
              <w:ind w:left="20"/>
              <w:spacing w:after="0"/>
              <w:rPr>
                <w:sz w:val="20"/>
                <w:szCs w:val="20"/>
                <w:color w:val="auto"/>
              </w:rPr>
            </w:pPr>
            <w:r>
              <w:rPr>
                <w:rFonts w:ascii="Arial" w:cs="Arial" w:eastAsia="Arial" w:hAnsi="Arial"/>
                <w:sz w:val="12"/>
                <w:szCs w:val="12"/>
                <w:b w:val="1"/>
                <w:bCs w:val="1"/>
                <w:color w:val="005A64"/>
              </w:rPr>
              <w:t>2024</w:t>
            </w:r>
          </w:p>
        </w:tc>
        <w:tc>
          <w:tcPr>
            <w:tcW w:w="60" w:type="dxa"/>
            <w:vAlign w:val="bottom"/>
            <w:tcBorders>
              <w:top w:val="single" w:sz="8" w:color="BECE33"/>
              <w:right w:val="single" w:sz="8" w:color="BECE33"/>
            </w:tcBorders>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005A64"/>
              </w:rPr>
              <w:t>2023</w:t>
            </w: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005A64"/>
              </w:rPr>
              <w:t>2022</w:t>
            </w:r>
          </w:p>
        </w:tc>
      </w:tr>
      <w:tr>
        <w:trPr>
          <w:trHeight w:val="166"/>
        </w:trPr>
        <w:tc>
          <w:tcPr>
            <w:tcW w:w="3620" w:type="dxa"/>
            <w:vAlign w:val="bottom"/>
            <w:tcBorders>
              <w:top w:val="single" w:sz="8" w:color="005A64"/>
            </w:tcBorders>
          </w:tcPr>
          <w:p>
            <w:pPr>
              <w:ind w:left="20"/>
              <w:spacing w:after="0"/>
              <w:rPr>
                <w:sz w:val="20"/>
                <w:szCs w:val="20"/>
                <w:color w:val="auto"/>
              </w:rPr>
            </w:pPr>
            <w:r>
              <w:rPr>
                <w:rFonts w:ascii="Arial" w:cs="Arial" w:eastAsia="Arial" w:hAnsi="Arial"/>
                <w:sz w:val="12"/>
                <w:szCs w:val="12"/>
                <w:b w:val="1"/>
                <w:bCs w:val="1"/>
                <w:color w:val="3C9673"/>
              </w:rPr>
              <w:t>Timing of revenue recognition</w:t>
            </w:r>
          </w:p>
        </w:tc>
        <w:tc>
          <w:tcPr>
            <w:tcW w:w="40" w:type="dxa"/>
            <w:vAlign w:val="bottom"/>
            <w:tcBorders>
              <w:right w:val="single" w:sz="8" w:color="BECE33"/>
            </w:tcBorders>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top w:val="single" w:sz="8" w:color="005A64"/>
            </w:tcBorders>
          </w:tcPr>
          <w:p>
            <w:pPr>
              <w:spacing w:after="0"/>
              <w:rPr>
                <w:sz w:val="14"/>
                <w:szCs w:val="14"/>
                <w:color w:val="auto"/>
              </w:rPr>
            </w:pPr>
          </w:p>
        </w:tc>
        <w:tc>
          <w:tcPr>
            <w:tcW w:w="60" w:type="dxa"/>
            <w:vAlign w:val="bottom"/>
            <w:tcBorders>
              <w:right w:val="single" w:sz="8" w:color="BECE33"/>
            </w:tcBorders>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top w:val="single" w:sz="8" w:color="005A64"/>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top w:val="single" w:sz="8" w:color="005A64"/>
            </w:tcBorders>
          </w:tcPr>
          <w:p>
            <w:pPr>
              <w:spacing w:after="0"/>
              <w:rPr>
                <w:sz w:val="14"/>
                <w:szCs w:val="14"/>
                <w:color w:val="auto"/>
              </w:rPr>
            </w:pPr>
          </w:p>
        </w:tc>
      </w:tr>
      <w:tr>
        <w:trPr>
          <w:trHeight w:val="175"/>
        </w:trPr>
        <w:tc>
          <w:tcPr>
            <w:tcW w:w="366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i w:val="1"/>
                <w:iCs w:val="1"/>
                <w:color w:val="005A64"/>
              </w:rPr>
              <w:t>Goods and services transferred at a point in time</w:t>
            </w:r>
          </w:p>
        </w:tc>
        <w:tc>
          <w:tcPr>
            <w:tcW w:w="1000" w:type="dxa"/>
            <w:vAlign w:val="bottom"/>
            <w:gridSpan w:val="2"/>
          </w:tcPr>
          <w:p>
            <w:pPr>
              <w:ind w:left="20"/>
              <w:spacing w:after="0"/>
              <w:rPr>
                <w:sz w:val="20"/>
                <w:szCs w:val="20"/>
                <w:color w:val="auto"/>
              </w:rPr>
            </w:pPr>
            <w:r>
              <w:rPr>
                <w:rFonts w:ascii="Arial" w:cs="Arial" w:eastAsia="Arial" w:hAnsi="Arial"/>
                <w:sz w:val="12"/>
                <w:szCs w:val="12"/>
                <w:i w:val="1"/>
                <w:iCs w:val="1"/>
                <w:color w:val="005A64"/>
              </w:rPr>
              <w:t>611.4</w:t>
            </w:r>
          </w:p>
        </w:tc>
        <w:tc>
          <w:tcPr>
            <w:tcW w:w="60" w:type="dxa"/>
            <w:vAlign w:val="bottom"/>
            <w:tcBorders>
              <w:right w:val="single" w:sz="8" w:color="BECE33"/>
            </w:tcBorders>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i w:val="1"/>
                <w:iCs w:val="1"/>
                <w:color w:val="005A64"/>
              </w:rPr>
              <w:t>776.3</w:t>
            </w:r>
          </w:p>
        </w:tc>
        <w:tc>
          <w:tcPr>
            <w:tcW w:w="1060" w:type="dxa"/>
            <w:vAlign w:val="bottom"/>
            <w:gridSpan w:val="2"/>
          </w:tcPr>
          <w:p>
            <w:pPr>
              <w:ind w:left="80"/>
              <w:spacing w:after="0"/>
              <w:rPr>
                <w:sz w:val="20"/>
                <w:szCs w:val="20"/>
                <w:color w:val="auto"/>
              </w:rPr>
            </w:pPr>
            <w:r>
              <w:rPr>
                <w:rFonts w:ascii="Arial" w:cs="Arial" w:eastAsia="Arial" w:hAnsi="Arial"/>
                <w:sz w:val="12"/>
                <w:szCs w:val="12"/>
                <w:i w:val="1"/>
                <w:iCs w:val="1"/>
                <w:color w:val="005A64"/>
              </w:rPr>
              <w:t>4,447.2</w:t>
            </w:r>
          </w:p>
        </w:tc>
      </w:tr>
      <w:tr>
        <w:trPr>
          <w:trHeight w:val="202"/>
        </w:trPr>
        <w:tc>
          <w:tcPr>
            <w:tcW w:w="366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i w:val="1"/>
                <w:iCs w:val="1"/>
                <w:color w:val="005A64"/>
              </w:rPr>
              <w:t>Goods and services transferred over time</w:t>
            </w:r>
          </w:p>
        </w:tc>
        <w:tc>
          <w:tcPr>
            <w:tcW w:w="1000" w:type="dxa"/>
            <w:vAlign w:val="bottom"/>
            <w:gridSpan w:val="2"/>
          </w:tcPr>
          <w:p>
            <w:pPr>
              <w:ind w:left="20"/>
              <w:spacing w:after="0"/>
              <w:rPr>
                <w:sz w:val="20"/>
                <w:szCs w:val="20"/>
                <w:color w:val="auto"/>
              </w:rPr>
            </w:pPr>
            <w:r>
              <w:rPr>
                <w:rFonts w:ascii="Arial" w:cs="Arial" w:eastAsia="Arial" w:hAnsi="Arial"/>
                <w:sz w:val="12"/>
                <w:szCs w:val="12"/>
                <w:i w:val="1"/>
                <w:iCs w:val="1"/>
                <w:color w:val="005A64"/>
              </w:rPr>
              <w:t>298.5</w:t>
            </w:r>
          </w:p>
        </w:tc>
        <w:tc>
          <w:tcPr>
            <w:tcW w:w="60" w:type="dxa"/>
            <w:vAlign w:val="bottom"/>
            <w:tcBorders>
              <w:right w:val="single" w:sz="8" w:color="BECE33"/>
            </w:tcBorders>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i w:val="1"/>
                <w:iCs w:val="1"/>
                <w:color w:val="005A64"/>
              </w:rPr>
              <w:t>15.4</w:t>
            </w:r>
          </w:p>
        </w:tc>
        <w:tc>
          <w:tcPr>
            <w:tcW w:w="1060" w:type="dxa"/>
            <w:vAlign w:val="bottom"/>
            <w:gridSpan w:val="2"/>
          </w:tcPr>
          <w:p>
            <w:pPr>
              <w:ind w:left="80"/>
              <w:spacing w:after="0"/>
              <w:rPr>
                <w:sz w:val="20"/>
                <w:szCs w:val="20"/>
                <w:color w:val="auto"/>
              </w:rPr>
            </w:pPr>
            <w:r>
              <w:rPr>
                <w:rFonts w:ascii="Arial" w:cs="Arial" w:eastAsia="Arial" w:hAnsi="Arial"/>
                <w:sz w:val="12"/>
                <w:szCs w:val="12"/>
                <w:i w:val="1"/>
                <w:iCs w:val="1"/>
                <w:color w:val="005A64"/>
              </w:rPr>
              <w:t>127.2</w:t>
            </w:r>
          </w:p>
        </w:tc>
      </w:tr>
      <w:tr>
        <w:trPr>
          <w:trHeight w:val="196"/>
        </w:trPr>
        <w:tc>
          <w:tcPr>
            <w:tcW w:w="366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i w:val="1"/>
                <w:iCs w:val="1"/>
                <w:color w:val="005A64"/>
              </w:rPr>
              <w:t>Revenue recognition applying the sales-based or usage-based</w:t>
            </w:r>
          </w:p>
        </w:tc>
        <w:tc>
          <w:tcPr>
            <w:tcW w:w="1000" w:type="dxa"/>
            <w:vAlign w:val="bottom"/>
            <w:gridSpan w:val="2"/>
          </w:tcPr>
          <w:p>
            <w:pPr>
              <w:ind w:left="20"/>
              <w:spacing w:after="0"/>
              <w:rPr>
                <w:sz w:val="20"/>
                <w:szCs w:val="20"/>
                <w:color w:val="auto"/>
              </w:rPr>
            </w:pPr>
            <w:r>
              <w:rPr>
                <w:rFonts w:ascii="Arial" w:cs="Arial" w:eastAsia="Arial" w:hAnsi="Arial"/>
                <w:sz w:val="12"/>
                <w:szCs w:val="12"/>
                <w:i w:val="1"/>
                <w:iCs w:val="1"/>
                <w:color w:val="005A64"/>
              </w:rPr>
              <w:t>1,841.2</w:t>
            </w:r>
          </w:p>
        </w:tc>
        <w:tc>
          <w:tcPr>
            <w:tcW w:w="60" w:type="dxa"/>
            <w:vAlign w:val="bottom"/>
            <w:tcBorders>
              <w:right w:val="single" w:sz="8" w:color="BECE33"/>
            </w:tcBorders>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i w:val="1"/>
                <w:iCs w:val="1"/>
                <w:color w:val="005A64"/>
              </w:rPr>
              <w:t>3,027.3</w:t>
            </w:r>
          </w:p>
        </w:tc>
        <w:tc>
          <w:tcPr>
            <w:tcW w:w="1060" w:type="dxa"/>
            <w:vAlign w:val="bottom"/>
            <w:gridSpan w:val="2"/>
          </w:tcPr>
          <w:p>
            <w:pPr>
              <w:ind w:left="80"/>
              <w:spacing w:after="0"/>
              <w:rPr>
                <w:sz w:val="20"/>
                <w:szCs w:val="20"/>
                <w:color w:val="auto"/>
              </w:rPr>
            </w:pPr>
            <w:r>
              <w:rPr>
                <w:rFonts w:ascii="Arial" w:cs="Arial" w:eastAsia="Arial" w:hAnsi="Arial"/>
                <w:sz w:val="12"/>
                <w:szCs w:val="12"/>
                <w:i w:val="1"/>
                <w:iCs w:val="1"/>
                <w:color w:val="005A64"/>
              </w:rPr>
              <w:t>12,736.2</w:t>
            </w:r>
          </w:p>
        </w:tc>
      </w:tr>
      <w:tr>
        <w:trPr>
          <w:trHeight w:val="180"/>
        </w:trPr>
        <w:tc>
          <w:tcPr>
            <w:tcW w:w="3660" w:type="dxa"/>
            <w:vAlign w:val="bottom"/>
            <w:tcBorders>
              <w:right w:val="single" w:sz="8" w:color="BECE33"/>
            </w:tcBorders>
            <w:gridSpan w:val="2"/>
          </w:tcPr>
          <w:p>
            <w:pPr>
              <w:ind w:left="20"/>
              <w:spacing w:after="0" w:line="180" w:lineRule="exact"/>
              <w:rPr>
                <w:sz w:val="20"/>
                <w:szCs w:val="20"/>
                <w:color w:val="auto"/>
              </w:rPr>
            </w:pPr>
            <w:r>
              <w:rPr>
                <w:rFonts w:ascii="Arial" w:cs="Arial" w:eastAsia="Arial" w:hAnsi="Arial"/>
                <w:sz w:val="12"/>
                <w:szCs w:val="12"/>
                <w:i w:val="1"/>
                <w:iCs w:val="1"/>
                <w:color w:val="005A64"/>
              </w:rPr>
              <w:t>royalty recognition constraint model</w:t>
            </w:r>
            <w:r>
              <w:rPr>
                <w:rFonts w:ascii="Arial" w:cs="Arial" w:eastAsia="Arial" w:hAnsi="Arial"/>
                <w:sz w:val="16"/>
                <w:szCs w:val="16"/>
                <w:i w:val="1"/>
                <w:iCs w:val="1"/>
                <w:color w:val="005A64"/>
                <w:vertAlign w:val="superscript"/>
              </w:rPr>
              <w:t>(1)</w:t>
            </w: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6"/>
        </w:trPr>
        <w:tc>
          <w:tcPr>
            <w:tcW w:w="366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b w:val="1"/>
                <w:bCs w:val="1"/>
                <w:color w:val="005A64"/>
              </w:rPr>
              <w:t>Total</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005A64"/>
              </w:rPr>
              <w:t>2,751.1</w:t>
            </w:r>
          </w:p>
        </w:tc>
        <w:tc>
          <w:tcPr>
            <w:tcW w:w="60" w:type="dxa"/>
            <w:vAlign w:val="bottom"/>
            <w:tcBorders>
              <w:right w:val="single" w:sz="8" w:color="BECE33"/>
            </w:tcBorders>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005A64"/>
              </w:rPr>
              <w:t>3,819.0</w:t>
            </w: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005A64"/>
              </w:rPr>
              <w:t>17,310.6</w:t>
            </w:r>
          </w:p>
        </w:tc>
      </w:tr>
      <w:tr>
        <w:trPr>
          <w:trHeight w:val="47"/>
        </w:trPr>
        <w:tc>
          <w:tcPr>
            <w:tcW w:w="3620" w:type="dxa"/>
            <w:vAlign w:val="bottom"/>
            <w:tcBorders>
              <w:bottom w:val="single" w:sz="8" w:color="005A64"/>
            </w:tcBorders>
          </w:tcPr>
          <w:p>
            <w:pPr>
              <w:spacing w:after="0"/>
              <w:rPr>
                <w:sz w:val="4"/>
                <w:szCs w:val="4"/>
                <w:color w:val="auto"/>
              </w:rPr>
            </w:pPr>
          </w:p>
        </w:tc>
        <w:tc>
          <w:tcPr>
            <w:tcW w:w="40" w:type="dxa"/>
            <w:vAlign w:val="bottom"/>
            <w:tcBorders>
              <w:right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98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r>
    </w:tbl>
    <w:p>
      <w:pPr>
        <w:ind w:left="580" w:hanging="197"/>
        <w:spacing w:after="0" w:line="214" w:lineRule="auto"/>
        <w:tabs>
          <w:tab w:leader="none" w:pos="580" w:val="left"/>
        </w:tabs>
        <w:numPr>
          <w:ilvl w:val="0"/>
          <w:numId w:val="50"/>
        </w:numPr>
        <w:rPr>
          <w:rFonts w:ascii="Arial" w:cs="Arial" w:eastAsia="Arial" w:hAnsi="Arial"/>
          <w:sz w:val="16"/>
          <w:szCs w:val="16"/>
          <w:color w:val="005A64"/>
          <w:vertAlign w:val="superscript"/>
        </w:rPr>
      </w:pPr>
      <w:r>
        <w:rPr>
          <w:rFonts w:ascii="Arial" w:cs="Arial" w:eastAsia="Arial" w:hAnsi="Arial"/>
          <w:sz w:val="12"/>
          <w:szCs w:val="12"/>
          <w:color w:val="005A64"/>
        </w:rPr>
        <w:t>Represents sales based on the share of the collaboration partners’ gross profit and sales milestones.</w:t>
      </w:r>
    </w:p>
    <w:p>
      <w:pPr>
        <w:ind w:left="380"/>
        <w:spacing w:after="0" w:line="210" w:lineRule="auto"/>
        <w:rPr>
          <w:rFonts w:ascii="Arial" w:cs="Arial" w:eastAsia="Arial" w:hAnsi="Arial"/>
          <w:sz w:val="16"/>
          <w:szCs w:val="16"/>
          <w:color w:val="005A64"/>
          <w:vertAlign w:val="superscript"/>
        </w:rPr>
      </w:pPr>
      <w:r>
        <w:rPr>
          <w:rFonts w:ascii="Arial" w:cs="Arial" w:eastAsia="Arial" w:hAnsi="Arial"/>
          <w:sz w:val="13"/>
          <w:szCs w:val="13"/>
          <w:b w:val="1"/>
          <w:bCs w:val="1"/>
          <w:color w:val="005A64"/>
        </w:rPr>
        <w:t>6.2 Contract Assets</w:t>
      </w:r>
    </w:p>
    <w:p>
      <w:pPr>
        <w:ind w:left="380"/>
        <w:spacing w:after="0"/>
        <w:rPr>
          <w:rFonts w:ascii="Arial" w:cs="Arial" w:eastAsia="Arial" w:hAnsi="Arial"/>
          <w:sz w:val="16"/>
          <w:szCs w:val="16"/>
          <w:color w:val="005A64"/>
          <w:vertAlign w:val="superscript"/>
        </w:rPr>
      </w:pPr>
      <w:r>
        <w:rPr>
          <w:rFonts w:ascii="Arial" w:cs="Arial" w:eastAsia="Arial" w:hAnsi="Arial"/>
          <w:sz w:val="13"/>
          <w:szCs w:val="13"/>
          <w:color w:val="auto"/>
        </w:rPr>
        <w:t>The contract assets developed as follows:</w:t>
      </w:r>
    </w:p>
    <w:p>
      <w:pPr>
        <w:sectPr>
          <w:pgSz w:w="11900" w:h="16840" w:orient="portrait"/>
          <w:cols w:equalWidth="0" w:num="1">
            <w:col w:w="9020"/>
          </w:cols>
          <w:pgMar w:left="1440" w:top="1028" w:right="1440" w:bottom="1440" w:gutter="0" w:footer="0" w:header="0"/>
        </w:sectPr>
      </w:pPr>
    </w:p>
    <w:bookmarkStart w:id="204" w:name="page205"/>
    <w:bookmarkEnd w:id="204"/>
    <w:tbl>
      <w:tblPr>
        <w:tblLayout w:type="fixed"/>
        <w:tblInd w:w="38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Borders>
              <w:top w:val="single" w:sz="8" w:color="BECE33"/>
            </w:tcBorders>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100" w:type="dxa"/>
            <w:vAlign w:val="bottom"/>
            <w:tcBorders>
              <w:top w:val="single" w:sz="8" w:color="BECE33"/>
            </w:tcBorders>
          </w:tcPr>
          <w:p>
            <w:pPr>
              <w:spacing w:after="0"/>
              <w:rPr>
                <w:sz w:val="16"/>
                <w:szCs w:val="16"/>
                <w:color w:val="auto"/>
              </w:rPr>
            </w:pPr>
          </w:p>
        </w:tc>
        <w:tc>
          <w:tcPr>
            <w:tcW w:w="600" w:type="dxa"/>
            <w:vAlign w:val="bottom"/>
            <w:tcBorders>
              <w:top w:val="single" w:sz="8" w:color="BECE33"/>
            </w:tcBorders>
          </w:tcPr>
          <w:p>
            <w:pPr>
              <w:spacing w:after="0"/>
              <w:rPr>
                <w:sz w:val="16"/>
                <w:szCs w:val="16"/>
                <w:color w:val="auto"/>
              </w:rPr>
            </w:pPr>
          </w:p>
        </w:tc>
        <w:tc>
          <w:tcPr>
            <w:tcW w:w="80" w:type="dxa"/>
            <w:vAlign w:val="bottom"/>
            <w:tcBorders>
              <w:top w:val="single" w:sz="8" w:color="BECE33"/>
            </w:tcBorders>
          </w:tcPr>
          <w:p>
            <w:pPr>
              <w:spacing w:after="0"/>
              <w:rPr>
                <w:sz w:val="16"/>
                <w:szCs w:val="16"/>
                <w:color w:val="auto"/>
              </w:rPr>
            </w:pPr>
          </w:p>
        </w:tc>
        <w:tc>
          <w:tcPr>
            <w:tcW w:w="620" w:type="dxa"/>
            <w:vAlign w:val="bottom"/>
            <w:tcBorders>
              <w:top w:val="single" w:sz="8" w:color="BECE33"/>
            </w:tcBorders>
          </w:tcPr>
          <w:p>
            <w:pPr>
              <w:spacing w:after="0"/>
              <w:rPr>
                <w:sz w:val="16"/>
                <w:szCs w:val="16"/>
                <w:color w:val="auto"/>
              </w:rPr>
            </w:pPr>
          </w:p>
        </w:tc>
        <w:tc>
          <w:tcPr>
            <w:tcW w:w="40" w:type="dxa"/>
            <w:vAlign w:val="bottom"/>
            <w:tcBorders>
              <w:top w:val="single" w:sz="8" w:color="BECE33"/>
            </w:tcBorders>
          </w:tcPr>
          <w:p>
            <w:pPr>
              <w:spacing w:after="0"/>
              <w:rPr>
                <w:sz w:val="16"/>
                <w:szCs w:val="16"/>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005A64"/>
              </w:rPr>
              <w:t>2023</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700" w:type="dxa"/>
            <w:vAlign w:val="bottom"/>
            <w:gridSpan w:val="2"/>
          </w:tcPr>
          <w:p>
            <w:pPr>
              <w:ind w:left="20"/>
              <w:spacing w:after="0" w:line="128" w:lineRule="exact"/>
              <w:rPr>
                <w:sz w:val="20"/>
                <w:szCs w:val="20"/>
                <w:color w:val="auto"/>
              </w:rPr>
            </w:pPr>
            <w:r>
              <w:rPr>
                <w:rFonts w:ascii="Arial" w:cs="Arial" w:eastAsia="Arial" w:hAnsi="Arial"/>
                <w:sz w:val="12"/>
                <w:szCs w:val="12"/>
                <w:i w:val="1"/>
                <w:iCs w:val="1"/>
                <w:color w:val="005A64"/>
              </w:rPr>
              <w:t>(in millions €)</w:t>
            </w:r>
          </w:p>
        </w:tc>
        <w:tc>
          <w:tcPr>
            <w:tcW w:w="4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005A64"/>
              </w:rPr>
              <w:t>Current</w:t>
            </w:r>
          </w:p>
        </w:tc>
        <w:tc>
          <w:tcPr>
            <w:tcW w:w="10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005A64"/>
              </w:rPr>
              <w:t>Non-</w:t>
            </w:r>
          </w:p>
        </w:tc>
        <w:tc>
          <w:tcPr>
            <w:tcW w:w="80" w:type="dxa"/>
            <w:vAlign w:val="bottom"/>
          </w:tcPr>
          <w:p>
            <w:pPr>
              <w:spacing w:after="0"/>
              <w:rPr>
                <w:sz w:val="11"/>
                <w:szCs w:val="11"/>
                <w:color w:val="auto"/>
              </w:rPr>
            </w:pPr>
          </w:p>
        </w:tc>
        <w:tc>
          <w:tcPr>
            <w:tcW w:w="6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005A64"/>
              </w:rPr>
              <w:t>Total</w:t>
            </w:r>
          </w:p>
        </w:tc>
        <w:tc>
          <w:tcPr>
            <w:tcW w:w="2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005A64"/>
              </w:rPr>
              <w:t>Current</w:t>
            </w:r>
          </w:p>
        </w:tc>
        <w:tc>
          <w:tcPr>
            <w:tcW w:w="8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005A64"/>
              </w:rPr>
              <w:t>Non-</w:t>
            </w:r>
          </w:p>
        </w:tc>
        <w:tc>
          <w:tcPr>
            <w:tcW w:w="80" w:type="dxa"/>
            <w:vAlign w:val="bottom"/>
          </w:tcPr>
          <w:p>
            <w:pPr>
              <w:spacing w:after="0"/>
              <w:rPr>
                <w:sz w:val="11"/>
                <w:szCs w:val="11"/>
                <w:color w:val="auto"/>
              </w:rPr>
            </w:pP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005A64"/>
              </w:rPr>
              <w:t>Total</w:t>
            </w:r>
          </w:p>
        </w:tc>
        <w:tc>
          <w:tcPr>
            <w:tcW w:w="0" w:type="dxa"/>
            <w:vAlign w:val="bottom"/>
          </w:tcPr>
          <w:p>
            <w:pPr>
              <w:spacing w:after="0"/>
              <w:rPr>
                <w:sz w:val="1"/>
                <w:szCs w:val="1"/>
                <w:color w:val="auto"/>
              </w:rPr>
            </w:pPr>
          </w:p>
        </w:tc>
      </w:tr>
      <w:tr>
        <w:trPr>
          <w:trHeight w:val="166"/>
        </w:trPr>
        <w:tc>
          <w:tcPr>
            <w:tcW w:w="2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005A64"/>
              </w:rPr>
              <w:t>current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005A64"/>
              </w:rPr>
              <w:t>current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268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80" w:type="dxa"/>
            <w:vAlign w:val="bottom"/>
            <w:vMerge w:val="restart"/>
          </w:tcPr>
          <w:p>
            <w:pPr>
              <w:spacing w:after="0"/>
              <w:rPr>
                <w:sz w:val="4"/>
                <w:szCs w:val="4"/>
                <w:color w:val="auto"/>
              </w:rPr>
            </w:pPr>
          </w:p>
        </w:tc>
        <w:tc>
          <w:tcPr>
            <w:tcW w:w="620" w:type="dxa"/>
            <w:vAlign w:val="bottom"/>
            <w:tcBorders>
              <w:bottom w:val="single" w:sz="8" w:color="005A64"/>
            </w:tcBorders>
          </w:tcPr>
          <w:p>
            <w:pPr>
              <w:spacing w:after="0"/>
              <w:rPr>
                <w:sz w:val="4"/>
                <w:szCs w:val="4"/>
                <w:color w:val="auto"/>
              </w:rPr>
            </w:pPr>
          </w:p>
        </w:tc>
        <w:tc>
          <w:tcPr>
            <w:tcW w:w="4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620" w:type="dxa"/>
            <w:vAlign w:val="bottom"/>
            <w:tcBorders>
              <w:bottom w:val="single" w:sz="8" w:color="005A64"/>
            </w:tcBorders>
          </w:tcPr>
          <w:p>
            <w:pPr>
              <w:spacing w:after="0"/>
              <w:rPr>
                <w:sz w:val="4"/>
                <w:szCs w:val="4"/>
                <w:color w:val="auto"/>
              </w:rPr>
            </w:pPr>
          </w:p>
        </w:tc>
        <w:tc>
          <w:tcPr>
            <w:tcW w:w="80" w:type="dxa"/>
            <w:vAlign w:val="bottom"/>
            <w:vMerge w:val="restart"/>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80" w:type="dxa"/>
            <w:vAlign w:val="bottom"/>
            <w:vMerge w:val="restart"/>
          </w:tcPr>
          <w:p>
            <w:pPr>
              <w:spacing w:after="0"/>
              <w:rPr>
                <w:sz w:val="4"/>
                <w:szCs w:val="4"/>
                <w:color w:val="auto"/>
              </w:rPr>
            </w:pPr>
          </w:p>
        </w:tc>
        <w:tc>
          <w:tcPr>
            <w:tcW w:w="6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680" w:type="dxa"/>
            <w:vAlign w:val="bottom"/>
          </w:tcPr>
          <w:p>
            <w:pPr>
              <w:ind w:left="20"/>
              <w:spacing w:after="0"/>
              <w:rPr>
                <w:sz w:val="20"/>
                <w:szCs w:val="20"/>
                <w:color w:val="auto"/>
              </w:rPr>
            </w:pPr>
            <w:r>
              <w:rPr>
                <w:rFonts w:ascii="Arial" w:cs="Arial" w:eastAsia="Arial" w:hAnsi="Arial"/>
                <w:sz w:val="12"/>
                <w:szCs w:val="12"/>
                <w:b w:val="1"/>
                <w:bCs w:val="1"/>
                <w:color w:val="005A64"/>
              </w:rPr>
              <w:t>As of January 1</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005A64"/>
              </w:rPr>
              <w:t>4.9</w:t>
            </w:r>
          </w:p>
        </w:tc>
        <w:tc>
          <w:tcPr>
            <w:tcW w:w="100" w:type="dxa"/>
            <w:vAlign w:val="bottom"/>
            <w:vMerge w:val="continue"/>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005A64"/>
              </w:rPr>
              <w:t>—</w:t>
            </w:r>
          </w:p>
        </w:tc>
        <w:tc>
          <w:tcPr>
            <w:tcW w:w="80" w:type="dxa"/>
            <w:vAlign w:val="bottom"/>
            <w:vMerge w:val="continue"/>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005A64"/>
              </w:rPr>
              <w:t>4.9</w:t>
            </w: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005A64"/>
              </w:rPr>
              <w:t>—</w:t>
            </w:r>
          </w:p>
        </w:tc>
        <w:tc>
          <w:tcPr>
            <w:tcW w:w="80" w:type="dxa"/>
            <w:vAlign w:val="bottom"/>
            <w:vMerge w:val="continue"/>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005A64"/>
              </w:rPr>
              <w:t>—</w:t>
            </w:r>
          </w:p>
        </w:tc>
        <w:tc>
          <w:tcPr>
            <w:tcW w:w="80" w:type="dxa"/>
            <w:vAlign w:val="bottom"/>
            <w:vMerge w:val="continue"/>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005A64"/>
              </w:rPr>
              <w:t>—</w:t>
            </w:r>
          </w:p>
        </w:tc>
        <w:tc>
          <w:tcPr>
            <w:tcW w:w="0" w:type="dxa"/>
            <w:vAlign w:val="bottom"/>
          </w:tcPr>
          <w:p>
            <w:pPr>
              <w:spacing w:after="0"/>
              <w:rPr>
                <w:sz w:val="1"/>
                <w:szCs w:val="1"/>
                <w:color w:val="auto"/>
              </w:rPr>
            </w:pPr>
          </w:p>
        </w:tc>
      </w:tr>
      <w:tr>
        <w:trPr>
          <w:trHeight w:val="175"/>
        </w:trPr>
        <w:tc>
          <w:tcPr>
            <w:tcW w:w="2700" w:type="dxa"/>
            <w:vAlign w:val="bottom"/>
            <w:gridSpan w:val="2"/>
          </w:tcPr>
          <w:p>
            <w:pPr>
              <w:ind w:left="20"/>
              <w:spacing w:after="0"/>
              <w:rPr>
                <w:sz w:val="20"/>
                <w:szCs w:val="20"/>
                <w:color w:val="auto"/>
              </w:rPr>
            </w:pPr>
            <w:r>
              <w:rPr>
                <w:rFonts w:ascii="Arial" w:cs="Arial" w:eastAsia="Arial" w:hAnsi="Arial"/>
                <w:sz w:val="12"/>
                <w:szCs w:val="12"/>
                <w:color w:val="005A64"/>
              </w:rPr>
              <w:t>Additions</w:t>
            </w:r>
          </w:p>
        </w:tc>
        <w:tc>
          <w:tcPr>
            <w:tcW w:w="4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2"/>
                <w:szCs w:val="12"/>
                <w:color w:val="005A64"/>
              </w:rPr>
              <w:t>—</w:t>
            </w:r>
          </w:p>
        </w:tc>
        <w:tc>
          <w:tcPr>
            <w:tcW w:w="700" w:type="dxa"/>
            <w:vAlign w:val="bottom"/>
            <w:gridSpan w:val="2"/>
          </w:tcPr>
          <w:p>
            <w:pPr>
              <w:ind w:left="100"/>
              <w:spacing w:after="0"/>
              <w:rPr>
                <w:sz w:val="20"/>
                <w:szCs w:val="20"/>
                <w:color w:val="auto"/>
              </w:rPr>
            </w:pPr>
            <w:r>
              <w:rPr>
                <w:rFonts w:ascii="Arial" w:cs="Arial" w:eastAsia="Arial" w:hAnsi="Arial"/>
                <w:sz w:val="12"/>
                <w:szCs w:val="12"/>
                <w:color w:val="005A64"/>
              </w:rPr>
              <w:t>28.4</w:t>
            </w:r>
          </w:p>
        </w:tc>
        <w:tc>
          <w:tcPr>
            <w:tcW w:w="700" w:type="dxa"/>
            <w:vAlign w:val="bottom"/>
            <w:gridSpan w:val="2"/>
          </w:tcPr>
          <w:p>
            <w:pPr>
              <w:ind w:left="100"/>
              <w:spacing w:after="0"/>
              <w:rPr>
                <w:sz w:val="20"/>
                <w:szCs w:val="20"/>
                <w:color w:val="auto"/>
              </w:rPr>
            </w:pPr>
            <w:r>
              <w:rPr>
                <w:rFonts w:ascii="Arial" w:cs="Arial" w:eastAsia="Arial" w:hAnsi="Arial"/>
                <w:sz w:val="12"/>
                <w:szCs w:val="12"/>
                <w:color w:val="005A64"/>
              </w:rPr>
              <w:t>28.4</w:t>
            </w:r>
          </w:p>
        </w:tc>
        <w:tc>
          <w:tcPr>
            <w:tcW w:w="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color w:val="005A64"/>
              </w:rPr>
              <w:t>4.2</w:t>
            </w:r>
          </w:p>
        </w:tc>
        <w:tc>
          <w:tcPr>
            <w:tcW w:w="8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2"/>
                <w:szCs w:val="12"/>
                <w:color w:val="005A64"/>
              </w:rPr>
              <w:t>—</w:t>
            </w:r>
          </w:p>
        </w:tc>
        <w:tc>
          <w:tcPr>
            <w:tcW w:w="700" w:type="dxa"/>
            <w:vAlign w:val="bottom"/>
            <w:gridSpan w:val="2"/>
          </w:tcPr>
          <w:p>
            <w:pPr>
              <w:ind w:left="100"/>
              <w:spacing w:after="0"/>
              <w:rPr>
                <w:sz w:val="20"/>
                <w:szCs w:val="20"/>
                <w:color w:val="auto"/>
              </w:rPr>
            </w:pPr>
            <w:r>
              <w:rPr>
                <w:rFonts w:ascii="Arial" w:cs="Arial" w:eastAsia="Arial" w:hAnsi="Arial"/>
                <w:sz w:val="12"/>
                <w:szCs w:val="12"/>
                <w:color w:val="005A64"/>
              </w:rPr>
              <w:t>4.2</w:t>
            </w:r>
          </w:p>
        </w:tc>
        <w:tc>
          <w:tcPr>
            <w:tcW w:w="0" w:type="dxa"/>
            <w:vAlign w:val="bottom"/>
          </w:tcPr>
          <w:p>
            <w:pPr>
              <w:spacing w:after="0"/>
              <w:rPr>
                <w:sz w:val="1"/>
                <w:szCs w:val="1"/>
                <w:color w:val="auto"/>
              </w:rPr>
            </w:pPr>
          </w:p>
        </w:tc>
      </w:tr>
      <w:tr>
        <w:trPr>
          <w:trHeight w:val="166"/>
        </w:trPr>
        <w:tc>
          <w:tcPr>
            <w:tcW w:w="2700" w:type="dxa"/>
            <w:vAlign w:val="bottom"/>
            <w:gridSpan w:val="2"/>
          </w:tcPr>
          <w:p>
            <w:pPr>
              <w:ind w:left="20"/>
              <w:spacing w:after="0"/>
              <w:rPr>
                <w:sz w:val="20"/>
                <w:szCs w:val="20"/>
                <w:color w:val="auto"/>
              </w:rPr>
            </w:pPr>
            <w:r>
              <w:rPr>
                <w:rFonts w:ascii="Arial" w:cs="Arial" w:eastAsia="Arial" w:hAnsi="Arial"/>
                <w:sz w:val="12"/>
                <w:szCs w:val="12"/>
                <w:i w:val="1"/>
                <w:iCs w:val="1"/>
                <w:color w:val="005A64"/>
              </w:rPr>
              <w:t>thereof: attributable to performance</w:t>
            </w:r>
          </w:p>
        </w:tc>
        <w:tc>
          <w:tcPr>
            <w:tcW w:w="4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i w:val="1"/>
                <w:iCs w:val="1"/>
                <w:color w:val="005A64"/>
              </w:rPr>
              <w:t>—</w:t>
            </w:r>
          </w:p>
        </w:tc>
        <w:tc>
          <w:tcPr>
            <w:tcW w:w="700" w:type="dxa"/>
            <w:vAlign w:val="bottom"/>
            <w:gridSpan w:val="2"/>
          </w:tcPr>
          <w:p>
            <w:pPr>
              <w:ind w:left="100"/>
              <w:spacing w:after="0"/>
              <w:rPr>
                <w:sz w:val="20"/>
                <w:szCs w:val="20"/>
                <w:color w:val="auto"/>
              </w:rPr>
            </w:pPr>
            <w:r>
              <w:rPr>
                <w:rFonts w:ascii="Arial" w:cs="Arial" w:eastAsia="Arial" w:hAnsi="Arial"/>
                <w:sz w:val="12"/>
                <w:szCs w:val="12"/>
                <w:i w:val="1"/>
                <w:iCs w:val="1"/>
                <w:color w:val="005A64"/>
              </w:rPr>
              <w:t>23.6</w:t>
            </w:r>
          </w:p>
        </w:tc>
        <w:tc>
          <w:tcPr>
            <w:tcW w:w="700" w:type="dxa"/>
            <w:vAlign w:val="bottom"/>
            <w:gridSpan w:val="2"/>
          </w:tcPr>
          <w:p>
            <w:pPr>
              <w:ind w:left="100"/>
              <w:spacing w:after="0"/>
              <w:rPr>
                <w:sz w:val="20"/>
                <w:szCs w:val="20"/>
                <w:color w:val="auto"/>
              </w:rPr>
            </w:pPr>
            <w:r>
              <w:rPr>
                <w:rFonts w:ascii="Arial" w:cs="Arial" w:eastAsia="Arial" w:hAnsi="Arial"/>
                <w:sz w:val="12"/>
                <w:szCs w:val="12"/>
                <w:i w:val="1"/>
                <w:iCs w:val="1"/>
                <w:color w:val="005A64"/>
              </w:rPr>
              <w:t>23.6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i w:val="1"/>
                <w:iCs w:val="1"/>
                <w:color w:val="005A64"/>
              </w:rPr>
              <w:t>—</w:t>
            </w: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i w:val="1"/>
                <w:iCs w:val="1"/>
                <w:color w:val="005A64"/>
              </w:rPr>
              <w:t>—</w:t>
            </w:r>
          </w:p>
        </w:tc>
        <w:tc>
          <w:tcPr>
            <w:tcW w:w="8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2"/>
                <w:szCs w:val="12"/>
                <w:i w:val="1"/>
                <w:iCs w:val="1"/>
                <w:color w:val="005A64"/>
              </w:rPr>
              <w:t>—</w:t>
            </w:r>
          </w:p>
        </w:tc>
        <w:tc>
          <w:tcPr>
            <w:tcW w:w="0" w:type="dxa"/>
            <w:vAlign w:val="bottom"/>
          </w:tcPr>
          <w:p>
            <w:pPr>
              <w:spacing w:after="0"/>
              <w:rPr>
                <w:sz w:val="1"/>
                <w:szCs w:val="1"/>
                <w:color w:val="auto"/>
              </w:rPr>
            </w:pPr>
          </w:p>
        </w:tc>
      </w:tr>
      <w:tr>
        <w:trPr>
          <w:trHeight w:val="158"/>
        </w:trPr>
        <w:tc>
          <w:tcPr>
            <w:tcW w:w="2700" w:type="dxa"/>
            <w:vAlign w:val="bottom"/>
            <w:gridSpan w:val="2"/>
          </w:tcPr>
          <w:p>
            <w:pPr>
              <w:ind w:left="20"/>
              <w:spacing w:after="0"/>
              <w:rPr>
                <w:sz w:val="20"/>
                <w:szCs w:val="20"/>
                <w:color w:val="auto"/>
              </w:rPr>
            </w:pPr>
            <w:r>
              <w:rPr>
                <w:rFonts w:ascii="Arial" w:cs="Arial" w:eastAsia="Arial" w:hAnsi="Arial"/>
                <w:sz w:val="12"/>
                <w:szCs w:val="12"/>
                <w:i w:val="1"/>
                <w:iCs w:val="1"/>
                <w:color w:val="005A64"/>
              </w:rPr>
              <w:t>obligations satisfied in prior periods</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700" w:type="dxa"/>
            <w:vAlign w:val="bottom"/>
            <w:gridSpan w:val="2"/>
          </w:tcPr>
          <w:p>
            <w:pPr>
              <w:ind w:left="20"/>
              <w:spacing w:after="0"/>
              <w:rPr>
                <w:sz w:val="20"/>
                <w:szCs w:val="20"/>
                <w:color w:val="auto"/>
              </w:rPr>
            </w:pPr>
            <w:r>
              <w:rPr>
                <w:rFonts w:ascii="Arial" w:cs="Arial" w:eastAsia="Arial" w:hAnsi="Arial"/>
                <w:sz w:val="12"/>
                <w:szCs w:val="12"/>
                <w:color w:val="005A64"/>
              </w:rPr>
              <w:t>Reclassification to trade accounts receivables</w:t>
            </w:r>
          </w:p>
        </w:tc>
        <w:tc>
          <w:tcPr>
            <w:tcW w:w="640" w:type="dxa"/>
            <w:vAlign w:val="bottom"/>
            <w:gridSpan w:val="2"/>
          </w:tcPr>
          <w:p>
            <w:pPr>
              <w:ind w:left="40"/>
              <w:spacing w:after="0"/>
              <w:rPr>
                <w:sz w:val="20"/>
                <w:szCs w:val="20"/>
                <w:color w:val="auto"/>
              </w:rPr>
            </w:pPr>
            <w:r>
              <w:rPr>
                <w:rFonts w:ascii="Arial" w:cs="Arial" w:eastAsia="Arial" w:hAnsi="Arial"/>
                <w:sz w:val="12"/>
                <w:szCs w:val="12"/>
                <w:color w:val="005A64"/>
              </w:rPr>
              <w:t>(13.5)</w:t>
            </w:r>
          </w:p>
        </w:tc>
        <w:tc>
          <w:tcPr>
            <w:tcW w:w="1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2"/>
                <w:szCs w:val="12"/>
                <w:color w:val="005A64"/>
              </w:rPr>
              <w:t>—</w:t>
            </w:r>
          </w:p>
        </w:tc>
        <w:tc>
          <w:tcPr>
            <w:tcW w:w="700" w:type="dxa"/>
            <w:vAlign w:val="bottom"/>
            <w:gridSpan w:val="2"/>
          </w:tcPr>
          <w:p>
            <w:pPr>
              <w:ind w:left="100"/>
              <w:spacing w:after="0"/>
              <w:rPr>
                <w:sz w:val="20"/>
                <w:szCs w:val="20"/>
                <w:color w:val="auto"/>
              </w:rPr>
            </w:pPr>
            <w:r>
              <w:rPr>
                <w:rFonts w:ascii="Arial" w:cs="Arial" w:eastAsia="Arial" w:hAnsi="Arial"/>
                <w:sz w:val="12"/>
                <w:szCs w:val="12"/>
                <w:color w:val="005A64"/>
              </w:rPr>
              <w:t>(13.5)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005A64"/>
              </w:rPr>
              <w:t>—</w:t>
            </w:r>
          </w:p>
        </w:tc>
        <w:tc>
          <w:tcPr>
            <w:tcW w:w="0" w:type="dxa"/>
            <w:vAlign w:val="bottom"/>
          </w:tcPr>
          <w:p>
            <w:pPr>
              <w:spacing w:after="0"/>
              <w:rPr>
                <w:sz w:val="1"/>
                <w:szCs w:val="1"/>
                <w:color w:val="auto"/>
              </w:rPr>
            </w:pPr>
          </w:p>
        </w:tc>
      </w:tr>
      <w:tr>
        <w:trPr>
          <w:trHeight w:val="202"/>
        </w:trPr>
        <w:tc>
          <w:tcPr>
            <w:tcW w:w="2700" w:type="dxa"/>
            <w:vAlign w:val="bottom"/>
            <w:gridSpan w:val="2"/>
          </w:tcPr>
          <w:p>
            <w:pPr>
              <w:ind w:left="20"/>
              <w:spacing w:after="0"/>
              <w:rPr>
                <w:sz w:val="20"/>
                <w:szCs w:val="20"/>
                <w:color w:val="auto"/>
              </w:rPr>
            </w:pPr>
            <w:r>
              <w:rPr>
                <w:rFonts w:ascii="Arial" w:cs="Arial" w:eastAsia="Arial" w:hAnsi="Arial"/>
                <w:sz w:val="12"/>
                <w:szCs w:val="12"/>
                <w:color w:val="005A64"/>
              </w:rPr>
              <w:t>Reclassification from non-current to current</w:t>
            </w:r>
          </w:p>
        </w:tc>
        <w:tc>
          <w:tcPr>
            <w:tcW w:w="640" w:type="dxa"/>
            <w:vAlign w:val="bottom"/>
            <w:gridSpan w:val="2"/>
          </w:tcPr>
          <w:p>
            <w:pPr>
              <w:ind w:left="40"/>
              <w:spacing w:after="0"/>
              <w:rPr>
                <w:sz w:val="20"/>
                <w:szCs w:val="20"/>
                <w:color w:val="auto"/>
              </w:rPr>
            </w:pPr>
            <w:r>
              <w:rPr>
                <w:rFonts w:ascii="Arial" w:cs="Arial" w:eastAsia="Arial" w:hAnsi="Arial"/>
                <w:sz w:val="12"/>
                <w:szCs w:val="12"/>
                <w:color w:val="005A64"/>
              </w:rPr>
              <w:t>18.6</w:t>
            </w:r>
          </w:p>
        </w:tc>
        <w:tc>
          <w:tcPr>
            <w:tcW w:w="700" w:type="dxa"/>
            <w:vAlign w:val="bottom"/>
            <w:gridSpan w:val="2"/>
          </w:tcPr>
          <w:p>
            <w:pPr>
              <w:ind w:left="100"/>
              <w:spacing w:after="0"/>
              <w:rPr>
                <w:sz w:val="20"/>
                <w:szCs w:val="20"/>
                <w:color w:val="auto"/>
              </w:rPr>
            </w:pPr>
            <w:r>
              <w:rPr>
                <w:rFonts w:ascii="Arial" w:cs="Arial" w:eastAsia="Arial" w:hAnsi="Arial"/>
                <w:sz w:val="12"/>
                <w:szCs w:val="12"/>
                <w:color w:val="005A64"/>
              </w:rPr>
              <w:t>(18.6)</w:t>
            </w:r>
          </w:p>
        </w:tc>
        <w:tc>
          <w:tcPr>
            <w:tcW w:w="8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2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7"/>
                <w:szCs w:val="17"/>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005A64"/>
              </w:rPr>
              <w:t>—</w:t>
            </w:r>
          </w:p>
        </w:tc>
        <w:tc>
          <w:tcPr>
            <w:tcW w:w="0" w:type="dxa"/>
            <w:vAlign w:val="bottom"/>
          </w:tcPr>
          <w:p>
            <w:pPr>
              <w:spacing w:after="0"/>
              <w:rPr>
                <w:sz w:val="1"/>
                <w:szCs w:val="1"/>
                <w:color w:val="auto"/>
              </w:rPr>
            </w:pPr>
          </w:p>
        </w:tc>
      </w:tr>
      <w:tr>
        <w:trPr>
          <w:trHeight w:val="202"/>
        </w:trPr>
        <w:tc>
          <w:tcPr>
            <w:tcW w:w="2700" w:type="dxa"/>
            <w:vAlign w:val="bottom"/>
            <w:gridSpan w:val="2"/>
          </w:tcPr>
          <w:p>
            <w:pPr>
              <w:ind w:left="20"/>
              <w:spacing w:after="0"/>
              <w:rPr>
                <w:sz w:val="20"/>
                <w:szCs w:val="20"/>
                <w:color w:val="auto"/>
              </w:rPr>
            </w:pPr>
            <w:r>
              <w:rPr>
                <w:rFonts w:ascii="Arial" w:cs="Arial" w:eastAsia="Arial" w:hAnsi="Arial"/>
                <w:sz w:val="12"/>
                <w:szCs w:val="12"/>
                <w:color w:val="005A64"/>
              </w:rPr>
              <w:t>Changes in scope of consolidation</w:t>
            </w:r>
          </w:p>
        </w:tc>
        <w:tc>
          <w:tcPr>
            <w:tcW w:w="4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640" w:type="dxa"/>
            <w:vAlign w:val="bottom"/>
            <w:gridSpan w:val="2"/>
          </w:tcPr>
          <w:p>
            <w:pPr>
              <w:ind w:left="20"/>
              <w:spacing w:after="0"/>
              <w:rPr>
                <w:sz w:val="20"/>
                <w:szCs w:val="20"/>
                <w:color w:val="auto"/>
              </w:rPr>
            </w:pPr>
            <w:r>
              <w:rPr>
                <w:rFonts w:ascii="Arial" w:cs="Arial" w:eastAsia="Arial" w:hAnsi="Arial"/>
                <w:sz w:val="12"/>
                <w:szCs w:val="12"/>
                <w:color w:val="005A64"/>
              </w:rPr>
              <w:t>0.7</w:t>
            </w:r>
          </w:p>
        </w:tc>
        <w:tc>
          <w:tcPr>
            <w:tcW w:w="8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2"/>
                <w:szCs w:val="12"/>
                <w:color w:val="005A64"/>
              </w:rPr>
              <w:t>—</w:t>
            </w:r>
          </w:p>
        </w:tc>
        <w:tc>
          <w:tcPr>
            <w:tcW w:w="700" w:type="dxa"/>
            <w:vAlign w:val="bottom"/>
            <w:gridSpan w:val="2"/>
          </w:tcPr>
          <w:p>
            <w:pPr>
              <w:ind w:left="100"/>
              <w:spacing w:after="0"/>
              <w:rPr>
                <w:sz w:val="20"/>
                <w:szCs w:val="20"/>
                <w:color w:val="auto"/>
              </w:rPr>
            </w:pPr>
            <w:r>
              <w:rPr>
                <w:rFonts w:ascii="Arial" w:cs="Arial" w:eastAsia="Arial" w:hAnsi="Arial"/>
                <w:sz w:val="12"/>
                <w:szCs w:val="12"/>
                <w:color w:val="005A64"/>
              </w:rPr>
              <w:t>0.7</w:t>
            </w:r>
          </w:p>
        </w:tc>
        <w:tc>
          <w:tcPr>
            <w:tcW w:w="0" w:type="dxa"/>
            <w:vAlign w:val="bottom"/>
          </w:tcPr>
          <w:p>
            <w:pPr>
              <w:spacing w:after="0"/>
              <w:rPr>
                <w:sz w:val="1"/>
                <w:szCs w:val="1"/>
                <w:color w:val="auto"/>
              </w:rPr>
            </w:pPr>
          </w:p>
        </w:tc>
      </w:tr>
      <w:tr>
        <w:trPr>
          <w:trHeight w:val="208"/>
        </w:trPr>
        <w:tc>
          <w:tcPr>
            <w:tcW w:w="2700" w:type="dxa"/>
            <w:vAlign w:val="bottom"/>
            <w:gridSpan w:val="2"/>
          </w:tcPr>
          <w:p>
            <w:pPr>
              <w:ind w:left="20"/>
              <w:spacing w:after="0"/>
              <w:rPr>
                <w:sz w:val="20"/>
                <w:szCs w:val="20"/>
                <w:color w:val="auto"/>
              </w:rPr>
            </w:pPr>
            <w:r>
              <w:rPr>
                <w:rFonts w:ascii="Arial" w:cs="Arial" w:eastAsia="Arial" w:hAnsi="Arial"/>
                <w:sz w:val="12"/>
                <w:szCs w:val="12"/>
                <w:b w:val="1"/>
                <w:bCs w:val="1"/>
                <w:color w:val="005A64"/>
              </w:rPr>
              <w:t>As of December 31</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005A64"/>
              </w:rPr>
              <w:t>10.0</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005A64"/>
              </w:rPr>
              <w:t>9.8</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005A64"/>
              </w:rPr>
              <w:t>19.8</w:t>
            </w:r>
          </w:p>
        </w:tc>
        <w:tc>
          <w:tcPr>
            <w:tcW w:w="4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005A64"/>
              </w:rPr>
              <w:t>4.9</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005A64"/>
              </w:rPr>
              <w:t>—</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005A64"/>
              </w:rPr>
              <w:t>4.9</w:t>
            </w:r>
          </w:p>
        </w:tc>
        <w:tc>
          <w:tcPr>
            <w:tcW w:w="0" w:type="dxa"/>
            <w:vAlign w:val="bottom"/>
          </w:tcPr>
          <w:p>
            <w:pPr>
              <w:spacing w:after="0"/>
              <w:rPr>
                <w:sz w:val="1"/>
                <w:szCs w:val="1"/>
                <w:color w:val="auto"/>
              </w:rPr>
            </w:pPr>
          </w:p>
        </w:tc>
      </w:tr>
    </w:tbl>
    <w:p>
      <w:pPr>
        <w:spacing w:after="0" w:line="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1157605</wp:posOffset>
            </wp:positionH>
            <wp:positionV relativeFrom="page">
              <wp:posOffset>361950</wp:posOffset>
            </wp:positionV>
            <wp:extent cx="4319905" cy="1418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6">
                      <a:extLst>
                        <a:ext uri="{28A0092B-C50C-407E-A947-70E740481C1C}"/>
                      </a:extLst>
                    </a:blip>
                    <a:srcRect/>
                    <a:stretch>
                      <a:fillRect/>
                    </a:stretch>
                  </pic:blipFill>
                  <pic:spPr bwMode="auto">
                    <a:xfrm>
                      <a:off x="0" y="0"/>
                      <a:ext cx="4319905" cy="1418590"/>
                    </a:xfrm>
                    <a:prstGeom prst="rect">
                      <a:avLst/>
                    </a:prstGeom>
                    <a:noFill/>
                  </pic:spPr>
                </pic:pic>
              </a:graphicData>
            </a:graphic>
          </wp:anchor>
        </w:drawing>
      </w:r>
    </w:p>
    <w:p>
      <w:pPr>
        <w:jc w:val="both"/>
        <w:ind w:left="380" w:right="2160"/>
        <w:spacing w:after="0" w:line="248" w:lineRule="auto"/>
        <w:rPr>
          <w:sz w:val="20"/>
          <w:szCs w:val="20"/>
          <w:color w:val="auto"/>
        </w:rPr>
      </w:pPr>
      <w:r>
        <w:rPr>
          <w:rFonts w:ascii="Arial" w:cs="Arial" w:eastAsia="Arial" w:hAnsi="Arial"/>
          <w:sz w:val="13"/>
          <w:szCs w:val="13"/>
          <w:color w:val="auto"/>
        </w:rPr>
        <w:t>During the year ended December 31, 2024, the contract assets were significantly influenced by the rendering of services under the pandemic preparedness contract with the German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-189230</wp:posOffset>
            </wp:positionV>
            <wp:extent cx="1701165" cy="6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7">
                      <a:extLst>
                        <a:ext uri="{28A0092B-C50C-407E-A947-70E740481C1C}"/>
                      </a:extLst>
                    </a:blip>
                    <a:srcRect/>
                    <a:stretch>
                      <a:fillRect/>
                    </a:stretch>
                  </pic:blipFill>
                  <pic:spPr bwMode="auto">
                    <a:xfrm>
                      <a:off x="0" y="0"/>
                      <a:ext cx="1701165" cy="6350"/>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-189230</wp:posOffset>
            </wp:positionV>
            <wp:extent cx="1277620" cy="6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8">
                      <a:extLst>
                        <a:ext uri="{28A0092B-C50C-407E-A947-70E740481C1C}"/>
                      </a:extLst>
                    </a:blip>
                    <a:srcRect/>
                    <a:stretch>
                      <a:fillRect/>
                    </a:stretch>
                  </pic:blipFill>
                  <pic:spPr bwMode="auto">
                    <a:xfrm>
                      <a:off x="0" y="0"/>
                      <a:ext cx="12776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F-36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005A64"/>
        </w:rPr>
        <w:t>6.3 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The development of the contract liabilities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-5715</wp:posOffset>
            </wp:positionV>
            <wp:extent cx="4319905" cy="12065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0">
                      <a:extLst>
                        <a:ext uri="{28A0092B-C50C-407E-A947-70E740481C1C}"/>
                      </a:extLst>
                    </a:blip>
                    <a:srcRect/>
                    <a:stretch>
                      <a:fillRect/>
                    </a:stretch>
                  </pic:blipFill>
                  <pic:spPr bwMode="auto">
                    <a:xfrm>
                      <a:off x="0" y="0"/>
                      <a:ext cx="4319905" cy="1206500"/>
                    </a:xfrm>
                    <a:prstGeom prst="rect">
                      <a:avLst/>
                    </a:prstGeom>
                    <a:noFill/>
                  </pic:spPr>
                </pic:pic>
              </a:graphicData>
            </a:graphic>
          </wp:anchor>
        </w:drawing>
      </w:r>
    </w:p>
    <w:p>
      <w:pPr>
        <w:spacing w:after="0" w:line="91" w:lineRule="exact"/>
        <w:rPr>
          <w:sz w:val="20"/>
          <w:szCs w:val="20"/>
          <w:color w:val="auto"/>
        </w:rPr>
      </w:pPr>
    </w:p>
    <w:tbl>
      <w:tblPr>
        <w:tblLayout w:type="fixed"/>
        <w:tblInd w:w="38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Borders>
              <w:top w:val="single" w:sz="8" w:color="BECE33"/>
            </w:tcBorders>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100" w:type="dxa"/>
            <w:vAlign w:val="bottom"/>
            <w:tcBorders>
              <w:top w:val="single" w:sz="8" w:color="BECE33"/>
            </w:tcBorders>
          </w:tcPr>
          <w:p>
            <w:pPr>
              <w:spacing w:after="0"/>
              <w:rPr>
                <w:sz w:val="16"/>
                <w:szCs w:val="16"/>
                <w:color w:val="auto"/>
              </w:rPr>
            </w:pPr>
          </w:p>
        </w:tc>
        <w:tc>
          <w:tcPr>
            <w:tcW w:w="600" w:type="dxa"/>
            <w:vAlign w:val="bottom"/>
            <w:tcBorders>
              <w:top w:val="single" w:sz="8" w:color="BECE33"/>
            </w:tcBorders>
          </w:tcPr>
          <w:p>
            <w:pPr>
              <w:spacing w:after="0"/>
              <w:rPr>
                <w:sz w:val="16"/>
                <w:szCs w:val="16"/>
                <w:color w:val="auto"/>
              </w:rPr>
            </w:pPr>
          </w:p>
        </w:tc>
        <w:tc>
          <w:tcPr>
            <w:tcW w:w="80" w:type="dxa"/>
            <w:vAlign w:val="bottom"/>
            <w:tcBorders>
              <w:top w:val="single" w:sz="8" w:color="BECE33"/>
            </w:tcBorders>
          </w:tcPr>
          <w:p>
            <w:pPr>
              <w:spacing w:after="0"/>
              <w:rPr>
                <w:sz w:val="16"/>
                <w:szCs w:val="16"/>
                <w:color w:val="auto"/>
              </w:rPr>
            </w:pPr>
          </w:p>
        </w:tc>
        <w:tc>
          <w:tcPr>
            <w:tcW w:w="620" w:type="dxa"/>
            <w:vAlign w:val="bottom"/>
            <w:tcBorders>
              <w:top w:val="single" w:sz="8" w:color="BECE33"/>
            </w:tcBorders>
          </w:tcPr>
          <w:p>
            <w:pPr>
              <w:spacing w:after="0"/>
              <w:rPr>
                <w:sz w:val="16"/>
                <w:szCs w:val="16"/>
                <w:color w:val="auto"/>
              </w:rPr>
            </w:pPr>
          </w:p>
        </w:tc>
        <w:tc>
          <w:tcPr>
            <w:tcW w:w="40" w:type="dxa"/>
            <w:vAlign w:val="bottom"/>
            <w:tcBorders>
              <w:top w:val="single" w:sz="8" w:color="BECE33"/>
            </w:tcBorders>
          </w:tcPr>
          <w:p>
            <w:pPr>
              <w:spacing w:after="0"/>
              <w:rPr>
                <w:sz w:val="16"/>
                <w:szCs w:val="16"/>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005A64"/>
              </w:rPr>
              <w:t>2023</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700" w:type="dxa"/>
            <w:vAlign w:val="bottom"/>
            <w:gridSpan w:val="2"/>
          </w:tcPr>
          <w:p>
            <w:pPr>
              <w:ind w:left="20"/>
              <w:spacing w:after="0" w:line="128" w:lineRule="exact"/>
              <w:rPr>
                <w:sz w:val="20"/>
                <w:szCs w:val="20"/>
                <w:color w:val="auto"/>
              </w:rPr>
            </w:pPr>
            <w:r>
              <w:rPr>
                <w:rFonts w:ascii="Arial" w:cs="Arial" w:eastAsia="Arial" w:hAnsi="Arial"/>
                <w:sz w:val="12"/>
                <w:szCs w:val="12"/>
                <w:i w:val="1"/>
                <w:iCs w:val="1"/>
                <w:color w:val="005A64"/>
              </w:rPr>
              <w:t>(in millions €)</w:t>
            </w:r>
          </w:p>
        </w:tc>
        <w:tc>
          <w:tcPr>
            <w:tcW w:w="4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005A64"/>
              </w:rPr>
              <w:t>Current</w:t>
            </w:r>
          </w:p>
        </w:tc>
        <w:tc>
          <w:tcPr>
            <w:tcW w:w="10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005A64"/>
              </w:rPr>
              <w:t>Non-</w:t>
            </w:r>
          </w:p>
        </w:tc>
        <w:tc>
          <w:tcPr>
            <w:tcW w:w="80" w:type="dxa"/>
            <w:vAlign w:val="bottom"/>
          </w:tcPr>
          <w:p>
            <w:pPr>
              <w:spacing w:after="0"/>
              <w:rPr>
                <w:sz w:val="11"/>
                <w:szCs w:val="11"/>
                <w:color w:val="auto"/>
              </w:rPr>
            </w:pPr>
          </w:p>
        </w:tc>
        <w:tc>
          <w:tcPr>
            <w:tcW w:w="6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005A64"/>
              </w:rPr>
              <w:t>Total</w:t>
            </w:r>
          </w:p>
        </w:tc>
        <w:tc>
          <w:tcPr>
            <w:tcW w:w="2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005A64"/>
              </w:rPr>
              <w:t>Current</w:t>
            </w:r>
          </w:p>
        </w:tc>
        <w:tc>
          <w:tcPr>
            <w:tcW w:w="8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005A64"/>
              </w:rPr>
              <w:t>Non-</w:t>
            </w:r>
          </w:p>
        </w:tc>
        <w:tc>
          <w:tcPr>
            <w:tcW w:w="80" w:type="dxa"/>
            <w:vAlign w:val="bottom"/>
          </w:tcPr>
          <w:p>
            <w:pPr>
              <w:spacing w:after="0"/>
              <w:rPr>
                <w:sz w:val="11"/>
                <w:szCs w:val="11"/>
                <w:color w:val="auto"/>
              </w:rPr>
            </w:pP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005A64"/>
              </w:rPr>
              <w:t>Total</w:t>
            </w:r>
          </w:p>
        </w:tc>
        <w:tc>
          <w:tcPr>
            <w:tcW w:w="0" w:type="dxa"/>
            <w:vAlign w:val="bottom"/>
          </w:tcPr>
          <w:p>
            <w:pPr>
              <w:spacing w:after="0"/>
              <w:rPr>
                <w:sz w:val="1"/>
                <w:szCs w:val="1"/>
                <w:color w:val="auto"/>
              </w:rPr>
            </w:pPr>
          </w:p>
        </w:tc>
      </w:tr>
      <w:tr>
        <w:trPr>
          <w:trHeight w:val="166"/>
        </w:trPr>
        <w:tc>
          <w:tcPr>
            <w:tcW w:w="2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005A64"/>
              </w:rPr>
              <w:t>current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005A64"/>
              </w:rPr>
              <w:t>current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268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80" w:type="dxa"/>
            <w:vAlign w:val="bottom"/>
            <w:vMerge w:val="restart"/>
          </w:tcPr>
          <w:p>
            <w:pPr>
              <w:spacing w:after="0"/>
              <w:rPr>
                <w:sz w:val="4"/>
                <w:szCs w:val="4"/>
                <w:color w:val="auto"/>
              </w:rPr>
            </w:pPr>
          </w:p>
        </w:tc>
        <w:tc>
          <w:tcPr>
            <w:tcW w:w="620" w:type="dxa"/>
            <w:vAlign w:val="bottom"/>
            <w:tcBorders>
              <w:bottom w:val="single" w:sz="8" w:color="005A64"/>
            </w:tcBorders>
          </w:tcPr>
          <w:p>
            <w:pPr>
              <w:spacing w:after="0"/>
              <w:rPr>
                <w:sz w:val="4"/>
                <w:szCs w:val="4"/>
                <w:color w:val="auto"/>
              </w:rPr>
            </w:pPr>
          </w:p>
        </w:tc>
        <w:tc>
          <w:tcPr>
            <w:tcW w:w="4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620" w:type="dxa"/>
            <w:vAlign w:val="bottom"/>
            <w:tcBorders>
              <w:bottom w:val="single" w:sz="8" w:color="005A64"/>
            </w:tcBorders>
          </w:tcPr>
          <w:p>
            <w:pPr>
              <w:spacing w:after="0"/>
              <w:rPr>
                <w:sz w:val="4"/>
                <w:szCs w:val="4"/>
                <w:color w:val="auto"/>
              </w:rPr>
            </w:pPr>
          </w:p>
        </w:tc>
        <w:tc>
          <w:tcPr>
            <w:tcW w:w="80" w:type="dxa"/>
            <w:vAlign w:val="bottom"/>
            <w:vMerge w:val="restart"/>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80" w:type="dxa"/>
            <w:vAlign w:val="bottom"/>
            <w:vMerge w:val="restart"/>
          </w:tcPr>
          <w:p>
            <w:pPr>
              <w:spacing w:after="0"/>
              <w:rPr>
                <w:sz w:val="4"/>
                <w:szCs w:val="4"/>
                <w:color w:val="auto"/>
              </w:rPr>
            </w:pPr>
          </w:p>
        </w:tc>
        <w:tc>
          <w:tcPr>
            <w:tcW w:w="6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680" w:type="dxa"/>
            <w:vAlign w:val="bottom"/>
          </w:tcPr>
          <w:p>
            <w:pPr>
              <w:ind w:left="20"/>
              <w:spacing w:after="0"/>
              <w:rPr>
                <w:sz w:val="20"/>
                <w:szCs w:val="20"/>
                <w:color w:val="auto"/>
              </w:rPr>
            </w:pPr>
            <w:r>
              <w:rPr>
                <w:rFonts w:ascii="Arial" w:cs="Arial" w:eastAsia="Arial" w:hAnsi="Arial"/>
                <w:sz w:val="12"/>
                <w:szCs w:val="12"/>
                <w:b w:val="1"/>
                <w:bCs w:val="1"/>
                <w:color w:val="005A64"/>
              </w:rPr>
              <w:t>As of January 1</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005A64"/>
              </w:rPr>
              <w:t>353.3</w:t>
            </w:r>
          </w:p>
        </w:tc>
        <w:tc>
          <w:tcPr>
            <w:tcW w:w="100" w:type="dxa"/>
            <w:vAlign w:val="bottom"/>
            <w:vMerge w:val="continue"/>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005A64"/>
              </w:rPr>
              <w:t>398.5</w:t>
            </w:r>
          </w:p>
        </w:tc>
        <w:tc>
          <w:tcPr>
            <w:tcW w:w="80" w:type="dxa"/>
            <w:vAlign w:val="bottom"/>
            <w:vMerge w:val="continue"/>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005A64"/>
              </w:rPr>
              <w:t>751.8</w:t>
            </w: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005A64"/>
              </w:rPr>
              <w:t>77.1</w:t>
            </w:r>
          </w:p>
        </w:tc>
        <w:tc>
          <w:tcPr>
            <w:tcW w:w="80" w:type="dxa"/>
            <w:vAlign w:val="bottom"/>
            <w:vMerge w:val="continue"/>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005A64"/>
              </w:rPr>
              <w:t>48.4</w:t>
            </w:r>
          </w:p>
        </w:tc>
        <w:tc>
          <w:tcPr>
            <w:tcW w:w="80" w:type="dxa"/>
            <w:vAlign w:val="bottom"/>
            <w:vMerge w:val="continue"/>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005A64"/>
              </w:rPr>
              <w:t>125.5</w:t>
            </w:r>
          </w:p>
        </w:tc>
        <w:tc>
          <w:tcPr>
            <w:tcW w:w="0" w:type="dxa"/>
            <w:vAlign w:val="bottom"/>
          </w:tcPr>
          <w:p>
            <w:pPr>
              <w:spacing w:after="0"/>
              <w:rPr>
                <w:sz w:val="1"/>
                <w:szCs w:val="1"/>
                <w:color w:val="auto"/>
              </w:rPr>
            </w:pPr>
          </w:p>
        </w:tc>
      </w:tr>
      <w:tr>
        <w:trPr>
          <w:trHeight w:val="175"/>
        </w:trPr>
        <w:tc>
          <w:tcPr>
            <w:tcW w:w="2700" w:type="dxa"/>
            <w:vAlign w:val="bottom"/>
            <w:gridSpan w:val="2"/>
          </w:tcPr>
          <w:p>
            <w:pPr>
              <w:ind w:left="20"/>
              <w:spacing w:after="0"/>
              <w:rPr>
                <w:sz w:val="20"/>
                <w:szCs w:val="20"/>
                <w:color w:val="auto"/>
              </w:rPr>
            </w:pPr>
            <w:r>
              <w:rPr>
                <w:rFonts w:ascii="Arial" w:cs="Arial" w:eastAsia="Arial" w:hAnsi="Arial"/>
                <w:sz w:val="12"/>
                <w:szCs w:val="12"/>
                <w:color w:val="005A64"/>
              </w:rPr>
              <w:t>Additions</w:t>
            </w:r>
          </w:p>
        </w:tc>
        <w:tc>
          <w:tcPr>
            <w:tcW w:w="4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640" w:type="dxa"/>
            <w:vAlign w:val="bottom"/>
            <w:gridSpan w:val="2"/>
          </w:tcPr>
          <w:p>
            <w:pPr>
              <w:ind w:left="20"/>
              <w:spacing w:after="0"/>
              <w:rPr>
                <w:sz w:val="20"/>
                <w:szCs w:val="20"/>
                <w:color w:val="auto"/>
              </w:rPr>
            </w:pPr>
            <w:r>
              <w:rPr>
                <w:rFonts w:ascii="Arial" w:cs="Arial" w:eastAsia="Arial" w:hAnsi="Arial"/>
                <w:sz w:val="12"/>
                <w:szCs w:val="12"/>
                <w:color w:val="005A64"/>
              </w:rPr>
              <w:t>387.2</w:t>
            </w:r>
          </w:p>
        </w:tc>
        <w:tc>
          <w:tcPr>
            <w:tcW w:w="680" w:type="dxa"/>
            <w:vAlign w:val="bottom"/>
            <w:gridSpan w:val="2"/>
          </w:tcPr>
          <w:p>
            <w:pPr>
              <w:ind w:left="80"/>
              <w:spacing w:after="0"/>
              <w:rPr>
                <w:sz w:val="20"/>
                <w:szCs w:val="20"/>
                <w:color w:val="auto"/>
              </w:rPr>
            </w:pPr>
            <w:r>
              <w:rPr>
                <w:rFonts w:ascii="Arial" w:cs="Arial" w:eastAsia="Arial" w:hAnsi="Arial"/>
                <w:sz w:val="12"/>
                <w:szCs w:val="12"/>
                <w:color w:val="005A64"/>
              </w:rPr>
              <w:t>444.0</w:t>
            </w:r>
          </w:p>
        </w:tc>
        <w:tc>
          <w:tcPr>
            <w:tcW w:w="700" w:type="dxa"/>
            <w:vAlign w:val="bottom"/>
            <w:gridSpan w:val="2"/>
          </w:tcPr>
          <w:p>
            <w:pPr>
              <w:ind w:left="100"/>
              <w:spacing w:after="0"/>
              <w:rPr>
                <w:sz w:val="20"/>
                <w:szCs w:val="20"/>
                <w:color w:val="auto"/>
              </w:rPr>
            </w:pPr>
            <w:r>
              <w:rPr>
                <w:rFonts w:ascii="Arial" w:cs="Arial" w:eastAsia="Arial" w:hAnsi="Arial"/>
                <w:sz w:val="12"/>
                <w:szCs w:val="12"/>
                <w:color w:val="005A64"/>
              </w:rPr>
              <w:t>831.2</w:t>
            </w:r>
          </w:p>
        </w:tc>
        <w:tc>
          <w:tcPr>
            <w:tcW w:w="0" w:type="dxa"/>
            <w:vAlign w:val="bottom"/>
          </w:tcPr>
          <w:p>
            <w:pPr>
              <w:spacing w:after="0"/>
              <w:rPr>
                <w:sz w:val="1"/>
                <w:szCs w:val="1"/>
                <w:color w:val="auto"/>
              </w:rPr>
            </w:pPr>
          </w:p>
        </w:tc>
      </w:tr>
      <w:tr>
        <w:trPr>
          <w:trHeight w:val="202"/>
        </w:trPr>
        <w:tc>
          <w:tcPr>
            <w:tcW w:w="2700" w:type="dxa"/>
            <w:vAlign w:val="bottom"/>
            <w:gridSpan w:val="2"/>
          </w:tcPr>
          <w:p>
            <w:pPr>
              <w:ind w:left="20"/>
              <w:spacing w:after="0"/>
              <w:rPr>
                <w:sz w:val="20"/>
                <w:szCs w:val="20"/>
                <w:color w:val="auto"/>
              </w:rPr>
            </w:pPr>
            <w:r>
              <w:rPr>
                <w:rFonts w:ascii="Arial" w:cs="Arial" w:eastAsia="Arial" w:hAnsi="Arial"/>
                <w:sz w:val="12"/>
                <w:szCs w:val="12"/>
                <w:color w:val="005A64"/>
              </w:rPr>
              <w:t>Recognition as revenues</w:t>
            </w:r>
          </w:p>
        </w:tc>
        <w:tc>
          <w:tcPr>
            <w:tcW w:w="640" w:type="dxa"/>
            <w:vAlign w:val="bottom"/>
            <w:gridSpan w:val="2"/>
          </w:tcPr>
          <w:p>
            <w:pPr>
              <w:ind w:left="40"/>
              <w:spacing w:after="0"/>
              <w:rPr>
                <w:sz w:val="20"/>
                <w:szCs w:val="20"/>
                <w:color w:val="auto"/>
              </w:rPr>
            </w:pPr>
            <w:r>
              <w:rPr>
                <w:rFonts w:ascii="Arial" w:cs="Arial" w:eastAsia="Arial" w:hAnsi="Arial"/>
                <w:sz w:val="12"/>
                <w:szCs w:val="12"/>
                <w:color w:val="005A64"/>
              </w:rPr>
              <w:t>(272.7)</w:t>
            </w:r>
          </w:p>
        </w:tc>
        <w:tc>
          <w:tcPr>
            <w:tcW w:w="10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2"/>
                <w:szCs w:val="12"/>
                <w:color w:val="005A64"/>
              </w:rPr>
              <w:t>—</w:t>
            </w:r>
          </w:p>
        </w:tc>
        <w:tc>
          <w:tcPr>
            <w:tcW w:w="700" w:type="dxa"/>
            <w:vAlign w:val="bottom"/>
            <w:gridSpan w:val="2"/>
          </w:tcPr>
          <w:p>
            <w:pPr>
              <w:ind w:left="100"/>
              <w:spacing w:after="0"/>
              <w:rPr>
                <w:sz w:val="20"/>
                <w:szCs w:val="20"/>
                <w:color w:val="auto"/>
              </w:rPr>
            </w:pPr>
            <w:r>
              <w:rPr>
                <w:rFonts w:ascii="Arial" w:cs="Arial" w:eastAsia="Arial" w:hAnsi="Arial"/>
                <w:sz w:val="12"/>
                <w:szCs w:val="12"/>
                <w:color w:val="005A64"/>
              </w:rPr>
              <w:t>(272.7)</w:t>
            </w:r>
          </w:p>
        </w:tc>
        <w:tc>
          <w:tcPr>
            <w:tcW w:w="40" w:type="dxa"/>
            <w:vAlign w:val="bottom"/>
          </w:tcPr>
          <w:p>
            <w:pPr>
              <w:spacing w:after="0"/>
              <w:rPr>
                <w:sz w:val="17"/>
                <w:szCs w:val="17"/>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color w:val="005A64"/>
              </w:rPr>
              <w:t>(202.2)</w:t>
            </w:r>
          </w:p>
        </w:tc>
        <w:tc>
          <w:tcPr>
            <w:tcW w:w="8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2"/>
                <w:szCs w:val="12"/>
                <w:color w:val="005A64"/>
              </w:rPr>
              <w:t>—</w:t>
            </w:r>
          </w:p>
        </w:tc>
        <w:tc>
          <w:tcPr>
            <w:tcW w:w="700" w:type="dxa"/>
            <w:vAlign w:val="bottom"/>
            <w:gridSpan w:val="2"/>
          </w:tcPr>
          <w:p>
            <w:pPr>
              <w:ind w:left="100"/>
              <w:spacing w:after="0"/>
              <w:rPr>
                <w:sz w:val="20"/>
                <w:szCs w:val="20"/>
                <w:color w:val="auto"/>
              </w:rPr>
            </w:pPr>
            <w:r>
              <w:rPr>
                <w:rFonts w:ascii="Arial" w:cs="Arial" w:eastAsia="Arial" w:hAnsi="Arial"/>
                <w:sz w:val="12"/>
                <w:szCs w:val="12"/>
                <w:color w:val="005A64"/>
              </w:rPr>
              <w:t>(202.2)</w:t>
            </w:r>
          </w:p>
        </w:tc>
        <w:tc>
          <w:tcPr>
            <w:tcW w:w="0" w:type="dxa"/>
            <w:vAlign w:val="bottom"/>
          </w:tcPr>
          <w:p>
            <w:pPr>
              <w:spacing w:after="0"/>
              <w:rPr>
                <w:sz w:val="1"/>
                <w:szCs w:val="1"/>
                <w:color w:val="auto"/>
              </w:rPr>
            </w:pPr>
          </w:p>
        </w:tc>
      </w:tr>
      <w:tr>
        <w:trPr>
          <w:trHeight w:val="202"/>
        </w:trPr>
        <w:tc>
          <w:tcPr>
            <w:tcW w:w="2700" w:type="dxa"/>
            <w:vAlign w:val="bottom"/>
            <w:gridSpan w:val="2"/>
          </w:tcPr>
          <w:p>
            <w:pPr>
              <w:ind w:left="20"/>
              <w:spacing w:after="0"/>
              <w:rPr>
                <w:sz w:val="20"/>
                <w:szCs w:val="20"/>
                <w:color w:val="auto"/>
              </w:rPr>
            </w:pPr>
            <w:r>
              <w:rPr>
                <w:rFonts w:ascii="Arial" w:cs="Arial" w:eastAsia="Arial" w:hAnsi="Arial"/>
                <w:sz w:val="12"/>
                <w:szCs w:val="12"/>
                <w:color w:val="005A64"/>
              </w:rPr>
              <w:t>Reclassification from non-current to current</w:t>
            </w:r>
          </w:p>
        </w:tc>
        <w:tc>
          <w:tcPr>
            <w:tcW w:w="640" w:type="dxa"/>
            <w:vAlign w:val="bottom"/>
            <w:gridSpan w:val="2"/>
          </w:tcPr>
          <w:p>
            <w:pPr>
              <w:ind w:left="40"/>
              <w:spacing w:after="0"/>
              <w:rPr>
                <w:sz w:val="20"/>
                <w:szCs w:val="20"/>
                <w:color w:val="auto"/>
              </w:rPr>
            </w:pPr>
            <w:r>
              <w:rPr>
                <w:rFonts w:ascii="Arial" w:cs="Arial" w:eastAsia="Arial" w:hAnsi="Arial"/>
                <w:sz w:val="12"/>
                <w:szCs w:val="12"/>
                <w:color w:val="005A64"/>
              </w:rPr>
              <w:t>215.5</w:t>
            </w:r>
          </w:p>
        </w:tc>
        <w:tc>
          <w:tcPr>
            <w:tcW w:w="700" w:type="dxa"/>
            <w:vAlign w:val="bottom"/>
            <w:gridSpan w:val="2"/>
          </w:tcPr>
          <w:p>
            <w:pPr>
              <w:ind w:left="100"/>
              <w:spacing w:after="0"/>
              <w:rPr>
                <w:sz w:val="20"/>
                <w:szCs w:val="20"/>
                <w:color w:val="auto"/>
              </w:rPr>
            </w:pPr>
            <w:r>
              <w:rPr>
                <w:rFonts w:ascii="Arial" w:cs="Arial" w:eastAsia="Arial" w:hAnsi="Arial"/>
                <w:sz w:val="12"/>
                <w:szCs w:val="12"/>
                <w:color w:val="005A64"/>
              </w:rPr>
              <w:t>(215.5)</w:t>
            </w:r>
          </w:p>
        </w:tc>
        <w:tc>
          <w:tcPr>
            <w:tcW w:w="8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640" w:type="dxa"/>
            <w:vAlign w:val="bottom"/>
            <w:gridSpan w:val="2"/>
          </w:tcPr>
          <w:p>
            <w:pPr>
              <w:ind w:left="20"/>
              <w:spacing w:after="0"/>
              <w:rPr>
                <w:sz w:val="20"/>
                <w:szCs w:val="20"/>
                <w:color w:val="auto"/>
              </w:rPr>
            </w:pPr>
            <w:r>
              <w:rPr>
                <w:rFonts w:ascii="Arial" w:cs="Arial" w:eastAsia="Arial" w:hAnsi="Arial"/>
                <w:sz w:val="12"/>
                <w:szCs w:val="12"/>
                <w:color w:val="005A64"/>
              </w:rPr>
              <w:t>93.9</w:t>
            </w:r>
          </w:p>
        </w:tc>
        <w:tc>
          <w:tcPr>
            <w:tcW w:w="680" w:type="dxa"/>
            <w:vAlign w:val="bottom"/>
            <w:gridSpan w:val="2"/>
          </w:tcPr>
          <w:p>
            <w:pPr>
              <w:ind w:left="80"/>
              <w:spacing w:after="0"/>
              <w:rPr>
                <w:sz w:val="20"/>
                <w:szCs w:val="20"/>
                <w:color w:val="auto"/>
              </w:rPr>
            </w:pPr>
            <w:r>
              <w:rPr>
                <w:rFonts w:ascii="Arial" w:cs="Arial" w:eastAsia="Arial" w:hAnsi="Arial"/>
                <w:sz w:val="12"/>
                <w:szCs w:val="12"/>
                <w:color w:val="005A64"/>
              </w:rPr>
              <w:t>(93.9)</w:t>
            </w:r>
          </w:p>
        </w:tc>
        <w:tc>
          <w:tcPr>
            <w:tcW w:w="80" w:type="dxa"/>
            <w:vAlign w:val="bottom"/>
          </w:tcPr>
          <w:p>
            <w:pPr>
              <w:spacing w:after="0"/>
              <w:rPr>
                <w:sz w:val="17"/>
                <w:szCs w:val="17"/>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005A64"/>
              </w:rPr>
              <w:t>—</w:t>
            </w:r>
          </w:p>
        </w:tc>
        <w:tc>
          <w:tcPr>
            <w:tcW w:w="0" w:type="dxa"/>
            <w:vAlign w:val="bottom"/>
          </w:tcPr>
          <w:p>
            <w:pPr>
              <w:spacing w:after="0"/>
              <w:rPr>
                <w:sz w:val="1"/>
                <w:szCs w:val="1"/>
                <w:color w:val="auto"/>
              </w:rPr>
            </w:pPr>
          </w:p>
        </w:tc>
      </w:tr>
      <w:tr>
        <w:trPr>
          <w:trHeight w:val="202"/>
        </w:trPr>
        <w:tc>
          <w:tcPr>
            <w:tcW w:w="2700" w:type="dxa"/>
            <w:vAlign w:val="bottom"/>
            <w:gridSpan w:val="2"/>
          </w:tcPr>
          <w:p>
            <w:pPr>
              <w:ind w:left="20"/>
              <w:spacing w:after="0"/>
              <w:rPr>
                <w:sz w:val="20"/>
                <w:szCs w:val="20"/>
                <w:color w:val="auto"/>
              </w:rPr>
            </w:pPr>
            <w:r>
              <w:rPr>
                <w:rFonts w:ascii="Arial" w:cs="Arial" w:eastAsia="Arial" w:hAnsi="Arial"/>
                <w:sz w:val="12"/>
                <w:szCs w:val="12"/>
                <w:color w:val="005A64"/>
              </w:rPr>
              <w:t>Currency effects</w:t>
            </w:r>
          </w:p>
        </w:tc>
        <w:tc>
          <w:tcPr>
            <w:tcW w:w="640" w:type="dxa"/>
            <w:vAlign w:val="bottom"/>
            <w:gridSpan w:val="2"/>
          </w:tcPr>
          <w:p>
            <w:pPr>
              <w:ind w:left="40"/>
              <w:spacing w:after="0"/>
              <w:rPr>
                <w:sz w:val="20"/>
                <w:szCs w:val="20"/>
                <w:color w:val="auto"/>
              </w:rPr>
            </w:pPr>
            <w:r>
              <w:rPr>
                <w:rFonts w:ascii="Arial" w:cs="Arial" w:eastAsia="Arial" w:hAnsi="Arial"/>
                <w:sz w:val="12"/>
                <w:szCs w:val="12"/>
                <w:color w:val="005A64"/>
              </w:rPr>
              <w:t>(1.2)</w:t>
            </w:r>
          </w:p>
        </w:tc>
        <w:tc>
          <w:tcPr>
            <w:tcW w:w="10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2"/>
                <w:szCs w:val="12"/>
                <w:color w:val="005A64"/>
              </w:rPr>
              <w:t>—</w:t>
            </w:r>
          </w:p>
        </w:tc>
        <w:tc>
          <w:tcPr>
            <w:tcW w:w="700" w:type="dxa"/>
            <w:vAlign w:val="bottom"/>
            <w:gridSpan w:val="2"/>
          </w:tcPr>
          <w:p>
            <w:pPr>
              <w:ind w:left="100"/>
              <w:spacing w:after="0"/>
              <w:rPr>
                <w:sz w:val="20"/>
                <w:szCs w:val="20"/>
                <w:color w:val="auto"/>
              </w:rPr>
            </w:pPr>
            <w:r>
              <w:rPr>
                <w:rFonts w:ascii="Arial" w:cs="Arial" w:eastAsia="Arial" w:hAnsi="Arial"/>
                <w:sz w:val="12"/>
                <w:szCs w:val="12"/>
                <w:color w:val="005A64"/>
              </w:rPr>
              <w:t>(1.2)</w:t>
            </w:r>
          </w:p>
        </w:tc>
        <w:tc>
          <w:tcPr>
            <w:tcW w:w="40" w:type="dxa"/>
            <w:vAlign w:val="bottom"/>
          </w:tcPr>
          <w:p>
            <w:pPr>
              <w:spacing w:after="0"/>
              <w:rPr>
                <w:sz w:val="17"/>
                <w:szCs w:val="17"/>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color w:val="005A64"/>
              </w:rPr>
              <w:t>(2.7)</w:t>
            </w:r>
          </w:p>
        </w:tc>
        <w:tc>
          <w:tcPr>
            <w:tcW w:w="8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2"/>
                <w:szCs w:val="12"/>
                <w:color w:val="005A64"/>
              </w:rPr>
              <w:t>—</w:t>
            </w:r>
          </w:p>
        </w:tc>
        <w:tc>
          <w:tcPr>
            <w:tcW w:w="700" w:type="dxa"/>
            <w:vAlign w:val="bottom"/>
            <w:gridSpan w:val="2"/>
          </w:tcPr>
          <w:p>
            <w:pPr>
              <w:ind w:left="100"/>
              <w:spacing w:after="0"/>
              <w:rPr>
                <w:sz w:val="20"/>
                <w:szCs w:val="20"/>
                <w:color w:val="auto"/>
              </w:rPr>
            </w:pPr>
            <w:r>
              <w:rPr>
                <w:rFonts w:ascii="Arial" w:cs="Arial" w:eastAsia="Arial" w:hAnsi="Arial"/>
                <w:sz w:val="12"/>
                <w:szCs w:val="12"/>
                <w:color w:val="005A64"/>
              </w:rPr>
              <w:t>(2.7)</w:t>
            </w:r>
          </w:p>
        </w:tc>
        <w:tc>
          <w:tcPr>
            <w:tcW w:w="0" w:type="dxa"/>
            <w:vAlign w:val="bottom"/>
          </w:tcPr>
          <w:p>
            <w:pPr>
              <w:spacing w:after="0"/>
              <w:rPr>
                <w:sz w:val="1"/>
                <w:szCs w:val="1"/>
                <w:color w:val="auto"/>
              </w:rPr>
            </w:pPr>
          </w:p>
        </w:tc>
      </w:tr>
      <w:tr>
        <w:trPr>
          <w:trHeight w:val="208"/>
        </w:trPr>
        <w:tc>
          <w:tcPr>
            <w:tcW w:w="2700" w:type="dxa"/>
            <w:vAlign w:val="bottom"/>
            <w:gridSpan w:val="2"/>
          </w:tcPr>
          <w:p>
            <w:pPr>
              <w:ind w:left="20"/>
              <w:spacing w:after="0"/>
              <w:rPr>
                <w:sz w:val="20"/>
                <w:szCs w:val="20"/>
                <w:color w:val="auto"/>
              </w:rPr>
            </w:pPr>
            <w:r>
              <w:rPr>
                <w:rFonts w:ascii="Arial" w:cs="Arial" w:eastAsia="Arial" w:hAnsi="Arial"/>
                <w:sz w:val="12"/>
                <w:szCs w:val="12"/>
                <w:b w:val="1"/>
                <w:bCs w:val="1"/>
                <w:color w:val="005A64"/>
              </w:rPr>
              <w:t>As of December 31</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005A64"/>
              </w:rPr>
              <w:t>294.9</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005A64"/>
              </w:rPr>
              <w:t>183.0</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005A64"/>
              </w:rPr>
              <w:t>477.9</w:t>
            </w:r>
          </w:p>
        </w:tc>
        <w:tc>
          <w:tcPr>
            <w:tcW w:w="4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005A64"/>
              </w:rPr>
              <w:t>353.3</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005A64"/>
              </w:rPr>
              <w:t>398.5</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005A64"/>
              </w:rPr>
              <w:t>751.8</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380" w:right="2100"/>
        <w:spacing w:after="0"/>
        <w:rPr>
          <w:sz w:val="20"/>
          <w:szCs w:val="20"/>
          <w:color w:val="auto"/>
        </w:rPr>
      </w:pPr>
      <w:r>
        <w:rPr>
          <w:rFonts w:ascii="Arial" w:cs="Arial" w:eastAsia="Arial" w:hAnsi="Arial"/>
          <w:sz w:val="13"/>
          <w:szCs w:val="13"/>
          <w:color w:val="auto"/>
        </w:rPr>
        <w:t>Contract liabilities significantly decreased compared to the previous year as advance payments in connection with the amendment of the COVID-19 vaccine purchase agreement with the European Commission, or EC, were consumed. As of December 31, 2024, the contract liabilities included €416.2 million of such payments and €61.1 million of remaining upfront fees from our collaboration agreement with Pfizer (Zoster) (as of December 31, 2023: €688.7 million payments under our COVID-19 vaccine purchase agreement with the European Commission and €62.3 million of remaining upfront fees from our collaboration agreement with Pfizer (Zoster)).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-562610</wp:posOffset>
            </wp:positionV>
            <wp:extent cx="1701165" cy="6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1">
                      <a:extLst>
                        <a:ext uri="{28A0092B-C50C-407E-A947-70E740481C1C}"/>
                      </a:extLst>
                    </a:blip>
                    <a:srcRect/>
                    <a:stretch>
                      <a:fillRect/>
                    </a:stretch>
                  </pic:blipFill>
                  <pic:spPr bwMode="auto">
                    <a:xfrm>
                      <a:off x="0" y="0"/>
                      <a:ext cx="1701165" cy="6350"/>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-562610</wp:posOffset>
            </wp:positionV>
            <wp:extent cx="1277620"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2">
                      <a:extLst>
                        <a:ext uri="{28A0092B-C50C-407E-A947-70E740481C1C}"/>
                      </a:extLst>
                    </a:blip>
                    <a:srcRect/>
                    <a:stretch>
                      <a:fillRect/>
                    </a:stretch>
                  </pic:blipFill>
                  <pic:spPr bwMode="auto">
                    <a:xfrm>
                      <a:off x="0" y="0"/>
                      <a:ext cx="1277620" cy="6350"/>
                    </a:xfrm>
                    <a:prstGeom prst="rect">
                      <a:avLst/>
                    </a:prstGeom>
                    <a:noFill/>
                  </pic:spPr>
                </pic:pic>
              </a:graphicData>
            </a:graphic>
          </wp:anchor>
        </w:drawing>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Set out below is the amount of revenue recognized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-5715</wp:posOffset>
            </wp:positionV>
            <wp:extent cx="4300220" cy="127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3">
                      <a:extLst>
                        <a:ext uri="{28A0092B-C50C-407E-A947-70E740481C1C}"/>
                      </a:extLst>
                    </a:blip>
                    <a:srcRect/>
                    <a:stretch>
                      <a:fillRect/>
                    </a:stretch>
                  </pic:blipFill>
                  <pic:spPr bwMode="auto">
                    <a:xfrm>
                      <a:off x="0" y="0"/>
                      <a:ext cx="4300220" cy="12700"/>
                    </a:xfrm>
                    <a:prstGeom prst="rect">
                      <a:avLst/>
                    </a:prstGeom>
                    <a:noFill/>
                  </pic:spPr>
                </pic:pic>
              </a:graphicData>
            </a:graphic>
          </wp:anchor>
        </w:drawing>
      </w:r>
    </w:p>
    <w:p>
      <w:pPr>
        <w:spacing w:after="0" w:line="50" w:lineRule="exact"/>
        <w:rPr>
          <w:sz w:val="20"/>
          <w:szCs w:val="20"/>
          <w:color w:val="auto"/>
        </w:rPr>
      </w:pPr>
    </w:p>
    <w:tbl>
      <w:tblPr>
        <w:tblLayout w:type="fixed"/>
        <w:tblInd w:w="380" w:type="dxa"/>
        <w:tblCellMar>
          <w:top w:w="0" w:type="dxa"/>
          <w:left w:w="0" w:type="dxa"/>
          <w:bottom w:w="0" w:type="dxa"/>
          <w:right w:w="0" w:type="dxa"/>
        </w:tblCellMar>
      </w:tblPr>
      <w:tr>
        <w:trPr>
          <w:trHeight w:val="166"/>
        </w:trPr>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005A64"/>
              </w:rPr>
              <w:t>Years ended December 31,</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760" w:type="dxa"/>
            <w:vAlign w:val="bottom"/>
            <w:gridSpan w:val="2"/>
            <w:vMerge w:val="restart"/>
          </w:tcPr>
          <w:p>
            <w:pPr>
              <w:ind w:left="20"/>
              <w:spacing w:after="0"/>
              <w:rPr>
                <w:sz w:val="20"/>
                <w:szCs w:val="20"/>
                <w:color w:val="auto"/>
              </w:rPr>
            </w:pPr>
            <w:r>
              <w:rPr>
                <w:rFonts w:ascii="Arial" w:cs="Arial" w:eastAsia="Arial" w:hAnsi="Arial"/>
                <w:sz w:val="12"/>
                <w:szCs w:val="12"/>
                <w:i w:val="1"/>
                <w:iCs w:val="1"/>
                <w:color w:val="005A64"/>
              </w:rPr>
              <w:t>(in millions €)</w:t>
            </w:r>
          </w:p>
        </w:tc>
        <w:tc>
          <w:tcPr>
            <w:tcW w:w="40" w:type="dxa"/>
            <w:vAlign w:val="bottom"/>
            <w:tcBorders>
              <w:bottom w:val="single" w:sz="8" w:color="BECE33"/>
            </w:tcBorders>
          </w:tcPr>
          <w:p>
            <w:pPr>
              <w:spacing w:after="0"/>
              <w:rPr>
                <w:sz w:val="11"/>
                <w:szCs w:val="11"/>
                <w:color w:val="auto"/>
              </w:rPr>
            </w:pPr>
          </w:p>
        </w:tc>
        <w:tc>
          <w:tcPr>
            <w:tcW w:w="940" w:type="dxa"/>
            <w:vAlign w:val="bottom"/>
            <w:tcBorders>
              <w:bottom w:val="single" w:sz="8" w:color="BECE33"/>
            </w:tcBorders>
          </w:tcPr>
          <w:p>
            <w:pPr>
              <w:spacing w:after="0"/>
              <w:rPr>
                <w:sz w:val="11"/>
                <w:szCs w:val="11"/>
                <w:color w:val="auto"/>
              </w:rPr>
            </w:pPr>
          </w:p>
        </w:tc>
        <w:tc>
          <w:tcPr>
            <w:tcW w:w="40" w:type="dxa"/>
            <w:vAlign w:val="bottom"/>
            <w:tcBorders>
              <w:bottom w:val="single" w:sz="8" w:color="BECE33"/>
            </w:tcBorders>
          </w:tcPr>
          <w:p>
            <w:pPr>
              <w:spacing w:after="0"/>
              <w:rPr>
                <w:sz w:val="11"/>
                <w:szCs w:val="11"/>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005A64"/>
              </w:rPr>
              <w:t>2023</w:t>
            </w:r>
          </w:p>
        </w:tc>
        <w:tc>
          <w:tcPr>
            <w:tcW w:w="10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005A64"/>
              </w:rPr>
              <w:t>2022</w:t>
            </w:r>
          </w:p>
        </w:tc>
        <w:tc>
          <w:tcPr>
            <w:tcW w:w="0" w:type="dxa"/>
            <w:vAlign w:val="bottom"/>
          </w:tcPr>
          <w:p>
            <w:pPr>
              <w:spacing w:after="0"/>
              <w:rPr>
                <w:sz w:val="1"/>
                <w:szCs w:val="1"/>
                <w:color w:val="auto"/>
              </w:rPr>
            </w:pPr>
          </w:p>
        </w:tc>
      </w:tr>
      <w:tr>
        <w:trPr>
          <w:trHeight w:val="156"/>
        </w:trPr>
        <w:tc>
          <w:tcPr>
            <w:tcW w:w="3760" w:type="dxa"/>
            <w:vAlign w:val="bottom"/>
            <w:gridSpan w:val="2"/>
            <w:vMerge w:val="continue"/>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74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940" w:type="dxa"/>
            <w:vAlign w:val="bottom"/>
            <w:tcBorders>
              <w:bottom w:val="single" w:sz="8" w:color="005A64"/>
            </w:tcBorders>
          </w:tcPr>
          <w:p>
            <w:pPr>
              <w:spacing w:after="0"/>
              <w:rPr>
                <w:sz w:val="2"/>
                <w:szCs w:val="2"/>
                <w:color w:val="auto"/>
              </w:rPr>
            </w:pPr>
          </w:p>
        </w:tc>
        <w:tc>
          <w:tcPr>
            <w:tcW w:w="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940" w:type="dxa"/>
            <w:vAlign w:val="bottom"/>
            <w:tcBorders>
              <w:bottom w:val="single" w:sz="8" w:color="005A64"/>
            </w:tcBorders>
          </w:tcPr>
          <w:p>
            <w:pPr>
              <w:spacing w:after="0"/>
              <w:rPr>
                <w:sz w:val="2"/>
                <w:szCs w:val="2"/>
                <w:color w:val="auto"/>
              </w:rPr>
            </w:pPr>
          </w:p>
        </w:tc>
        <w:tc>
          <w:tcPr>
            <w:tcW w:w="80" w:type="dxa"/>
            <w:vAlign w:val="bottom"/>
            <w:vMerge w:val="restart"/>
          </w:tcPr>
          <w:p>
            <w:pPr>
              <w:spacing w:after="0"/>
              <w:rPr>
                <w:sz w:val="2"/>
                <w:szCs w:val="2"/>
                <w:color w:val="auto"/>
              </w:rPr>
            </w:pPr>
          </w:p>
        </w:tc>
        <w:tc>
          <w:tcPr>
            <w:tcW w:w="94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740" w:type="dxa"/>
            <w:vAlign w:val="bottom"/>
          </w:tcPr>
          <w:p>
            <w:pPr>
              <w:ind w:left="20"/>
              <w:spacing w:after="0"/>
              <w:rPr>
                <w:sz w:val="20"/>
                <w:szCs w:val="20"/>
                <w:color w:val="auto"/>
              </w:rPr>
            </w:pPr>
            <w:r>
              <w:rPr>
                <w:rFonts w:ascii="Arial" w:cs="Arial" w:eastAsia="Arial" w:hAnsi="Arial"/>
                <w:sz w:val="12"/>
                <w:szCs w:val="12"/>
                <w:color w:val="005A64"/>
              </w:rPr>
              <w:t>Amounts included in contract liabilities at the beginning of the year</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940" w:type="dxa"/>
            <w:vAlign w:val="bottom"/>
          </w:tcPr>
          <w:p>
            <w:pPr>
              <w:spacing w:after="0"/>
              <w:rPr>
                <w:sz w:val="20"/>
                <w:szCs w:val="20"/>
                <w:color w:val="auto"/>
              </w:rPr>
            </w:pPr>
            <w:r>
              <w:rPr>
                <w:rFonts w:ascii="Arial" w:cs="Arial" w:eastAsia="Arial" w:hAnsi="Arial"/>
                <w:sz w:val="12"/>
                <w:szCs w:val="12"/>
                <w:color w:val="005A64"/>
              </w:rPr>
              <w:t>272.7</w:t>
            </w:r>
          </w:p>
        </w:tc>
        <w:tc>
          <w:tcPr>
            <w:tcW w:w="4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940" w:type="dxa"/>
            <w:vAlign w:val="bottom"/>
          </w:tcPr>
          <w:p>
            <w:pPr>
              <w:spacing w:after="0"/>
              <w:rPr>
                <w:sz w:val="20"/>
                <w:szCs w:val="20"/>
                <w:color w:val="auto"/>
              </w:rPr>
            </w:pPr>
            <w:r>
              <w:rPr>
                <w:rFonts w:ascii="Arial" w:cs="Arial" w:eastAsia="Arial" w:hAnsi="Arial"/>
                <w:sz w:val="12"/>
                <w:szCs w:val="12"/>
                <w:color w:val="005A64"/>
              </w:rPr>
              <w:t>3.5</w:t>
            </w:r>
          </w:p>
        </w:tc>
        <w:tc>
          <w:tcPr>
            <w:tcW w:w="80" w:type="dxa"/>
            <w:vAlign w:val="bottom"/>
            <w:vMerge w:val="continue"/>
          </w:tcPr>
          <w:p>
            <w:pPr>
              <w:spacing w:after="0"/>
              <w:rPr>
                <w:sz w:val="13"/>
                <w:szCs w:val="13"/>
                <w:color w:val="auto"/>
              </w:rPr>
            </w:pPr>
          </w:p>
        </w:tc>
        <w:tc>
          <w:tcPr>
            <w:tcW w:w="940" w:type="dxa"/>
            <w:vAlign w:val="bottom"/>
          </w:tcPr>
          <w:p>
            <w:pPr>
              <w:spacing w:after="0"/>
              <w:rPr>
                <w:sz w:val="20"/>
                <w:szCs w:val="20"/>
                <w:color w:val="auto"/>
              </w:rPr>
            </w:pPr>
            <w:r>
              <w:rPr>
                <w:rFonts w:ascii="Arial" w:cs="Arial" w:eastAsia="Arial" w:hAnsi="Arial"/>
                <w:sz w:val="12"/>
                <w:szCs w:val="12"/>
                <w:color w:val="005A64"/>
              </w:rPr>
              <w:t>63.1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2631440</wp:posOffset>
            </wp:positionH>
            <wp:positionV relativeFrom="paragraph">
              <wp:posOffset>-235585</wp:posOffset>
            </wp:positionV>
            <wp:extent cx="648335" cy="262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4">
                      <a:extLst>
                        <a:ext uri="{28A0092B-C50C-407E-A947-70E740481C1C}"/>
                      </a:extLst>
                    </a:blip>
                    <a:srcRect/>
                    <a:stretch>
                      <a:fillRect/>
                    </a:stretch>
                  </pic:blipFill>
                  <pic:spPr bwMode="auto">
                    <a:xfrm>
                      <a:off x="0" y="0"/>
                      <a:ext cx="648335" cy="262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b w:val="1"/>
          <w:bCs w:val="1"/>
          <w:color w:val="005A64"/>
        </w:rPr>
        <w:t>7 Income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-103505</wp:posOffset>
            </wp:positionV>
            <wp:extent cx="4300220" cy="6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5">
                      <a:extLst>
                        <a:ext uri="{28A0092B-C50C-407E-A947-70E740481C1C}"/>
                      </a:extLst>
                    </a:blip>
                    <a:srcRect/>
                    <a:stretch>
                      <a:fillRect/>
                    </a:stretch>
                  </pic:blipFill>
                  <pic:spPr bwMode="auto">
                    <a:xfrm>
                      <a:off x="0" y="0"/>
                      <a:ext cx="4300220" cy="6350"/>
                    </a:xfrm>
                    <a:prstGeom prst="rect">
                      <a:avLst/>
                    </a:prstGeom>
                    <a:noFill/>
                  </pic:spPr>
                </pic:pic>
              </a:graphicData>
            </a:graphic>
          </wp:anchor>
        </w:drawing>
      </w:r>
    </w:p>
    <w:p>
      <w:pPr>
        <w:ind w:left="380"/>
        <w:spacing w:after="0" w:line="210" w:lineRule="auto"/>
        <w:rPr>
          <w:sz w:val="20"/>
          <w:szCs w:val="20"/>
          <w:color w:val="auto"/>
        </w:rPr>
      </w:pPr>
      <w:r>
        <w:rPr>
          <w:rFonts w:ascii="Arial" w:cs="Arial" w:eastAsia="Arial" w:hAnsi="Arial"/>
          <w:sz w:val="13"/>
          <w:szCs w:val="13"/>
          <w:b w:val="1"/>
          <w:bCs w:val="1"/>
          <w:color w:val="005A64"/>
        </w:rPr>
        <w:t>7.1 General Expenses</w:t>
      </w:r>
    </w:p>
    <w:p>
      <w:pPr>
        <w:ind w:left="380"/>
        <w:spacing w:after="0" w:line="211" w:lineRule="auto"/>
        <w:rPr>
          <w:sz w:val="20"/>
          <w:szCs w:val="20"/>
          <w:color w:val="auto"/>
        </w:rPr>
      </w:pPr>
      <w:r>
        <w:rPr>
          <w:rFonts w:ascii="Arial" w:cs="Arial" w:eastAsia="Arial" w:hAnsi="Arial"/>
          <w:sz w:val="13"/>
          <w:szCs w:val="13"/>
          <w:color w:val="005A64"/>
        </w:rPr>
        <w:t>Cost of Sales</w:t>
      </w:r>
    </w:p>
    <w:p>
      <w:pPr>
        <w:spacing w:after="0" w:line="1"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From the year ended December 31, 2023, to the year ended December 31, 2024, cost of sales decreased by €58.5 million, or 10%, from €599.8 million to €541.3 million, mainly due to recognizing lower cost of sales from our decreased COVID-19 vaccine sales, which included the share of gross profit that we owe our collaboration partner Pfizer based on our sales. The same reasoning applies to the change while comparing the years ended December 31, 2023 and 2022, which decreased by €2,395.2 million, or 80%, from €2,995.0 million to €599.8 million. In addition, cost of sales was impacted by expenses arising from inventory write-downs and scrapings in the context of the launch of our variant adapted COVID-19 vaccine in the amount of €125.8 million during the year ended December 31, 2024 (€94.5 million for year ended December 31, 2023, and nil for year ended December 31, 2022).</w:t>
      </w:r>
    </w:p>
    <w:p>
      <w:pPr>
        <w:ind w:left="380"/>
        <w:spacing w:after="0" w:line="219" w:lineRule="auto"/>
        <w:rPr>
          <w:sz w:val="20"/>
          <w:szCs w:val="20"/>
          <w:color w:val="auto"/>
        </w:rPr>
      </w:pPr>
      <w:r>
        <w:rPr>
          <w:rFonts w:ascii="Arial" w:cs="Arial" w:eastAsia="Arial" w:hAnsi="Arial"/>
          <w:sz w:val="13"/>
          <w:szCs w:val="13"/>
          <w:color w:val="005A64"/>
        </w:rPr>
        <w:t>Research and Development Expenses</w:t>
      </w:r>
    </w:p>
    <w:p>
      <w:pPr>
        <w:ind w:left="380" w:right="2100"/>
        <w:spacing w:after="0" w:line="217" w:lineRule="auto"/>
        <w:rPr>
          <w:sz w:val="20"/>
          <w:szCs w:val="20"/>
          <w:color w:val="auto"/>
        </w:rPr>
      </w:pPr>
      <w:r>
        <w:rPr>
          <w:rFonts w:ascii="Arial" w:cs="Arial" w:eastAsia="Arial" w:hAnsi="Arial"/>
          <w:sz w:val="13"/>
          <w:szCs w:val="13"/>
          <w:color w:val="auto"/>
        </w:rPr>
        <w:t>From the year ended December 31, 2023 to the year ended December 31, 2024, our research and development expenses increased by €471.1 million, or 26%, from €1,783.1 million to €2,254.2 million, mainly influenced by advancing key pipeline candidates, such as our ADC antibody and individualized cancer -immunotherapy product candidates. Further contributions to the increase came from higher personnel expenses resulting from an increase in headcount. The same reasoning applies to the change in our research and development expenses while comparing the years ended December 31, 2023 and 2022, which increased by €246.1 million, or 16%, from €1,537.0 million to €1,783.1 million.</w:t>
      </w:r>
    </w:p>
    <w:p>
      <w:pPr>
        <w:sectPr>
          <w:pgSz w:w="11900" w:h="16840" w:orient="portrait"/>
          <w:cols w:equalWidth="0" w:num="1">
            <w:col w:w="9020"/>
          </w:cols>
          <w:pgMar w:left="1440" w:top="691" w:right="1440" w:bottom="1440" w:gutter="0" w:footer="0" w:header="0"/>
        </w:sectPr>
      </w:pPr>
    </w:p>
    <w:bookmarkStart w:id="205" w:name="page206"/>
    <w:bookmarkEnd w:id="205"/>
    <w:p>
      <w:pPr>
        <w:spacing w:after="0" w:line="200" w:lineRule="exact"/>
        <w:rPr>
          <w:sz w:val="20"/>
          <w:szCs w:val="20"/>
          <w:color w:val="auto"/>
        </w:rPr>
      </w:pPr>
    </w:p>
    <w:p>
      <w:pPr>
        <w:spacing w:after="0" w:line="31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F-37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005A64"/>
        </w:rPr>
        <w:t>Sales and Marketing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color w:val="auto"/>
        </w:rPr>
        <w:t>From the year ended December 31, 2023, to the year ended December 31, 2024, our sales and marketing expenses increased by €5.2 million, or 8%, from €62.7 million to €67.9 million, mainly due to increased expenses for setup and enhancement of commercial IT platforms and an increase in personnel expenses resulting from an increase in headcount. The same reasoning applies to the change in sales and marketing expenses while comparing the years ended December 31, 2023 and 2022, which increased by €3.2 million, or 5%, from €59.5 million to €62.7 million.</w:t>
      </w:r>
    </w:p>
    <w:p>
      <w:pPr>
        <w:ind w:left="380"/>
        <w:spacing w:after="0" w:line="216" w:lineRule="auto"/>
        <w:rPr>
          <w:sz w:val="20"/>
          <w:szCs w:val="20"/>
          <w:color w:val="auto"/>
        </w:rPr>
      </w:pPr>
      <w:r>
        <w:rPr>
          <w:rFonts w:ascii="Arial" w:cs="Arial" w:eastAsia="Arial" w:hAnsi="Arial"/>
          <w:sz w:val="13"/>
          <w:szCs w:val="13"/>
          <w:color w:val="005A64"/>
        </w:rPr>
        <w:t>General and Administrative Expenses</w:t>
      </w:r>
    </w:p>
    <w:p>
      <w:pPr>
        <w:ind w:left="380" w:right="2120"/>
        <w:spacing w:after="0" w:line="210" w:lineRule="auto"/>
        <w:rPr>
          <w:sz w:val="20"/>
          <w:szCs w:val="20"/>
          <w:color w:val="auto"/>
        </w:rPr>
      </w:pPr>
      <w:r>
        <w:rPr>
          <w:rFonts w:ascii="Arial" w:cs="Arial" w:eastAsia="Arial" w:hAnsi="Arial"/>
          <w:sz w:val="13"/>
          <w:szCs w:val="13"/>
          <w:color w:val="auto"/>
        </w:rPr>
        <w:t>From the year ended December 31, 2023 to the year ended December 31, 2024, our general and administrative expenses increased by €36.1 million, or 7%, from €495.0 million to €531.1 million, mainly influenced by increased expenses for IT services as well as by an increase in personnel expenses resulting from an increase in headcount. The same reasoning applies to the change in general and administrative expenses while comparing the years ended December 31, 2023 and 2022, which increased by €13.3 million, or 3%, from €481.7 million to €495.0 million.</w:t>
      </w:r>
    </w:p>
    <w:p>
      <w:pPr>
        <w:spacing w:after="0" w:line="4"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005A64"/>
        </w:rPr>
        <w:t>7.2 Other Operating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-5715</wp:posOffset>
            </wp:positionV>
            <wp:extent cx="4293870" cy="127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7">
                      <a:extLst>
                        <a:ext uri="{28A0092B-C50C-407E-A947-70E740481C1C}"/>
                      </a:extLst>
                    </a:blip>
                    <a:srcRect/>
                    <a:stretch>
                      <a:fillRect/>
                    </a:stretch>
                  </pic:blipFill>
                  <pic:spPr bwMode="auto">
                    <a:xfrm>
                      <a:off x="0" y="0"/>
                      <a:ext cx="4293870" cy="12700"/>
                    </a:xfrm>
                    <a:prstGeom prst="rect">
                      <a:avLst/>
                    </a:prstGeom>
                    <a:noFill/>
                  </pic:spPr>
                </pic:pic>
              </a:graphicData>
            </a:graphic>
          </wp:anchor>
        </w:drawing>
      </w:r>
    </w:p>
    <w:p>
      <w:pPr>
        <w:spacing w:after="0" w:line="34"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005A64"/>
              </w:rPr>
              <w:t>Years ended</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005A64"/>
              </w:rPr>
              <w:t>December 31,</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640" w:type="dxa"/>
            <w:vAlign w:val="bottom"/>
            <w:gridSpan w:val="2"/>
            <w:vMerge w:val="restart"/>
          </w:tcPr>
          <w:p>
            <w:pPr>
              <w:ind w:left="20"/>
              <w:spacing w:after="0"/>
              <w:rPr>
                <w:sz w:val="20"/>
                <w:szCs w:val="20"/>
                <w:color w:val="auto"/>
              </w:rPr>
            </w:pPr>
            <w:r>
              <w:rPr>
                <w:rFonts w:ascii="Arial" w:cs="Arial" w:eastAsia="Arial" w:hAnsi="Arial"/>
                <w:sz w:val="12"/>
                <w:szCs w:val="12"/>
                <w:i w:val="1"/>
                <w:iCs w:val="1"/>
                <w:color w:val="005A64"/>
              </w:rPr>
              <w:t>(in millions €)</w:t>
            </w:r>
          </w:p>
        </w:tc>
        <w:tc>
          <w:tcPr>
            <w:tcW w:w="1000" w:type="dxa"/>
            <w:vAlign w:val="bottom"/>
            <w:tcBorders>
              <w:bottom w:val="single" w:sz="8" w:color="BECE33"/>
            </w:tcBorders>
          </w:tcPr>
          <w:p>
            <w:pPr>
              <w:spacing w:after="0"/>
              <w:rPr>
                <w:sz w:val="11"/>
                <w:szCs w:val="11"/>
                <w:color w:val="auto"/>
              </w:rPr>
            </w:pPr>
          </w:p>
        </w:tc>
        <w:tc>
          <w:tcPr>
            <w:tcW w:w="60" w:type="dxa"/>
            <w:vAlign w:val="bottom"/>
            <w:tcBorders>
              <w:bottom w:val="single" w:sz="8" w:color="BECE33"/>
            </w:tcBorders>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005A64"/>
              </w:rPr>
              <w:t>2023</w:t>
            </w:r>
          </w:p>
        </w:tc>
        <w:tc>
          <w:tcPr>
            <w:tcW w:w="10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005A64"/>
              </w:rPr>
              <w:t>2022</w:t>
            </w:r>
          </w:p>
        </w:tc>
        <w:tc>
          <w:tcPr>
            <w:tcW w:w="0" w:type="dxa"/>
            <w:vAlign w:val="bottom"/>
          </w:tcPr>
          <w:p>
            <w:pPr>
              <w:spacing w:after="0"/>
              <w:rPr>
                <w:sz w:val="1"/>
                <w:szCs w:val="1"/>
                <w:color w:val="auto"/>
              </w:rPr>
            </w:pPr>
          </w:p>
        </w:tc>
      </w:tr>
      <w:tr>
        <w:trPr>
          <w:trHeight w:val="156"/>
        </w:trPr>
        <w:tc>
          <w:tcPr>
            <w:tcW w:w="3640" w:type="dxa"/>
            <w:vAlign w:val="bottom"/>
            <w:gridSpan w:val="2"/>
            <w:vMerge w:val="continue"/>
          </w:tcPr>
          <w:p>
            <w:pPr>
              <w:spacing w:after="0"/>
              <w:rPr>
                <w:sz w:val="13"/>
                <w:szCs w:val="13"/>
                <w:color w:val="auto"/>
              </w:rPr>
            </w:pPr>
          </w:p>
        </w:tc>
        <w:tc>
          <w:tcPr>
            <w:tcW w:w="1000" w:type="dxa"/>
            <w:vAlign w:val="bottom"/>
            <w:tcBorders>
              <w:left w:val="single" w:sz="8" w:color="BECE33"/>
            </w:tcBorders>
          </w:tcPr>
          <w:p>
            <w:pPr>
              <w:ind w:left="40"/>
              <w:spacing w:after="0"/>
              <w:rPr>
                <w:sz w:val="20"/>
                <w:szCs w:val="20"/>
                <w:color w:val="auto"/>
              </w:rPr>
            </w:pPr>
            <w:r>
              <w:rPr>
                <w:rFonts w:ascii="Arial" w:cs="Arial" w:eastAsia="Arial" w:hAnsi="Arial"/>
                <w:sz w:val="12"/>
                <w:szCs w:val="12"/>
                <w:b w:val="1"/>
                <w:bCs w:val="1"/>
                <w:color w:val="005A64"/>
              </w:rPr>
              <w:t>2024</w:t>
            </w:r>
          </w:p>
        </w:tc>
        <w:tc>
          <w:tcPr>
            <w:tcW w:w="60" w:type="dxa"/>
            <w:vAlign w:val="bottom"/>
            <w:tcBorders>
              <w:right w:val="single" w:sz="8" w:color="BECE33"/>
            </w:tcBorders>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62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000" w:type="dxa"/>
            <w:vAlign w:val="bottom"/>
            <w:tcBorders>
              <w:left w:val="single" w:sz="8" w:color="BECE33"/>
              <w:bottom w:val="single" w:sz="8" w:color="005A64"/>
            </w:tcBorders>
          </w:tcPr>
          <w:p>
            <w:pPr>
              <w:spacing w:after="0"/>
              <w:rPr>
                <w:sz w:val="2"/>
                <w:szCs w:val="2"/>
                <w:color w:val="auto"/>
              </w:rPr>
            </w:pPr>
          </w:p>
        </w:tc>
        <w:tc>
          <w:tcPr>
            <w:tcW w:w="60" w:type="dxa"/>
            <w:vAlign w:val="bottom"/>
            <w:tcBorders>
              <w:right w:val="single" w:sz="8" w:color="BECE33"/>
            </w:tcBorders>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620" w:type="dxa"/>
            <w:vAlign w:val="bottom"/>
          </w:tcPr>
          <w:p>
            <w:pPr>
              <w:ind w:left="20"/>
              <w:spacing w:after="0"/>
              <w:rPr>
                <w:sz w:val="20"/>
                <w:szCs w:val="20"/>
                <w:color w:val="auto"/>
              </w:rPr>
            </w:pPr>
            <w:r>
              <w:rPr>
                <w:rFonts w:ascii="Arial" w:cs="Arial" w:eastAsia="Arial" w:hAnsi="Arial"/>
                <w:sz w:val="12"/>
                <w:szCs w:val="12"/>
                <w:b w:val="1"/>
                <w:bCs w:val="1"/>
                <w:color w:val="3C9673"/>
              </w:rPr>
              <w:t>Other operating result</w:t>
            </w:r>
          </w:p>
        </w:tc>
        <w:tc>
          <w:tcPr>
            <w:tcW w:w="20" w:type="dxa"/>
            <w:vAlign w:val="bottom"/>
            <w:vMerge w:val="continue"/>
          </w:tcPr>
          <w:p>
            <w:pPr>
              <w:spacing w:after="0"/>
              <w:rPr>
                <w:sz w:val="13"/>
                <w:szCs w:val="13"/>
                <w:color w:val="auto"/>
              </w:rPr>
            </w:pPr>
          </w:p>
        </w:tc>
        <w:tc>
          <w:tcPr>
            <w:tcW w:w="1000" w:type="dxa"/>
            <w:vAlign w:val="bottom"/>
            <w:tcBorders>
              <w:left w:val="single" w:sz="8" w:color="BECE33"/>
            </w:tcBorders>
          </w:tcPr>
          <w:p>
            <w:pPr>
              <w:spacing w:after="0"/>
              <w:rPr>
                <w:sz w:val="13"/>
                <w:szCs w:val="13"/>
                <w:color w:val="auto"/>
              </w:rPr>
            </w:pPr>
          </w:p>
        </w:tc>
        <w:tc>
          <w:tcPr>
            <w:tcW w:w="60" w:type="dxa"/>
            <w:vAlign w:val="bottom"/>
            <w:tcBorders>
              <w:right w:val="single" w:sz="8" w:color="BECE33"/>
            </w:tcBorders>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640" w:type="dxa"/>
            <w:vAlign w:val="bottom"/>
            <w:gridSpan w:val="2"/>
          </w:tcPr>
          <w:p>
            <w:pPr>
              <w:ind w:left="20"/>
              <w:spacing w:after="0"/>
              <w:rPr>
                <w:sz w:val="20"/>
                <w:szCs w:val="20"/>
                <w:color w:val="auto"/>
              </w:rPr>
            </w:pPr>
            <w:r>
              <w:rPr>
                <w:rFonts w:ascii="Arial" w:cs="Arial" w:eastAsia="Arial" w:hAnsi="Arial"/>
                <w:sz w:val="12"/>
                <w:szCs w:val="12"/>
                <w:b w:val="1"/>
                <w:bCs w:val="1"/>
                <w:color w:val="005A64"/>
              </w:rPr>
              <w:t>Other operating income</w:t>
            </w:r>
          </w:p>
        </w:tc>
        <w:tc>
          <w:tcPr>
            <w:tcW w:w="1000" w:type="dxa"/>
            <w:vAlign w:val="bottom"/>
            <w:tcBorders>
              <w:left w:val="single" w:sz="8" w:color="BECE33"/>
            </w:tcBorders>
          </w:tcPr>
          <w:p>
            <w:pPr>
              <w:ind w:left="40"/>
              <w:spacing w:after="0"/>
              <w:rPr>
                <w:sz w:val="20"/>
                <w:szCs w:val="20"/>
                <w:color w:val="auto"/>
              </w:rPr>
            </w:pPr>
            <w:r>
              <w:rPr>
                <w:rFonts w:ascii="Arial" w:cs="Arial" w:eastAsia="Arial" w:hAnsi="Arial"/>
                <w:sz w:val="12"/>
                <w:szCs w:val="12"/>
                <w:b w:val="1"/>
                <w:bCs w:val="1"/>
                <w:color w:val="005A64"/>
              </w:rPr>
              <w:t>140.6</w:t>
            </w:r>
          </w:p>
        </w:tc>
        <w:tc>
          <w:tcPr>
            <w:tcW w:w="60" w:type="dxa"/>
            <w:vAlign w:val="bottom"/>
            <w:tcBorders>
              <w:right w:val="single" w:sz="8" w:color="BECE33"/>
            </w:tcBorders>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105.0</w:t>
            </w: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005A64"/>
              </w:rPr>
              <w:t>815.3</w:t>
            </w:r>
          </w:p>
        </w:tc>
        <w:tc>
          <w:tcPr>
            <w:tcW w:w="0" w:type="dxa"/>
            <w:vAlign w:val="bottom"/>
          </w:tcPr>
          <w:p>
            <w:pPr>
              <w:spacing w:after="0"/>
              <w:rPr>
                <w:sz w:val="1"/>
                <w:szCs w:val="1"/>
                <w:color w:val="auto"/>
              </w:rPr>
            </w:pPr>
          </w:p>
        </w:tc>
      </w:tr>
      <w:tr>
        <w:trPr>
          <w:trHeight w:val="196"/>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Gain on derivative instruments at fair value through profit or loss</w:t>
            </w:r>
          </w:p>
        </w:tc>
        <w:tc>
          <w:tcPr>
            <w:tcW w:w="1060" w:type="dxa"/>
            <w:vAlign w:val="bottom"/>
            <w:tcBorders>
              <w:left w:val="single" w:sz="8" w:color="BECE33"/>
              <w:right w:val="single" w:sz="8" w:color="BECE33"/>
            </w:tcBorders>
            <w:gridSpan w:val="2"/>
          </w:tcPr>
          <w:p>
            <w:pPr>
              <w:ind w:left="40"/>
              <w:spacing w:after="0"/>
              <w:rPr>
                <w:sz w:val="20"/>
                <w:szCs w:val="20"/>
                <w:color w:val="auto"/>
              </w:rPr>
            </w:pPr>
            <w:r>
              <w:rPr>
                <w:rFonts w:ascii="Arial" w:cs="Arial" w:eastAsia="Arial" w:hAnsi="Arial"/>
                <w:sz w:val="12"/>
                <w:szCs w:val="12"/>
                <w:color w:val="005A64"/>
              </w:rPr>
              <w:t>—</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67.6</w:t>
            </w:r>
          </w:p>
        </w:tc>
        <w:tc>
          <w:tcPr>
            <w:tcW w:w="8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005A64"/>
              </w:rPr>
              <w:t>—</w:t>
            </w:r>
          </w:p>
        </w:tc>
        <w:tc>
          <w:tcPr>
            <w:tcW w:w="0" w:type="dxa"/>
            <w:vAlign w:val="bottom"/>
          </w:tcPr>
          <w:p>
            <w:pPr>
              <w:spacing w:after="0"/>
              <w:rPr>
                <w:sz w:val="1"/>
                <w:szCs w:val="1"/>
                <w:color w:val="auto"/>
              </w:rPr>
            </w:pPr>
          </w:p>
        </w:tc>
      </w:tr>
      <w:tr>
        <w:trPr>
          <w:trHeight w:val="202"/>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Grants</w:t>
            </w:r>
          </w:p>
        </w:tc>
        <w:tc>
          <w:tcPr>
            <w:tcW w:w="1000" w:type="dxa"/>
            <w:vAlign w:val="bottom"/>
            <w:tcBorders>
              <w:left w:val="single" w:sz="8" w:color="BECE33"/>
            </w:tcBorders>
          </w:tcPr>
          <w:p>
            <w:pPr>
              <w:ind w:left="40"/>
              <w:spacing w:after="0"/>
              <w:rPr>
                <w:sz w:val="20"/>
                <w:szCs w:val="20"/>
                <w:color w:val="auto"/>
              </w:rPr>
            </w:pPr>
            <w:r>
              <w:rPr>
                <w:rFonts w:ascii="Arial" w:cs="Arial" w:eastAsia="Arial" w:hAnsi="Arial"/>
                <w:sz w:val="12"/>
                <w:szCs w:val="12"/>
                <w:color w:val="005A64"/>
              </w:rPr>
              <w:t>31.5</w:t>
            </w:r>
          </w:p>
        </w:tc>
        <w:tc>
          <w:tcPr>
            <w:tcW w:w="60" w:type="dxa"/>
            <w:vAlign w:val="bottom"/>
            <w:tcBorders>
              <w:right w:val="single" w:sz="8" w:color="BECE33"/>
            </w:tcBorders>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2.2</w:t>
            </w:r>
          </w:p>
        </w:tc>
        <w:tc>
          <w:tcPr>
            <w:tcW w:w="1060" w:type="dxa"/>
            <w:vAlign w:val="bottom"/>
            <w:gridSpan w:val="2"/>
          </w:tcPr>
          <w:p>
            <w:pPr>
              <w:ind w:left="100"/>
              <w:spacing w:after="0"/>
              <w:rPr>
                <w:sz w:val="20"/>
                <w:szCs w:val="20"/>
                <w:color w:val="auto"/>
              </w:rPr>
            </w:pPr>
            <w:r>
              <w:rPr>
                <w:rFonts w:ascii="Arial" w:cs="Arial" w:eastAsia="Arial" w:hAnsi="Arial"/>
                <w:sz w:val="12"/>
                <w:szCs w:val="12"/>
                <w:color w:val="005A64"/>
              </w:rPr>
              <w:t>1.4</w:t>
            </w:r>
          </w:p>
        </w:tc>
        <w:tc>
          <w:tcPr>
            <w:tcW w:w="0" w:type="dxa"/>
            <w:vAlign w:val="bottom"/>
          </w:tcPr>
          <w:p>
            <w:pPr>
              <w:spacing w:after="0"/>
              <w:rPr>
                <w:sz w:val="1"/>
                <w:szCs w:val="1"/>
                <w:color w:val="auto"/>
              </w:rPr>
            </w:pPr>
          </w:p>
        </w:tc>
      </w:tr>
      <w:tr>
        <w:trPr>
          <w:trHeight w:val="202"/>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Foreign exchange differences, net</w:t>
            </w:r>
          </w:p>
        </w:tc>
        <w:tc>
          <w:tcPr>
            <w:tcW w:w="1000" w:type="dxa"/>
            <w:vAlign w:val="bottom"/>
            <w:tcBorders>
              <w:left w:val="single" w:sz="8" w:color="BECE33"/>
            </w:tcBorders>
          </w:tcPr>
          <w:p>
            <w:pPr>
              <w:ind w:left="40"/>
              <w:spacing w:after="0"/>
              <w:rPr>
                <w:sz w:val="20"/>
                <w:szCs w:val="20"/>
                <w:color w:val="auto"/>
              </w:rPr>
            </w:pPr>
            <w:r>
              <w:rPr>
                <w:rFonts w:ascii="Arial" w:cs="Arial" w:eastAsia="Arial" w:hAnsi="Arial"/>
                <w:sz w:val="12"/>
                <w:szCs w:val="12"/>
                <w:color w:val="005A64"/>
              </w:rPr>
              <w:t>84.9</w:t>
            </w:r>
          </w:p>
        </w:tc>
        <w:tc>
          <w:tcPr>
            <w:tcW w:w="60" w:type="dxa"/>
            <w:vAlign w:val="bottom"/>
            <w:tcBorders>
              <w:right w:val="single" w:sz="8" w:color="BECE33"/>
            </w:tcBorders>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005A64"/>
              </w:rPr>
              <w:t>—</w:t>
            </w:r>
          </w:p>
        </w:tc>
        <w:tc>
          <w:tcPr>
            <w:tcW w:w="1060" w:type="dxa"/>
            <w:vAlign w:val="bottom"/>
            <w:gridSpan w:val="2"/>
          </w:tcPr>
          <w:p>
            <w:pPr>
              <w:ind w:left="100"/>
              <w:spacing w:after="0"/>
              <w:rPr>
                <w:sz w:val="20"/>
                <w:szCs w:val="20"/>
                <w:color w:val="auto"/>
              </w:rPr>
            </w:pPr>
            <w:r>
              <w:rPr>
                <w:rFonts w:ascii="Arial" w:cs="Arial" w:eastAsia="Arial" w:hAnsi="Arial"/>
                <w:sz w:val="12"/>
                <w:szCs w:val="12"/>
                <w:color w:val="005A64"/>
              </w:rPr>
              <w:t>727.4</w:t>
            </w:r>
          </w:p>
        </w:tc>
        <w:tc>
          <w:tcPr>
            <w:tcW w:w="0" w:type="dxa"/>
            <w:vAlign w:val="bottom"/>
          </w:tcPr>
          <w:p>
            <w:pPr>
              <w:spacing w:after="0"/>
              <w:rPr>
                <w:sz w:val="1"/>
                <w:szCs w:val="1"/>
                <w:color w:val="auto"/>
              </w:rPr>
            </w:pPr>
          </w:p>
        </w:tc>
      </w:tr>
      <w:tr>
        <w:trPr>
          <w:trHeight w:val="202"/>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Other</w:t>
            </w:r>
          </w:p>
        </w:tc>
        <w:tc>
          <w:tcPr>
            <w:tcW w:w="1000" w:type="dxa"/>
            <w:vAlign w:val="bottom"/>
            <w:tcBorders>
              <w:left w:val="single" w:sz="8" w:color="BECE33"/>
            </w:tcBorders>
          </w:tcPr>
          <w:p>
            <w:pPr>
              <w:ind w:left="40"/>
              <w:spacing w:after="0"/>
              <w:rPr>
                <w:sz w:val="20"/>
                <w:szCs w:val="20"/>
                <w:color w:val="auto"/>
              </w:rPr>
            </w:pPr>
            <w:r>
              <w:rPr>
                <w:rFonts w:ascii="Arial" w:cs="Arial" w:eastAsia="Arial" w:hAnsi="Arial"/>
                <w:sz w:val="12"/>
                <w:szCs w:val="12"/>
                <w:color w:val="005A64"/>
              </w:rPr>
              <w:t>24.2</w:t>
            </w:r>
          </w:p>
        </w:tc>
        <w:tc>
          <w:tcPr>
            <w:tcW w:w="60" w:type="dxa"/>
            <w:vAlign w:val="bottom"/>
            <w:tcBorders>
              <w:right w:val="single" w:sz="8" w:color="BECE33"/>
            </w:tcBorders>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35.2</w:t>
            </w:r>
          </w:p>
        </w:tc>
        <w:tc>
          <w:tcPr>
            <w:tcW w:w="1060" w:type="dxa"/>
            <w:vAlign w:val="bottom"/>
            <w:gridSpan w:val="2"/>
          </w:tcPr>
          <w:p>
            <w:pPr>
              <w:ind w:left="100"/>
              <w:spacing w:after="0"/>
              <w:rPr>
                <w:sz w:val="20"/>
                <w:szCs w:val="20"/>
                <w:color w:val="auto"/>
              </w:rPr>
            </w:pPr>
            <w:r>
              <w:rPr>
                <w:rFonts w:ascii="Arial" w:cs="Arial" w:eastAsia="Arial" w:hAnsi="Arial"/>
                <w:sz w:val="12"/>
                <w:szCs w:val="12"/>
                <w:color w:val="005A64"/>
              </w:rPr>
              <w:t>86.5</w:t>
            </w:r>
          </w:p>
        </w:tc>
        <w:tc>
          <w:tcPr>
            <w:tcW w:w="0" w:type="dxa"/>
            <w:vAlign w:val="bottom"/>
          </w:tcPr>
          <w:p>
            <w:pPr>
              <w:spacing w:after="0"/>
              <w:rPr>
                <w:sz w:val="1"/>
                <w:szCs w:val="1"/>
                <w:color w:val="auto"/>
              </w:rPr>
            </w:pPr>
          </w:p>
        </w:tc>
      </w:tr>
      <w:tr>
        <w:trPr>
          <w:trHeight w:val="208"/>
        </w:trPr>
        <w:tc>
          <w:tcPr>
            <w:tcW w:w="3640" w:type="dxa"/>
            <w:vAlign w:val="bottom"/>
            <w:gridSpan w:val="2"/>
          </w:tcPr>
          <w:p>
            <w:pPr>
              <w:ind w:left="20"/>
              <w:spacing w:after="0"/>
              <w:rPr>
                <w:sz w:val="20"/>
                <w:szCs w:val="20"/>
                <w:color w:val="auto"/>
              </w:rPr>
            </w:pPr>
            <w:r>
              <w:rPr>
                <w:rFonts w:ascii="Arial" w:cs="Arial" w:eastAsia="Arial" w:hAnsi="Arial"/>
                <w:sz w:val="12"/>
                <w:szCs w:val="12"/>
                <w:b w:val="1"/>
                <w:bCs w:val="1"/>
                <w:color w:val="005A64"/>
              </w:rPr>
              <w:t>Other operating expenses</w:t>
            </w:r>
          </w:p>
        </w:tc>
        <w:tc>
          <w:tcPr>
            <w:tcW w:w="1000" w:type="dxa"/>
            <w:vAlign w:val="bottom"/>
            <w:tcBorders>
              <w:left w:val="single" w:sz="8" w:color="BECE33"/>
            </w:tcBorders>
          </w:tcPr>
          <w:p>
            <w:pPr>
              <w:ind w:left="40"/>
              <w:spacing w:after="0"/>
              <w:rPr>
                <w:sz w:val="20"/>
                <w:szCs w:val="20"/>
                <w:color w:val="auto"/>
              </w:rPr>
            </w:pPr>
            <w:r>
              <w:rPr>
                <w:rFonts w:ascii="Arial" w:cs="Arial" w:eastAsia="Arial" w:hAnsi="Arial"/>
                <w:sz w:val="12"/>
                <w:szCs w:val="12"/>
                <w:b w:val="1"/>
                <w:bCs w:val="1"/>
                <w:color w:val="005A64"/>
              </w:rPr>
              <w:t>(811.5)</w:t>
            </w:r>
          </w:p>
        </w:tc>
        <w:tc>
          <w:tcPr>
            <w:tcW w:w="60" w:type="dxa"/>
            <w:vAlign w:val="bottom"/>
            <w:tcBorders>
              <w:right w:val="single" w:sz="8" w:color="BECE33"/>
            </w:tcBorders>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(293.0)</w:t>
            </w: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005A64"/>
              </w:rPr>
              <w:t>(410.0)</w:t>
            </w:r>
          </w:p>
        </w:tc>
        <w:tc>
          <w:tcPr>
            <w:tcW w:w="0" w:type="dxa"/>
            <w:vAlign w:val="bottom"/>
          </w:tcPr>
          <w:p>
            <w:pPr>
              <w:spacing w:after="0"/>
              <w:rPr>
                <w:sz w:val="1"/>
                <w:szCs w:val="1"/>
                <w:color w:val="auto"/>
              </w:rPr>
            </w:pPr>
          </w:p>
        </w:tc>
      </w:tr>
      <w:tr>
        <w:trPr>
          <w:trHeight w:val="196"/>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Contractual disputes / settlements</w:t>
            </w:r>
          </w:p>
        </w:tc>
        <w:tc>
          <w:tcPr>
            <w:tcW w:w="1000" w:type="dxa"/>
            <w:vAlign w:val="bottom"/>
            <w:tcBorders>
              <w:left w:val="single" w:sz="8" w:color="BECE33"/>
            </w:tcBorders>
          </w:tcPr>
          <w:p>
            <w:pPr>
              <w:ind w:left="40"/>
              <w:spacing w:after="0"/>
              <w:rPr>
                <w:sz w:val="20"/>
                <w:szCs w:val="20"/>
                <w:color w:val="auto"/>
              </w:rPr>
            </w:pPr>
            <w:r>
              <w:rPr>
                <w:rFonts w:ascii="Arial" w:cs="Arial" w:eastAsia="Arial" w:hAnsi="Arial"/>
                <w:sz w:val="12"/>
                <w:szCs w:val="12"/>
                <w:color w:val="005A64"/>
              </w:rPr>
              <w:t>(657.4)</w:t>
            </w:r>
          </w:p>
        </w:tc>
        <w:tc>
          <w:tcPr>
            <w:tcW w:w="60" w:type="dxa"/>
            <w:vAlign w:val="bottom"/>
            <w:tcBorders>
              <w:right w:val="single" w:sz="8" w:color="BECE33"/>
            </w:tcBorders>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005A64"/>
              </w:rPr>
              <w:t>—</w:t>
            </w:r>
          </w:p>
        </w:tc>
        <w:tc>
          <w:tcPr>
            <w:tcW w:w="0" w:type="dxa"/>
            <w:vAlign w:val="bottom"/>
          </w:tcPr>
          <w:p>
            <w:pPr>
              <w:spacing w:after="0"/>
              <w:rPr>
                <w:sz w:val="1"/>
                <w:szCs w:val="1"/>
                <w:color w:val="auto"/>
              </w:rPr>
            </w:pPr>
          </w:p>
        </w:tc>
      </w:tr>
      <w:tr>
        <w:trPr>
          <w:trHeight w:val="164"/>
        </w:trPr>
        <w:tc>
          <w:tcPr>
            <w:tcW w:w="3620" w:type="dxa"/>
            <w:vAlign w:val="bottom"/>
          </w:tcPr>
          <w:p>
            <w:pPr>
              <w:ind w:left="820"/>
              <w:spacing w:after="0"/>
              <w:rPr>
                <w:sz w:val="20"/>
                <w:szCs w:val="20"/>
                <w:color w:val="auto"/>
              </w:rPr>
            </w:pPr>
            <w:r>
              <w:rPr>
                <w:rFonts w:ascii="Arial" w:cs="Arial" w:eastAsia="Arial" w:hAnsi="Arial"/>
                <w:sz w:val="8"/>
                <w:szCs w:val="8"/>
                <w:color w:val="005A64"/>
              </w:rPr>
              <w:t>(1)</w:t>
            </w:r>
          </w:p>
        </w:tc>
        <w:tc>
          <w:tcPr>
            <w:tcW w:w="20" w:type="dxa"/>
            <w:vAlign w:val="bottom"/>
          </w:tcPr>
          <w:p>
            <w:pPr>
              <w:spacing w:after="0"/>
              <w:rPr>
                <w:sz w:val="14"/>
                <w:szCs w:val="14"/>
                <w:color w:val="auto"/>
              </w:rPr>
            </w:pPr>
          </w:p>
        </w:tc>
        <w:tc>
          <w:tcPr>
            <w:tcW w:w="1000" w:type="dxa"/>
            <w:vAlign w:val="bottom"/>
            <w:tcBorders>
              <w:left w:val="single" w:sz="8" w:color="BECE33"/>
            </w:tcBorders>
          </w:tcPr>
          <w:p>
            <w:pPr>
              <w:ind w:left="40"/>
              <w:spacing w:after="0"/>
              <w:rPr>
                <w:sz w:val="20"/>
                <w:szCs w:val="20"/>
                <w:color w:val="auto"/>
              </w:rPr>
            </w:pPr>
            <w:r>
              <w:rPr>
                <w:rFonts w:ascii="Arial" w:cs="Arial" w:eastAsia="Arial" w:hAnsi="Arial"/>
                <w:sz w:val="12"/>
                <w:szCs w:val="12"/>
                <w:color w:val="005A64"/>
              </w:rPr>
              <w:t>(113.7)</w:t>
            </w:r>
          </w:p>
        </w:tc>
        <w:tc>
          <w:tcPr>
            <w:tcW w:w="60" w:type="dxa"/>
            <w:vAlign w:val="bottom"/>
            <w:tcBorders>
              <w:right w:val="single" w:sz="8" w:color="BECE33"/>
            </w:tcBorders>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(29.4)</w:t>
            </w:r>
          </w:p>
        </w:tc>
        <w:tc>
          <w:tcPr>
            <w:tcW w:w="1060" w:type="dxa"/>
            <w:vAlign w:val="bottom"/>
            <w:gridSpan w:val="2"/>
          </w:tcPr>
          <w:p>
            <w:pPr>
              <w:ind w:left="100"/>
              <w:spacing w:after="0"/>
              <w:rPr>
                <w:sz w:val="20"/>
                <w:szCs w:val="20"/>
                <w:color w:val="auto"/>
              </w:rPr>
            </w:pPr>
            <w:r>
              <w:rPr>
                <w:rFonts w:ascii="Arial" w:cs="Arial" w:eastAsia="Arial" w:hAnsi="Arial"/>
                <w:sz w:val="12"/>
                <w:szCs w:val="12"/>
                <w:color w:val="005A64"/>
              </w:rPr>
              <w:t>(3.0)</w:t>
            </w:r>
          </w:p>
        </w:tc>
        <w:tc>
          <w:tcPr>
            <w:tcW w:w="0" w:type="dxa"/>
            <w:vAlign w:val="bottom"/>
          </w:tcPr>
          <w:p>
            <w:pPr>
              <w:spacing w:after="0"/>
              <w:rPr>
                <w:sz w:val="1"/>
                <w:szCs w:val="1"/>
                <w:color w:val="auto"/>
              </w:rPr>
            </w:pPr>
          </w:p>
        </w:tc>
      </w:tr>
      <w:tr>
        <w:trPr>
          <w:trHeight w:val="80"/>
        </w:trPr>
        <w:tc>
          <w:tcPr>
            <w:tcW w:w="3640" w:type="dxa"/>
            <w:vAlign w:val="bottom"/>
            <w:gridSpan w:val="2"/>
          </w:tcPr>
          <w:p>
            <w:pPr>
              <w:ind w:left="20"/>
              <w:spacing w:after="0" w:line="81" w:lineRule="exact"/>
              <w:rPr>
                <w:sz w:val="20"/>
                <w:szCs w:val="20"/>
                <w:color w:val="auto"/>
              </w:rPr>
            </w:pPr>
            <w:r>
              <w:rPr>
                <w:rFonts w:ascii="Arial" w:cs="Arial" w:eastAsia="Arial" w:hAnsi="Arial"/>
                <w:sz w:val="9"/>
                <w:szCs w:val="9"/>
                <w:color w:val="005A64"/>
              </w:rPr>
              <w:t>Litigation costs</w:t>
            </w:r>
          </w:p>
        </w:tc>
        <w:tc>
          <w:tcPr>
            <w:tcW w:w="1000" w:type="dxa"/>
            <w:vAlign w:val="bottom"/>
            <w:tcBorders>
              <w:left w:val="single" w:sz="8" w:color="BECE33"/>
            </w:tcBorders>
          </w:tcPr>
          <w:p>
            <w:pPr>
              <w:spacing w:after="0"/>
              <w:rPr>
                <w:sz w:val="6"/>
                <w:szCs w:val="6"/>
                <w:color w:val="auto"/>
              </w:rPr>
            </w:pPr>
          </w:p>
        </w:tc>
        <w:tc>
          <w:tcPr>
            <w:tcW w:w="60" w:type="dxa"/>
            <w:vAlign w:val="bottom"/>
            <w:tcBorders>
              <w:right w:val="single" w:sz="8" w:color="BECE33"/>
            </w:tcBorders>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Loss on derivative instruments at fair value through profit or loss</w:t>
            </w:r>
          </w:p>
        </w:tc>
        <w:tc>
          <w:tcPr>
            <w:tcW w:w="1000" w:type="dxa"/>
            <w:vAlign w:val="bottom"/>
            <w:tcBorders>
              <w:left w:val="single" w:sz="8" w:color="BECE33"/>
            </w:tcBorders>
          </w:tcPr>
          <w:p>
            <w:pPr>
              <w:ind w:left="40"/>
              <w:spacing w:after="0"/>
              <w:rPr>
                <w:sz w:val="20"/>
                <w:szCs w:val="20"/>
                <w:color w:val="auto"/>
              </w:rPr>
            </w:pPr>
            <w:r>
              <w:rPr>
                <w:rFonts w:ascii="Arial" w:cs="Arial" w:eastAsia="Arial" w:hAnsi="Arial"/>
                <w:sz w:val="12"/>
                <w:szCs w:val="12"/>
                <w:color w:val="005A64"/>
              </w:rPr>
              <w:t>(32.4)</w:t>
            </w:r>
          </w:p>
        </w:tc>
        <w:tc>
          <w:tcPr>
            <w:tcW w:w="60" w:type="dxa"/>
            <w:vAlign w:val="bottom"/>
            <w:tcBorders>
              <w:right w:val="single" w:sz="8" w:color="BECE33"/>
            </w:tcBorders>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005A64"/>
              </w:rPr>
              <w:t>—</w:t>
            </w:r>
          </w:p>
        </w:tc>
        <w:tc>
          <w:tcPr>
            <w:tcW w:w="1060" w:type="dxa"/>
            <w:vAlign w:val="bottom"/>
            <w:gridSpan w:val="2"/>
          </w:tcPr>
          <w:p>
            <w:pPr>
              <w:ind w:left="100"/>
              <w:spacing w:after="0"/>
              <w:rPr>
                <w:sz w:val="20"/>
                <w:szCs w:val="20"/>
                <w:color w:val="auto"/>
              </w:rPr>
            </w:pPr>
            <w:r>
              <w:rPr>
                <w:rFonts w:ascii="Arial" w:cs="Arial" w:eastAsia="Arial" w:hAnsi="Arial"/>
                <w:sz w:val="12"/>
                <w:szCs w:val="12"/>
                <w:color w:val="005A64"/>
              </w:rPr>
              <w:t>(385.5)</w:t>
            </w:r>
          </w:p>
        </w:tc>
        <w:tc>
          <w:tcPr>
            <w:tcW w:w="0" w:type="dxa"/>
            <w:vAlign w:val="bottom"/>
          </w:tcPr>
          <w:p>
            <w:pPr>
              <w:spacing w:after="0"/>
              <w:rPr>
                <w:sz w:val="1"/>
                <w:szCs w:val="1"/>
                <w:color w:val="auto"/>
              </w:rPr>
            </w:pPr>
          </w:p>
        </w:tc>
      </w:tr>
      <w:tr>
        <w:trPr>
          <w:trHeight w:val="202"/>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Foreign exchange differences, net</w:t>
            </w:r>
          </w:p>
        </w:tc>
        <w:tc>
          <w:tcPr>
            <w:tcW w:w="1060" w:type="dxa"/>
            <w:vAlign w:val="bottom"/>
            <w:tcBorders>
              <w:left w:val="single" w:sz="8" w:color="BECE33"/>
              <w:right w:val="single" w:sz="8" w:color="BECE33"/>
            </w:tcBorders>
            <w:gridSpan w:val="2"/>
          </w:tcPr>
          <w:p>
            <w:pPr>
              <w:ind w:left="40"/>
              <w:spacing w:after="0"/>
              <w:rPr>
                <w:sz w:val="20"/>
                <w:szCs w:val="20"/>
                <w:color w:val="auto"/>
              </w:rPr>
            </w:pPr>
            <w:r>
              <w:rPr>
                <w:rFonts w:ascii="Arial" w:cs="Arial" w:eastAsia="Arial" w:hAnsi="Arial"/>
                <w:sz w:val="12"/>
                <w:szCs w:val="12"/>
                <w:color w:val="005A64"/>
              </w:rPr>
              <w:t>—</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(252.0)</w:t>
            </w:r>
          </w:p>
        </w:tc>
        <w:tc>
          <w:tcPr>
            <w:tcW w:w="8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005A64"/>
              </w:rPr>
              <w:t>—</w:t>
            </w:r>
          </w:p>
        </w:tc>
        <w:tc>
          <w:tcPr>
            <w:tcW w:w="0" w:type="dxa"/>
            <w:vAlign w:val="bottom"/>
          </w:tcPr>
          <w:p>
            <w:pPr>
              <w:spacing w:after="0"/>
              <w:rPr>
                <w:sz w:val="1"/>
                <w:szCs w:val="1"/>
                <w:color w:val="auto"/>
              </w:rPr>
            </w:pPr>
          </w:p>
        </w:tc>
      </w:tr>
      <w:tr>
        <w:trPr>
          <w:trHeight w:val="202"/>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Other</w:t>
            </w:r>
          </w:p>
        </w:tc>
        <w:tc>
          <w:tcPr>
            <w:tcW w:w="1000" w:type="dxa"/>
            <w:vAlign w:val="bottom"/>
            <w:tcBorders>
              <w:left w:val="single" w:sz="8" w:color="BECE33"/>
            </w:tcBorders>
          </w:tcPr>
          <w:p>
            <w:pPr>
              <w:ind w:left="40"/>
              <w:spacing w:after="0"/>
              <w:rPr>
                <w:sz w:val="20"/>
                <w:szCs w:val="20"/>
                <w:color w:val="auto"/>
              </w:rPr>
            </w:pPr>
            <w:r>
              <w:rPr>
                <w:rFonts w:ascii="Arial" w:cs="Arial" w:eastAsia="Arial" w:hAnsi="Arial"/>
                <w:sz w:val="12"/>
                <w:szCs w:val="12"/>
                <w:color w:val="005A64"/>
              </w:rPr>
              <w:t>(8.0)</w:t>
            </w:r>
          </w:p>
        </w:tc>
        <w:tc>
          <w:tcPr>
            <w:tcW w:w="60" w:type="dxa"/>
            <w:vAlign w:val="bottom"/>
            <w:tcBorders>
              <w:right w:val="single" w:sz="8" w:color="BECE33"/>
            </w:tcBorders>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(11.6)</w:t>
            </w:r>
          </w:p>
        </w:tc>
        <w:tc>
          <w:tcPr>
            <w:tcW w:w="1060" w:type="dxa"/>
            <w:vAlign w:val="bottom"/>
            <w:gridSpan w:val="2"/>
          </w:tcPr>
          <w:p>
            <w:pPr>
              <w:ind w:left="100"/>
              <w:spacing w:after="0"/>
              <w:rPr>
                <w:sz w:val="20"/>
                <w:szCs w:val="20"/>
                <w:color w:val="auto"/>
              </w:rPr>
            </w:pPr>
            <w:r>
              <w:rPr>
                <w:rFonts w:ascii="Arial" w:cs="Arial" w:eastAsia="Arial" w:hAnsi="Arial"/>
                <w:sz w:val="12"/>
                <w:szCs w:val="12"/>
                <w:color w:val="005A64"/>
              </w:rPr>
              <w:t>(21.5)</w:t>
            </w:r>
          </w:p>
        </w:tc>
        <w:tc>
          <w:tcPr>
            <w:tcW w:w="0" w:type="dxa"/>
            <w:vAlign w:val="bottom"/>
          </w:tcPr>
          <w:p>
            <w:pPr>
              <w:spacing w:after="0"/>
              <w:rPr>
                <w:sz w:val="1"/>
                <w:szCs w:val="1"/>
                <w:color w:val="auto"/>
              </w:rPr>
            </w:pPr>
          </w:p>
        </w:tc>
      </w:tr>
      <w:tr>
        <w:trPr>
          <w:trHeight w:val="208"/>
        </w:trPr>
        <w:tc>
          <w:tcPr>
            <w:tcW w:w="364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 other operating result</w:t>
            </w:r>
          </w:p>
        </w:tc>
        <w:tc>
          <w:tcPr>
            <w:tcW w:w="1000" w:type="dxa"/>
            <w:vAlign w:val="bottom"/>
            <w:tcBorders>
              <w:left w:val="single" w:sz="8" w:color="BECE33"/>
            </w:tcBorders>
          </w:tcPr>
          <w:p>
            <w:pPr>
              <w:ind w:left="40"/>
              <w:spacing w:after="0"/>
              <w:rPr>
                <w:sz w:val="20"/>
                <w:szCs w:val="20"/>
                <w:color w:val="auto"/>
              </w:rPr>
            </w:pPr>
            <w:r>
              <w:rPr>
                <w:rFonts w:ascii="Arial" w:cs="Arial" w:eastAsia="Arial" w:hAnsi="Arial"/>
                <w:sz w:val="12"/>
                <w:szCs w:val="12"/>
                <w:b w:val="1"/>
                <w:bCs w:val="1"/>
                <w:color w:val="005A64"/>
              </w:rPr>
              <w:t>(670.9)</w:t>
            </w:r>
          </w:p>
        </w:tc>
        <w:tc>
          <w:tcPr>
            <w:tcW w:w="60" w:type="dxa"/>
            <w:vAlign w:val="bottom"/>
            <w:tcBorders>
              <w:right w:val="single" w:sz="8" w:color="BECE33"/>
            </w:tcBorders>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(188.0)</w:t>
            </w: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005A64"/>
              </w:rPr>
              <w:t>405.3</w:t>
            </w:r>
          </w:p>
        </w:tc>
        <w:tc>
          <w:tcPr>
            <w:tcW w:w="0" w:type="dxa"/>
            <w:vAlign w:val="bottom"/>
          </w:tcPr>
          <w:p>
            <w:pPr>
              <w:spacing w:after="0"/>
              <w:rPr>
                <w:sz w:val="1"/>
                <w:szCs w:val="1"/>
                <w:color w:val="auto"/>
              </w:rPr>
            </w:pPr>
          </w:p>
        </w:tc>
      </w:tr>
      <w:tr>
        <w:trPr>
          <w:trHeight w:val="47"/>
        </w:trPr>
        <w:tc>
          <w:tcPr>
            <w:tcW w:w="3620" w:type="dxa"/>
            <w:vAlign w:val="bottom"/>
            <w:tcBorders>
              <w:bottom w:val="single" w:sz="8" w:color="005A64"/>
            </w:tcBorders>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Borders>
              <w:left w:val="single" w:sz="8" w:color="BECE33"/>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80" w:right="2340" w:firstLine="3"/>
        <w:spacing w:after="0" w:line="190" w:lineRule="auto"/>
        <w:tabs>
          <w:tab w:leader="none" w:pos="582" w:val="left"/>
        </w:tabs>
        <w:numPr>
          <w:ilvl w:val="0"/>
          <w:numId w:val="51"/>
        </w:numPr>
        <w:rPr>
          <w:rFonts w:ascii="Arial" w:cs="Arial" w:eastAsia="Arial" w:hAnsi="Arial"/>
          <w:sz w:val="16"/>
          <w:szCs w:val="16"/>
          <w:color w:val="005A64"/>
          <w:vertAlign w:val="superscript"/>
        </w:rPr>
      </w:pPr>
      <w:r>
        <w:rPr>
          <w:rFonts w:ascii="Arial" w:cs="Arial" w:eastAsia="Arial" w:hAnsi="Arial"/>
          <w:sz w:val="12"/>
          <w:szCs w:val="12"/>
          <w:color w:val="005A64"/>
        </w:rPr>
        <w:t>Adjustments to the year 2022 figures relate to reclassifying legal costs in connection with certain litigation as other operating expenses, rather than general and administrative expenses, to reflect changes in reporting.</w:t>
      </w:r>
    </w:p>
    <w:p>
      <w:pPr>
        <w:ind w:left="380" w:right="2180"/>
        <w:spacing w:after="0" w:line="210" w:lineRule="auto"/>
        <w:rPr>
          <w:rFonts w:ascii="Arial" w:cs="Arial" w:eastAsia="Arial" w:hAnsi="Arial"/>
          <w:sz w:val="16"/>
          <w:szCs w:val="16"/>
          <w:color w:val="005A64"/>
          <w:vertAlign w:val="superscript"/>
        </w:rPr>
      </w:pPr>
      <w:r>
        <w:rPr>
          <w:rFonts w:ascii="Arial" w:cs="Arial" w:eastAsia="Arial" w:hAnsi="Arial"/>
          <w:sz w:val="13"/>
          <w:szCs w:val="13"/>
          <w:color w:val="auto"/>
        </w:rPr>
        <w:t>During the year ended December 31, 2024, the other operating income increased compared to the year ended December 31, 2023, as foreign exchange differences arising on operating items changed from a negative effect to a positive effect. Comparing the year ended December 31, 2023, to the year ended December 31, 2022, we had a negative effect from exchange differences.</w:t>
      </w:r>
    </w:p>
    <w:p>
      <w:pPr>
        <w:spacing w:after="0" w:line="2" w:lineRule="exact"/>
        <w:rPr>
          <w:rFonts w:ascii="Arial" w:cs="Arial" w:eastAsia="Arial" w:hAnsi="Arial"/>
          <w:sz w:val="16"/>
          <w:szCs w:val="16"/>
          <w:color w:val="005A64"/>
          <w:vertAlign w:val="superscript"/>
        </w:rPr>
      </w:pPr>
    </w:p>
    <w:p>
      <w:pPr>
        <w:ind w:left="380" w:right="2340"/>
        <w:spacing w:after="0" w:line="218" w:lineRule="auto"/>
        <w:rPr>
          <w:rFonts w:ascii="Arial" w:cs="Arial" w:eastAsia="Arial" w:hAnsi="Arial"/>
          <w:sz w:val="16"/>
          <w:szCs w:val="16"/>
          <w:color w:val="005A64"/>
          <w:vertAlign w:val="superscript"/>
        </w:rPr>
      </w:pPr>
      <w:r>
        <w:rPr>
          <w:rFonts w:ascii="Arial" w:cs="Arial" w:eastAsia="Arial" w:hAnsi="Arial"/>
          <w:sz w:val="13"/>
          <w:szCs w:val="13"/>
          <w:color w:val="auto"/>
        </w:rPr>
        <w:t>During the year ended December 31, 2024, the other expenses increased compared to the year ended December 31, 2023, which was mainly due to the settlement of contractual disputes and related expenses to such disputes and other litigations. The amounts shown for contractual disputes are net of the related reimbursements to be received. For further information see Note 12.2. During the year ended December 31, 2023, the other operating expenses decreased compared to the year ended December 31, 2022, as the fair value measurement effect of our derivatives changing from a negative to a positive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F-38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005A64"/>
        </w:rPr>
        <w:t>7.3 Finance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-88265</wp:posOffset>
            </wp:positionV>
            <wp:extent cx="5231130" cy="6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06" w:name="page207"/>
    <w:bookmarkEnd w:id="206"/>
    <w:tbl>
      <w:tblPr>
        <w:tblLayout w:type="fixed"/>
        <w:tblInd w:w="38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005A64"/>
              </w:rPr>
              <w:t>Years ended</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005A64"/>
              </w:rPr>
              <w:t>December 31,</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640" w:type="dxa"/>
            <w:vAlign w:val="bottom"/>
            <w:gridSpan w:val="2"/>
            <w:vMerge w:val="restart"/>
          </w:tcPr>
          <w:p>
            <w:pPr>
              <w:ind w:left="20"/>
              <w:spacing w:after="0"/>
              <w:rPr>
                <w:sz w:val="20"/>
                <w:szCs w:val="20"/>
                <w:color w:val="auto"/>
              </w:rPr>
            </w:pPr>
            <w:r>
              <w:rPr>
                <w:rFonts w:ascii="Arial" w:cs="Arial" w:eastAsia="Arial" w:hAnsi="Arial"/>
                <w:sz w:val="12"/>
                <w:szCs w:val="12"/>
                <w:i w:val="1"/>
                <w:iCs w:val="1"/>
                <w:color w:val="005A64"/>
              </w:rPr>
              <w:t>(in millions €)</w:t>
            </w:r>
          </w:p>
        </w:tc>
        <w:tc>
          <w:tcPr>
            <w:tcW w:w="20" w:type="dxa"/>
            <w:vAlign w:val="bottom"/>
            <w:tcBorders>
              <w:bottom w:val="single" w:sz="8" w:color="BECE33"/>
            </w:tcBorders>
          </w:tcPr>
          <w:p>
            <w:pPr>
              <w:spacing w:after="0"/>
              <w:rPr>
                <w:sz w:val="11"/>
                <w:szCs w:val="11"/>
                <w:color w:val="auto"/>
              </w:rPr>
            </w:pPr>
          </w:p>
        </w:tc>
        <w:tc>
          <w:tcPr>
            <w:tcW w:w="980" w:type="dxa"/>
            <w:vAlign w:val="bottom"/>
            <w:tcBorders>
              <w:bottom w:val="single" w:sz="8" w:color="BECE33"/>
            </w:tcBorders>
          </w:tcPr>
          <w:p>
            <w:pPr>
              <w:spacing w:after="0"/>
              <w:rPr>
                <w:sz w:val="11"/>
                <w:szCs w:val="11"/>
                <w:color w:val="auto"/>
              </w:rPr>
            </w:pPr>
          </w:p>
        </w:tc>
        <w:tc>
          <w:tcPr>
            <w:tcW w:w="60" w:type="dxa"/>
            <w:vAlign w:val="bottom"/>
            <w:tcBorders>
              <w:bottom w:val="single" w:sz="8" w:color="BECE33"/>
            </w:tcBorders>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005A64"/>
              </w:rPr>
              <w:t>2023</w:t>
            </w:r>
          </w:p>
        </w:tc>
        <w:tc>
          <w:tcPr>
            <w:tcW w:w="10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005A64"/>
              </w:rPr>
              <w:t>2022</w:t>
            </w:r>
          </w:p>
        </w:tc>
        <w:tc>
          <w:tcPr>
            <w:tcW w:w="0" w:type="dxa"/>
            <w:vAlign w:val="bottom"/>
          </w:tcPr>
          <w:p>
            <w:pPr>
              <w:spacing w:after="0"/>
              <w:rPr>
                <w:sz w:val="1"/>
                <w:szCs w:val="1"/>
                <w:color w:val="auto"/>
              </w:rPr>
            </w:pPr>
          </w:p>
        </w:tc>
      </w:tr>
      <w:tr>
        <w:trPr>
          <w:trHeight w:val="156"/>
        </w:trPr>
        <w:tc>
          <w:tcPr>
            <w:tcW w:w="3640" w:type="dxa"/>
            <w:vAlign w:val="bottom"/>
            <w:gridSpan w:val="2"/>
            <w:vMerge w:val="continue"/>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62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620" w:type="dxa"/>
            <w:vAlign w:val="bottom"/>
          </w:tcPr>
          <w:p>
            <w:pPr>
              <w:ind w:left="20"/>
              <w:spacing w:after="0"/>
              <w:rPr>
                <w:sz w:val="20"/>
                <w:szCs w:val="20"/>
                <w:color w:val="auto"/>
              </w:rPr>
            </w:pPr>
            <w:r>
              <w:rPr>
                <w:rFonts w:ascii="Arial" w:cs="Arial" w:eastAsia="Arial" w:hAnsi="Arial"/>
                <w:sz w:val="12"/>
                <w:szCs w:val="12"/>
                <w:b w:val="1"/>
                <w:bCs w:val="1"/>
                <w:color w:val="3C9673"/>
              </w:rPr>
              <w:t>Finance result</w:t>
            </w:r>
          </w:p>
        </w:tc>
        <w:tc>
          <w:tcPr>
            <w:tcW w:w="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640" w:type="dxa"/>
            <w:vAlign w:val="bottom"/>
            <w:gridSpan w:val="2"/>
          </w:tcPr>
          <w:p>
            <w:pPr>
              <w:ind w:left="20"/>
              <w:spacing w:after="0"/>
              <w:rPr>
                <w:sz w:val="20"/>
                <w:szCs w:val="20"/>
                <w:color w:val="auto"/>
              </w:rPr>
            </w:pPr>
            <w:r>
              <w:rPr>
                <w:rFonts w:ascii="Arial" w:cs="Arial" w:eastAsia="Arial" w:hAnsi="Arial"/>
                <w:sz w:val="12"/>
                <w:szCs w:val="12"/>
                <w:b w:val="1"/>
                <w:bCs w:val="1"/>
                <w:color w:val="005A64"/>
              </w:rPr>
              <w:t>Finance income</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664.0</w:t>
            </w:r>
          </w:p>
        </w:tc>
        <w:tc>
          <w:tcPr>
            <w:tcW w:w="6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519.6</w:t>
            </w: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005A64"/>
              </w:rPr>
              <w:t>330.3</w:t>
            </w:r>
          </w:p>
        </w:tc>
        <w:tc>
          <w:tcPr>
            <w:tcW w:w="0" w:type="dxa"/>
            <w:vAlign w:val="bottom"/>
          </w:tcPr>
          <w:p>
            <w:pPr>
              <w:spacing w:after="0"/>
              <w:rPr>
                <w:sz w:val="1"/>
                <w:szCs w:val="1"/>
                <w:color w:val="auto"/>
              </w:rPr>
            </w:pPr>
          </w:p>
        </w:tc>
      </w:tr>
      <w:tr>
        <w:trPr>
          <w:trHeight w:val="196"/>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Gains from financial instruments measured at amortized cost</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437.6</w:t>
            </w:r>
          </w:p>
        </w:tc>
        <w:tc>
          <w:tcPr>
            <w:tcW w:w="6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357.6</w:t>
            </w:r>
          </w:p>
        </w:tc>
        <w:tc>
          <w:tcPr>
            <w:tcW w:w="1060" w:type="dxa"/>
            <w:vAlign w:val="bottom"/>
            <w:gridSpan w:val="2"/>
          </w:tcPr>
          <w:p>
            <w:pPr>
              <w:ind w:left="100"/>
              <w:spacing w:after="0"/>
              <w:rPr>
                <w:sz w:val="20"/>
                <w:szCs w:val="20"/>
                <w:color w:val="auto"/>
              </w:rPr>
            </w:pPr>
            <w:r>
              <w:rPr>
                <w:rFonts w:ascii="Arial" w:cs="Arial" w:eastAsia="Arial" w:hAnsi="Arial"/>
                <w:sz w:val="12"/>
                <w:szCs w:val="12"/>
                <w:color w:val="005A64"/>
              </w:rPr>
              <w:t>48.5</w:t>
            </w:r>
          </w:p>
        </w:tc>
        <w:tc>
          <w:tcPr>
            <w:tcW w:w="0" w:type="dxa"/>
            <w:vAlign w:val="bottom"/>
          </w:tcPr>
          <w:p>
            <w:pPr>
              <w:spacing w:after="0"/>
              <w:rPr>
                <w:sz w:val="1"/>
                <w:szCs w:val="1"/>
                <w:color w:val="auto"/>
              </w:rPr>
            </w:pPr>
          </w:p>
        </w:tc>
      </w:tr>
      <w:tr>
        <w:trPr>
          <w:trHeight w:val="202"/>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Gains from financial instruments measured at fair value</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210.9</w:t>
            </w:r>
          </w:p>
        </w:tc>
        <w:tc>
          <w:tcPr>
            <w:tcW w:w="6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162.0</w:t>
            </w:r>
          </w:p>
        </w:tc>
        <w:tc>
          <w:tcPr>
            <w:tcW w:w="1060" w:type="dxa"/>
            <w:vAlign w:val="bottom"/>
            <w:gridSpan w:val="2"/>
          </w:tcPr>
          <w:p>
            <w:pPr>
              <w:ind w:left="100"/>
              <w:spacing w:after="0"/>
              <w:rPr>
                <w:sz w:val="20"/>
                <w:szCs w:val="20"/>
                <w:color w:val="auto"/>
              </w:rPr>
            </w:pPr>
            <w:r>
              <w:rPr>
                <w:rFonts w:ascii="Arial" w:cs="Arial" w:eastAsia="Arial" w:hAnsi="Arial"/>
                <w:sz w:val="12"/>
                <w:szCs w:val="12"/>
                <w:color w:val="005A64"/>
              </w:rPr>
              <w:t>216.8</w:t>
            </w:r>
          </w:p>
        </w:tc>
        <w:tc>
          <w:tcPr>
            <w:tcW w:w="0" w:type="dxa"/>
            <w:vAlign w:val="bottom"/>
          </w:tcPr>
          <w:p>
            <w:pPr>
              <w:spacing w:after="0"/>
              <w:rPr>
                <w:sz w:val="1"/>
                <w:szCs w:val="1"/>
                <w:color w:val="auto"/>
              </w:rPr>
            </w:pPr>
          </w:p>
        </w:tc>
      </w:tr>
      <w:tr>
        <w:trPr>
          <w:trHeight w:val="202"/>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Foreign exchange differences, net</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15.5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005A64"/>
              </w:rPr>
              <w:t>—</w:t>
            </w:r>
          </w:p>
        </w:tc>
        <w:tc>
          <w:tcPr>
            <w:tcW w:w="1060" w:type="dxa"/>
            <w:vAlign w:val="bottom"/>
            <w:gridSpan w:val="2"/>
          </w:tcPr>
          <w:p>
            <w:pPr>
              <w:ind w:left="100"/>
              <w:spacing w:after="0"/>
              <w:rPr>
                <w:sz w:val="20"/>
                <w:szCs w:val="20"/>
                <w:color w:val="auto"/>
              </w:rPr>
            </w:pPr>
            <w:r>
              <w:rPr>
                <w:rFonts w:ascii="Arial" w:cs="Arial" w:eastAsia="Arial" w:hAnsi="Arial"/>
                <w:sz w:val="12"/>
                <w:szCs w:val="12"/>
                <w:color w:val="005A64"/>
              </w:rPr>
              <w:t>65.0</w:t>
            </w:r>
          </w:p>
        </w:tc>
        <w:tc>
          <w:tcPr>
            <w:tcW w:w="0" w:type="dxa"/>
            <w:vAlign w:val="bottom"/>
          </w:tcPr>
          <w:p>
            <w:pPr>
              <w:spacing w:after="0"/>
              <w:rPr>
                <w:sz w:val="1"/>
                <w:szCs w:val="1"/>
                <w:color w:val="auto"/>
              </w:rPr>
            </w:pPr>
          </w:p>
        </w:tc>
      </w:tr>
      <w:tr>
        <w:trPr>
          <w:trHeight w:val="208"/>
        </w:trPr>
        <w:tc>
          <w:tcPr>
            <w:tcW w:w="3640" w:type="dxa"/>
            <w:vAlign w:val="bottom"/>
            <w:gridSpan w:val="2"/>
          </w:tcPr>
          <w:p>
            <w:pPr>
              <w:ind w:left="20"/>
              <w:spacing w:after="0"/>
              <w:rPr>
                <w:sz w:val="20"/>
                <w:szCs w:val="20"/>
                <w:color w:val="auto"/>
              </w:rPr>
            </w:pPr>
            <w:r>
              <w:rPr>
                <w:rFonts w:ascii="Arial" w:cs="Arial" w:eastAsia="Arial" w:hAnsi="Arial"/>
                <w:sz w:val="12"/>
                <w:szCs w:val="12"/>
                <w:b w:val="1"/>
                <w:bCs w:val="1"/>
                <w:color w:val="005A64"/>
              </w:rPr>
              <w:t>Finance expenses</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(27.4)</w:t>
            </w:r>
          </w:p>
        </w:tc>
        <w:tc>
          <w:tcPr>
            <w:tcW w:w="6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(23.9)</w:t>
            </w: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005A64"/>
              </w:rPr>
              <w:t>(18.9)</w:t>
            </w:r>
          </w:p>
        </w:tc>
        <w:tc>
          <w:tcPr>
            <w:tcW w:w="0" w:type="dxa"/>
            <w:vAlign w:val="bottom"/>
          </w:tcPr>
          <w:p>
            <w:pPr>
              <w:spacing w:after="0"/>
              <w:rPr>
                <w:sz w:val="1"/>
                <w:szCs w:val="1"/>
                <w:color w:val="auto"/>
              </w:rPr>
            </w:pPr>
          </w:p>
        </w:tc>
      </w:tr>
      <w:tr>
        <w:trPr>
          <w:trHeight w:val="196"/>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Loss from financial instruments measured at fair value</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(6.0)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005A64"/>
              </w:rPr>
              <w:t>—</w:t>
            </w:r>
          </w:p>
        </w:tc>
        <w:tc>
          <w:tcPr>
            <w:tcW w:w="0" w:type="dxa"/>
            <w:vAlign w:val="bottom"/>
          </w:tcPr>
          <w:p>
            <w:pPr>
              <w:spacing w:after="0"/>
              <w:rPr>
                <w:sz w:val="1"/>
                <w:szCs w:val="1"/>
                <w:color w:val="auto"/>
              </w:rPr>
            </w:pPr>
          </w:p>
        </w:tc>
      </w:tr>
      <w:tr>
        <w:trPr>
          <w:trHeight w:val="164"/>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Loss from financial instruments measured at amortized cost</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(4.6)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005A64"/>
              </w:rPr>
              <w:t>—</w:t>
            </w:r>
          </w:p>
        </w:tc>
        <w:tc>
          <w:tcPr>
            <w:tcW w:w="0" w:type="dxa"/>
            <w:vAlign w:val="bottom"/>
          </w:tcPr>
          <w:p>
            <w:pPr>
              <w:spacing w:after="0"/>
              <w:rPr>
                <w:sz w:val="1"/>
                <w:szCs w:val="1"/>
                <w:color w:val="auto"/>
              </w:rPr>
            </w:pPr>
          </w:p>
        </w:tc>
      </w:tr>
      <w:tr>
        <w:trPr>
          <w:trHeight w:val="160"/>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without expected credit losses</w:t>
            </w: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Loss from financial instruments measured at amortized cost,</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(4.2)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5"/>
                <w:szCs w:val="15"/>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005A64"/>
              </w:rPr>
              <w:t>—</w:t>
            </w:r>
          </w:p>
        </w:tc>
        <w:tc>
          <w:tcPr>
            <w:tcW w:w="0" w:type="dxa"/>
            <w:vAlign w:val="bottom"/>
          </w:tcPr>
          <w:p>
            <w:pPr>
              <w:spacing w:after="0"/>
              <w:rPr>
                <w:sz w:val="1"/>
                <w:szCs w:val="1"/>
                <w:color w:val="auto"/>
              </w:rPr>
            </w:pPr>
          </w:p>
        </w:tc>
      </w:tr>
      <w:tr>
        <w:trPr>
          <w:trHeight w:val="160"/>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expected credit losses</w:t>
            </w: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Foreign exchange differences, net</w:t>
            </w:r>
          </w:p>
        </w:tc>
        <w:tc>
          <w:tcPr>
            <w:tcW w:w="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(16.0)</w:t>
            </w:r>
          </w:p>
        </w:tc>
        <w:tc>
          <w:tcPr>
            <w:tcW w:w="8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005A64"/>
              </w:rPr>
              <w:t>—</w:t>
            </w:r>
          </w:p>
        </w:tc>
        <w:tc>
          <w:tcPr>
            <w:tcW w:w="0" w:type="dxa"/>
            <w:vAlign w:val="bottom"/>
          </w:tcPr>
          <w:p>
            <w:pPr>
              <w:spacing w:after="0"/>
              <w:rPr>
                <w:sz w:val="1"/>
                <w:szCs w:val="1"/>
                <w:color w:val="auto"/>
              </w:rPr>
            </w:pPr>
          </w:p>
        </w:tc>
      </w:tr>
      <w:tr>
        <w:trPr>
          <w:trHeight w:val="202"/>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Other</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(12.6)</w:t>
            </w:r>
          </w:p>
        </w:tc>
        <w:tc>
          <w:tcPr>
            <w:tcW w:w="6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(7.9)</w:t>
            </w:r>
          </w:p>
        </w:tc>
        <w:tc>
          <w:tcPr>
            <w:tcW w:w="1060" w:type="dxa"/>
            <w:vAlign w:val="bottom"/>
            <w:gridSpan w:val="2"/>
          </w:tcPr>
          <w:p>
            <w:pPr>
              <w:ind w:left="100"/>
              <w:spacing w:after="0"/>
              <w:rPr>
                <w:sz w:val="20"/>
                <w:szCs w:val="20"/>
                <w:color w:val="auto"/>
              </w:rPr>
            </w:pPr>
            <w:r>
              <w:rPr>
                <w:rFonts w:ascii="Arial" w:cs="Arial" w:eastAsia="Arial" w:hAnsi="Arial"/>
                <w:sz w:val="12"/>
                <w:szCs w:val="12"/>
                <w:color w:val="005A64"/>
              </w:rPr>
              <w:t>(18.9)</w:t>
            </w:r>
          </w:p>
        </w:tc>
        <w:tc>
          <w:tcPr>
            <w:tcW w:w="0" w:type="dxa"/>
            <w:vAlign w:val="bottom"/>
          </w:tcPr>
          <w:p>
            <w:pPr>
              <w:spacing w:after="0"/>
              <w:rPr>
                <w:sz w:val="1"/>
                <w:szCs w:val="1"/>
                <w:color w:val="auto"/>
              </w:rPr>
            </w:pPr>
          </w:p>
        </w:tc>
      </w:tr>
      <w:tr>
        <w:trPr>
          <w:trHeight w:val="208"/>
        </w:trPr>
        <w:tc>
          <w:tcPr>
            <w:tcW w:w="364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 finance result</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636.6</w:t>
            </w:r>
          </w:p>
        </w:tc>
        <w:tc>
          <w:tcPr>
            <w:tcW w:w="6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495.7</w:t>
            </w: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005A64"/>
              </w:rPr>
              <w:t>311.4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1157605</wp:posOffset>
            </wp:positionH>
            <wp:positionV relativeFrom="page">
              <wp:posOffset>361950</wp:posOffset>
            </wp:positionV>
            <wp:extent cx="4293870" cy="127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9">
                      <a:extLst>
                        <a:ext uri="{28A0092B-C50C-407E-A947-70E740481C1C}"/>
                      </a:extLst>
                    </a:blip>
                    <a:srcRect/>
                    <a:stretch>
                      <a:fillRect/>
                    </a:stretch>
                  </pic:blipFill>
                  <pic:spPr bwMode="auto">
                    <a:xfrm>
                      <a:off x="0" y="0"/>
                      <a:ext cx="4293870" cy="12700"/>
                    </a:xfrm>
                    <a:prstGeom prst="rect">
                      <a:avLst/>
                    </a:prstGeom>
                    <a:noFill/>
                  </pic:spPr>
                </pic:pic>
              </a:graphicData>
            </a:graphic>
          </wp:anchor>
        </w:drawing>
        <w:drawing>
          <wp:anchor simplePos="0" relativeHeight="251657728" behindDoc="1" locked="0" layoutInCell="0" allowOverlap="1">
            <wp:simplePos x="0" y="0"/>
            <wp:positionH relativeFrom="column">
              <wp:posOffset>2547620</wp:posOffset>
            </wp:positionH>
            <wp:positionV relativeFrom="paragraph">
              <wp:posOffset>-1805305</wp:posOffset>
            </wp:positionV>
            <wp:extent cx="19050" cy="18421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0">
                      <a:extLst>
                        <a:ext uri="{28A0092B-C50C-407E-A947-70E740481C1C}"/>
                      </a:extLst>
                    </a:blip>
                    <a:srcRect/>
                    <a:stretch>
                      <a:fillRect/>
                    </a:stretch>
                  </pic:blipFill>
                  <pic:spPr bwMode="auto">
                    <a:xfrm>
                      <a:off x="0" y="0"/>
                      <a:ext cx="19050" cy="1842135"/>
                    </a:xfrm>
                    <a:prstGeom prst="rect">
                      <a:avLst/>
                    </a:prstGeom>
                    <a:noFill/>
                  </pic:spPr>
                </pic:pic>
              </a:graphicData>
            </a:graphic>
          </wp:anchor>
        </w:drawing>
        <w:drawing>
          <wp:anchor simplePos="0" relativeHeight="251657728" behindDoc="1" locked="0" layoutInCell="0" allowOverlap="1">
            <wp:simplePos x="0" y="0"/>
            <wp:positionH relativeFrom="column">
              <wp:posOffset>3189605</wp:posOffset>
            </wp:positionH>
            <wp:positionV relativeFrom="paragraph">
              <wp:posOffset>-1805305</wp:posOffset>
            </wp:positionV>
            <wp:extent cx="32385" cy="18421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1">
                      <a:extLst>
                        <a:ext uri="{28A0092B-C50C-407E-A947-70E740481C1C}"/>
                      </a:extLst>
                    </a:blip>
                    <a:srcRect/>
                    <a:stretch>
                      <a:fillRect/>
                    </a:stretch>
                  </pic:blipFill>
                  <pic:spPr bwMode="auto">
                    <a:xfrm>
                      <a:off x="0" y="0"/>
                      <a:ext cx="32385" cy="1842135"/>
                    </a:xfrm>
                    <a:prstGeom prst="rect">
                      <a:avLst/>
                    </a:prstGeom>
                    <a:noFill/>
                  </pic:spPr>
                </pic:pic>
              </a:graphicData>
            </a:graphic>
          </wp:anchor>
        </w:drawing>
      </w:r>
    </w:p>
    <w:p>
      <w:pPr>
        <w:spacing w:after="0" w:line="17" w:lineRule="exact"/>
        <w:rPr>
          <w:sz w:val="20"/>
          <w:szCs w:val="20"/>
          <w:color w:val="auto"/>
        </w:rPr>
      </w:pPr>
    </w:p>
    <w:p>
      <w:pPr>
        <w:ind w:left="380" w:right="2120"/>
        <w:spacing w:after="0" w:line="215" w:lineRule="auto"/>
        <w:rPr>
          <w:sz w:val="20"/>
          <w:szCs w:val="20"/>
          <w:color w:val="auto"/>
        </w:rPr>
      </w:pPr>
      <w:r>
        <w:rPr>
          <w:rFonts w:ascii="Arial" w:cs="Arial" w:eastAsia="Arial" w:hAnsi="Arial"/>
          <w:sz w:val="13"/>
          <w:szCs w:val="13"/>
          <w:color w:val="auto"/>
        </w:rPr>
        <w:t>During the year ended December 31, 2024, the finance income increased compared to the year ended December 31, 2023, mainly due to interest income earned on security investments as bonds, commercial paper, reverse repos and deposits as well as fair value adjustments in relation to our money market funds. The same effect applies for the year ended December 31, 2023, compared to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-333375</wp:posOffset>
            </wp:positionV>
            <wp:extent cx="4293870" cy="63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2">
                      <a:extLst>
                        <a:ext uri="{28A0092B-C50C-407E-A947-70E740481C1C}"/>
                      </a:extLst>
                    </a:blip>
                    <a:srcRect/>
                    <a:stretch>
                      <a:fillRect/>
                    </a:stretch>
                  </pic:blipFill>
                  <pic:spPr bwMode="auto">
                    <a:xfrm>
                      <a:off x="0" y="0"/>
                      <a:ext cx="4293870" cy="6350"/>
                    </a:xfrm>
                    <a:prstGeom prst="rect">
                      <a:avLst/>
                    </a:prstGeom>
                    <a:noFill/>
                  </pic:spPr>
                </pic:pic>
              </a:graphicData>
            </a:graphic>
          </wp:anchor>
        </w:drawing>
      </w:r>
    </w:p>
    <w:p>
      <w:pPr>
        <w:ind w:left="380" w:right="2160"/>
        <w:spacing w:after="0" w:line="210" w:lineRule="auto"/>
        <w:rPr>
          <w:sz w:val="20"/>
          <w:szCs w:val="20"/>
          <w:color w:val="auto"/>
        </w:rPr>
      </w:pPr>
      <w:r>
        <w:rPr>
          <w:rFonts w:ascii="Arial" w:cs="Arial" w:eastAsia="Arial" w:hAnsi="Arial"/>
          <w:sz w:val="13"/>
          <w:szCs w:val="13"/>
          <w:color w:val="auto"/>
        </w:rPr>
        <w:t>During the year ended December 31, 2024, the finance expenses increased compared to the year ended December 31, 2023, mainly due to interest expenses for financial liabilities that have been discounted at inception date, interests on leases and tax liabilities and impairments for expected credit losses of financial assets. This was partially compensated by positive exchange rate effects. During the year ended December 31, 2023, the other finance income increased compared to the year ended December 31, 2022.</w:t>
      </w:r>
    </w:p>
    <w:p>
      <w:pPr>
        <w:spacing w:after="0" w:line="3"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005A64"/>
        </w:rPr>
        <w:t>7.4 Employee Benefits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-5715</wp:posOffset>
            </wp:positionV>
            <wp:extent cx="4293870" cy="127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3">
                      <a:extLst>
                        <a:ext uri="{28A0092B-C50C-407E-A947-70E740481C1C}"/>
                      </a:extLst>
                    </a:blip>
                    <a:srcRect/>
                    <a:stretch>
                      <a:fillRect/>
                    </a:stretch>
                  </pic:blipFill>
                  <pic:spPr bwMode="auto">
                    <a:xfrm>
                      <a:off x="0" y="0"/>
                      <a:ext cx="4293870" cy="12700"/>
                    </a:xfrm>
                    <a:prstGeom prst="rect">
                      <a:avLst/>
                    </a:prstGeom>
                    <a:noFill/>
                  </pic:spPr>
                </pic:pic>
              </a:graphicData>
            </a:graphic>
          </wp:anchor>
        </w:drawing>
      </w:r>
    </w:p>
    <w:p>
      <w:pPr>
        <w:spacing w:after="0" w:line="34"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005A64"/>
              </w:rPr>
              <w:t>Years ended</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005A64"/>
              </w:rPr>
              <w:t>December 31,</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640" w:type="dxa"/>
            <w:vAlign w:val="bottom"/>
            <w:gridSpan w:val="2"/>
            <w:vMerge w:val="restart"/>
          </w:tcPr>
          <w:p>
            <w:pPr>
              <w:ind w:left="20"/>
              <w:spacing w:after="0"/>
              <w:rPr>
                <w:sz w:val="20"/>
                <w:szCs w:val="20"/>
                <w:color w:val="auto"/>
              </w:rPr>
            </w:pPr>
            <w:r>
              <w:rPr>
                <w:rFonts w:ascii="Arial" w:cs="Arial" w:eastAsia="Arial" w:hAnsi="Arial"/>
                <w:sz w:val="12"/>
                <w:szCs w:val="12"/>
                <w:i w:val="1"/>
                <w:iCs w:val="1"/>
                <w:color w:val="005A64"/>
              </w:rPr>
              <w:t>(in millions €)</w:t>
            </w:r>
          </w:p>
        </w:tc>
        <w:tc>
          <w:tcPr>
            <w:tcW w:w="20" w:type="dxa"/>
            <w:vAlign w:val="bottom"/>
            <w:tcBorders>
              <w:bottom w:val="single" w:sz="8" w:color="BECE33"/>
            </w:tcBorders>
          </w:tcPr>
          <w:p>
            <w:pPr>
              <w:spacing w:after="0"/>
              <w:rPr>
                <w:sz w:val="11"/>
                <w:szCs w:val="11"/>
                <w:color w:val="auto"/>
              </w:rPr>
            </w:pPr>
          </w:p>
        </w:tc>
        <w:tc>
          <w:tcPr>
            <w:tcW w:w="980" w:type="dxa"/>
            <w:vAlign w:val="bottom"/>
            <w:tcBorders>
              <w:bottom w:val="single" w:sz="8" w:color="BECE33"/>
            </w:tcBorders>
          </w:tcPr>
          <w:p>
            <w:pPr>
              <w:spacing w:after="0"/>
              <w:rPr>
                <w:sz w:val="11"/>
                <w:szCs w:val="11"/>
                <w:color w:val="auto"/>
              </w:rPr>
            </w:pPr>
          </w:p>
        </w:tc>
        <w:tc>
          <w:tcPr>
            <w:tcW w:w="60" w:type="dxa"/>
            <w:vAlign w:val="bottom"/>
            <w:tcBorders>
              <w:bottom w:val="single" w:sz="8" w:color="BECE33"/>
            </w:tcBorders>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005A64"/>
              </w:rPr>
              <w:t>2023</w:t>
            </w:r>
          </w:p>
        </w:tc>
        <w:tc>
          <w:tcPr>
            <w:tcW w:w="10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005A64"/>
              </w:rPr>
              <w:t>2022</w:t>
            </w:r>
          </w:p>
        </w:tc>
        <w:tc>
          <w:tcPr>
            <w:tcW w:w="0" w:type="dxa"/>
            <w:vAlign w:val="bottom"/>
          </w:tcPr>
          <w:p>
            <w:pPr>
              <w:spacing w:after="0"/>
              <w:rPr>
                <w:sz w:val="1"/>
                <w:szCs w:val="1"/>
                <w:color w:val="auto"/>
              </w:rPr>
            </w:pPr>
          </w:p>
        </w:tc>
      </w:tr>
      <w:tr>
        <w:trPr>
          <w:trHeight w:val="156"/>
        </w:trPr>
        <w:tc>
          <w:tcPr>
            <w:tcW w:w="3640" w:type="dxa"/>
            <w:vAlign w:val="bottom"/>
            <w:gridSpan w:val="2"/>
            <w:vMerge w:val="continue"/>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62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80" w:type="dxa"/>
            <w:vAlign w:val="bottom"/>
            <w:vMerge w:val="restart"/>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620" w:type="dxa"/>
            <w:vAlign w:val="bottom"/>
          </w:tcPr>
          <w:p>
            <w:pPr>
              <w:ind w:left="20"/>
              <w:spacing w:after="0"/>
              <w:rPr>
                <w:sz w:val="20"/>
                <w:szCs w:val="20"/>
                <w:color w:val="auto"/>
              </w:rPr>
            </w:pPr>
            <w:r>
              <w:rPr>
                <w:rFonts w:ascii="Arial" w:cs="Arial" w:eastAsia="Arial" w:hAnsi="Arial"/>
                <w:sz w:val="12"/>
                <w:szCs w:val="12"/>
                <w:color w:val="005A64"/>
              </w:rPr>
              <w:t>Wages and salaries</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005A64"/>
              </w:rPr>
              <w:t>814.0</w:t>
            </w:r>
          </w:p>
        </w:tc>
        <w:tc>
          <w:tcPr>
            <w:tcW w:w="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005A64"/>
              </w:rPr>
              <w:t>617.8</w:t>
            </w:r>
          </w:p>
        </w:tc>
        <w:tc>
          <w:tcPr>
            <w:tcW w:w="80" w:type="dxa"/>
            <w:vAlign w:val="bottom"/>
            <w:vMerge w:val="continue"/>
          </w:tcPr>
          <w:p>
            <w:pPr>
              <w:spacing w:after="0"/>
              <w:rPr>
                <w:sz w:val="13"/>
                <w:szCs w:val="13"/>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005A64"/>
              </w:rPr>
              <w:t>544.8</w:t>
            </w:r>
          </w:p>
        </w:tc>
        <w:tc>
          <w:tcPr>
            <w:tcW w:w="0" w:type="dxa"/>
            <w:vAlign w:val="bottom"/>
          </w:tcPr>
          <w:p>
            <w:pPr>
              <w:spacing w:after="0"/>
              <w:rPr>
                <w:sz w:val="1"/>
                <w:szCs w:val="1"/>
                <w:color w:val="auto"/>
              </w:rPr>
            </w:pPr>
          </w:p>
        </w:tc>
      </w:tr>
      <w:tr>
        <w:trPr>
          <w:trHeight w:val="181"/>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Social security costs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113.7</w:t>
            </w:r>
          </w:p>
        </w:tc>
        <w:tc>
          <w:tcPr>
            <w:tcW w:w="6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76.7</w:t>
            </w:r>
          </w:p>
        </w:tc>
        <w:tc>
          <w:tcPr>
            <w:tcW w:w="1060" w:type="dxa"/>
            <w:vAlign w:val="bottom"/>
            <w:gridSpan w:val="2"/>
          </w:tcPr>
          <w:p>
            <w:pPr>
              <w:ind w:left="100"/>
              <w:spacing w:after="0"/>
              <w:rPr>
                <w:sz w:val="20"/>
                <w:szCs w:val="20"/>
                <w:color w:val="auto"/>
              </w:rPr>
            </w:pPr>
            <w:r>
              <w:rPr>
                <w:rFonts w:ascii="Arial" w:cs="Arial" w:eastAsia="Arial" w:hAnsi="Arial"/>
                <w:sz w:val="12"/>
                <w:szCs w:val="12"/>
                <w:color w:val="005A64"/>
              </w:rPr>
              <w:t>58.6</w:t>
            </w:r>
          </w:p>
        </w:tc>
        <w:tc>
          <w:tcPr>
            <w:tcW w:w="0" w:type="dxa"/>
            <w:vAlign w:val="bottom"/>
          </w:tcPr>
          <w:p>
            <w:pPr>
              <w:spacing w:after="0"/>
              <w:rPr>
                <w:sz w:val="1"/>
                <w:szCs w:val="1"/>
                <w:color w:val="auto"/>
              </w:rPr>
            </w:pPr>
          </w:p>
        </w:tc>
      </w:tr>
      <w:tr>
        <w:trPr>
          <w:trHeight w:val="202"/>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Pension costs</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3.5</w:t>
            </w:r>
          </w:p>
        </w:tc>
        <w:tc>
          <w:tcPr>
            <w:tcW w:w="6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4.1</w:t>
            </w:r>
          </w:p>
        </w:tc>
        <w:tc>
          <w:tcPr>
            <w:tcW w:w="1060" w:type="dxa"/>
            <w:vAlign w:val="bottom"/>
            <w:gridSpan w:val="2"/>
          </w:tcPr>
          <w:p>
            <w:pPr>
              <w:ind w:left="100"/>
              <w:spacing w:after="0"/>
              <w:rPr>
                <w:sz w:val="20"/>
                <w:szCs w:val="20"/>
                <w:color w:val="auto"/>
              </w:rPr>
            </w:pPr>
            <w:r>
              <w:rPr>
                <w:rFonts w:ascii="Arial" w:cs="Arial" w:eastAsia="Arial" w:hAnsi="Arial"/>
                <w:sz w:val="12"/>
                <w:szCs w:val="12"/>
                <w:color w:val="005A64"/>
              </w:rPr>
              <w:t>2.1</w:t>
            </w:r>
          </w:p>
        </w:tc>
        <w:tc>
          <w:tcPr>
            <w:tcW w:w="0" w:type="dxa"/>
            <w:vAlign w:val="bottom"/>
          </w:tcPr>
          <w:p>
            <w:pPr>
              <w:spacing w:after="0"/>
              <w:rPr>
                <w:sz w:val="1"/>
                <w:szCs w:val="1"/>
                <w:color w:val="auto"/>
              </w:rPr>
            </w:pPr>
          </w:p>
        </w:tc>
      </w:tr>
      <w:tr>
        <w:trPr>
          <w:trHeight w:val="208"/>
        </w:trPr>
        <w:tc>
          <w:tcPr>
            <w:tcW w:w="364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931.2</w:t>
            </w:r>
          </w:p>
        </w:tc>
        <w:tc>
          <w:tcPr>
            <w:tcW w:w="6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698.6</w:t>
            </w: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005A64"/>
              </w:rPr>
              <w:t>605.5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2547620</wp:posOffset>
            </wp:positionH>
            <wp:positionV relativeFrom="paragraph">
              <wp:posOffset>-611505</wp:posOffset>
            </wp:positionV>
            <wp:extent cx="673735" cy="6483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4">
                      <a:extLst>
                        <a:ext uri="{28A0092B-C50C-407E-A947-70E740481C1C}"/>
                      </a:extLst>
                    </a:blip>
                    <a:srcRect/>
                    <a:stretch>
                      <a:fillRect/>
                    </a:stretch>
                  </pic:blipFill>
                  <pic:spPr bwMode="auto">
                    <a:xfrm>
                      <a:off x="0" y="0"/>
                      <a:ext cx="673735" cy="648335"/>
                    </a:xfrm>
                    <a:prstGeom prst="rect">
                      <a:avLst/>
                    </a:prstGeom>
                    <a:noFill/>
                  </pic:spPr>
                </pic:pic>
              </a:graphicData>
            </a:graphic>
          </wp:anchor>
        </w:drawing>
      </w:r>
    </w:p>
    <w:p>
      <w:pPr>
        <w:spacing w:after="0" w:line="17" w:lineRule="exact"/>
        <w:rPr>
          <w:sz w:val="20"/>
          <w:szCs w:val="20"/>
          <w:color w:val="auto"/>
        </w:rPr>
      </w:pPr>
    </w:p>
    <w:p>
      <w:pPr>
        <w:ind w:left="380" w:right="2260"/>
        <w:spacing w:after="0" w:line="222" w:lineRule="auto"/>
        <w:rPr>
          <w:sz w:val="20"/>
          <w:szCs w:val="20"/>
          <w:color w:val="auto"/>
        </w:rPr>
      </w:pPr>
      <w:r>
        <w:rPr>
          <w:rFonts w:ascii="Arial" w:cs="Arial" w:eastAsia="Arial" w:hAnsi="Arial"/>
          <w:sz w:val="13"/>
          <w:szCs w:val="13"/>
          <w:color w:val="auto"/>
        </w:rPr>
        <w:t>Wages and salaries include, among other things, expenses for share- based payments. The increase is mainly due to an increase in headcount between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-168910</wp:posOffset>
            </wp:positionV>
            <wp:extent cx="4293870" cy="63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5">
                      <a:extLst>
                        <a:ext uri="{28A0092B-C50C-407E-A947-70E740481C1C}"/>
                      </a:extLst>
                    </a:blip>
                    <a:srcRect/>
                    <a:stretch>
                      <a:fillRect/>
                    </a:stretch>
                  </pic:blipFill>
                  <pic:spPr bwMode="auto">
                    <a:xfrm>
                      <a:off x="0" y="0"/>
                      <a:ext cx="4293870" cy="6350"/>
                    </a:xfrm>
                    <a:prstGeom prst="rect">
                      <a:avLst/>
                    </a:prstGeom>
                    <a:noFill/>
                  </pic:spPr>
                </pic:pic>
              </a:graphicData>
            </a:graphic>
          </wp:anchor>
        </w:drawing>
      </w:r>
    </w:p>
    <w:p>
      <w:pPr>
        <w:ind w:left="380"/>
        <w:spacing w:after="0" w:line="208" w:lineRule="auto"/>
        <w:rPr>
          <w:sz w:val="20"/>
          <w:szCs w:val="20"/>
          <w:color w:val="auto"/>
        </w:rPr>
      </w:pPr>
      <w:r>
        <w:rPr>
          <w:rFonts w:ascii="Arial" w:cs="Arial" w:eastAsia="Arial" w:hAnsi="Arial"/>
          <w:sz w:val="16"/>
          <w:szCs w:val="16"/>
          <w:b w:val="1"/>
          <w:bCs w:val="1"/>
          <w:color w:val="005A64"/>
        </w:rPr>
        <w:t>8 Income Tax</w:t>
      </w:r>
    </w:p>
    <w:p>
      <w:pPr>
        <w:spacing w:after="0" w:line="1" w:lineRule="exact"/>
        <w:rPr>
          <w:sz w:val="20"/>
          <w:szCs w:val="20"/>
          <w:color w:val="auto"/>
        </w:rPr>
      </w:pPr>
    </w:p>
    <w:p>
      <w:pPr>
        <w:ind w:left="380" w:right="2100"/>
        <w:spacing w:after="0" w:line="222" w:lineRule="auto"/>
        <w:rPr>
          <w:sz w:val="20"/>
          <w:szCs w:val="20"/>
          <w:color w:val="auto"/>
        </w:rPr>
      </w:pPr>
      <w:r>
        <w:rPr>
          <w:rFonts w:ascii="Arial" w:cs="Arial" w:eastAsia="Arial" w:hAnsi="Arial"/>
          <w:sz w:val="13"/>
          <w:szCs w:val="13"/>
          <w:color w:val="auto"/>
        </w:rPr>
        <w:t>Income tax for the years ended December 31, 2024, December 31, 2023, and December 31, 2022, comprised current income taxes, other taxes and deferred taxes. We are subject to corporate taxes, the solidarity surcharge and trade taxes. Our corporate tax rate in the reporting year remained unchanged (15.0%) as did the solidarity surcharge (5.5%) whereas the average trade tax rate changed resulting in a combined income tax rate of 27.6%</w:t>
      </w:r>
    </w:p>
    <w:p>
      <w:pPr>
        <w:spacing w:after="0" w:line="2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F-39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080"/>
        <w:spacing w:after="0" w:line="224" w:lineRule="auto"/>
        <w:rPr>
          <w:sz w:val="20"/>
          <w:szCs w:val="20"/>
          <w:color w:val="auto"/>
        </w:rPr>
      </w:pPr>
      <w:r>
        <w:rPr>
          <w:rFonts w:ascii="Arial" w:cs="Arial" w:eastAsia="Arial" w:hAnsi="Arial"/>
          <w:sz w:val="13"/>
          <w:szCs w:val="13"/>
          <w:color w:val="auto"/>
        </w:rPr>
        <w:t>in the year ended December 31, 2024 (during the years ended December 31, 2023 and 2022: 27.1% and 27.2%, respectively). Deferred taxes are calculated at a rate of 30.8%. BioNTech USA Holding, LLC is subject to Federal Corporate Income Tax (21.0%) as well as State Income Tax in various state jurisdictions (effective rate of 3.4%). The deferred tax rates calculations basis remained unchanged compared to the previous period. The following table illustrates the current and deferred taxes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-436245</wp:posOffset>
            </wp:positionV>
            <wp:extent cx="5231130" cy="63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6">
                      <a:extLst>
                        <a:ext uri="{28A0092B-C50C-407E-A947-70E740481C1C}"/>
                      </a:extLst>
                    </a:blip>
                    <a:srcRect/>
                    <a:stretch>
                      <a:fillRect/>
                    </a:stretch>
                  </pic:blipFill>
                  <pic:spPr bwMode="auto">
                    <a:xfrm>
                      <a:off x="0" y="0"/>
                      <a:ext cx="5231130" cy="635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-12700</wp:posOffset>
            </wp:positionV>
            <wp:extent cx="4300220" cy="127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7">
                      <a:extLst>
                        <a:ext uri="{28A0092B-C50C-407E-A947-70E740481C1C}"/>
                      </a:extLst>
                    </a:blip>
                    <a:srcRect/>
                    <a:stretch>
                      <a:fillRect/>
                    </a:stretch>
                  </pic:blipFill>
                  <pic:spPr bwMode="auto">
                    <a:xfrm>
                      <a:off x="0" y="0"/>
                      <a:ext cx="4300220" cy="12700"/>
                    </a:xfrm>
                    <a:prstGeom prst="rect">
                      <a:avLst/>
                    </a:prstGeom>
                    <a:noFill/>
                  </pic:spPr>
                </pic:pic>
              </a:graphicData>
            </a:graphic>
          </wp:anchor>
        </w:drawing>
      </w:r>
    </w:p>
    <w:p>
      <w:pPr>
        <w:spacing w:after="0" w:line="23"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005A64"/>
              </w:rPr>
              <w:t>Years ended</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005A64"/>
              </w:rPr>
              <w:t>December 31,</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640" w:type="dxa"/>
            <w:vAlign w:val="bottom"/>
            <w:gridSpan w:val="2"/>
            <w:vMerge w:val="restart"/>
          </w:tcPr>
          <w:p>
            <w:pPr>
              <w:ind w:left="20"/>
              <w:spacing w:after="0"/>
              <w:rPr>
                <w:sz w:val="20"/>
                <w:szCs w:val="20"/>
                <w:color w:val="auto"/>
              </w:rPr>
            </w:pPr>
            <w:r>
              <w:rPr>
                <w:rFonts w:ascii="Arial" w:cs="Arial" w:eastAsia="Arial" w:hAnsi="Arial"/>
                <w:sz w:val="12"/>
                <w:szCs w:val="12"/>
                <w:i w:val="1"/>
                <w:iCs w:val="1"/>
                <w:color w:val="005A64"/>
              </w:rPr>
              <w:t>(in millions €)</w:t>
            </w:r>
          </w:p>
        </w:tc>
        <w:tc>
          <w:tcPr>
            <w:tcW w:w="40" w:type="dxa"/>
            <w:vAlign w:val="bottom"/>
            <w:tcBorders>
              <w:bottom w:val="single" w:sz="8" w:color="BECE33"/>
            </w:tcBorders>
          </w:tcPr>
          <w:p>
            <w:pPr>
              <w:spacing w:after="0"/>
              <w:rPr>
                <w:sz w:val="11"/>
                <w:szCs w:val="11"/>
                <w:color w:val="auto"/>
              </w:rPr>
            </w:pPr>
          </w:p>
        </w:tc>
        <w:tc>
          <w:tcPr>
            <w:tcW w:w="980" w:type="dxa"/>
            <w:vAlign w:val="bottom"/>
            <w:tcBorders>
              <w:bottom w:val="single" w:sz="8" w:color="BECE33"/>
            </w:tcBorders>
          </w:tcPr>
          <w:p>
            <w:pPr>
              <w:spacing w:after="0"/>
              <w:rPr>
                <w:sz w:val="11"/>
                <w:szCs w:val="11"/>
                <w:color w:val="auto"/>
              </w:rPr>
            </w:pPr>
          </w:p>
        </w:tc>
        <w:tc>
          <w:tcPr>
            <w:tcW w:w="40" w:type="dxa"/>
            <w:vAlign w:val="bottom"/>
            <w:tcBorders>
              <w:bottom w:val="single" w:sz="8" w:color="BECE33"/>
            </w:tcBorders>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005A64"/>
              </w:rPr>
              <w:t>2023</w:t>
            </w:r>
          </w:p>
        </w:tc>
        <w:tc>
          <w:tcPr>
            <w:tcW w:w="10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005A64"/>
              </w:rPr>
              <w:t>2022</w:t>
            </w:r>
          </w:p>
        </w:tc>
        <w:tc>
          <w:tcPr>
            <w:tcW w:w="0" w:type="dxa"/>
            <w:vAlign w:val="bottom"/>
          </w:tcPr>
          <w:p>
            <w:pPr>
              <w:spacing w:after="0"/>
              <w:rPr>
                <w:sz w:val="1"/>
                <w:szCs w:val="1"/>
                <w:color w:val="auto"/>
              </w:rPr>
            </w:pPr>
          </w:p>
        </w:tc>
      </w:tr>
      <w:tr>
        <w:trPr>
          <w:trHeight w:val="156"/>
        </w:trPr>
        <w:tc>
          <w:tcPr>
            <w:tcW w:w="3640" w:type="dxa"/>
            <w:vAlign w:val="bottom"/>
            <w:gridSpan w:val="2"/>
            <w:vMerge w:val="continue"/>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62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80" w:type="dxa"/>
            <w:vAlign w:val="bottom"/>
            <w:vMerge w:val="restart"/>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620" w:type="dxa"/>
            <w:vAlign w:val="bottom"/>
          </w:tcPr>
          <w:p>
            <w:pPr>
              <w:ind w:left="20"/>
              <w:spacing w:after="0"/>
              <w:rPr>
                <w:sz w:val="20"/>
                <w:szCs w:val="20"/>
                <w:color w:val="auto"/>
              </w:rPr>
            </w:pPr>
            <w:r>
              <w:rPr>
                <w:rFonts w:ascii="Arial" w:cs="Arial" w:eastAsia="Arial" w:hAnsi="Arial"/>
                <w:sz w:val="12"/>
                <w:szCs w:val="12"/>
                <w:color w:val="005A64"/>
              </w:rPr>
              <w:t>Current income taxes</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2"/>
                <w:szCs w:val="12"/>
                <w:color w:val="005A64"/>
              </w:rPr>
              <w:t>(2.3)</w:t>
            </w:r>
          </w:p>
        </w:tc>
        <w:tc>
          <w:tcPr>
            <w:tcW w:w="4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2"/>
                <w:szCs w:val="12"/>
                <w:color w:val="005A64"/>
              </w:rPr>
              <w:t>243.1</w:t>
            </w:r>
          </w:p>
        </w:tc>
        <w:tc>
          <w:tcPr>
            <w:tcW w:w="80" w:type="dxa"/>
            <w:vAlign w:val="bottom"/>
            <w:vMerge w:val="continue"/>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2"/>
                <w:szCs w:val="12"/>
                <w:color w:val="005A64"/>
              </w:rPr>
              <w:t>3,629.6</w:t>
            </w:r>
          </w:p>
        </w:tc>
        <w:tc>
          <w:tcPr>
            <w:tcW w:w="0" w:type="dxa"/>
            <w:vAlign w:val="bottom"/>
          </w:tcPr>
          <w:p>
            <w:pPr>
              <w:spacing w:after="0"/>
              <w:rPr>
                <w:sz w:val="1"/>
                <w:szCs w:val="1"/>
                <w:color w:val="auto"/>
              </w:rPr>
            </w:pPr>
          </w:p>
        </w:tc>
      </w:tr>
      <w:tr>
        <w:trPr>
          <w:trHeight w:val="181"/>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Deferred taxes</w:t>
            </w: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(10.1)</w:t>
            </w:r>
          </w:p>
        </w:tc>
        <w:tc>
          <w:tcPr>
            <w:tcW w:w="4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12.7</w:t>
            </w:r>
          </w:p>
        </w:tc>
        <w:tc>
          <w:tcPr>
            <w:tcW w:w="1060" w:type="dxa"/>
            <w:vAlign w:val="bottom"/>
            <w:gridSpan w:val="2"/>
          </w:tcPr>
          <w:p>
            <w:pPr>
              <w:ind w:left="80"/>
              <w:spacing w:after="0"/>
              <w:rPr>
                <w:sz w:val="20"/>
                <w:szCs w:val="20"/>
                <w:color w:val="auto"/>
              </w:rPr>
            </w:pPr>
            <w:r>
              <w:rPr>
                <w:rFonts w:ascii="Arial" w:cs="Arial" w:eastAsia="Arial" w:hAnsi="Arial"/>
                <w:sz w:val="12"/>
                <w:szCs w:val="12"/>
                <w:color w:val="005A64"/>
              </w:rPr>
              <w:t>(109.9)</w:t>
            </w:r>
          </w:p>
        </w:tc>
        <w:tc>
          <w:tcPr>
            <w:tcW w:w="0" w:type="dxa"/>
            <w:vAlign w:val="bottom"/>
          </w:tcPr>
          <w:p>
            <w:pPr>
              <w:spacing w:after="0"/>
              <w:rPr>
                <w:sz w:val="1"/>
                <w:szCs w:val="1"/>
                <w:color w:val="auto"/>
              </w:rPr>
            </w:pPr>
          </w:p>
        </w:tc>
      </w:tr>
      <w:tr>
        <w:trPr>
          <w:trHeight w:val="208"/>
        </w:trPr>
        <w:tc>
          <w:tcPr>
            <w:tcW w:w="3640" w:type="dxa"/>
            <w:vAlign w:val="bottom"/>
            <w:gridSpan w:val="2"/>
          </w:tcPr>
          <w:p>
            <w:pPr>
              <w:ind w:left="20"/>
              <w:spacing w:after="0"/>
              <w:rPr>
                <w:sz w:val="20"/>
                <w:szCs w:val="20"/>
                <w:color w:val="auto"/>
              </w:rPr>
            </w:pPr>
            <w:r>
              <w:rPr>
                <w:rFonts w:ascii="Arial" w:cs="Arial" w:eastAsia="Arial" w:hAnsi="Arial"/>
                <w:sz w:val="12"/>
                <w:szCs w:val="12"/>
                <w:b w:val="1"/>
                <w:bCs w:val="1"/>
                <w:color w:val="005A64"/>
              </w:rPr>
              <w:t>Income taxes expenses / (income)</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005A64"/>
              </w:rPr>
              <w:t>(12.4)</w:t>
            </w:r>
          </w:p>
        </w:tc>
        <w:tc>
          <w:tcPr>
            <w:tcW w:w="4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005A64"/>
              </w:rPr>
              <w:t>255.8</w:t>
            </w: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005A64"/>
              </w:rPr>
              <w:t>3,519.7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-483235</wp:posOffset>
            </wp:positionV>
            <wp:extent cx="673735" cy="5200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8">
                      <a:extLst>
                        <a:ext uri="{28A0092B-C50C-407E-A947-70E740481C1C}"/>
                      </a:extLst>
                    </a:blip>
                    <a:srcRect/>
                    <a:stretch>
                      <a:fillRect/>
                    </a:stretch>
                  </pic:blipFill>
                  <pic:spPr bwMode="auto">
                    <a:xfrm>
                      <a:off x="0" y="0"/>
                      <a:ext cx="673735" cy="520065"/>
                    </a:xfrm>
                    <a:prstGeom prst="rect">
                      <a:avLst/>
                    </a:prstGeom>
                    <a:noFill/>
                  </pic:spPr>
                </pic:pic>
              </a:graphicData>
            </a:graphic>
          </wp:anchor>
        </w:drawing>
      </w:r>
    </w:p>
    <w:p>
      <w:pPr>
        <w:spacing w:after="0" w:line="17" w:lineRule="exact"/>
        <w:rPr>
          <w:sz w:val="20"/>
          <w:szCs w:val="20"/>
          <w:color w:val="auto"/>
        </w:rPr>
      </w:pPr>
    </w:p>
    <w:p>
      <w:pPr>
        <w:ind w:left="380" w:right="2340"/>
        <w:spacing w:after="0" w:line="233" w:lineRule="auto"/>
        <w:rPr>
          <w:sz w:val="20"/>
          <w:szCs w:val="20"/>
          <w:color w:val="auto"/>
        </w:rPr>
      </w:pPr>
      <w:r>
        <w:rPr>
          <w:rFonts w:ascii="Arial" w:cs="Arial" w:eastAsia="Arial" w:hAnsi="Arial"/>
          <w:sz w:val="13"/>
          <w:szCs w:val="13"/>
          <w:color w:val="auto"/>
        </w:rPr>
        <w:t>The following table reconciles the expected income taxes to the income tax expenses. The expected income taxes were calculated using the combined income tax rate of BioNTech SE applicable to the Group and mentioned above which was applied to profit before taxes to calculate the expected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-269875</wp:posOffset>
            </wp:positionV>
            <wp:extent cx="4300220" cy="63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9">
                      <a:extLst>
                        <a:ext uri="{28A0092B-C50C-407E-A947-70E740481C1C}"/>
                      </a:extLst>
                    </a:blip>
                    <a:srcRect/>
                    <a:stretch>
                      <a:fillRect/>
                    </a:stretch>
                  </pic:blipFill>
                  <pic:spPr bwMode="auto">
                    <a:xfrm>
                      <a:off x="0" y="0"/>
                      <a:ext cx="4300220" cy="635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-12700</wp:posOffset>
            </wp:positionV>
            <wp:extent cx="4300220" cy="127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0">
                      <a:extLst>
                        <a:ext uri="{28A0092B-C50C-407E-A947-70E740481C1C}"/>
                      </a:extLst>
                    </a:blip>
                    <a:srcRect/>
                    <a:stretch>
                      <a:fillRect/>
                    </a:stretch>
                  </pic:blipFill>
                  <pic:spPr bwMode="auto">
                    <a:xfrm>
                      <a:off x="0" y="0"/>
                      <a:ext cx="4300220" cy="12700"/>
                    </a:xfrm>
                    <a:prstGeom prst="rect">
                      <a:avLst/>
                    </a:prstGeom>
                    <a:noFill/>
                  </pic:spPr>
                </pic:pic>
              </a:graphicData>
            </a:graphic>
          </wp:anchor>
        </w:drawing>
      </w:r>
    </w:p>
    <w:p>
      <w:pPr>
        <w:spacing w:after="0" w:line="23"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005A64"/>
              </w:rPr>
              <w:t>Years ended</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005A64"/>
              </w:rPr>
              <w:t>December 31,</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640" w:type="dxa"/>
            <w:vAlign w:val="bottom"/>
            <w:gridSpan w:val="2"/>
            <w:vMerge w:val="restart"/>
          </w:tcPr>
          <w:p>
            <w:pPr>
              <w:ind w:left="20"/>
              <w:spacing w:after="0"/>
              <w:rPr>
                <w:sz w:val="20"/>
                <w:szCs w:val="20"/>
                <w:color w:val="auto"/>
              </w:rPr>
            </w:pPr>
            <w:r>
              <w:rPr>
                <w:rFonts w:ascii="Arial" w:cs="Arial" w:eastAsia="Arial" w:hAnsi="Arial"/>
                <w:sz w:val="12"/>
                <w:szCs w:val="12"/>
                <w:i w:val="1"/>
                <w:iCs w:val="1"/>
                <w:color w:val="005A64"/>
              </w:rPr>
              <w:t>(in millions €)</w:t>
            </w:r>
          </w:p>
        </w:tc>
        <w:tc>
          <w:tcPr>
            <w:tcW w:w="40" w:type="dxa"/>
            <w:vAlign w:val="bottom"/>
            <w:tcBorders>
              <w:bottom w:val="single" w:sz="8" w:color="BECE33"/>
            </w:tcBorders>
          </w:tcPr>
          <w:p>
            <w:pPr>
              <w:spacing w:after="0"/>
              <w:rPr>
                <w:sz w:val="11"/>
                <w:szCs w:val="11"/>
                <w:color w:val="auto"/>
              </w:rPr>
            </w:pPr>
          </w:p>
        </w:tc>
        <w:tc>
          <w:tcPr>
            <w:tcW w:w="980" w:type="dxa"/>
            <w:vAlign w:val="bottom"/>
            <w:tcBorders>
              <w:bottom w:val="single" w:sz="8" w:color="BECE33"/>
            </w:tcBorders>
          </w:tcPr>
          <w:p>
            <w:pPr>
              <w:spacing w:after="0"/>
              <w:rPr>
                <w:sz w:val="11"/>
                <w:szCs w:val="11"/>
                <w:color w:val="auto"/>
              </w:rPr>
            </w:pPr>
          </w:p>
        </w:tc>
        <w:tc>
          <w:tcPr>
            <w:tcW w:w="40" w:type="dxa"/>
            <w:vAlign w:val="bottom"/>
            <w:tcBorders>
              <w:bottom w:val="single" w:sz="8" w:color="BECE33"/>
            </w:tcBorders>
          </w:tcPr>
          <w:p>
            <w:pPr>
              <w:spacing w:after="0"/>
              <w:rPr>
                <w:sz w:val="11"/>
                <w:szCs w:val="11"/>
                <w:color w:val="auto"/>
              </w:rPr>
            </w:pPr>
          </w:p>
        </w:tc>
        <w:tc>
          <w:tcPr>
            <w:tcW w:w="1020" w:type="dxa"/>
            <w:vAlign w:val="bottom"/>
            <w:gridSpan w:val="2"/>
            <w:vMerge w:val="restart"/>
          </w:tcPr>
          <w:p>
            <w:pPr>
              <w:jc w:val="right"/>
              <w:ind w:right="139"/>
              <w:spacing w:after="0"/>
              <w:rPr>
                <w:sz w:val="20"/>
                <w:szCs w:val="20"/>
                <w:color w:val="auto"/>
              </w:rPr>
            </w:pPr>
            <w:r>
              <w:rPr>
                <w:rFonts w:ascii="Arial" w:cs="Arial" w:eastAsia="Arial" w:hAnsi="Arial"/>
                <w:sz w:val="12"/>
                <w:szCs w:val="12"/>
                <w:b w:val="1"/>
                <w:bCs w:val="1"/>
                <w:color w:val="005A64"/>
              </w:rPr>
              <w:t>2023</w:t>
            </w:r>
          </w:p>
        </w:tc>
        <w:tc>
          <w:tcPr>
            <w:tcW w:w="1060" w:type="dxa"/>
            <w:vAlign w:val="bottom"/>
            <w:gridSpan w:val="2"/>
            <w:vMerge w:val="restart"/>
          </w:tcPr>
          <w:p>
            <w:pPr>
              <w:jc w:val="right"/>
              <w:ind w:right="139"/>
              <w:spacing w:after="0"/>
              <w:rPr>
                <w:sz w:val="20"/>
                <w:szCs w:val="20"/>
                <w:color w:val="auto"/>
              </w:rPr>
            </w:pPr>
            <w:r>
              <w:rPr>
                <w:rFonts w:ascii="Arial" w:cs="Arial" w:eastAsia="Arial" w:hAnsi="Arial"/>
                <w:sz w:val="12"/>
                <w:szCs w:val="12"/>
                <w:b w:val="1"/>
                <w:bCs w:val="1"/>
                <w:color w:val="005A64"/>
              </w:rPr>
              <w:t>2022</w:t>
            </w:r>
          </w:p>
        </w:tc>
        <w:tc>
          <w:tcPr>
            <w:tcW w:w="0" w:type="dxa"/>
            <w:vAlign w:val="bottom"/>
          </w:tcPr>
          <w:p>
            <w:pPr>
              <w:spacing w:after="0"/>
              <w:rPr>
                <w:sz w:val="1"/>
                <w:szCs w:val="1"/>
                <w:color w:val="auto"/>
              </w:rPr>
            </w:pPr>
          </w:p>
        </w:tc>
      </w:tr>
      <w:tr>
        <w:trPr>
          <w:trHeight w:val="156"/>
        </w:trPr>
        <w:tc>
          <w:tcPr>
            <w:tcW w:w="3640" w:type="dxa"/>
            <w:vAlign w:val="bottom"/>
            <w:gridSpan w:val="2"/>
            <w:vMerge w:val="continue"/>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62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80" w:type="dxa"/>
            <w:vAlign w:val="bottom"/>
            <w:vMerge w:val="restart"/>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620" w:type="dxa"/>
            <w:vAlign w:val="bottom"/>
          </w:tcPr>
          <w:p>
            <w:pPr>
              <w:ind w:left="20"/>
              <w:spacing w:after="0"/>
              <w:rPr>
                <w:sz w:val="20"/>
                <w:szCs w:val="20"/>
                <w:color w:val="auto"/>
              </w:rPr>
            </w:pPr>
            <w:r>
              <w:rPr>
                <w:rFonts w:ascii="Arial" w:cs="Arial" w:eastAsia="Arial" w:hAnsi="Arial"/>
                <w:sz w:val="12"/>
                <w:szCs w:val="12"/>
                <w:b w:val="1"/>
                <w:bCs w:val="1"/>
                <w:color w:val="005A64"/>
              </w:rPr>
              <w:t>Profit / (Loss) before tax</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005A64"/>
              </w:rPr>
              <w:t>(677.7)</w:t>
            </w:r>
          </w:p>
        </w:tc>
        <w:tc>
          <w:tcPr>
            <w:tcW w:w="4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005A64"/>
              </w:rPr>
              <w:t>1,186.1</w:t>
            </w:r>
          </w:p>
        </w:tc>
        <w:tc>
          <w:tcPr>
            <w:tcW w:w="80" w:type="dxa"/>
            <w:vAlign w:val="bottom"/>
            <w:vMerge w:val="continue"/>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005A64"/>
              </w:rPr>
              <w:t>12,954.1</w:t>
            </w:r>
          </w:p>
        </w:tc>
        <w:tc>
          <w:tcPr>
            <w:tcW w:w="0" w:type="dxa"/>
            <w:vAlign w:val="bottom"/>
          </w:tcPr>
          <w:p>
            <w:pPr>
              <w:spacing w:after="0"/>
              <w:rPr>
                <w:sz w:val="1"/>
                <w:szCs w:val="1"/>
                <w:color w:val="auto"/>
              </w:rPr>
            </w:pPr>
          </w:p>
        </w:tc>
      </w:tr>
      <w:tr>
        <w:trPr>
          <w:trHeight w:val="26"/>
        </w:trPr>
        <w:tc>
          <w:tcPr>
            <w:tcW w:w="362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80" w:type="dxa"/>
            <w:vAlign w:val="bottom"/>
            <w:vMerge w:val="restart"/>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620" w:type="dxa"/>
            <w:vAlign w:val="bottom"/>
          </w:tcPr>
          <w:p>
            <w:pPr>
              <w:ind w:left="20"/>
              <w:spacing w:after="0"/>
              <w:rPr>
                <w:sz w:val="20"/>
                <w:szCs w:val="20"/>
                <w:color w:val="auto"/>
              </w:rPr>
            </w:pPr>
            <w:r>
              <w:rPr>
                <w:rFonts w:ascii="Arial" w:cs="Arial" w:eastAsia="Arial" w:hAnsi="Arial"/>
                <w:sz w:val="12"/>
                <w:szCs w:val="12"/>
                <w:color w:val="005A64"/>
              </w:rPr>
              <w:t>Expected tax credit</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2"/>
                <w:szCs w:val="12"/>
                <w:color w:val="005A64"/>
              </w:rPr>
              <w:t>(186.8)</w:t>
            </w:r>
          </w:p>
        </w:tc>
        <w:tc>
          <w:tcPr>
            <w:tcW w:w="4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2"/>
                <w:szCs w:val="12"/>
                <w:color w:val="005A64"/>
              </w:rPr>
              <w:t>321.8</w:t>
            </w:r>
          </w:p>
        </w:tc>
        <w:tc>
          <w:tcPr>
            <w:tcW w:w="80" w:type="dxa"/>
            <w:vAlign w:val="bottom"/>
            <w:vMerge w:val="continue"/>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2"/>
                <w:szCs w:val="12"/>
                <w:color w:val="005A64"/>
              </w:rPr>
              <w:t>3,529.7</w:t>
            </w:r>
          </w:p>
        </w:tc>
        <w:tc>
          <w:tcPr>
            <w:tcW w:w="0" w:type="dxa"/>
            <w:vAlign w:val="bottom"/>
          </w:tcPr>
          <w:p>
            <w:pPr>
              <w:spacing w:after="0"/>
              <w:rPr>
                <w:sz w:val="1"/>
                <w:szCs w:val="1"/>
                <w:color w:val="auto"/>
              </w:rPr>
            </w:pPr>
          </w:p>
        </w:tc>
      </w:tr>
      <w:tr>
        <w:trPr>
          <w:trHeight w:val="187"/>
        </w:trPr>
        <w:tc>
          <w:tcPr>
            <w:tcW w:w="3640" w:type="dxa"/>
            <w:vAlign w:val="bottom"/>
            <w:gridSpan w:val="2"/>
          </w:tcPr>
          <w:p>
            <w:pPr>
              <w:ind w:left="20"/>
              <w:spacing w:after="0"/>
              <w:rPr>
                <w:sz w:val="20"/>
                <w:szCs w:val="20"/>
                <w:color w:val="auto"/>
              </w:rPr>
            </w:pPr>
            <w:r>
              <w:rPr>
                <w:rFonts w:ascii="Arial" w:cs="Arial" w:eastAsia="Arial" w:hAnsi="Arial"/>
                <w:sz w:val="12"/>
                <w:szCs w:val="12"/>
                <w:b w:val="1"/>
                <w:bCs w:val="1"/>
                <w:color w:val="3C9673"/>
              </w:rPr>
              <w:t>Effects</w:t>
            </w: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Deviation due to local tax basis</w:t>
            </w: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12.6</w:t>
            </w:r>
          </w:p>
        </w:tc>
        <w:tc>
          <w:tcPr>
            <w:tcW w:w="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6.6</w:t>
            </w:r>
          </w:p>
        </w:tc>
        <w:tc>
          <w:tcPr>
            <w:tcW w:w="1060" w:type="dxa"/>
            <w:vAlign w:val="bottom"/>
            <w:gridSpan w:val="2"/>
          </w:tcPr>
          <w:p>
            <w:pPr>
              <w:ind w:left="80"/>
              <w:spacing w:after="0"/>
              <w:rPr>
                <w:sz w:val="20"/>
                <w:szCs w:val="20"/>
                <w:color w:val="auto"/>
              </w:rPr>
            </w:pPr>
            <w:r>
              <w:rPr>
                <w:rFonts w:ascii="Arial" w:cs="Arial" w:eastAsia="Arial" w:hAnsi="Arial"/>
                <w:sz w:val="12"/>
                <w:szCs w:val="12"/>
                <w:color w:val="005A64"/>
              </w:rPr>
              <w:t>8.9</w:t>
            </w:r>
          </w:p>
        </w:tc>
        <w:tc>
          <w:tcPr>
            <w:tcW w:w="0" w:type="dxa"/>
            <w:vAlign w:val="bottom"/>
          </w:tcPr>
          <w:p>
            <w:pPr>
              <w:spacing w:after="0"/>
              <w:rPr>
                <w:sz w:val="1"/>
                <w:szCs w:val="1"/>
                <w:color w:val="auto"/>
              </w:rPr>
            </w:pPr>
          </w:p>
        </w:tc>
      </w:tr>
      <w:tr>
        <w:trPr>
          <w:trHeight w:val="164"/>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Deviation due to deviating income tax rate (Germany and</w:t>
            </w: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6.6</w:t>
            </w:r>
          </w:p>
        </w:tc>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(0.1)</w:t>
            </w:r>
          </w:p>
        </w:tc>
        <w:tc>
          <w:tcPr>
            <w:tcW w:w="1060" w:type="dxa"/>
            <w:vAlign w:val="bottom"/>
            <w:gridSpan w:val="2"/>
          </w:tcPr>
          <w:p>
            <w:pPr>
              <w:ind w:left="80"/>
              <w:spacing w:after="0"/>
              <w:rPr>
                <w:sz w:val="20"/>
                <w:szCs w:val="20"/>
                <w:color w:val="auto"/>
              </w:rPr>
            </w:pPr>
            <w:r>
              <w:rPr>
                <w:rFonts w:ascii="Arial" w:cs="Arial" w:eastAsia="Arial" w:hAnsi="Arial"/>
                <w:sz w:val="12"/>
                <w:szCs w:val="12"/>
                <w:color w:val="005A64"/>
              </w:rPr>
              <w:t>7.3</w:t>
            </w:r>
          </w:p>
        </w:tc>
        <w:tc>
          <w:tcPr>
            <w:tcW w:w="0" w:type="dxa"/>
            <w:vAlign w:val="bottom"/>
          </w:tcPr>
          <w:p>
            <w:pPr>
              <w:spacing w:after="0"/>
              <w:rPr>
                <w:sz w:val="1"/>
                <w:szCs w:val="1"/>
                <w:color w:val="auto"/>
              </w:rPr>
            </w:pPr>
          </w:p>
        </w:tc>
      </w:tr>
      <w:tr>
        <w:trPr>
          <w:trHeight w:val="160"/>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foreign countries)</w:t>
            </w: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Change in valuation allowance</w:t>
            </w: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(16.4)</w:t>
            </w:r>
          </w:p>
        </w:tc>
        <w:tc>
          <w:tcPr>
            <w:tcW w:w="4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(14.3)</w:t>
            </w:r>
          </w:p>
        </w:tc>
        <w:tc>
          <w:tcPr>
            <w:tcW w:w="1060" w:type="dxa"/>
            <w:vAlign w:val="bottom"/>
            <w:gridSpan w:val="2"/>
          </w:tcPr>
          <w:p>
            <w:pPr>
              <w:ind w:left="80"/>
              <w:spacing w:after="0"/>
              <w:rPr>
                <w:sz w:val="20"/>
                <w:szCs w:val="20"/>
                <w:color w:val="auto"/>
              </w:rPr>
            </w:pPr>
            <w:r>
              <w:rPr>
                <w:rFonts w:ascii="Arial" w:cs="Arial" w:eastAsia="Arial" w:hAnsi="Arial"/>
                <w:sz w:val="12"/>
                <w:szCs w:val="12"/>
                <w:color w:val="005A64"/>
              </w:rPr>
              <w:t>30.6</w:t>
            </w:r>
          </w:p>
        </w:tc>
        <w:tc>
          <w:tcPr>
            <w:tcW w:w="0" w:type="dxa"/>
            <w:vAlign w:val="bottom"/>
          </w:tcPr>
          <w:p>
            <w:pPr>
              <w:spacing w:after="0"/>
              <w:rPr>
                <w:sz w:val="1"/>
                <w:szCs w:val="1"/>
                <w:color w:val="auto"/>
              </w:rPr>
            </w:pPr>
          </w:p>
        </w:tc>
      </w:tr>
      <w:tr>
        <w:trPr>
          <w:trHeight w:val="202"/>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Effects from tax losses and tax credits</w:t>
            </w: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241.1</w:t>
            </w:r>
          </w:p>
        </w:tc>
        <w:tc>
          <w:tcPr>
            <w:tcW w:w="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(66.5)</w:t>
            </w:r>
          </w:p>
        </w:tc>
        <w:tc>
          <w:tcPr>
            <w:tcW w:w="1060" w:type="dxa"/>
            <w:vAlign w:val="bottom"/>
            <w:gridSpan w:val="2"/>
          </w:tcPr>
          <w:p>
            <w:pPr>
              <w:ind w:left="80"/>
              <w:spacing w:after="0"/>
              <w:rPr>
                <w:sz w:val="20"/>
                <w:szCs w:val="20"/>
                <w:color w:val="auto"/>
              </w:rPr>
            </w:pPr>
            <w:r>
              <w:rPr>
                <w:rFonts w:ascii="Arial" w:cs="Arial" w:eastAsia="Arial" w:hAnsi="Arial"/>
                <w:sz w:val="12"/>
                <w:szCs w:val="12"/>
                <w:color w:val="005A64"/>
              </w:rPr>
              <w:t>23.2</w:t>
            </w:r>
          </w:p>
        </w:tc>
        <w:tc>
          <w:tcPr>
            <w:tcW w:w="0" w:type="dxa"/>
            <w:vAlign w:val="bottom"/>
          </w:tcPr>
          <w:p>
            <w:pPr>
              <w:spacing w:after="0"/>
              <w:rPr>
                <w:sz w:val="1"/>
                <w:szCs w:val="1"/>
                <w:color w:val="auto"/>
              </w:rPr>
            </w:pPr>
          </w:p>
        </w:tc>
      </w:tr>
      <w:tr>
        <w:trPr>
          <w:trHeight w:val="202"/>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Change in deferred taxes due to tax rate change</w:t>
            </w: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9.1</w:t>
            </w:r>
          </w:p>
        </w:tc>
        <w:tc>
          <w:tcPr>
            <w:tcW w:w="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(2.4)</w:t>
            </w:r>
          </w:p>
        </w:tc>
        <w:tc>
          <w:tcPr>
            <w:tcW w:w="1060" w:type="dxa"/>
            <w:vAlign w:val="bottom"/>
            <w:gridSpan w:val="2"/>
          </w:tcPr>
          <w:p>
            <w:pPr>
              <w:ind w:left="80"/>
              <w:spacing w:after="0"/>
              <w:rPr>
                <w:sz w:val="20"/>
                <w:szCs w:val="20"/>
                <w:color w:val="auto"/>
              </w:rPr>
            </w:pPr>
            <w:r>
              <w:rPr>
                <w:rFonts w:ascii="Arial" w:cs="Arial" w:eastAsia="Arial" w:hAnsi="Arial"/>
                <w:sz w:val="12"/>
                <w:szCs w:val="12"/>
                <w:color w:val="005A64"/>
              </w:rPr>
              <w:t>(2.3)</w:t>
            </w:r>
          </w:p>
        </w:tc>
        <w:tc>
          <w:tcPr>
            <w:tcW w:w="0" w:type="dxa"/>
            <w:vAlign w:val="bottom"/>
          </w:tcPr>
          <w:p>
            <w:pPr>
              <w:spacing w:after="0"/>
              <w:rPr>
                <w:sz w:val="1"/>
                <w:szCs w:val="1"/>
                <w:color w:val="auto"/>
              </w:rPr>
            </w:pPr>
          </w:p>
        </w:tc>
      </w:tr>
      <w:tr>
        <w:trPr>
          <w:trHeight w:val="202"/>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Non-deductible expenses</w:t>
            </w: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(49.1)</w:t>
            </w:r>
          </w:p>
        </w:tc>
        <w:tc>
          <w:tcPr>
            <w:tcW w:w="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3.1</w:t>
            </w:r>
          </w:p>
        </w:tc>
        <w:tc>
          <w:tcPr>
            <w:tcW w:w="1060" w:type="dxa"/>
            <w:vAlign w:val="bottom"/>
            <w:gridSpan w:val="2"/>
          </w:tcPr>
          <w:p>
            <w:pPr>
              <w:ind w:left="80"/>
              <w:spacing w:after="0"/>
              <w:rPr>
                <w:sz w:val="20"/>
                <w:szCs w:val="20"/>
                <w:color w:val="auto"/>
              </w:rPr>
            </w:pPr>
            <w:r>
              <w:rPr>
                <w:rFonts w:ascii="Arial" w:cs="Arial" w:eastAsia="Arial" w:hAnsi="Arial"/>
                <w:sz w:val="12"/>
                <w:szCs w:val="12"/>
                <w:color w:val="005A64"/>
              </w:rPr>
              <w:t>2.5</w:t>
            </w:r>
          </w:p>
        </w:tc>
        <w:tc>
          <w:tcPr>
            <w:tcW w:w="0" w:type="dxa"/>
            <w:vAlign w:val="bottom"/>
          </w:tcPr>
          <w:p>
            <w:pPr>
              <w:spacing w:after="0"/>
              <w:rPr>
                <w:sz w:val="1"/>
                <w:szCs w:val="1"/>
                <w:color w:val="auto"/>
              </w:rPr>
            </w:pPr>
          </w:p>
        </w:tc>
      </w:tr>
      <w:tr>
        <w:trPr>
          <w:trHeight w:val="202"/>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Non tax-effective income</w:t>
            </w: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(2.1)</w:t>
            </w:r>
          </w:p>
        </w:tc>
        <w:tc>
          <w:tcPr>
            <w:tcW w:w="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(0.6)</w:t>
            </w:r>
          </w:p>
        </w:tc>
        <w:tc>
          <w:tcPr>
            <w:tcW w:w="1060" w:type="dxa"/>
            <w:vAlign w:val="bottom"/>
            <w:gridSpan w:val="2"/>
          </w:tcPr>
          <w:p>
            <w:pPr>
              <w:ind w:left="80"/>
              <w:spacing w:after="0"/>
              <w:rPr>
                <w:sz w:val="20"/>
                <w:szCs w:val="20"/>
                <w:color w:val="auto"/>
              </w:rPr>
            </w:pPr>
            <w:r>
              <w:rPr>
                <w:rFonts w:ascii="Arial" w:cs="Arial" w:eastAsia="Arial" w:hAnsi="Arial"/>
                <w:sz w:val="12"/>
                <w:szCs w:val="12"/>
                <w:color w:val="005A64"/>
              </w:rPr>
              <w:t>(87.9)</w:t>
            </w:r>
          </w:p>
        </w:tc>
        <w:tc>
          <w:tcPr>
            <w:tcW w:w="0" w:type="dxa"/>
            <w:vAlign w:val="bottom"/>
          </w:tcPr>
          <w:p>
            <w:pPr>
              <w:spacing w:after="0"/>
              <w:rPr>
                <w:sz w:val="1"/>
                <w:szCs w:val="1"/>
                <w:color w:val="auto"/>
              </w:rPr>
            </w:pPr>
          </w:p>
        </w:tc>
      </w:tr>
      <w:tr>
        <w:trPr>
          <w:trHeight w:val="202"/>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Non tax-effective share-based payment expenses</w:t>
            </w: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(37.2)</w:t>
            </w:r>
          </w:p>
        </w:tc>
        <w:tc>
          <w:tcPr>
            <w:tcW w:w="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7.7</w:t>
            </w:r>
          </w:p>
        </w:tc>
        <w:tc>
          <w:tcPr>
            <w:tcW w:w="1060" w:type="dxa"/>
            <w:vAlign w:val="bottom"/>
            <w:gridSpan w:val="2"/>
          </w:tcPr>
          <w:p>
            <w:pPr>
              <w:ind w:left="80"/>
              <w:spacing w:after="0"/>
              <w:rPr>
                <w:sz w:val="20"/>
                <w:szCs w:val="20"/>
                <w:color w:val="auto"/>
              </w:rPr>
            </w:pPr>
            <w:r>
              <w:rPr>
                <w:rFonts w:ascii="Arial" w:cs="Arial" w:eastAsia="Arial" w:hAnsi="Arial"/>
                <w:sz w:val="12"/>
                <w:szCs w:val="12"/>
                <w:color w:val="005A64"/>
              </w:rPr>
              <w:t>8.7</w:t>
            </w:r>
          </w:p>
        </w:tc>
        <w:tc>
          <w:tcPr>
            <w:tcW w:w="0" w:type="dxa"/>
            <w:vAlign w:val="bottom"/>
          </w:tcPr>
          <w:p>
            <w:pPr>
              <w:spacing w:after="0"/>
              <w:rPr>
                <w:sz w:val="1"/>
                <w:szCs w:val="1"/>
                <w:color w:val="auto"/>
              </w:rPr>
            </w:pPr>
          </w:p>
        </w:tc>
      </w:tr>
      <w:tr>
        <w:trPr>
          <w:trHeight w:val="202"/>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Tax-effective equity transaction costs</w:t>
            </w:r>
          </w:p>
        </w:tc>
        <w:tc>
          <w:tcPr>
            <w:tcW w:w="4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005A64"/>
              </w:rPr>
              <w:t>—</w:t>
            </w:r>
          </w:p>
        </w:tc>
        <w:tc>
          <w:tcPr>
            <w:tcW w:w="4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2"/>
                <w:szCs w:val="12"/>
                <w:color w:val="005A64"/>
              </w:rPr>
              <w:t>—</w:t>
            </w:r>
          </w:p>
        </w:tc>
        <w:tc>
          <w:tcPr>
            <w:tcW w:w="0" w:type="dxa"/>
            <w:vAlign w:val="bottom"/>
          </w:tcPr>
          <w:p>
            <w:pPr>
              <w:spacing w:after="0"/>
              <w:rPr>
                <w:sz w:val="1"/>
                <w:szCs w:val="1"/>
                <w:color w:val="auto"/>
              </w:rPr>
            </w:pPr>
          </w:p>
        </w:tc>
      </w:tr>
      <w:tr>
        <w:trPr>
          <w:trHeight w:val="202"/>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Adjustment prior year taxes</w:t>
            </w:r>
          </w:p>
        </w:tc>
        <w:tc>
          <w:tcPr>
            <w:tcW w:w="4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005A64"/>
              </w:rPr>
              <w:t>—</w:t>
            </w: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5.5</w:t>
            </w:r>
          </w:p>
        </w:tc>
        <w:tc>
          <w:tcPr>
            <w:tcW w:w="1060" w:type="dxa"/>
            <w:vAlign w:val="bottom"/>
            <w:gridSpan w:val="2"/>
          </w:tcPr>
          <w:p>
            <w:pPr>
              <w:ind w:left="80"/>
              <w:spacing w:after="0"/>
              <w:rPr>
                <w:sz w:val="20"/>
                <w:szCs w:val="20"/>
                <w:color w:val="auto"/>
              </w:rPr>
            </w:pPr>
            <w:r>
              <w:rPr>
                <w:rFonts w:ascii="Arial" w:cs="Arial" w:eastAsia="Arial" w:hAnsi="Arial"/>
                <w:sz w:val="12"/>
                <w:szCs w:val="12"/>
                <w:color w:val="005A64"/>
              </w:rPr>
              <w:t>(31.5)</w:t>
            </w:r>
          </w:p>
        </w:tc>
        <w:tc>
          <w:tcPr>
            <w:tcW w:w="0" w:type="dxa"/>
            <w:vAlign w:val="bottom"/>
          </w:tcPr>
          <w:p>
            <w:pPr>
              <w:spacing w:after="0"/>
              <w:rPr>
                <w:sz w:val="1"/>
                <w:szCs w:val="1"/>
                <w:color w:val="auto"/>
              </w:rPr>
            </w:pPr>
          </w:p>
        </w:tc>
      </w:tr>
      <w:tr>
        <w:trPr>
          <w:trHeight w:val="202"/>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Non-tax effective bargain purchase</w:t>
            </w:r>
          </w:p>
        </w:tc>
        <w:tc>
          <w:tcPr>
            <w:tcW w:w="4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2"/>
                <w:szCs w:val="12"/>
                <w:color w:val="005A64"/>
              </w:rPr>
              <w:t>—</w:t>
            </w:r>
          </w:p>
        </w:tc>
        <w:tc>
          <w:tcPr>
            <w:tcW w:w="4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2"/>
                <w:szCs w:val="12"/>
                <w:color w:val="005A64"/>
              </w:rPr>
              <w:t>—</w:t>
            </w:r>
          </w:p>
        </w:tc>
        <w:tc>
          <w:tcPr>
            <w:tcW w:w="0" w:type="dxa"/>
            <w:vAlign w:val="bottom"/>
          </w:tcPr>
          <w:p>
            <w:pPr>
              <w:spacing w:after="0"/>
              <w:rPr>
                <w:sz w:val="1"/>
                <w:szCs w:val="1"/>
                <w:color w:val="auto"/>
              </w:rPr>
            </w:pPr>
          </w:p>
        </w:tc>
      </w:tr>
      <w:tr>
        <w:trPr>
          <w:trHeight w:val="202"/>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Other effects</w:t>
            </w: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9.8</w:t>
            </w:r>
          </w:p>
        </w:tc>
        <w:tc>
          <w:tcPr>
            <w:tcW w:w="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(5.0)</w:t>
            </w:r>
          </w:p>
        </w:tc>
        <w:tc>
          <w:tcPr>
            <w:tcW w:w="1060" w:type="dxa"/>
            <w:vAlign w:val="bottom"/>
            <w:gridSpan w:val="2"/>
          </w:tcPr>
          <w:p>
            <w:pPr>
              <w:ind w:left="80"/>
              <w:spacing w:after="0"/>
              <w:rPr>
                <w:sz w:val="20"/>
                <w:szCs w:val="20"/>
                <w:color w:val="auto"/>
              </w:rPr>
            </w:pPr>
            <w:r>
              <w:rPr>
                <w:rFonts w:ascii="Arial" w:cs="Arial" w:eastAsia="Arial" w:hAnsi="Arial"/>
                <w:sz w:val="12"/>
                <w:szCs w:val="12"/>
                <w:color w:val="005A64"/>
              </w:rPr>
              <w:t>30.5</w:t>
            </w:r>
          </w:p>
        </w:tc>
        <w:tc>
          <w:tcPr>
            <w:tcW w:w="0" w:type="dxa"/>
            <w:vAlign w:val="bottom"/>
          </w:tcPr>
          <w:p>
            <w:pPr>
              <w:spacing w:after="0"/>
              <w:rPr>
                <w:sz w:val="1"/>
                <w:szCs w:val="1"/>
                <w:color w:val="auto"/>
              </w:rPr>
            </w:pPr>
          </w:p>
        </w:tc>
      </w:tr>
      <w:tr>
        <w:trPr>
          <w:trHeight w:val="208"/>
        </w:trPr>
        <w:tc>
          <w:tcPr>
            <w:tcW w:w="3640" w:type="dxa"/>
            <w:vAlign w:val="bottom"/>
            <w:gridSpan w:val="2"/>
          </w:tcPr>
          <w:p>
            <w:pPr>
              <w:ind w:left="20"/>
              <w:spacing w:after="0"/>
              <w:rPr>
                <w:sz w:val="20"/>
                <w:szCs w:val="20"/>
                <w:color w:val="auto"/>
              </w:rPr>
            </w:pPr>
            <w:r>
              <w:rPr>
                <w:rFonts w:ascii="Arial" w:cs="Arial" w:eastAsia="Arial" w:hAnsi="Arial"/>
                <w:sz w:val="12"/>
                <w:szCs w:val="12"/>
                <w:b w:val="1"/>
                <w:bCs w:val="1"/>
                <w:color w:val="005A64"/>
              </w:rPr>
              <w:t>Income taxes</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005A64"/>
              </w:rPr>
              <w:t>(12.4)</w:t>
            </w:r>
          </w:p>
        </w:tc>
        <w:tc>
          <w:tcPr>
            <w:tcW w:w="4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005A64"/>
              </w:rPr>
              <w:t>255.8</w:t>
            </w: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005A64"/>
              </w:rPr>
              <w:t>3,519.7</w:t>
            </w:r>
          </w:p>
        </w:tc>
        <w:tc>
          <w:tcPr>
            <w:tcW w:w="0" w:type="dxa"/>
            <w:vAlign w:val="bottom"/>
          </w:tcPr>
          <w:p>
            <w:pPr>
              <w:spacing w:after="0"/>
              <w:rPr>
                <w:sz w:val="1"/>
                <w:szCs w:val="1"/>
                <w:color w:val="auto"/>
              </w:rPr>
            </w:pPr>
          </w:p>
        </w:tc>
      </w:tr>
      <w:tr>
        <w:trPr>
          <w:trHeight w:val="47"/>
        </w:trPr>
        <w:tc>
          <w:tcPr>
            <w:tcW w:w="362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80" w:type="dxa"/>
            <w:vAlign w:val="bottom"/>
            <w:vMerge w:val="restart"/>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620" w:type="dxa"/>
            <w:vAlign w:val="bottom"/>
          </w:tcPr>
          <w:p>
            <w:pPr>
              <w:ind w:left="20"/>
              <w:spacing w:after="0"/>
              <w:rPr>
                <w:sz w:val="20"/>
                <w:szCs w:val="20"/>
                <w:color w:val="auto"/>
              </w:rPr>
            </w:pPr>
            <w:r>
              <w:rPr>
                <w:rFonts w:ascii="Arial" w:cs="Arial" w:eastAsia="Arial" w:hAnsi="Arial"/>
                <w:sz w:val="12"/>
                <w:szCs w:val="12"/>
                <w:b w:val="1"/>
                <w:bCs w:val="1"/>
                <w:color w:val="005A64"/>
              </w:rPr>
              <w:t>Effective tax rate</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005A64"/>
              </w:rPr>
              <w:t>1.8%</w:t>
            </w:r>
          </w:p>
        </w:tc>
        <w:tc>
          <w:tcPr>
            <w:tcW w:w="4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980" w:type="dxa"/>
            <w:vAlign w:val="bottom"/>
          </w:tcPr>
          <w:p>
            <w:pPr>
              <w:ind w:left="400"/>
              <w:spacing w:after="0"/>
              <w:rPr>
                <w:sz w:val="20"/>
                <w:szCs w:val="20"/>
                <w:color w:val="auto"/>
              </w:rPr>
            </w:pPr>
            <w:r>
              <w:rPr>
                <w:rFonts w:ascii="Arial" w:cs="Arial" w:eastAsia="Arial" w:hAnsi="Arial"/>
                <w:sz w:val="12"/>
                <w:szCs w:val="12"/>
                <w:b w:val="1"/>
                <w:bCs w:val="1"/>
                <w:color w:val="005A64"/>
              </w:rPr>
              <w:t>21.6%</w:t>
            </w:r>
          </w:p>
        </w:tc>
        <w:tc>
          <w:tcPr>
            <w:tcW w:w="80" w:type="dxa"/>
            <w:vAlign w:val="bottom"/>
            <w:vMerge w:val="continue"/>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005A64"/>
              </w:rPr>
              <w:t>27.2%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-2376805</wp:posOffset>
            </wp:positionV>
            <wp:extent cx="673735" cy="24003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1">
                      <a:extLst>
                        <a:ext uri="{28A0092B-C50C-407E-A947-70E740481C1C}"/>
                      </a:extLst>
                    </a:blip>
                    <a:srcRect/>
                    <a:stretch>
                      <a:fillRect/>
                    </a:stretch>
                  </pic:blipFill>
                  <pic:spPr bwMode="auto">
                    <a:xfrm>
                      <a:off x="0" y="0"/>
                      <a:ext cx="673735" cy="240030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b w:val="1"/>
          <w:bCs w:val="1"/>
          <w:color w:val="005A64"/>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4300220" cy="63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2">
                      <a:extLst>
                        <a:ext uri="{28A0092B-C50C-407E-A947-70E740481C1C}"/>
                      </a:extLst>
                    </a:blip>
                    <a:srcRect/>
                    <a:stretch>
                      <a:fillRect/>
                    </a:stretch>
                  </pic:blipFill>
                  <pic:spPr bwMode="auto">
                    <a:xfrm>
                      <a:off x="0" y="0"/>
                      <a:ext cx="4300220" cy="63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Deferred taxes for the periods indicated relate to the following:</w:t>
      </w:r>
    </w:p>
    <w:p>
      <w:pPr>
        <w:sectPr>
          <w:pgSz w:w="11900" w:h="16840" w:orient="portrait"/>
          <w:cols w:equalWidth="0" w:num="1">
            <w:col w:w="9020"/>
          </w:cols>
          <w:pgMar w:left="1440" w:top="634" w:right="1440" w:bottom="1079" w:gutter="0" w:footer="0" w:header="0"/>
        </w:sectPr>
      </w:pPr>
    </w:p>
    <w:bookmarkStart w:id="207" w:name="page208"/>
    <w:bookmarkEnd w:id="2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F-40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29845</wp:posOffset>
            </wp:positionV>
            <wp:extent cx="5231130" cy="190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3">
                      <a:extLst>
                        <a:ext uri="{28A0092B-C50C-407E-A947-70E740481C1C}"/>
                      </a:extLst>
                    </a:blip>
                    <a:srcRect/>
                    <a:stretch>
                      <a:fillRect/>
                    </a:stretch>
                  </pic:blipFill>
                  <pic:spPr bwMode="auto">
                    <a:xfrm>
                      <a:off x="0" y="0"/>
                      <a:ext cx="5231130" cy="19050"/>
                    </a:xfrm>
                    <a:prstGeom prst="rect">
                      <a:avLst/>
                    </a:prstGeom>
                    <a:noFill/>
                  </pic:spPr>
                </pic:pic>
              </a:graphicData>
            </a:graphic>
          </wp:anchor>
        </w:drawing>
      </w:r>
    </w:p>
    <w:p>
      <w:pPr>
        <w:spacing w:after="0" w:line="118" w:lineRule="exact"/>
        <w:rPr>
          <w:sz w:val="20"/>
          <w:szCs w:val="20"/>
          <w:color w:val="auto"/>
        </w:rPr>
      </w:pPr>
    </w:p>
    <w:tbl>
      <w:tblPr>
        <w:tblLayout w:type="fixed"/>
        <w:tblInd w:w="380" w:type="dxa"/>
        <w:tblCellMar>
          <w:top w:w="0" w:type="dxa"/>
          <w:left w:w="0" w:type="dxa"/>
          <w:bottom w:w="0" w:type="dxa"/>
          <w:right w:w="0" w:type="dxa"/>
        </w:tblCellMar>
      </w:tblPr>
      <w:tr>
        <w:trPr>
          <w:trHeight w:val="166"/>
        </w:trPr>
        <w:tc>
          <w:tcPr>
            <w:tcW w:w="2180" w:type="dxa"/>
            <w:vAlign w:val="bottom"/>
            <w:gridSpan w:val="2"/>
          </w:tcPr>
          <w:p>
            <w:pPr>
              <w:ind w:left="20"/>
              <w:spacing w:after="0"/>
              <w:rPr>
                <w:sz w:val="20"/>
                <w:szCs w:val="20"/>
                <w:color w:val="auto"/>
              </w:rPr>
            </w:pPr>
            <w:r>
              <w:rPr>
                <w:rFonts w:ascii="Arial" w:cs="Arial" w:eastAsia="Arial" w:hAnsi="Arial"/>
                <w:sz w:val="12"/>
                <w:szCs w:val="12"/>
                <w:b w:val="1"/>
                <w:bCs w:val="1"/>
                <w:color w:val="005A64"/>
              </w:rPr>
              <w:t>Year ended December 31, 2024</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180" w:type="dxa"/>
            <w:vAlign w:val="bottom"/>
            <w:gridSpan w:val="2"/>
            <w:vMerge w:val="restart"/>
          </w:tcPr>
          <w:p>
            <w:pPr>
              <w:ind w:left="20"/>
              <w:spacing w:after="0"/>
              <w:rPr>
                <w:sz w:val="20"/>
                <w:szCs w:val="20"/>
                <w:color w:val="auto"/>
              </w:rPr>
            </w:pPr>
            <w:r>
              <w:rPr>
                <w:rFonts w:ascii="Arial" w:cs="Arial" w:eastAsia="Arial" w:hAnsi="Arial"/>
                <w:sz w:val="12"/>
                <w:szCs w:val="12"/>
                <w:i w:val="1"/>
                <w:iCs w:val="1"/>
                <w:color w:val="005A64"/>
              </w:rPr>
              <w:t>(in millions €)</w:t>
            </w:r>
          </w:p>
        </w:tc>
        <w:tc>
          <w:tcPr>
            <w:tcW w:w="40" w:type="dxa"/>
            <w:vAlign w:val="bottom"/>
            <w:tcBorders>
              <w:bottom w:val="single" w:sz="8" w:color="BECE33"/>
            </w:tcBorders>
          </w:tcPr>
          <w:p>
            <w:pPr>
              <w:spacing w:after="0"/>
              <w:rPr>
                <w:sz w:val="4"/>
                <w:szCs w:val="4"/>
                <w:color w:val="auto"/>
              </w:rPr>
            </w:pPr>
          </w:p>
        </w:tc>
        <w:tc>
          <w:tcPr>
            <w:tcW w:w="84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84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84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84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88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180" w:type="dxa"/>
            <w:vAlign w:val="bottom"/>
            <w:gridSpan w:val="2"/>
            <w:vMerge w:val="continue"/>
          </w:tcPr>
          <w:p>
            <w:pPr>
              <w:spacing w:after="0"/>
              <w:rPr>
                <w:sz w:val="8"/>
                <w:szCs w:val="8"/>
                <w:color w:val="auto"/>
              </w:rPr>
            </w:pPr>
          </w:p>
        </w:tc>
        <w:tc>
          <w:tcPr>
            <w:tcW w:w="40" w:type="dxa"/>
            <w:vAlign w:val="bottom"/>
            <w:tcBorders>
              <w:left w:val="single" w:sz="8" w:color="BECE33"/>
            </w:tcBorders>
          </w:tcPr>
          <w:p>
            <w:pPr>
              <w:spacing w:after="0"/>
              <w:rPr>
                <w:sz w:val="8"/>
                <w:szCs w:val="8"/>
                <w:color w:val="auto"/>
              </w:rPr>
            </w:pPr>
          </w:p>
        </w:tc>
        <w:tc>
          <w:tcPr>
            <w:tcW w:w="840" w:type="dxa"/>
            <w:vAlign w:val="bottom"/>
          </w:tcPr>
          <w:p>
            <w:pPr>
              <w:ind w:left="20"/>
              <w:spacing w:after="0" w:line="102" w:lineRule="exact"/>
              <w:rPr>
                <w:sz w:val="20"/>
                <w:szCs w:val="20"/>
                <w:color w:val="auto"/>
              </w:rPr>
            </w:pPr>
            <w:r>
              <w:rPr>
                <w:rFonts w:ascii="Arial" w:cs="Arial" w:eastAsia="Arial" w:hAnsi="Arial"/>
                <w:sz w:val="11"/>
                <w:szCs w:val="11"/>
                <w:b w:val="1"/>
                <w:bCs w:val="1"/>
                <w:color w:val="005A64"/>
              </w:rPr>
              <w:t>January 1,</w:t>
            </w:r>
          </w:p>
        </w:tc>
        <w:tc>
          <w:tcPr>
            <w:tcW w:w="40" w:type="dxa"/>
            <w:vAlign w:val="bottom"/>
          </w:tcPr>
          <w:p>
            <w:pPr>
              <w:spacing w:after="0"/>
              <w:rPr>
                <w:sz w:val="8"/>
                <w:szCs w:val="8"/>
                <w:color w:val="auto"/>
              </w:rPr>
            </w:pPr>
          </w:p>
        </w:tc>
        <w:tc>
          <w:tcPr>
            <w:tcW w:w="840" w:type="dxa"/>
            <w:vAlign w:val="bottom"/>
          </w:tcPr>
          <w:p>
            <w:pPr>
              <w:ind w:left="20"/>
              <w:spacing w:after="0" w:line="102" w:lineRule="exact"/>
              <w:rPr>
                <w:sz w:val="20"/>
                <w:szCs w:val="20"/>
                <w:color w:val="auto"/>
              </w:rPr>
            </w:pPr>
            <w:r>
              <w:rPr>
                <w:rFonts w:ascii="Arial" w:cs="Arial" w:eastAsia="Arial" w:hAnsi="Arial"/>
                <w:sz w:val="11"/>
                <w:szCs w:val="11"/>
                <w:b w:val="1"/>
                <w:bCs w:val="1"/>
                <w:color w:val="005A64"/>
              </w:rPr>
              <w:t>Recognized</w:t>
            </w:r>
          </w:p>
        </w:tc>
        <w:tc>
          <w:tcPr>
            <w:tcW w:w="40" w:type="dxa"/>
            <w:vAlign w:val="bottom"/>
          </w:tcPr>
          <w:p>
            <w:pPr>
              <w:spacing w:after="0"/>
              <w:rPr>
                <w:sz w:val="8"/>
                <w:szCs w:val="8"/>
                <w:color w:val="auto"/>
              </w:rPr>
            </w:pPr>
          </w:p>
        </w:tc>
        <w:tc>
          <w:tcPr>
            <w:tcW w:w="840" w:type="dxa"/>
            <w:vAlign w:val="bottom"/>
          </w:tcPr>
          <w:p>
            <w:pPr>
              <w:ind w:left="20"/>
              <w:spacing w:after="0" w:line="102" w:lineRule="exact"/>
              <w:rPr>
                <w:sz w:val="20"/>
                <w:szCs w:val="20"/>
                <w:color w:val="auto"/>
              </w:rPr>
            </w:pPr>
            <w:r>
              <w:rPr>
                <w:rFonts w:ascii="Arial" w:cs="Arial" w:eastAsia="Arial" w:hAnsi="Arial"/>
                <w:sz w:val="11"/>
                <w:szCs w:val="11"/>
                <w:b w:val="1"/>
                <w:bCs w:val="1"/>
                <w:color w:val="005A64"/>
              </w:rPr>
              <w:t>Recognized</w:t>
            </w:r>
          </w:p>
        </w:tc>
        <w:tc>
          <w:tcPr>
            <w:tcW w:w="60" w:type="dxa"/>
            <w:vAlign w:val="bottom"/>
          </w:tcPr>
          <w:p>
            <w:pPr>
              <w:spacing w:after="0"/>
              <w:rPr>
                <w:sz w:val="8"/>
                <w:szCs w:val="8"/>
                <w:color w:val="auto"/>
              </w:rPr>
            </w:pPr>
          </w:p>
        </w:tc>
        <w:tc>
          <w:tcPr>
            <w:tcW w:w="840" w:type="dxa"/>
            <w:vAlign w:val="bottom"/>
          </w:tcPr>
          <w:p>
            <w:pPr>
              <w:spacing w:after="0" w:line="102" w:lineRule="exact"/>
              <w:rPr>
                <w:sz w:val="20"/>
                <w:szCs w:val="20"/>
                <w:color w:val="auto"/>
              </w:rPr>
            </w:pPr>
            <w:r>
              <w:rPr>
                <w:rFonts w:ascii="Arial" w:cs="Arial" w:eastAsia="Arial" w:hAnsi="Arial"/>
                <w:sz w:val="11"/>
                <w:szCs w:val="11"/>
                <w:b w:val="1"/>
                <w:bCs w:val="1"/>
                <w:color w:val="005A64"/>
              </w:rPr>
              <w:t>Recognized</w:t>
            </w:r>
          </w:p>
        </w:tc>
        <w:tc>
          <w:tcPr>
            <w:tcW w:w="60" w:type="dxa"/>
            <w:vAlign w:val="bottom"/>
          </w:tcPr>
          <w:p>
            <w:pPr>
              <w:spacing w:after="0"/>
              <w:rPr>
                <w:sz w:val="8"/>
                <w:szCs w:val="8"/>
                <w:color w:val="auto"/>
              </w:rPr>
            </w:pPr>
          </w:p>
        </w:tc>
        <w:tc>
          <w:tcPr>
            <w:tcW w:w="940" w:type="dxa"/>
            <w:vAlign w:val="bottom"/>
            <w:tcBorders>
              <w:right w:val="single" w:sz="8" w:color="BECE33"/>
            </w:tcBorders>
            <w:gridSpan w:val="2"/>
          </w:tcPr>
          <w:p>
            <w:pPr>
              <w:spacing w:after="0" w:line="102" w:lineRule="exact"/>
              <w:rPr>
                <w:sz w:val="20"/>
                <w:szCs w:val="20"/>
                <w:color w:val="auto"/>
              </w:rPr>
            </w:pPr>
            <w:r>
              <w:rPr>
                <w:rFonts w:ascii="Arial" w:cs="Arial" w:eastAsia="Arial" w:hAnsi="Arial"/>
                <w:sz w:val="11"/>
                <w:szCs w:val="11"/>
                <w:b w:val="1"/>
                <w:bCs w:val="1"/>
                <w:color w:val="005A64"/>
              </w:rPr>
              <w:t>December 31,</w:t>
            </w: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left w:val="single" w:sz="8" w:color="BECE33"/>
            </w:tcBorders>
            <w:gridSpan w:val="2"/>
          </w:tcPr>
          <w:p>
            <w:pPr>
              <w:ind w:left="60"/>
              <w:spacing w:after="0" w:line="121" w:lineRule="exact"/>
              <w:rPr>
                <w:sz w:val="20"/>
                <w:szCs w:val="20"/>
                <w:color w:val="auto"/>
              </w:rPr>
            </w:pPr>
            <w:r>
              <w:rPr>
                <w:rFonts w:ascii="Arial" w:cs="Arial" w:eastAsia="Arial" w:hAnsi="Arial"/>
                <w:sz w:val="12"/>
                <w:szCs w:val="12"/>
                <w:b w:val="1"/>
                <w:bCs w:val="1"/>
                <w:color w:val="005A64"/>
              </w:rPr>
              <w:t>2024</w:t>
            </w:r>
          </w:p>
        </w:tc>
        <w:tc>
          <w:tcPr>
            <w:tcW w:w="40" w:type="dxa"/>
            <w:vAlign w:val="bottom"/>
          </w:tcPr>
          <w:p>
            <w:pPr>
              <w:spacing w:after="0"/>
              <w:rPr>
                <w:sz w:val="10"/>
                <w:szCs w:val="10"/>
                <w:color w:val="auto"/>
              </w:rPr>
            </w:pPr>
          </w:p>
        </w:tc>
        <w:tc>
          <w:tcPr>
            <w:tcW w:w="840" w:type="dxa"/>
            <w:vAlign w:val="bottom"/>
          </w:tcPr>
          <w:p>
            <w:pPr>
              <w:ind w:left="20"/>
              <w:spacing w:after="0" w:line="121" w:lineRule="exact"/>
              <w:rPr>
                <w:sz w:val="20"/>
                <w:szCs w:val="20"/>
                <w:color w:val="auto"/>
              </w:rPr>
            </w:pPr>
            <w:r>
              <w:rPr>
                <w:rFonts w:ascii="Arial" w:cs="Arial" w:eastAsia="Arial" w:hAnsi="Arial"/>
                <w:sz w:val="12"/>
                <w:szCs w:val="12"/>
                <w:b w:val="1"/>
                <w:bCs w:val="1"/>
                <w:color w:val="005A64"/>
              </w:rPr>
              <w:t>in P&amp;L</w:t>
            </w:r>
          </w:p>
        </w:tc>
        <w:tc>
          <w:tcPr>
            <w:tcW w:w="40" w:type="dxa"/>
            <w:vAlign w:val="bottom"/>
          </w:tcPr>
          <w:p>
            <w:pPr>
              <w:spacing w:after="0"/>
              <w:rPr>
                <w:sz w:val="10"/>
                <w:szCs w:val="10"/>
                <w:color w:val="auto"/>
              </w:rPr>
            </w:pPr>
          </w:p>
        </w:tc>
        <w:tc>
          <w:tcPr>
            <w:tcW w:w="840" w:type="dxa"/>
            <w:vAlign w:val="bottom"/>
          </w:tcPr>
          <w:p>
            <w:pPr>
              <w:ind w:left="20"/>
              <w:spacing w:after="0" w:line="121" w:lineRule="exact"/>
              <w:rPr>
                <w:sz w:val="20"/>
                <w:szCs w:val="20"/>
                <w:color w:val="auto"/>
              </w:rPr>
            </w:pPr>
            <w:r>
              <w:rPr>
                <w:rFonts w:ascii="Arial" w:cs="Arial" w:eastAsia="Arial" w:hAnsi="Arial"/>
                <w:sz w:val="12"/>
                <w:szCs w:val="12"/>
                <w:b w:val="1"/>
                <w:bCs w:val="1"/>
                <w:color w:val="005A64"/>
              </w:rPr>
              <w:t>in OCI</w:t>
            </w:r>
          </w:p>
        </w:tc>
        <w:tc>
          <w:tcPr>
            <w:tcW w:w="60" w:type="dxa"/>
            <w:vAlign w:val="bottom"/>
          </w:tcPr>
          <w:p>
            <w:pPr>
              <w:spacing w:after="0"/>
              <w:rPr>
                <w:sz w:val="10"/>
                <w:szCs w:val="10"/>
                <w:color w:val="auto"/>
              </w:rPr>
            </w:pPr>
          </w:p>
        </w:tc>
        <w:tc>
          <w:tcPr>
            <w:tcW w:w="840" w:type="dxa"/>
            <w:vAlign w:val="bottom"/>
          </w:tcPr>
          <w:p>
            <w:pPr>
              <w:spacing w:after="0" w:line="121" w:lineRule="exact"/>
              <w:rPr>
                <w:sz w:val="20"/>
                <w:szCs w:val="20"/>
                <w:color w:val="auto"/>
              </w:rPr>
            </w:pPr>
            <w:r>
              <w:rPr>
                <w:rFonts w:ascii="Arial" w:cs="Arial" w:eastAsia="Arial" w:hAnsi="Arial"/>
                <w:sz w:val="12"/>
                <w:szCs w:val="12"/>
                <w:b w:val="1"/>
                <w:bCs w:val="1"/>
                <w:color w:val="005A64"/>
              </w:rPr>
              <w:t>directly in</w:t>
            </w:r>
          </w:p>
        </w:tc>
        <w:tc>
          <w:tcPr>
            <w:tcW w:w="9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005A64"/>
              </w:rPr>
              <w:t>2024</w:t>
            </w:r>
          </w:p>
        </w:tc>
        <w:tc>
          <w:tcPr>
            <w:tcW w:w="60" w:type="dxa"/>
            <w:vAlign w:val="bottom"/>
            <w:tcBorders>
              <w:right w:val="single" w:sz="8" w:color="BECE33"/>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005A64"/>
              </w:rPr>
              <w:t>equity</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Borders>
              <w:right w:val="single" w:sz="8" w:color="BECE33"/>
            </w:tcBorders>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160" w:type="dxa"/>
            <w:vAlign w:val="bottom"/>
            <w:tcBorders>
              <w:bottom w:val="single" w:sz="8" w:color="005A64"/>
            </w:tcBorders>
          </w:tcPr>
          <w:p>
            <w:pPr>
              <w:spacing w:after="0"/>
              <w:rPr>
                <w:sz w:val="5"/>
                <w:szCs w:val="5"/>
                <w:color w:val="auto"/>
              </w:rPr>
            </w:pPr>
          </w:p>
        </w:tc>
        <w:tc>
          <w:tcPr>
            <w:tcW w:w="20" w:type="dxa"/>
            <w:vAlign w:val="bottom"/>
            <w:vMerge w:val="restart"/>
          </w:tcPr>
          <w:p>
            <w:pPr>
              <w:spacing w:after="0"/>
              <w:rPr>
                <w:sz w:val="5"/>
                <w:szCs w:val="5"/>
                <w:color w:val="auto"/>
              </w:rPr>
            </w:pPr>
          </w:p>
        </w:tc>
        <w:tc>
          <w:tcPr>
            <w:tcW w:w="40" w:type="dxa"/>
            <w:vAlign w:val="bottom"/>
            <w:tcBorders>
              <w:left w:val="single" w:sz="8" w:color="BECE33"/>
            </w:tcBorders>
            <w:vMerge w:val="restart"/>
          </w:tcPr>
          <w:p>
            <w:pPr>
              <w:spacing w:after="0"/>
              <w:rPr>
                <w:sz w:val="5"/>
                <w:szCs w:val="5"/>
                <w:color w:val="auto"/>
              </w:rPr>
            </w:pPr>
          </w:p>
        </w:tc>
        <w:tc>
          <w:tcPr>
            <w:tcW w:w="840" w:type="dxa"/>
            <w:vAlign w:val="bottom"/>
            <w:tcBorders>
              <w:bottom w:val="single" w:sz="8" w:color="005A64"/>
            </w:tcBorders>
          </w:tcPr>
          <w:p>
            <w:pPr>
              <w:spacing w:after="0"/>
              <w:rPr>
                <w:sz w:val="5"/>
                <w:szCs w:val="5"/>
                <w:color w:val="auto"/>
              </w:rPr>
            </w:pPr>
          </w:p>
        </w:tc>
        <w:tc>
          <w:tcPr>
            <w:tcW w:w="40" w:type="dxa"/>
            <w:vAlign w:val="bottom"/>
            <w:vMerge w:val="restart"/>
          </w:tcPr>
          <w:p>
            <w:pPr>
              <w:spacing w:after="0"/>
              <w:rPr>
                <w:sz w:val="5"/>
                <w:szCs w:val="5"/>
                <w:color w:val="auto"/>
              </w:rPr>
            </w:pPr>
          </w:p>
        </w:tc>
        <w:tc>
          <w:tcPr>
            <w:tcW w:w="840" w:type="dxa"/>
            <w:vAlign w:val="bottom"/>
            <w:tcBorders>
              <w:bottom w:val="single" w:sz="8" w:color="005A64"/>
            </w:tcBorders>
          </w:tcPr>
          <w:p>
            <w:pPr>
              <w:spacing w:after="0"/>
              <w:rPr>
                <w:sz w:val="5"/>
                <w:szCs w:val="5"/>
                <w:color w:val="auto"/>
              </w:rPr>
            </w:pPr>
          </w:p>
        </w:tc>
        <w:tc>
          <w:tcPr>
            <w:tcW w:w="40" w:type="dxa"/>
            <w:vAlign w:val="bottom"/>
            <w:vMerge w:val="restart"/>
          </w:tcPr>
          <w:p>
            <w:pPr>
              <w:spacing w:after="0"/>
              <w:rPr>
                <w:sz w:val="5"/>
                <w:szCs w:val="5"/>
                <w:color w:val="auto"/>
              </w:rPr>
            </w:pPr>
          </w:p>
        </w:tc>
        <w:tc>
          <w:tcPr>
            <w:tcW w:w="840" w:type="dxa"/>
            <w:vAlign w:val="bottom"/>
            <w:tcBorders>
              <w:bottom w:val="single" w:sz="8" w:color="005A64"/>
            </w:tcBorders>
          </w:tcPr>
          <w:p>
            <w:pPr>
              <w:spacing w:after="0"/>
              <w:rPr>
                <w:sz w:val="5"/>
                <w:szCs w:val="5"/>
                <w:color w:val="auto"/>
              </w:rPr>
            </w:pPr>
          </w:p>
        </w:tc>
        <w:tc>
          <w:tcPr>
            <w:tcW w:w="60" w:type="dxa"/>
            <w:vAlign w:val="bottom"/>
            <w:vMerge w:val="restart"/>
          </w:tcPr>
          <w:p>
            <w:pPr>
              <w:spacing w:after="0"/>
              <w:rPr>
                <w:sz w:val="5"/>
                <w:szCs w:val="5"/>
                <w:color w:val="auto"/>
              </w:rPr>
            </w:pPr>
          </w:p>
        </w:tc>
        <w:tc>
          <w:tcPr>
            <w:tcW w:w="840" w:type="dxa"/>
            <w:vAlign w:val="bottom"/>
            <w:tcBorders>
              <w:bottom w:val="single" w:sz="8" w:color="005A64"/>
            </w:tcBorders>
          </w:tcPr>
          <w:p>
            <w:pPr>
              <w:spacing w:after="0"/>
              <w:rPr>
                <w:sz w:val="5"/>
                <w:szCs w:val="5"/>
                <w:color w:val="auto"/>
              </w:rPr>
            </w:pPr>
          </w:p>
        </w:tc>
        <w:tc>
          <w:tcPr>
            <w:tcW w:w="60" w:type="dxa"/>
            <w:vAlign w:val="bottom"/>
            <w:vMerge w:val="restart"/>
          </w:tcPr>
          <w:p>
            <w:pPr>
              <w:spacing w:after="0"/>
              <w:rPr>
                <w:sz w:val="5"/>
                <w:szCs w:val="5"/>
                <w:color w:val="auto"/>
              </w:rPr>
            </w:pPr>
          </w:p>
        </w:tc>
        <w:tc>
          <w:tcPr>
            <w:tcW w:w="880" w:type="dxa"/>
            <w:vAlign w:val="bottom"/>
            <w:tcBorders>
              <w:bottom w:val="single" w:sz="8" w:color="005A64"/>
            </w:tcBorders>
          </w:tcPr>
          <w:p>
            <w:pPr>
              <w:spacing w:after="0"/>
              <w:rPr>
                <w:sz w:val="5"/>
                <w:szCs w:val="5"/>
                <w:color w:val="auto"/>
              </w:rPr>
            </w:pPr>
          </w:p>
        </w:tc>
        <w:tc>
          <w:tcPr>
            <w:tcW w:w="60" w:type="dxa"/>
            <w:vAlign w:val="bottom"/>
            <w:tcBorders>
              <w:right w:val="single" w:sz="8" w:color="BECE33"/>
            </w:tcBorders>
            <w:vMerge w:val="restart"/>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160" w:type="dxa"/>
            <w:vAlign w:val="bottom"/>
          </w:tcPr>
          <w:p>
            <w:pPr>
              <w:ind w:left="20"/>
              <w:spacing w:after="0"/>
              <w:rPr>
                <w:sz w:val="20"/>
                <w:szCs w:val="20"/>
                <w:color w:val="auto"/>
              </w:rPr>
            </w:pPr>
            <w:r>
              <w:rPr>
                <w:rFonts w:ascii="Arial" w:cs="Arial" w:eastAsia="Arial" w:hAnsi="Arial"/>
                <w:sz w:val="12"/>
                <w:szCs w:val="12"/>
                <w:color w:val="005A64"/>
              </w:rPr>
              <w:t>Fixed assets</w:t>
            </w:r>
          </w:p>
        </w:tc>
        <w:tc>
          <w:tcPr>
            <w:tcW w:w="20" w:type="dxa"/>
            <w:vAlign w:val="bottom"/>
            <w:vMerge w:val="continue"/>
          </w:tcPr>
          <w:p>
            <w:pPr>
              <w:spacing w:after="0"/>
              <w:rPr>
                <w:sz w:val="13"/>
                <w:szCs w:val="13"/>
                <w:color w:val="auto"/>
              </w:rPr>
            </w:pPr>
          </w:p>
        </w:tc>
        <w:tc>
          <w:tcPr>
            <w:tcW w:w="40" w:type="dxa"/>
            <w:vAlign w:val="bottom"/>
            <w:tcBorders>
              <w:left w:val="single" w:sz="8" w:color="BECE33"/>
            </w:tcBorders>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(8.4)</w:t>
            </w:r>
          </w:p>
        </w:tc>
        <w:tc>
          <w:tcPr>
            <w:tcW w:w="40" w:type="dxa"/>
            <w:vAlign w:val="bottom"/>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11.5</w:t>
            </w:r>
          </w:p>
        </w:tc>
        <w:tc>
          <w:tcPr>
            <w:tcW w:w="40" w:type="dxa"/>
            <w:vAlign w:val="bottom"/>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60" w:type="dxa"/>
            <w:vAlign w:val="bottom"/>
            <w:vMerge w:val="continue"/>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60" w:type="dxa"/>
            <w:vAlign w:val="bottom"/>
            <w:vMerge w:val="continue"/>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2"/>
                <w:szCs w:val="12"/>
                <w:color w:val="005A64"/>
              </w:rPr>
              <w:t>3.1</w:t>
            </w:r>
          </w:p>
        </w:tc>
        <w:tc>
          <w:tcPr>
            <w:tcW w:w="60" w:type="dxa"/>
            <w:vAlign w:val="bottom"/>
            <w:tcBorders>
              <w:right w:val="single" w:sz="8" w:color="BECE33"/>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180" w:type="dxa"/>
            <w:vAlign w:val="bottom"/>
            <w:gridSpan w:val="2"/>
          </w:tcPr>
          <w:p>
            <w:pPr>
              <w:ind w:left="20"/>
              <w:spacing w:after="0"/>
              <w:rPr>
                <w:sz w:val="20"/>
                <w:szCs w:val="20"/>
                <w:color w:val="auto"/>
              </w:rPr>
            </w:pPr>
            <w:r>
              <w:rPr>
                <w:rFonts w:ascii="Arial" w:cs="Arial" w:eastAsia="Arial" w:hAnsi="Arial"/>
                <w:sz w:val="12"/>
                <w:szCs w:val="12"/>
                <w:color w:val="005A64"/>
              </w:rPr>
              <w:t>Right-of-use assets</w:t>
            </w:r>
          </w:p>
        </w:tc>
        <w:tc>
          <w:tcPr>
            <w:tcW w:w="880" w:type="dxa"/>
            <w:vAlign w:val="bottom"/>
            <w:tcBorders>
              <w:left w:val="single" w:sz="8" w:color="BECE33"/>
            </w:tcBorders>
            <w:gridSpan w:val="2"/>
          </w:tcPr>
          <w:p>
            <w:pPr>
              <w:ind w:left="60"/>
              <w:spacing w:after="0"/>
              <w:rPr>
                <w:sz w:val="20"/>
                <w:szCs w:val="20"/>
                <w:color w:val="auto"/>
              </w:rPr>
            </w:pPr>
            <w:r>
              <w:rPr>
                <w:rFonts w:ascii="Arial" w:cs="Arial" w:eastAsia="Arial" w:hAnsi="Arial"/>
                <w:sz w:val="12"/>
                <w:szCs w:val="12"/>
                <w:color w:val="005A64"/>
              </w:rPr>
              <w:t>(56.6)</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(8.3)</w:t>
            </w:r>
          </w:p>
        </w:tc>
        <w:tc>
          <w:tcPr>
            <w:tcW w:w="4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940" w:type="dxa"/>
            <w:vAlign w:val="bottom"/>
            <w:gridSpan w:val="2"/>
          </w:tcPr>
          <w:p>
            <w:pPr>
              <w:ind w:left="60"/>
              <w:spacing w:after="0"/>
              <w:rPr>
                <w:sz w:val="20"/>
                <w:szCs w:val="20"/>
                <w:color w:val="auto"/>
              </w:rPr>
            </w:pPr>
            <w:r>
              <w:rPr>
                <w:rFonts w:ascii="Arial" w:cs="Arial" w:eastAsia="Arial" w:hAnsi="Arial"/>
                <w:sz w:val="12"/>
                <w:szCs w:val="12"/>
                <w:color w:val="005A64"/>
              </w:rPr>
              <w:t>(64.9)</w:t>
            </w:r>
          </w:p>
        </w:tc>
        <w:tc>
          <w:tcPr>
            <w:tcW w:w="60" w:type="dxa"/>
            <w:vAlign w:val="bottom"/>
            <w:tcBorders>
              <w:right w:val="single" w:sz="8" w:color="BECE33"/>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ind w:left="20"/>
              <w:spacing w:after="0"/>
              <w:rPr>
                <w:sz w:val="20"/>
                <w:szCs w:val="20"/>
                <w:color w:val="auto"/>
              </w:rPr>
            </w:pPr>
            <w:r>
              <w:rPr>
                <w:rFonts w:ascii="Arial" w:cs="Arial" w:eastAsia="Arial" w:hAnsi="Arial"/>
                <w:sz w:val="12"/>
                <w:szCs w:val="12"/>
                <w:color w:val="005A64"/>
              </w:rPr>
              <w:t>Inventories</w:t>
            </w:r>
          </w:p>
        </w:tc>
        <w:tc>
          <w:tcPr>
            <w:tcW w:w="880" w:type="dxa"/>
            <w:vAlign w:val="bottom"/>
            <w:tcBorders>
              <w:left w:val="single" w:sz="8" w:color="BECE33"/>
            </w:tcBorders>
            <w:gridSpan w:val="2"/>
          </w:tcPr>
          <w:p>
            <w:pPr>
              <w:ind w:left="60"/>
              <w:spacing w:after="0"/>
              <w:rPr>
                <w:sz w:val="20"/>
                <w:szCs w:val="20"/>
                <w:color w:val="auto"/>
              </w:rPr>
            </w:pPr>
            <w:r>
              <w:rPr>
                <w:rFonts w:ascii="Arial" w:cs="Arial" w:eastAsia="Arial" w:hAnsi="Arial"/>
                <w:sz w:val="12"/>
                <w:szCs w:val="12"/>
                <w:color w:val="005A64"/>
              </w:rPr>
              <w:t>113.6</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(31.7)</w:t>
            </w:r>
          </w:p>
        </w:tc>
        <w:tc>
          <w:tcPr>
            <w:tcW w:w="4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940" w:type="dxa"/>
            <w:vAlign w:val="bottom"/>
            <w:gridSpan w:val="2"/>
          </w:tcPr>
          <w:p>
            <w:pPr>
              <w:ind w:left="60"/>
              <w:spacing w:after="0"/>
              <w:rPr>
                <w:sz w:val="20"/>
                <w:szCs w:val="20"/>
                <w:color w:val="auto"/>
              </w:rPr>
            </w:pPr>
            <w:r>
              <w:rPr>
                <w:rFonts w:ascii="Arial" w:cs="Arial" w:eastAsia="Arial" w:hAnsi="Arial"/>
                <w:sz w:val="12"/>
                <w:szCs w:val="12"/>
                <w:color w:val="005A64"/>
              </w:rPr>
              <w:t>81.9</w:t>
            </w:r>
          </w:p>
        </w:tc>
        <w:tc>
          <w:tcPr>
            <w:tcW w:w="6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ind w:left="20"/>
              <w:spacing w:after="0"/>
              <w:rPr>
                <w:sz w:val="20"/>
                <w:szCs w:val="20"/>
                <w:color w:val="auto"/>
              </w:rPr>
            </w:pPr>
            <w:r>
              <w:rPr>
                <w:rFonts w:ascii="Arial" w:cs="Arial" w:eastAsia="Arial" w:hAnsi="Arial"/>
                <w:sz w:val="12"/>
                <w:szCs w:val="12"/>
                <w:color w:val="005A64"/>
              </w:rPr>
              <w:t>Trade and other receivables</w:t>
            </w:r>
          </w:p>
        </w:tc>
        <w:tc>
          <w:tcPr>
            <w:tcW w:w="880" w:type="dxa"/>
            <w:vAlign w:val="bottom"/>
            <w:tcBorders>
              <w:left w:val="single" w:sz="8" w:color="BECE33"/>
            </w:tcBorders>
            <w:gridSpan w:val="2"/>
          </w:tcPr>
          <w:p>
            <w:pPr>
              <w:ind w:left="60"/>
              <w:spacing w:after="0"/>
              <w:rPr>
                <w:sz w:val="20"/>
                <w:szCs w:val="20"/>
                <w:color w:val="auto"/>
              </w:rPr>
            </w:pPr>
            <w:r>
              <w:rPr>
                <w:rFonts w:ascii="Arial" w:cs="Arial" w:eastAsia="Arial" w:hAnsi="Arial"/>
                <w:sz w:val="12"/>
                <w:szCs w:val="12"/>
                <w:color w:val="005A64"/>
              </w:rPr>
              <w:t>(90.0)</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(412.1)</w:t>
            </w:r>
          </w:p>
        </w:tc>
        <w:tc>
          <w:tcPr>
            <w:tcW w:w="4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940" w:type="dxa"/>
            <w:vAlign w:val="bottom"/>
            <w:gridSpan w:val="2"/>
          </w:tcPr>
          <w:p>
            <w:pPr>
              <w:ind w:left="60"/>
              <w:spacing w:after="0"/>
              <w:rPr>
                <w:sz w:val="20"/>
                <w:szCs w:val="20"/>
                <w:color w:val="auto"/>
              </w:rPr>
            </w:pPr>
            <w:r>
              <w:rPr>
                <w:rFonts w:ascii="Arial" w:cs="Arial" w:eastAsia="Arial" w:hAnsi="Arial"/>
                <w:sz w:val="12"/>
                <w:szCs w:val="12"/>
                <w:color w:val="005A64"/>
              </w:rPr>
              <w:t>(502.1)</w:t>
            </w:r>
          </w:p>
        </w:tc>
        <w:tc>
          <w:tcPr>
            <w:tcW w:w="6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ind w:left="20"/>
              <w:spacing w:after="0"/>
              <w:rPr>
                <w:sz w:val="20"/>
                <w:szCs w:val="20"/>
                <w:color w:val="auto"/>
              </w:rPr>
            </w:pPr>
            <w:r>
              <w:rPr>
                <w:rFonts w:ascii="Arial" w:cs="Arial" w:eastAsia="Arial" w:hAnsi="Arial"/>
                <w:sz w:val="12"/>
                <w:szCs w:val="12"/>
                <w:color w:val="005A64"/>
              </w:rPr>
              <w:t>Lease liabilities</w:t>
            </w:r>
          </w:p>
        </w:tc>
        <w:tc>
          <w:tcPr>
            <w:tcW w:w="880" w:type="dxa"/>
            <w:vAlign w:val="bottom"/>
            <w:tcBorders>
              <w:left w:val="single" w:sz="8" w:color="BECE33"/>
            </w:tcBorders>
            <w:gridSpan w:val="2"/>
          </w:tcPr>
          <w:p>
            <w:pPr>
              <w:ind w:left="60"/>
              <w:spacing w:after="0"/>
              <w:rPr>
                <w:sz w:val="20"/>
                <w:szCs w:val="20"/>
                <w:color w:val="auto"/>
              </w:rPr>
            </w:pPr>
            <w:r>
              <w:rPr>
                <w:rFonts w:ascii="Arial" w:cs="Arial" w:eastAsia="Arial" w:hAnsi="Arial"/>
                <w:sz w:val="12"/>
                <w:szCs w:val="12"/>
                <w:color w:val="005A64"/>
              </w:rPr>
              <w:t>57.2</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13.3</w:t>
            </w:r>
          </w:p>
        </w:tc>
        <w:tc>
          <w:tcPr>
            <w:tcW w:w="4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940" w:type="dxa"/>
            <w:vAlign w:val="bottom"/>
            <w:gridSpan w:val="2"/>
          </w:tcPr>
          <w:p>
            <w:pPr>
              <w:ind w:left="60"/>
              <w:spacing w:after="0"/>
              <w:rPr>
                <w:sz w:val="20"/>
                <w:szCs w:val="20"/>
                <w:color w:val="auto"/>
              </w:rPr>
            </w:pPr>
            <w:r>
              <w:rPr>
                <w:rFonts w:ascii="Arial" w:cs="Arial" w:eastAsia="Arial" w:hAnsi="Arial"/>
                <w:sz w:val="12"/>
                <w:szCs w:val="12"/>
                <w:color w:val="005A64"/>
              </w:rPr>
              <w:t>70.5</w:t>
            </w:r>
          </w:p>
        </w:tc>
        <w:tc>
          <w:tcPr>
            <w:tcW w:w="6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ind w:left="20"/>
              <w:spacing w:after="0"/>
              <w:rPr>
                <w:sz w:val="20"/>
                <w:szCs w:val="20"/>
                <w:color w:val="auto"/>
              </w:rPr>
            </w:pPr>
            <w:r>
              <w:rPr>
                <w:rFonts w:ascii="Arial" w:cs="Arial" w:eastAsia="Arial" w:hAnsi="Arial"/>
                <w:sz w:val="12"/>
                <w:szCs w:val="12"/>
                <w:color w:val="005A64"/>
              </w:rPr>
              <w:t>Contract liabilities</w:t>
            </w:r>
          </w:p>
        </w:tc>
        <w:tc>
          <w:tcPr>
            <w:tcW w:w="880" w:type="dxa"/>
            <w:vAlign w:val="bottom"/>
            <w:tcBorders>
              <w:left w:val="single" w:sz="8" w:color="BECE33"/>
            </w:tcBorders>
            <w:gridSpan w:val="2"/>
          </w:tcPr>
          <w:p>
            <w:pPr>
              <w:ind w:left="60"/>
              <w:spacing w:after="0"/>
              <w:rPr>
                <w:sz w:val="20"/>
                <w:szCs w:val="20"/>
                <w:color w:val="auto"/>
              </w:rPr>
            </w:pPr>
            <w:r>
              <w:rPr>
                <w:rFonts w:ascii="Arial" w:cs="Arial" w:eastAsia="Arial" w:hAnsi="Arial"/>
                <w:sz w:val="12"/>
                <w:szCs w:val="12"/>
                <w:color w:val="005A64"/>
              </w:rPr>
              <w:t>(43.0)</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(47.3)</w:t>
            </w:r>
          </w:p>
        </w:tc>
        <w:tc>
          <w:tcPr>
            <w:tcW w:w="4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940" w:type="dxa"/>
            <w:vAlign w:val="bottom"/>
            <w:gridSpan w:val="2"/>
          </w:tcPr>
          <w:p>
            <w:pPr>
              <w:ind w:left="60"/>
              <w:spacing w:after="0"/>
              <w:rPr>
                <w:sz w:val="20"/>
                <w:szCs w:val="20"/>
                <w:color w:val="auto"/>
              </w:rPr>
            </w:pPr>
            <w:r>
              <w:rPr>
                <w:rFonts w:ascii="Arial" w:cs="Arial" w:eastAsia="Arial" w:hAnsi="Arial"/>
                <w:sz w:val="12"/>
                <w:szCs w:val="12"/>
                <w:color w:val="005A64"/>
              </w:rPr>
              <w:t>(90.3)</w:t>
            </w:r>
          </w:p>
        </w:tc>
        <w:tc>
          <w:tcPr>
            <w:tcW w:w="6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ind w:left="20"/>
              <w:spacing w:after="0"/>
              <w:rPr>
                <w:sz w:val="20"/>
                <w:szCs w:val="20"/>
                <w:color w:val="auto"/>
              </w:rPr>
            </w:pPr>
            <w:r>
              <w:rPr>
                <w:rFonts w:ascii="Arial" w:cs="Arial" w:eastAsia="Arial" w:hAnsi="Arial"/>
                <w:sz w:val="12"/>
                <w:szCs w:val="12"/>
                <w:color w:val="005A64"/>
              </w:rPr>
              <w:t>Loans and borrowings</w:t>
            </w:r>
          </w:p>
        </w:tc>
        <w:tc>
          <w:tcPr>
            <w:tcW w:w="880" w:type="dxa"/>
            <w:vAlign w:val="bottom"/>
            <w:tcBorders>
              <w:left w:val="single" w:sz="8" w:color="BECE33"/>
            </w:tcBorders>
            <w:gridSpan w:val="2"/>
          </w:tcPr>
          <w:p>
            <w:pPr>
              <w:ind w:left="60"/>
              <w:spacing w:after="0"/>
              <w:rPr>
                <w:sz w:val="20"/>
                <w:szCs w:val="20"/>
                <w:color w:val="auto"/>
              </w:rPr>
            </w:pPr>
            <w:r>
              <w:rPr>
                <w:rFonts w:ascii="Arial" w:cs="Arial" w:eastAsia="Arial" w:hAnsi="Arial"/>
                <w:sz w:val="12"/>
                <w:szCs w:val="12"/>
                <w:color w:val="005A64"/>
              </w:rPr>
              <w:t>4.8</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20.4</w:t>
            </w:r>
          </w:p>
        </w:tc>
        <w:tc>
          <w:tcPr>
            <w:tcW w:w="4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940" w:type="dxa"/>
            <w:vAlign w:val="bottom"/>
            <w:gridSpan w:val="2"/>
          </w:tcPr>
          <w:p>
            <w:pPr>
              <w:ind w:left="60"/>
              <w:spacing w:after="0"/>
              <w:rPr>
                <w:sz w:val="20"/>
                <w:szCs w:val="20"/>
                <w:color w:val="auto"/>
              </w:rPr>
            </w:pPr>
            <w:r>
              <w:rPr>
                <w:rFonts w:ascii="Arial" w:cs="Arial" w:eastAsia="Arial" w:hAnsi="Arial"/>
                <w:sz w:val="12"/>
                <w:szCs w:val="12"/>
                <w:color w:val="005A64"/>
              </w:rPr>
              <w:t>25.2</w:t>
            </w:r>
          </w:p>
        </w:tc>
        <w:tc>
          <w:tcPr>
            <w:tcW w:w="6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ind w:left="20"/>
              <w:spacing w:after="0"/>
              <w:rPr>
                <w:sz w:val="20"/>
                <w:szCs w:val="20"/>
                <w:color w:val="auto"/>
              </w:rPr>
            </w:pPr>
            <w:r>
              <w:rPr>
                <w:rFonts w:ascii="Arial" w:cs="Arial" w:eastAsia="Arial" w:hAnsi="Arial"/>
                <w:sz w:val="12"/>
                <w:szCs w:val="12"/>
                <w:color w:val="005A64"/>
              </w:rPr>
              <w:t>Net employee defined benefit liabilities</w:t>
            </w:r>
          </w:p>
        </w:tc>
        <w:tc>
          <w:tcPr>
            <w:tcW w:w="880" w:type="dxa"/>
            <w:vAlign w:val="bottom"/>
            <w:tcBorders>
              <w:left w:val="single" w:sz="8" w:color="BECE33"/>
            </w:tcBorders>
            <w:gridSpan w:val="2"/>
          </w:tcPr>
          <w:p>
            <w:pPr>
              <w:ind w:left="60"/>
              <w:spacing w:after="0"/>
              <w:rPr>
                <w:sz w:val="20"/>
                <w:szCs w:val="20"/>
                <w:color w:val="auto"/>
              </w:rPr>
            </w:pPr>
            <w:r>
              <w:rPr>
                <w:rFonts w:ascii="Arial" w:cs="Arial" w:eastAsia="Arial" w:hAnsi="Arial"/>
                <w:sz w:val="12"/>
                <w:szCs w:val="12"/>
                <w:color w:val="005A64"/>
              </w:rPr>
              <w:t>0.6</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0.1</w:t>
            </w:r>
          </w:p>
        </w:tc>
        <w:tc>
          <w:tcPr>
            <w:tcW w:w="4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940" w:type="dxa"/>
            <w:vAlign w:val="bottom"/>
            <w:gridSpan w:val="2"/>
          </w:tcPr>
          <w:p>
            <w:pPr>
              <w:ind w:left="60"/>
              <w:spacing w:after="0"/>
              <w:rPr>
                <w:sz w:val="20"/>
                <w:szCs w:val="20"/>
                <w:color w:val="auto"/>
              </w:rPr>
            </w:pPr>
            <w:r>
              <w:rPr>
                <w:rFonts w:ascii="Arial" w:cs="Arial" w:eastAsia="Arial" w:hAnsi="Arial"/>
                <w:sz w:val="12"/>
                <w:szCs w:val="12"/>
                <w:color w:val="005A64"/>
              </w:rPr>
              <w:t>0.7</w:t>
            </w:r>
          </w:p>
        </w:tc>
        <w:tc>
          <w:tcPr>
            <w:tcW w:w="6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ind w:left="20"/>
              <w:spacing w:after="0"/>
              <w:rPr>
                <w:sz w:val="20"/>
                <w:szCs w:val="20"/>
                <w:color w:val="auto"/>
              </w:rPr>
            </w:pPr>
            <w:r>
              <w:rPr>
                <w:rFonts w:ascii="Arial" w:cs="Arial" w:eastAsia="Arial" w:hAnsi="Arial"/>
                <w:sz w:val="12"/>
                <w:szCs w:val="12"/>
                <w:color w:val="005A64"/>
              </w:rPr>
              <w:t>Share-based payments</w:t>
            </w:r>
          </w:p>
        </w:tc>
        <w:tc>
          <w:tcPr>
            <w:tcW w:w="880" w:type="dxa"/>
            <w:vAlign w:val="bottom"/>
            <w:tcBorders>
              <w:left w:val="single" w:sz="8" w:color="BECE33"/>
            </w:tcBorders>
            <w:gridSpan w:val="2"/>
          </w:tcPr>
          <w:p>
            <w:pPr>
              <w:ind w:left="60"/>
              <w:spacing w:after="0"/>
              <w:rPr>
                <w:sz w:val="20"/>
                <w:szCs w:val="20"/>
                <w:color w:val="auto"/>
              </w:rPr>
            </w:pPr>
            <w:r>
              <w:rPr>
                <w:rFonts w:ascii="Arial" w:cs="Arial" w:eastAsia="Arial" w:hAnsi="Arial"/>
                <w:sz w:val="12"/>
                <w:szCs w:val="12"/>
                <w:color w:val="005A64"/>
              </w:rPr>
              <w:t>142.1</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20.3</w:t>
            </w:r>
          </w:p>
        </w:tc>
        <w:tc>
          <w:tcPr>
            <w:tcW w:w="4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900" w:type="dxa"/>
            <w:vAlign w:val="bottom"/>
            <w:gridSpan w:val="2"/>
          </w:tcPr>
          <w:p>
            <w:pPr>
              <w:ind w:left="60"/>
              <w:spacing w:after="0"/>
              <w:rPr>
                <w:sz w:val="20"/>
                <w:szCs w:val="20"/>
                <w:color w:val="auto"/>
              </w:rPr>
            </w:pPr>
            <w:r>
              <w:rPr>
                <w:rFonts w:ascii="Arial" w:cs="Arial" w:eastAsia="Arial" w:hAnsi="Arial"/>
                <w:sz w:val="12"/>
                <w:szCs w:val="12"/>
                <w:color w:val="005A64"/>
              </w:rPr>
              <w:t>(85.0)</w:t>
            </w:r>
          </w:p>
        </w:tc>
        <w:tc>
          <w:tcPr>
            <w:tcW w:w="940" w:type="dxa"/>
            <w:vAlign w:val="bottom"/>
            <w:gridSpan w:val="2"/>
          </w:tcPr>
          <w:p>
            <w:pPr>
              <w:ind w:left="60"/>
              <w:spacing w:after="0"/>
              <w:rPr>
                <w:sz w:val="20"/>
                <w:szCs w:val="20"/>
                <w:color w:val="auto"/>
              </w:rPr>
            </w:pPr>
            <w:r>
              <w:rPr>
                <w:rFonts w:ascii="Arial" w:cs="Arial" w:eastAsia="Arial" w:hAnsi="Arial"/>
                <w:sz w:val="12"/>
                <w:szCs w:val="12"/>
                <w:color w:val="005A64"/>
              </w:rPr>
              <w:t>77.4</w:t>
            </w:r>
          </w:p>
        </w:tc>
        <w:tc>
          <w:tcPr>
            <w:tcW w:w="6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ind w:left="20"/>
              <w:spacing w:after="0"/>
              <w:rPr>
                <w:sz w:val="20"/>
                <w:szCs w:val="20"/>
                <w:color w:val="auto"/>
              </w:rPr>
            </w:pPr>
            <w:r>
              <w:rPr>
                <w:rFonts w:ascii="Arial" w:cs="Arial" w:eastAsia="Arial" w:hAnsi="Arial"/>
                <w:sz w:val="12"/>
                <w:szCs w:val="12"/>
                <w:color w:val="005A64"/>
              </w:rPr>
              <w:t>Other provisions</w:t>
            </w:r>
          </w:p>
        </w:tc>
        <w:tc>
          <w:tcPr>
            <w:tcW w:w="880" w:type="dxa"/>
            <w:vAlign w:val="bottom"/>
            <w:tcBorders>
              <w:left w:val="single" w:sz="8" w:color="BECE33"/>
            </w:tcBorders>
            <w:gridSpan w:val="2"/>
          </w:tcPr>
          <w:p>
            <w:pPr>
              <w:ind w:left="60"/>
              <w:spacing w:after="0"/>
              <w:rPr>
                <w:sz w:val="20"/>
                <w:szCs w:val="20"/>
                <w:color w:val="auto"/>
              </w:rPr>
            </w:pPr>
            <w:r>
              <w:rPr>
                <w:rFonts w:ascii="Arial" w:cs="Arial" w:eastAsia="Arial" w:hAnsi="Arial"/>
                <w:sz w:val="12"/>
                <w:szCs w:val="12"/>
                <w:color w:val="005A64"/>
              </w:rPr>
              <w:t>9.8</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4.4</w:t>
            </w:r>
          </w:p>
        </w:tc>
        <w:tc>
          <w:tcPr>
            <w:tcW w:w="4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940" w:type="dxa"/>
            <w:vAlign w:val="bottom"/>
            <w:gridSpan w:val="2"/>
          </w:tcPr>
          <w:p>
            <w:pPr>
              <w:ind w:left="60"/>
              <w:spacing w:after="0"/>
              <w:rPr>
                <w:sz w:val="20"/>
                <w:szCs w:val="20"/>
                <w:color w:val="auto"/>
              </w:rPr>
            </w:pPr>
            <w:r>
              <w:rPr>
                <w:rFonts w:ascii="Arial" w:cs="Arial" w:eastAsia="Arial" w:hAnsi="Arial"/>
                <w:sz w:val="12"/>
                <w:szCs w:val="12"/>
                <w:color w:val="005A64"/>
              </w:rPr>
              <w:t>14.2</w:t>
            </w:r>
          </w:p>
        </w:tc>
        <w:tc>
          <w:tcPr>
            <w:tcW w:w="6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ind w:left="20"/>
              <w:spacing w:after="0"/>
              <w:rPr>
                <w:sz w:val="20"/>
                <w:szCs w:val="20"/>
                <w:color w:val="auto"/>
              </w:rPr>
            </w:pPr>
            <w:r>
              <w:rPr>
                <w:rFonts w:ascii="Arial" w:cs="Arial" w:eastAsia="Arial" w:hAnsi="Arial"/>
                <w:sz w:val="12"/>
                <w:szCs w:val="12"/>
                <w:color w:val="005A64"/>
              </w:rPr>
              <w:t>Other (incl. deferred expenses)</w:t>
            </w:r>
          </w:p>
        </w:tc>
        <w:tc>
          <w:tcPr>
            <w:tcW w:w="880" w:type="dxa"/>
            <w:vAlign w:val="bottom"/>
            <w:tcBorders>
              <w:left w:val="single" w:sz="8" w:color="BECE33"/>
            </w:tcBorders>
            <w:gridSpan w:val="2"/>
          </w:tcPr>
          <w:p>
            <w:pPr>
              <w:ind w:left="60"/>
              <w:spacing w:after="0"/>
              <w:rPr>
                <w:sz w:val="20"/>
                <w:szCs w:val="20"/>
                <w:color w:val="auto"/>
              </w:rPr>
            </w:pPr>
            <w:r>
              <w:rPr>
                <w:rFonts w:ascii="Arial" w:cs="Arial" w:eastAsia="Arial" w:hAnsi="Arial"/>
                <w:sz w:val="12"/>
                <w:szCs w:val="12"/>
                <w:color w:val="005A64"/>
              </w:rPr>
              <w:t>(44.9)</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413.1</w:t>
            </w:r>
          </w:p>
        </w:tc>
        <w:tc>
          <w:tcPr>
            <w:tcW w:w="4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940" w:type="dxa"/>
            <w:vAlign w:val="bottom"/>
            <w:gridSpan w:val="2"/>
          </w:tcPr>
          <w:p>
            <w:pPr>
              <w:ind w:left="60"/>
              <w:spacing w:after="0"/>
              <w:rPr>
                <w:sz w:val="20"/>
                <w:szCs w:val="20"/>
                <w:color w:val="auto"/>
              </w:rPr>
            </w:pPr>
            <w:r>
              <w:rPr>
                <w:rFonts w:ascii="Arial" w:cs="Arial" w:eastAsia="Arial" w:hAnsi="Arial"/>
                <w:sz w:val="12"/>
                <w:szCs w:val="12"/>
                <w:color w:val="005A64"/>
              </w:rPr>
              <w:t>368.2</w:t>
            </w:r>
          </w:p>
        </w:tc>
        <w:tc>
          <w:tcPr>
            <w:tcW w:w="6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ind w:left="20"/>
              <w:spacing w:after="0"/>
              <w:rPr>
                <w:sz w:val="20"/>
                <w:szCs w:val="20"/>
                <w:color w:val="auto"/>
              </w:rPr>
            </w:pPr>
            <w:r>
              <w:rPr>
                <w:rFonts w:ascii="Arial" w:cs="Arial" w:eastAsia="Arial" w:hAnsi="Arial"/>
                <w:sz w:val="12"/>
                <w:szCs w:val="12"/>
                <w:color w:val="005A64"/>
              </w:rPr>
              <w:t>Tax losses / tax credits</w:t>
            </w:r>
          </w:p>
        </w:tc>
        <w:tc>
          <w:tcPr>
            <w:tcW w:w="880" w:type="dxa"/>
            <w:vAlign w:val="bottom"/>
            <w:tcBorders>
              <w:left w:val="single" w:sz="8" w:color="BECE33"/>
            </w:tcBorders>
            <w:gridSpan w:val="2"/>
          </w:tcPr>
          <w:p>
            <w:pPr>
              <w:ind w:left="60"/>
              <w:spacing w:after="0"/>
              <w:rPr>
                <w:sz w:val="20"/>
                <w:szCs w:val="20"/>
                <w:color w:val="auto"/>
              </w:rPr>
            </w:pPr>
            <w:r>
              <w:rPr>
                <w:rFonts w:ascii="Arial" w:cs="Arial" w:eastAsia="Arial" w:hAnsi="Arial"/>
                <w:sz w:val="12"/>
                <w:szCs w:val="12"/>
                <w:color w:val="005A64"/>
              </w:rPr>
              <w:t>94.4</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230.2</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63.2</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940" w:type="dxa"/>
            <w:vAlign w:val="bottom"/>
            <w:gridSpan w:val="2"/>
          </w:tcPr>
          <w:p>
            <w:pPr>
              <w:ind w:left="60"/>
              <w:spacing w:after="0"/>
              <w:rPr>
                <w:sz w:val="20"/>
                <w:szCs w:val="20"/>
                <w:color w:val="auto"/>
              </w:rPr>
            </w:pPr>
            <w:r>
              <w:rPr>
                <w:rFonts w:ascii="Arial" w:cs="Arial" w:eastAsia="Arial" w:hAnsi="Arial"/>
                <w:sz w:val="12"/>
                <w:szCs w:val="12"/>
                <w:color w:val="005A64"/>
              </w:rPr>
              <w:t>387.8</w:t>
            </w:r>
          </w:p>
        </w:tc>
        <w:tc>
          <w:tcPr>
            <w:tcW w:w="6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180" w:type="dxa"/>
            <w:vAlign w:val="bottom"/>
            <w:gridSpan w:val="2"/>
          </w:tcPr>
          <w:p>
            <w:pPr>
              <w:ind w:left="20"/>
              <w:spacing w:after="0"/>
              <w:rPr>
                <w:sz w:val="20"/>
                <w:szCs w:val="20"/>
                <w:color w:val="auto"/>
              </w:rPr>
            </w:pPr>
            <w:r>
              <w:rPr>
                <w:rFonts w:ascii="Arial" w:cs="Arial" w:eastAsia="Arial" w:hAnsi="Arial"/>
                <w:sz w:val="12"/>
                <w:szCs w:val="12"/>
                <w:b w:val="1"/>
                <w:bCs w:val="1"/>
                <w:color w:val="005A64"/>
              </w:rPr>
              <w:t>Deferred tax assets net (before</w:t>
            </w:r>
          </w:p>
        </w:tc>
        <w:tc>
          <w:tcPr>
            <w:tcW w:w="880" w:type="dxa"/>
            <w:vAlign w:val="bottom"/>
            <w:tcBorders>
              <w:left w:val="single" w:sz="8" w:color="BECE33"/>
            </w:tcBorders>
            <w:gridSpan w:val="2"/>
          </w:tcPr>
          <w:p>
            <w:pPr>
              <w:ind w:left="60"/>
              <w:spacing w:after="0"/>
              <w:rPr>
                <w:sz w:val="20"/>
                <w:szCs w:val="20"/>
                <w:color w:val="auto"/>
              </w:rPr>
            </w:pPr>
            <w:r>
              <w:rPr>
                <w:rFonts w:ascii="Arial" w:cs="Arial" w:eastAsia="Arial" w:hAnsi="Arial"/>
                <w:sz w:val="12"/>
                <w:szCs w:val="12"/>
                <w:b w:val="1"/>
                <w:bCs w:val="1"/>
                <w:color w:val="005A64"/>
              </w:rPr>
              <w:t>179.6</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005A64"/>
              </w:rPr>
              <w:t>213.9</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005A64"/>
              </w:rPr>
              <w:t>63.2</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005A64"/>
              </w:rPr>
              <w:t>(85.0)</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005A64"/>
              </w:rPr>
              <w:t>371.7</w:t>
            </w:r>
          </w:p>
        </w:tc>
        <w:tc>
          <w:tcPr>
            <w:tcW w:w="60" w:type="dxa"/>
            <w:vAlign w:val="bottom"/>
            <w:tcBorders>
              <w:right w:val="single" w:sz="8" w:color="BECE33"/>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180" w:type="dxa"/>
            <w:vAlign w:val="bottom"/>
            <w:gridSpan w:val="2"/>
          </w:tcPr>
          <w:p>
            <w:pPr>
              <w:ind w:left="20"/>
              <w:spacing w:after="0"/>
              <w:rPr>
                <w:sz w:val="20"/>
                <w:szCs w:val="20"/>
                <w:color w:val="auto"/>
              </w:rPr>
            </w:pPr>
            <w:r>
              <w:rPr>
                <w:rFonts w:ascii="Arial" w:cs="Arial" w:eastAsia="Arial" w:hAnsi="Arial"/>
                <w:sz w:val="12"/>
                <w:szCs w:val="12"/>
                <w:b w:val="1"/>
                <w:bCs w:val="1"/>
                <w:color w:val="005A64"/>
              </w:rPr>
              <w:t>valuation adjustment)</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Borders>
              <w:right w:val="single" w:sz="8" w:color="BECE33"/>
            </w:tcBorders>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216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tcBorders>
              <w:left w:val="single" w:sz="8" w:color="BECE33"/>
            </w:tcBorders>
            <w:vMerge w:val="restart"/>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40" w:type="dxa"/>
            <w:vAlign w:val="bottom"/>
            <w:vMerge w:val="restart"/>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40" w:type="dxa"/>
            <w:vAlign w:val="bottom"/>
            <w:vMerge w:val="restart"/>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60" w:type="dxa"/>
            <w:vAlign w:val="bottom"/>
            <w:vMerge w:val="restart"/>
          </w:tcPr>
          <w:p>
            <w:pPr>
              <w:spacing w:after="0"/>
              <w:rPr>
                <w:sz w:val="4"/>
                <w:szCs w:val="4"/>
                <w:color w:val="auto"/>
              </w:rPr>
            </w:pPr>
          </w:p>
        </w:tc>
        <w:tc>
          <w:tcPr>
            <w:tcW w:w="88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160" w:type="dxa"/>
            <w:vAlign w:val="bottom"/>
          </w:tcPr>
          <w:p>
            <w:pPr>
              <w:ind w:left="20"/>
              <w:spacing w:after="0"/>
              <w:rPr>
                <w:sz w:val="20"/>
                <w:szCs w:val="20"/>
                <w:color w:val="auto"/>
              </w:rPr>
            </w:pPr>
            <w:r>
              <w:rPr>
                <w:rFonts w:ascii="Arial" w:cs="Arial" w:eastAsia="Arial" w:hAnsi="Arial"/>
                <w:sz w:val="12"/>
                <w:szCs w:val="12"/>
                <w:color w:val="005A64"/>
              </w:rPr>
              <w:t>Valuation adjustment</w:t>
            </w:r>
          </w:p>
        </w:tc>
        <w:tc>
          <w:tcPr>
            <w:tcW w:w="20" w:type="dxa"/>
            <w:vAlign w:val="bottom"/>
            <w:vMerge w:val="continue"/>
          </w:tcPr>
          <w:p>
            <w:pPr>
              <w:spacing w:after="0"/>
              <w:rPr>
                <w:sz w:val="13"/>
                <w:szCs w:val="13"/>
                <w:color w:val="auto"/>
              </w:rPr>
            </w:pPr>
          </w:p>
        </w:tc>
        <w:tc>
          <w:tcPr>
            <w:tcW w:w="40" w:type="dxa"/>
            <w:vAlign w:val="bottom"/>
            <w:tcBorders>
              <w:left w:val="single" w:sz="8" w:color="BECE33"/>
            </w:tcBorders>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(138.0)</w:t>
            </w:r>
          </w:p>
        </w:tc>
        <w:tc>
          <w:tcPr>
            <w:tcW w:w="40" w:type="dxa"/>
            <w:vAlign w:val="bottom"/>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(133.9)</w:t>
            </w:r>
          </w:p>
        </w:tc>
        <w:tc>
          <w:tcPr>
            <w:tcW w:w="40" w:type="dxa"/>
            <w:vAlign w:val="bottom"/>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(60.5)</w:t>
            </w: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60" w:type="dxa"/>
            <w:vAlign w:val="bottom"/>
            <w:vMerge w:val="continue"/>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2"/>
                <w:szCs w:val="12"/>
                <w:color w:val="005A64"/>
              </w:rPr>
              <w:t>(332.4)</w:t>
            </w:r>
          </w:p>
        </w:tc>
        <w:tc>
          <w:tcPr>
            <w:tcW w:w="60" w:type="dxa"/>
            <w:vAlign w:val="bottom"/>
            <w:tcBorders>
              <w:right w:val="single" w:sz="8" w:color="BECE33"/>
            </w:tcBorders>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6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left w:val="single" w:sz="8" w:color="BECE33"/>
            </w:tcBorders>
            <w:vMerge w:val="restart"/>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40" w:type="dxa"/>
            <w:vAlign w:val="bottom"/>
            <w:vMerge w:val="restart"/>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40" w:type="dxa"/>
            <w:vAlign w:val="bottom"/>
            <w:vMerge w:val="restart"/>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60" w:type="dxa"/>
            <w:vAlign w:val="bottom"/>
            <w:vMerge w:val="restart"/>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60" w:type="dxa"/>
            <w:vAlign w:val="bottom"/>
            <w:vMerge w:val="restart"/>
          </w:tcPr>
          <w:p>
            <w:pPr>
              <w:spacing w:after="0"/>
              <w:rPr>
                <w:sz w:val="2"/>
                <w:szCs w:val="2"/>
                <w:color w:val="auto"/>
              </w:rPr>
            </w:pPr>
          </w:p>
        </w:tc>
        <w:tc>
          <w:tcPr>
            <w:tcW w:w="880" w:type="dxa"/>
            <w:vAlign w:val="bottom"/>
            <w:tcBorders>
              <w:bottom w:val="single" w:sz="8" w:color="005A64"/>
            </w:tcBorders>
          </w:tcPr>
          <w:p>
            <w:pPr>
              <w:spacing w:after="0"/>
              <w:rPr>
                <w:sz w:val="2"/>
                <w:szCs w:val="2"/>
                <w:color w:val="auto"/>
              </w:rPr>
            </w:pPr>
          </w:p>
        </w:tc>
        <w:tc>
          <w:tcPr>
            <w:tcW w:w="60" w:type="dxa"/>
            <w:vAlign w:val="bottom"/>
            <w:tcBorders>
              <w:right w:val="single" w:sz="8" w:color="BECE33"/>
            </w:tcBorders>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2160" w:type="dxa"/>
            <w:vAlign w:val="bottom"/>
          </w:tcPr>
          <w:p>
            <w:pPr>
              <w:ind w:left="20"/>
              <w:spacing w:after="0" w:line="102" w:lineRule="exact"/>
              <w:rPr>
                <w:sz w:val="20"/>
                <w:szCs w:val="20"/>
                <w:color w:val="auto"/>
              </w:rPr>
            </w:pPr>
            <w:r>
              <w:rPr>
                <w:rFonts w:ascii="Arial" w:cs="Arial" w:eastAsia="Arial" w:hAnsi="Arial"/>
                <w:sz w:val="11"/>
                <w:szCs w:val="11"/>
                <w:b w:val="1"/>
                <w:bCs w:val="1"/>
                <w:color w:val="005A64"/>
              </w:rPr>
              <w:t>Deferred tax assets / (liabilities), net</w:t>
            </w:r>
          </w:p>
        </w:tc>
        <w:tc>
          <w:tcPr>
            <w:tcW w:w="20" w:type="dxa"/>
            <w:vAlign w:val="bottom"/>
            <w:vMerge w:val="continue"/>
          </w:tcPr>
          <w:p>
            <w:pPr>
              <w:spacing w:after="0"/>
              <w:rPr>
                <w:sz w:val="8"/>
                <w:szCs w:val="8"/>
                <w:color w:val="auto"/>
              </w:rPr>
            </w:pPr>
          </w:p>
        </w:tc>
        <w:tc>
          <w:tcPr>
            <w:tcW w:w="40" w:type="dxa"/>
            <w:vAlign w:val="bottom"/>
            <w:tcBorders>
              <w:left w:val="single" w:sz="8" w:color="BECE33"/>
            </w:tcBorders>
            <w:vMerge w:val="continue"/>
          </w:tcPr>
          <w:p>
            <w:pPr>
              <w:spacing w:after="0"/>
              <w:rPr>
                <w:sz w:val="8"/>
                <w:szCs w:val="8"/>
                <w:color w:val="auto"/>
              </w:rPr>
            </w:pPr>
          </w:p>
        </w:tc>
        <w:tc>
          <w:tcPr>
            <w:tcW w:w="840" w:type="dxa"/>
            <w:vAlign w:val="bottom"/>
          </w:tcPr>
          <w:p>
            <w:pPr>
              <w:ind w:left="20"/>
              <w:spacing w:after="0" w:line="102" w:lineRule="exact"/>
              <w:rPr>
                <w:sz w:val="20"/>
                <w:szCs w:val="20"/>
                <w:color w:val="auto"/>
              </w:rPr>
            </w:pPr>
            <w:r>
              <w:rPr>
                <w:rFonts w:ascii="Arial" w:cs="Arial" w:eastAsia="Arial" w:hAnsi="Arial"/>
                <w:sz w:val="11"/>
                <w:szCs w:val="11"/>
                <w:b w:val="1"/>
                <w:bCs w:val="1"/>
                <w:color w:val="005A64"/>
              </w:rPr>
              <w:t>41.6</w:t>
            </w:r>
          </w:p>
        </w:tc>
        <w:tc>
          <w:tcPr>
            <w:tcW w:w="40" w:type="dxa"/>
            <w:vAlign w:val="bottom"/>
            <w:vMerge w:val="continue"/>
          </w:tcPr>
          <w:p>
            <w:pPr>
              <w:spacing w:after="0"/>
              <w:rPr>
                <w:sz w:val="8"/>
                <w:szCs w:val="8"/>
                <w:color w:val="auto"/>
              </w:rPr>
            </w:pPr>
          </w:p>
        </w:tc>
        <w:tc>
          <w:tcPr>
            <w:tcW w:w="840" w:type="dxa"/>
            <w:vAlign w:val="bottom"/>
          </w:tcPr>
          <w:p>
            <w:pPr>
              <w:ind w:left="20"/>
              <w:spacing w:after="0" w:line="102" w:lineRule="exact"/>
              <w:rPr>
                <w:sz w:val="20"/>
                <w:szCs w:val="20"/>
                <w:color w:val="auto"/>
              </w:rPr>
            </w:pPr>
            <w:r>
              <w:rPr>
                <w:rFonts w:ascii="Arial" w:cs="Arial" w:eastAsia="Arial" w:hAnsi="Arial"/>
                <w:sz w:val="11"/>
                <w:szCs w:val="11"/>
                <w:b w:val="1"/>
                <w:bCs w:val="1"/>
                <w:color w:val="005A64"/>
              </w:rPr>
              <w:t>80.0</w:t>
            </w:r>
          </w:p>
        </w:tc>
        <w:tc>
          <w:tcPr>
            <w:tcW w:w="40" w:type="dxa"/>
            <w:vAlign w:val="bottom"/>
            <w:vMerge w:val="continue"/>
          </w:tcPr>
          <w:p>
            <w:pPr>
              <w:spacing w:after="0"/>
              <w:rPr>
                <w:sz w:val="8"/>
                <w:szCs w:val="8"/>
                <w:color w:val="auto"/>
              </w:rPr>
            </w:pPr>
          </w:p>
        </w:tc>
        <w:tc>
          <w:tcPr>
            <w:tcW w:w="840" w:type="dxa"/>
            <w:vAlign w:val="bottom"/>
          </w:tcPr>
          <w:p>
            <w:pPr>
              <w:ind w:left="20"/>
              <w:spacing w:after="0" w:line="102" w:lineRule="exact"/>
              <w:rPr>
                <w:sz w:val="20"/>
                <w:szCs w:val="20"/>
                <w:color w:val="auto"/>
              </w:rPr>
            </w:pPr>
            <w:r>
              <w:rPr>
                <w:rFonts w:ascii="Arial" w:cs="Arial" w:eastAsia="Arial" w:hAnsi="Arial"/>
                <w:sz w:val="11"/>
                <w:szCs w:val="11"/>
                <w:b w:val="1"/>
                <w:bCs w:val="1"/>
                <w:color w:val="005A64"/>
              </w:rPr>
              <w:t>2.7</w:t>
            </w:r>
          </w:p>
        </w:tc>
        <w:tc>
          <w:tcPr>
            <w:tcW w:w="60" w:type="dxa"/>
            <w:vAlign w:val="bottom"/>
            <w:vMerge w:val="continue"/>
          </w:tcPr>
          <w:p>
            <w:pPr>
              <w:spacing w:after="0"/>
              <w:rPr>
                <w:sz w:val="8"/>
                <w:szCs w:val="8"/>
                <w:color w:val="auto"/>
              </w:rPr>
            </w:pPr>
          </w:p>
        </w:tc>
        <w:tc>
          <w:tcPr>
            <w:tcW w:w="840" w:type="dxa"/>
            <w:vAlign w:val="bottom"/>
          </w:tcPr>
          <w:p>
            <w:pPr>
              <w:spacing w:after="0" w:line="102" w:lineRule="exact"/>
              <w:rPr>
                <w:sz w:val="20"/>
                <w:szCs w:val="20"/>
                <w:color w:val="auto"/>
              </w:rPr>
            </w:pPr>
            <w:r>
              <w:rPr>
                <w:rFonts w:ascii="Arial" w:cs="Arial" w:eastAsia="Arial" w:hAnsi="Arial"/>
                <w:sz w:val="11"/>
                <w:szCs w:val="11"/>
                <w:b w:val="1"/>
                <w:bCs w:val="1"/>
                <w:color w:val="005A64"/>
              </w:rPr>
              <w:t>(85.0)</w:t>
            </w:r>
          </w:p>
        </w:tc>
        <w:tc>
          <w:tcPr>
            <w:tcW w:w="60" w:type="dxa"/>
            <w:vAlign w:val="bottom"/>
            <w:vMerge w:val="continue"/>
          </w:tcPr>
          <w:p>
            <w:pPr>
              <w:spacing w:after="0"/>
              <w:rPr>
                <w:sz w:val="8"/>
                <w:szCs w:val="8"/>
                <w:color w:val="auto"/>
              </w:rPr>
            </w:pPr>
          </w:p>
        </w:tc>
        <w:tc>
          <w:tcPr>
            <w:tcW w:w="880" w:type="dxa"/>
            <w:vAlign w:val="bottom"/>
          </w:tcPr>
          <w:p>
            <w:pPr>
              <w:spacing w:after="0" w:line="102" w:lineRule="exact"/>
              <w:rPr>
                <w:sz w:val="20"/>
                <w:szCs w:val="20"/>
                <w:color w:val="auto"/>
              </w:rPr>
            </w:pPr>
            <w:r>
              <w:rPr>
                <w:rFonts w:ascii="Arial" w:cs="Arial" w:eastAsia="Arial" w:hAnsi="Arial"/>
                <w:sz w:val="11"/>
                <w:szCs w:val="11"/>
                <w:b w:val="1"/>
                <w:bCs w:val="1"/>
                <w:color w:val="005A64"/>
              </w:rPr>
              <w:t>39.3</w:t>
            </w:r>
          </w:p>
        </w:tc>
        <w:tc>
          <w:tcPr>
            <w:tcW w:w="60" w:type="dxa"/>
            <w:vAlign w:val="bottom"/>
            <w:tcBorders>
              <w:right w:val="single" w:sz="8" w:color="BECE33"/>
            </w:tcBorders>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180" w:type="dxa"/>
            <w:vAlign w:val="bottom"/>
            <w:gridSpan w:val="2"/>
          </w:tcPr>
          <w:p>
            <w:pPr>
              <w:ind w:left="20"/>
              <w:spacing w:after="0"/>
              <w:rPr>
                <w:sz w:val="20"/>
                <w:szCs w:val="20"/>
                <w:color w:val="auto"/>
              </w:rPr>
            </w:pPr>
            <w:r>
              <w:rPr>
                <w:rFonts w:ascii="Arial" w:cs="Arial" w:eastAsia="Arial" w:hAnsi="Arial"/>
                <w:sz w:val="12"/>
                <w:szCs w:val="12"/>
                <w:b w:val="1"/>
                <w:bCs w:val="1"/>
                <w:color w:val="005A64"/>
              </w:rPr>
              <w:t>(after valuation adjustment)</w:t>
            </w:r>
          </w:p>
        </w:tc>
        <w:tc>
          <w:tcPr>
            <w:tcW w:w="40" w:type="dxa"/>
            <w:vAlign w:val="bottom"/>
            <w:tcBorders>
              <w:left w:val="single" w:sz="8" w:color="BECE33"/>
            </w:tcBorders>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Borders>
              <w:right w:val="single" w:sz="8" w:color="BECE33"/>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16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tcBorders>
              <w:left w:val="single" w:sz="8" w:color="BECE33"/>
            </w:tcBorders>
            <w:vMerge w:val="restart"/>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40" w:type="dxa"/>
            <w:vAlign w:val="bottom"/>
            <w:vMerge w:val="restart"/>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40" w:type="dxa"/>
            <w:vAlign w:val="bottom"/>
            <w:vMerge w:val="restart"/>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60" w:type="dxa"/>
            <w:vAlign w:val="bottom"/>
            <w:vMerge w:val="restart"/>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60" w:type="dxa"/>
            <w:vAlign w:val="bottom"/>
            <w:vMerge w:val="restart"/>
          </w:tcPr>
          <w:p>
            <w:pPr>
              <w:spacing w:after="0"/>
              <w:rPr>
                <w:sz w:val="4"/>
                <w:szCs w:val="4"/>
                <w:color w:val="auto"/>
              </w:rPr>
            </w:pPr>
          </w:p>
        </w:tc>
        <w:tc>
          <w:tcPr>
            <w:tcW w:w="88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160" w:type="dxa"/>
            <w:vAlign w:val="bottom"/>
          </w:tcPr>
          <w:p>
            <w:pPr>
              <w:ind w:left="20"/>
              <w:spacing w:after="0"/>
              <w:rPr>
                <w:sz w:val="20"/>
                <w:szCs w:val="20"/>
                <w:color w:val="auto"/>
              </w:rPr>
            </w:pPr>
            <w:r>
              <w:rPr>
                <w:rFonts w:ascii="Arial" w:cs="Arial" w:eastAsia="Arial" w:hAnsi="Arial"/>
                <w:sz w:val="12"/>
                <w:szCs w:val="12"/>
                <w:b w:val="1"/>
                <w:bCs w:val="1"/>
                <w:color w:val="005A64"/>
              </w:rPr>
              <w:t>Thereof deferred tax assets</w:t>
            </w:r>
          </w:p>
        </w:tc>
        <w:tc>
          <w:tcPr>
            <w:tcW w:w="20" w:type="dxa"/>
            <w:vAlign w:val="bottom"/>
            <w:vMerge w:val="continue"/>
          </w:tcPr>
          <w:p>
            <w:pPr>
              <w:spacing w:after="0"/>
              <w:rPr>
                <w:sz w:val="13"/>
                <w:szCs w:val="13"/>
                <w:color w:val="auto"/>
              </w:rPr>
            </w:pPr>
          </w:p>
        </w:tc>
        <w:tc>
          <w:tcPr>
            <w:tcW w:w="40" w:type="dxa"/>
            <w:vAlign w:val="bottom"/>
            <w:tcBorders>
              <w:left w:val="single" w:sz="8" w:color="BECE33"/>
            </w:tcBorders>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81.3</w:t>
            </w:r>
          </w:p>
        </w:tc>
        <w:tc>
          <w:tcPr>
            <w:tcW w:w="40" w:type="dxa"/>
            <w:vAlign w:val="bottom"/>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82.7</w:t>
            </w:r>
          </w:p>
        </w:tc>
        <w:tc>
          <w:tcPr>
            <w:tcW w:w="40" w:type="dxa"/>
            <w:vAlign w:val="bottom"/>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2.7</w:t>
            </w:r>
          </w:p>
        </w:tc>
        <w:tc>
          <w:tcPr>
            <w:tcW w:w="60" w:type="dxa"/>
            <w:vAlign w:val="bottom"/>
            <w:vMerge w:val="continue"/>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005A64"/>
              </w:rPr>
              <w:t>(85.0)</w:t>
            </w:r>
          </w:p>
        </w:tc>
        <w:tc>
          <w:tcPr>
            <w:tcW w:w="60" w:type="dxa"/>
            <w:vAlign w:val="bottom"/>
            <w:vMerge w:val="continue"/>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005A64"/>
              </w:rPr>
              <w:t>81.7</w:t>
            </w:r>
          </w:p>
        </w:tc>
        <w:tc>
          <w:tcPr>
            <w:tcW w:w="60" w:type="dxa"/>
            <w:vAlign w:val="bottom"/>
            <w:tcBorders>
              <w:right w:val="single" w:sz="8" w:color="BECE33"/>
            </w:tcBorders>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16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left w:val="single" w:sz="8" w:color="BECE33"/>
            </w:tcBorders>
            <w:vMerge w:val="restart"/>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40" w:type="dxa"/>
            <w:vAlign w:val="bottom"/>
            <w:vMerge w:val="restart"/>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60" w:type="dxa"/>
            <w:vAlign w:val="bottom"/>
            <w:vMerge w:val="restart"/>
          </w:tcPr>
          <w:p>
            <w:pPr>
              <w:spacing w:after="0"/>
              <w:rPr>
                <w:sz w:val="2"/>
                <w:szCs w:val="2"/>
                <w:color w:val="auto"/>
              </w:rPr>
            </w:pPr>
          </w:p>
        </w:tc>
        <w:tc>
          <w:tcPr>
            <w:tcW w:w="880" w:type="dxa"/>
            <w:vAlign w:val="bottom"/>
            <w:tcBorders>
              <w:bottom w:val="single" w:sz="8" w:color="005A64"/>
            </w:tcBorders>
          </w:tcPr>
          <w:p>
            <w:pPr>
              <w:spacing w:after="0"/>
              <w:rPr>
                <w:sz w:val="2"/>
                <w:szCs w:val="2"/>
                <w:color w:val="auto"/>
              </w:rPr>
            </w:pPr>
          </w:p>
        </w:tc>
        <w:tc>
          <w:tcPr>
            <w:tcW w:w="60" w:type="dxa"/>
            <w:vAlign w:val="bottom"/>
            <w:tcBorders>
              <w:right w:val="single" w:sz="8" w:color="BECE33"/>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160" w:type="dxa"/>
            <w:vAlign w:val="bottom"/>
          </w:tcPr>
          <w:p>
            <w:pPr>
              <w:ind w:left="20"/>
              <w:spacing w:after="0"/>
              <w:rPr>
                <w:sz w:val="20"/>
                <w:szCs w:val="20"/>
                <w:color w:val="auto"/>
              </w:rPr>
            </w:pPr>
            <w:r>
              <w:rPr>
                <w:rFonts w:ascii="Arial" w:cs="Arial" w:eastAsia="Arial" w:hAnsi="Arial"/>
                <w:sz w:val="12"/>
                <w:szCs w:val="12"/>
                <w:b w:val="1"/>
                <w:bCs w:val="1"/>
                <w:color w:val="005A64"/>
              </w:rPr>
              <w:t>Thereof deferred tax liability</w:t>
            </w:r>
          </w:p>
        </w:tc>
        <w:tc>
          <w:tcPr>
            <w:tcW w:w="20" w:type="dxa"/>
            <w:vAlign w:val="bottom"/>
            <w:vMerge w:val="continue"/>
          </w:tcPr>
          <w:p>
            <w:pPr>
              <w:spacing w:after="0"/>
              <w:rPr>
                <w:sz w:val="13"/>
                <w:szCs w:val="13"/>
                <w:color w:val="auto"/>
              </w:rPr>
            </w:pPr>
          </w:p>
        </w:tc>
        <w:tc>
          <w:tcPr>
            <w:tcW w:w="40" w:type="dxa"/>
            <w:vAlign w:val="bottom"/>
            <w:tcBorders>
              <w:left w:val="single" w:sz="8" w:color="BECE33"/>
            </w:tcBorders>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(39.7)</w:t>
            </w:r>
          </w:p>
        </w:tc>
        <w:tc>
          <w:tcPr>
            <w:tcW w:w="40" w:type="dxa"/>
            <w:vAlign w:val="bottom"/>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(2.7)</w:t>
            </w:r>
          </w:p>
        </w:tc>
        <w:tc>
          <w:tcPr>
            <w:tcW w:w="4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w:t>
            </w: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005A64"/>
              </w:rPr>
              <w:t>—</w:t>
            </w:r>
          </w:p>
        </w:tc>
        <w:tc>
          <w:tcPr>
            <w:tcW w:w="60" w:type="dxa"/>
            <w:vAlign w:val="bottom"/>
            <w:vMerge w:val="continue"/>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005A64"/>
              </w:rPr>
              <w:t>(42.4)</w:t>
            </w:r>
          </w:p>
        </w:tc>
        <w:tc>
          <w:tcPr>
            <w:tcW w:w="60" w:type="dxa"/>
            <w:vAlign w:val="bottom"/>
            <w:tcBorders>
              <w:right w:val="single" w:sz="8" w:color="BECE33"/>
            </w:tcBorders>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160" w:type="dxa"/>
            <w:vAlign w:val="bottom"/>
            <w:tcBorders>
              <w:bottom w:val="single" w:sz="8" w:color="005A64"/>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left w:val="single" w:sz="8" w:color="BECE33"/>
              <w:bottom w:val="single" w:sz="8" w:color="BECE33"/>
            </w:tcBorders>
          </w:tcPr>
          <w:p>
            <w:pPr>
              <w:spacing w:after="0"/>
              <w:rPr>
                <w:sz w:val="2"/>
                <w:szCs w:val="2"/>
                <w:color w:val="auto"/>
              </w:rPr>
            </w:pPr>
          </w:p>
        </w:tc>
        <w:tc>
          <w:tcPr>
            <w:tcW w:w="840" w:type="dxa"/>
            <w:vAlign w:val="bottom"/>
            <w:tcBorders>
              <w:bottom w:val="single" w:sz="8" w:color="BECE33"/>
            </w:tcBorders>
          </w:tcPr>
          <w:p>
            <w:pPr>
              <w:spacing w:after="0"/>
              <w:rPr>
                <w:sz w:val="2"/>
                <w:szCs w:val="2"/>
                <w:color w:val="auto"/>
              </w:rPr>
            </w:pPr>
          </w:p>
        </w:tc>
        <w:tc>
          <w:tcPr>
            <w:tcW w:w="40" w:type="dxa"/>
            <w:vAlign w:val="bottom"/>
            <w:tcBorders>
              <w:bottom w:val="single" w:sz="8" w:color="BECE33"/>
            </w:tcBorders>
          </w:tcPr>
          <w:p>
            <w:pPr>
              <w:spacing w:after="0"/>
              <w:rPr>
                <w:sz w:val="2"/>
                <w:szCs w:val="2"/>
                <w:color w:val="auto"/>
              </w:rPr>
            </w:pPr>
          </w:p>
        </w:tc>
        <w:tc>
          <w:tcPr>
            <w:tcW w:w="840" w:type="dxa"/>
            <w:vAlign w:val="bottom"/>
            <w:tcBorders>
              <w:bottom w:val="single" w:sz="8" w:color="BECE33"/>
            </w:tcBorders>
          </w:tcPr>
          <w:p>
            <w:pPr>
              <w:spacing w:after="0"/>
              <w:rPr>
                <w:sz w:val="2"/>
                <w:szCs w:val="2"/>
                <w:color w:val="auto"/>
              </w:rPr>
            </w:pPr>
          </w:p>
        </w:tc>
        <w:tc>
          <w:tcPr>
            <w:tcW w:w="40" w:type="dxa"/>
            <w:vAlign w:val="bottom"/>
            <w:tcBorders>
              <w:bottom w:val="single" w:sz="8" w:color="BECE33"/>
            </w:tcBorders>
          </w:tcPr>
          <w:p>
            <w:pPr>
              <w:spacing w:after="0"/>
              <w:rPr>
                <w:sz w:val="2"/>
                <w:szCs w:val="2"/>
                <w:color w:val="auto"/>
              </w:rPr>
            </w:pPr>
          </w:p>
        </w:tc>
        <w:tc>
          <w:tcPr>
            <w:tcW w:w="840" w:type="dxa"/>
            <w:vAlign w:val="bottom"/>
            <w:tcBorders>
              <w:bottom w:val="single" w:sz="8" w:color="BECE33"/>
            </w:tcBorders>
          </w:tcPr>
          <w:p>
            <w:pPr>
              <w:spacing w:after="0"/>
              <w:rPr>
                <w:sz w:val="2"/>
                <w:szCs w:val="2"/>
                <w:color w:val="auto"/>
              </w:rPr>
            </w:pPr>
          </w:p>
        </w:tc>
        <w:tc>
          <w:tcPr>
            <w:tcW w:w="60" w:type="dxa"/>
            <w:vAlign w:val="bottom"/>
            <w:tcBorders>
              <w:bottom w:val="single" w:sz="8" w:color="BECE33"/>
            </w:tcBorders>
          </w:tcPr>
          <w:p>
            <w:pPr>
              <w:spacing w:after="0"/>
              <w:rPr>
                <w:sz w:val="2"/>
                <w:szCs w:val="2"/>
                <w:color w:val="auto"/>
              </w:rPr>
            </w:pPr>
          </w:p>
        </w:tc>
        <w:tc>
          <w:tcPr>
            <w:tcW w:w="840" w:type="dxa"/>
            <w:vAlign w:val="bottom"/>
            <w:tcBorders>
              <w:bottom w:val="single" w:sz="8" w:color="BECE33"/>
            </w:tcBorders>
          </w:tcPr>
          <w:p>
            <w:pPr>
              <w:spacing w:after="0"/>
              <w:rPr>
                <w:sz w:val="2"/>
                <w:szCs w:val="2"/>
                <w:color w:val="auto"/>
              </w:rPr>
            </w:pPr>
          </w:p>
        </w:tc>
        <w:tc>
          <w:tcPr>
            <w:tcW w:w="60" w:type="dxa"/>
            <w:vAlign w:val="bottom"/>
            <w:tcBorders>
              <w:bottom w:val="single" w:sz="8" w:color="BECE33"/>
            </w:tcBorders>
          </w:tcPr>
          <w:p>
            <w:pPr>
              <w:spacing w:after="0"/>
              <w:rPr>
                <w:sz w:val="2"/>
                <w:szCs w:val="2"/>
                <w:color w:val="auto"/>
              </w:rPr>
            </w:pPr>
          </w:p>
        </w:tc>
        <w:tc>
          <w:tcPr>
            <w:tcW w:w="880" w:type="dxa"/>
            <w:vAlign w:val="bottom"/>
            <w:tcBorders>
              <w:bottom w:val="single" w:sz="8" w:color="BECE33"/>
            </w:tcBorders>
          </w:tcPr>
          <w:p>
            <w:pPr>
              <w:spacing w:after="0"/>
              <w:rPr>
                <w:sz w:val="2"/>
                <w:szCs w:val="2"/>
                <w:color w:val="auto"/>
              </w:rPr>
            </w:pPr>
          </w:p>
        </w:tc>
        <w:tc>
          <w:tcPr>
            <w:tcW w:w="60" w:type="dxa"/>
            <w:vAlign w:val="bottom"/>
            <w:tcBorders>
              <w:bottom w:val="single" w:sz="8" w:color="BECE33"/>
              <w:right w:val="single" w:sz="8" w:color="BECE3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F-41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sectPr>
          <w:pgSz w:w="11900" w:h="16840" w:orient="portrait"/>
          <w:cols w:equalWidth="0" w:num="1">
            <w:col w:w="9020"/>
          </w:cols>
          <w:pgMar w:left="1440" w:top="1440" w:right="1440" w:bottom="1440" w:gutter="0" w:footer="0" w:header="0"/>
        </w:sectPr>
      </w:pPr>
    </w:p>
    <w:p>
      <w:pPr>
        <w:ind w:left="1120"/>
        <w:spacing w:after="0"/>
        <w:rPr>
          <w:rFonts w:ascii="Arial" w:cs="Arial" w:eastAsia="Arial" w:hAnsi="Arial"/>
          <w:sz w:val="9"/>
          <w:szCs w:val="9"/>
          <w:b w:val="1"/>
          <w:bCs w:val="1"/>
          <w:color w:val="005A64"/>
        </w:rPr>
      </w:pPr>
      <w:hyperlink w:anchor="page3">
        <w:r>
          <w:rPr>
            <w:rFonts w:ascii="Arial" w:cs="Arial" w:eastAsia="Arial" w:hAnsi="Arial"/>
            <w:sz w:val="9"/>
            <w:szCs w:val="9"/>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37465</wp:posOffset>
            </wp:positionV>
            <wp:extent cx="5231130" cy="63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type w:val="continuous"/>
        </w:sectPr>
      </w:pPr>
    </w:p>
    <w:bookmarkStart w:id="208" w:name="page209"/>
    <w:bookmarkEnd w:id="208"/>
    <w:tbl>
      <w:tblPr>
        <w:tblLayout w:type="fixed"/>
        <w:tblInd w:w="380" w:type="dxa"/>
        <w:tblCellMar>
          <w:top w:w="0" w:type="dxa"/>
          <w:left w:w="0" w:type="dxa"/>
          <w:bottom w:w="0" w:type="dxa"/>
          <w:right w:w="0" w:type="dxa"/>
        </w:tblCellMar>
      </w:tblPr>
      <w:tr>
        <w:trPr>
          <w:trHeight w:val="166"/>
        </w:trPr>
        <w:tc>
          <w:tcPr>
            <w:tcW w:w="2180" w:type="dxa"/>
            <w:vAlign w:val="bottom"/>
            <w:gridSpan w:val="2"/>
          </w:tcPr>
          <w:p>
            <w:pPr>
              <w:ind w:left="20"/>
              <w:spacing w:after="0"/>
              <w:rPr>
                <w:sz w:val="20"/>
                <w:szCs w:val="20"/>
                <w:color w:val="auto"/>
              </w:rPr>
            </w:pPr>
            <w:r>
              <w:rPr>
                <w:rFonts w:ascii="Arial" w:cs="Arial" w:eastAsia="Arial" w:hAnsi="Arial"/>
                <w:sz w:val="12"/>
                <w:szCs w:val="12"/>
                <w:b w:val="1"/>
                <w:bCs w:val="1"/>
                <w:color w:val="005A64"/>
              </w:rPr>
              <w:t>Year ended December 31, 2023</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180" w:type="dxa"/>
            <w:vAlign w:val="bottom"/>
            <w:gridSpan w:val="2"/>
            <w:vMerge w:val="restart"/>
          </w:tcPr>
          <w:p>
            <w:pPr>
              <w:ind w:left="20"/>
              <w:spacing w:after="0"/>
              <w:rPr>
                <w:sz w:val="20"/>
                <w:szCs w:val="20"/>
                <w:color w:val="auto"/>
              </w:rPr>
            </w:pPr>
            <w:r>
              <w:rPr>
                <w:rFonts w:ascii="Arial" w:cs="Arial" w:eastAsia="Arial" w:hAnsi="Arial"/>
                <w:sz w:val="12"/>
                <w:szCs w:val="12"/>
                <w:i w:val="1"/>
                <w:iCs w:val="1"/>
                <w:color w:val="005A64"/>
              </w:rPr>
              <w:t>(in millions €)</w:t>
            </w:r>
          </w:p>
        </w:tc>
        <w:tc>
          <w:tcPr>
            <w:tcW w:w="40" w:type="dxa"/>
            <w:vAlign w:val="bottom"/>
            <w:tcBorders>
              <w:bottom w:val="single" w:sz="8" w:color="BECE33"/>
            </w:tcBorders>
          </w:tcPr>
          <w:p>
            <w:pPr>
              <w:spacing w:after="0"/>
              <w:rPr>
                <w:sz w:val="4"/>
                <w:szCs w:val="4"/>
                <w:color w:val="auto"/>
              </w:rPr>
            </w:pPr>
          </w:p>
        </w:tc>
        <w:tc>
          <w:tcPr>
            <w:tcW w:w="84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84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84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84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88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1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ind w:left="20"/>
              <w:spacing w:after="0" w:line="102" w:lineRule="exact"/>
              <w:rPr>
                <w:sz w:val="20"/>
                <w:szCs w:val="20"/>
                <w:color w:val="auto"/>
              </w:rPr>
            </w:pPr>
            <w:r>
              <w:rPr>
                <w:rFonts w:ascii="Arial" w:cs="Arial" w:eastAsia="Arial" w:hAnsi="Arial"/>
                <w:sz w:val="11"/>
                <w:szCs w:val="11"/>
                <w:b w:val="1"/>
                <w:bCs w:val="1"/>
                <w:color w:val="005A64"/>
              </w:rPr>
              <w:t>January 1,</w:t>
            </w:r>
          </w:p>
        </w:tc>
        <w:tc>
          <w:tcPr>
            <w:tcW w:w="40" w:type="dxa"/>
            <w:vAlign w:val="bottom"/>
          </w:tcPr>
          <w:p>
            <w:pPr>
              <w:spacing w:after="0"/>
              <w:rPr>
                <w:sz w:val="8"/>
                <w:szCs w:val="8"/>
                <w:color w:val="auto"/>
              </w:rPr>
            </w:pPr>
          </w:p>
        </w:tc>
        <w:tc>
          <w:tcPr>
            <w:tcW w:w="840" w:type="dxa"/>
            <w:vAlign w:val="bottom"/>
          </w:tcPr>
          <w:p>
            <w:pPr>
              <w:ind w:left="20"/>
              <w:spacing w:after="0" w:line="102" w:lineRule="exact"/>
              <w:rPr>
                <w:sz w:val="20"/>
                <w:szCs w:val="20"/>
                <w:color w:val="auto"/>
              </w:rPr>
            </w:pPr>
            <w:r>
              <w:rPr>
                <w:rFonts w:ascii="Arial" w:cs="Arial" w:eastAsia="Arial" w:hAnsi="Arial"/>
                <w:sz w:val="11"/>
                <w:szCs w:val="11"/>
                <w:b w:val="1"/>
                <w:bCs w:val="1"/>
                <w:color w:val="005A64"/>
              </w:rPr>
              <w:t>Recognized</w:t>
            </w:r>
          </w:p>
        </w:tc>
        <w:tc>
          <w:tcPr>
            <w:tcW w:w="60" w:type="dxa"/>
            <w:vAlign w:val="bottom"/>
          </w:tcPr>
          <w:p>
            <w:pPr>
              <w:spacing w:after="0"/>
              <w:rPr>
                <w:sz w:val="8"/>
                <w:szCs w:val="8"/>
                <w:color w:val="auto"/>
              </w:rPr>
            </w:pPr>
          </w:p>
        </w:tc>
        <w:tc>
          <w:tcPr>
            <w:tcW w:w="840" w:type="dxa"/>
            <w:vAlign w:val="bottom"/>
          </w:tcPr>
          <w:p>
            <w:pPr>
              <w:spacing w:after="0" w:line="102" w:lineRule="exact"/>
              <w:rPr>
                <w:sz w:val="20"/>
                <w:szCs w:val="20"/>
                <w:color w:val="auto"/>
              </w:rPr>
            </w:pPr>
            <w:r>
              <w:rPr>
                <w:rFonts w:ascii="Arial" w:cs="Arial" w:eastAsia="Arial" w:hAnsi="Arial"/>
                <w:sz w:val="11"/>
                <w:szCs w:val="11"/>
                <w:b w:val="1"/>
                <w:bCs w:val="1"/>
                <w:color w:val="005A64"/>
              </w:rPr>
              <w:t>Recognized</w:t>
            </w:r>
          </w:p>
        </w:tc>
        <w:tc>
          <w:tcPr>
            <w:tcW w:w="60" w:type="dxa"/>
            <w:vAlign w:val="bottom"/>
          </w:tcPr>
          <w:p>
            <w:pPr>
              <w:spacing w:after="0"/>
              <w:rPr>
                <w:sz w:val="8"/>
                <w:szCs w:val="8"/>
                <w:color w:val="auto"/>
              </w:rPr>
            </w:pPr>
          </w:p>
        </w:tc>
        <w:tc>
          <w:tcPr>
            <w:tcW w:w="840" w:type="dxa"/>
            <w:vAlign w:val="bottom"/>
          </w:tcPr>
          <w:p>
            <w:pPr>
              <w:spacing w:after="0" w:line="102" w:lineRule="exact"/>
              <w:rPr>
                <w:sz w:val="20"/>
                <w:szCs w:val="20"/>
                <w:color w:val="auto"/>
              </w:rPr>
            </w:pPr>
            <w:r>
              <w:rPr>
                <w:rFonts w:ascii="Arial" w:cs="Arial" w:eastAsia="Arial" w:hAnsi="Arial"/>
                <w:sz w:val="11"/>
                <w:szCs w:val="11"/>
                <w:b w:val="1"/>
                <w:bCs w:val="1"/>
                <w:color w:val="005A64"/>
              </w:rPr>
              <w:t>Recognized</w:t>
            </w:r>
          </w:p>
        </w:tc>
        <w:tc>
          <w:tcPr>
            <w:tcW w:w="60" w:type="dxa"/>
            <w:vAlign w:val="bottom"/>
          </w:tcPr>
          <w:p>
            <w:pPr>
              <w:spacing w:after="0"/>
              <w:rPr>
                <w:sz w:val="8"/>
                <w:szCs w:val="8"/>
                <w:color w:val="auto"/>
              </w:rPr>
            </w:pPr>
          </w:p>
        </w:tc>
        <w:tc>
          <w:tcPr>
            <w:tcW w:w="920" w:type="dxa"/>
            <w:vAlign w:val="bottom"/>
            <w:gridSpan w:val="2"/>
          </w:tcPr>
          <w:p>
            <w:pPr>
              <w:spacing w:after="0" w:line="102" w:lineRule="exact"/>
              <w:rPr>
                <w:sz w:val="20"/>
                <w:szCs w:val="20"/>
                <w:color w:val="auto"/>
              </w:rPr>
            </w:pPr>
            <w:r>
              <w:rPr>
                <w:rFonts w:ascii="Arial" w:cs="Arial" w:eastAsia="Arial" w:hAnsi="Arial"/>
                <w:sz w:val="11"/>
                <w:szCs w:val="11"/>
                <w:b w:val="1"/>
                <w:bCs w:val="1"/>
                <w:color w:val="005A64"/>
              </w:rPr>
              <w:t>December 31,</w:t>
            </w: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005A64"/>
              </w:rPr>
              <w:t>2023</w:t>
            </w:r>
          </w:p>
        </w:tc>
        <w:tc>
          <w:tcPr>
            <w:tcW w:w="40" w:type="dxa"/>
            <w:vAlign w:val="bottom"/>
          </w:tcPr>
          <w:p>
            <w:pPr>
              <w:spacing w:after="0"/>
              <w:rPr>
                <w:sz w:val="10"/>
                <w:szCs w:val="10"/>
                <w:color w:val="auto"/>
              </w:rPr>
            </w:pPr>
          </w:p>
        </w:tc>
        <w:tc>
          <w:tcPr>
            <w:tcW w:w="840" w:type="dxa"/>
            <w:vAlign w:val="bottom"/>
          </w:tcPr>
          <w:p>
            <w:pPr>
              <w:ind w:left="20"/>
              <w:spacing w:after="0" w:line="121" w:lineRule="exact"/>
              <w:rPr>
                <w:sz w:val="20"/>
                <w:szCs w:val="20"/>
                <w:color w:val="auto"/>
              </w:rPr>
            </w:pPr>
            <w:r>
              <w:rPr>
                <w:rFonts w:ascii="Arial" w:cs="Arial" w:eastAsia="Arial" w:hAnsi="Arial"/>
                <w:sz w:val="12"/>
                <w:szCs w:val="12"/>
                <w:b w:val="1"/>
                <w:bCs w:val="1"/>
                <w:color w:val="005A64"/>
              </w:rPr>
              <w:t>in P&amp;L</w:t>
            </w:r>
          </w:p>
        </w:tc>
        <w:tc>
          <w:tcPr>
            <w:tcW w:w="60" w:type="dxa"/>
            <w:vAlign w:val="bottom"/>
          </w:tcPr>
          <w:p>
            <w:pPr>
              <w:spacing w:after="0"/>
              <w:rPr>
                <w:sz w:val="10"/>
                <w:szCs w:val="10"/>
                <w:color w:val="auto"/>
              </w:rPr>
            </w:pPr>
          </w:p>
        </w:tc>
        <w:tc>
          <w:tcPr>
            <w:tcW w:w="840" w:type="dxa"/>
            <w:vAlign w:val="bottom"/>
          </w:tcPr>
          <w:p>
            <w:pPr>
              <w:spacing w:after="0" w:line="121" w:lineRule="exact"/>
              <w:rPr>
                <w:sz w:val="20"/>
                <w:szCs w:val="20"/>
                <w:color w:val="auto"/>
              </w:rPr>
            </w:pPr>
            <w:r>
              <w:rPr>
                <w:rFonts w:ascii="Arial" w:cs="Arial" w:eastAsia="Arial" w:hAnsi="Arial"/>
                <w:sz w:val="12"/>
                <w:szCs w:val="12"/>
                <w:b w:val="1"/>
                <w:bCs w:val="1"/>
                <w:color w:val="005A64"/>
              </w:rPr>
              <w:t>in OCI</w:t>
            </w:r>
          </w:p>
        </w:tc>
        <w:tc>
          <w:tcPr>
            <w:tcW w:w="60" w:type="dxa"/>
            <w:vAlign w:val="bottom"/>
          </w:tcPr>
          <w:p>
            <w:pPr>
              <w:spacing w:after="0"/>
              <w:rPr>
                <w:sz w:val="10"/>
                <w:szCs w:val="10"/>
                <w:color w:val="auto"/>
              </w:rPr>
            </w:pPr>
          </w:p>
        </w:tc>
        <w:tc>
          <w:tcPr>
            <w:tcW w:w="840" w:type="dxa"/>
            <w:vAlign w:val="bottom"/>
          </w:tcPr>
          <w:p>
            <w:pPr>
              <w:spacing w:after="0" w:line="121" w:lineRule="exact"/>
              <w:rPr>
                <w:sz w:val="20"/>
                <w:szCs w:val="20"/>
                <w:color w:val="auto"/>
              </w:rPr>
            </w:pPr>
            <w:r>
              <w:rPr>
                <w:rFonts w:ascii="Arial" w:cs="Arial" w:eastAsia="Arial" w:hAnsi="Arial"/>
                <w:sz w:val="12"/>
                <w:szCs w:val="12"/>
                <w:b w:val="1"/>
                <w:bCs w:val="1"/>
                <w:color w:val="005A64"/>
              </w:rPr>
              <w:t>directly in</w:t>
            </w:r>
          </w:p>
        </w:tc>
        <w:tc>
          <w:tcPr>
            <w:tcW w:w="9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005A64"/>
              </w:rPr>
              <w:t>2023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005A64"/>
              </w:rPr>
              <w:t>equity</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160" w:type="dxa"/>
            <w:vAlign w:val="bottom"/>
            <w:tcBorders>
              <w:bottom w:val="single" w:sz="8" w:color="005A64"/>
            </w:tcBorders>
          </w:tcPr>
          <w:p>
            <w:pPr>
              <w:spacing w:after="0"/>
              <w:rPr>
                <w:sz w:val="5"/>
                <w:szCs w:val="5"/>
                <w:color w:val="auto"/>
              </w:rPr>
            </w:pPr>
          </w:p>
        </w:tc>
        <w:tc>
          <w:tcPr>
            <w:tcW w:w="2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840" w:type="dxa"/>
            <w:vAlign w:val="bottom"/>
            <w:tcBorders>
              <w:bottom w:val="single" w:sz="8" w:color="005A64"/>
            </w:tcBorders>
          </w:tcPr>
          <w:p>
            <w:pPr>
              <w:spacing w:after="0"/>
              <w:rPr>
                <w:sz w:val="5"/>
                <w:szCs w:val="5"/>
                <w:color w:val="auto"/>
              </w:rPr>
            </w:pPr>
          </w:p>
        </w:tc>
        <w:tc>
          <w:tcPr>
            <w:tcW w:w="40" w:type="dxa"/>
            <w:vAlign w:val="bottom"/>
            <w:vMerge w:val="restart"/>
          </w:tcPr>
          <w:p>
            <w:pPr>
              <w:spacing w:after="0"/>
              <w:rPr>
                <w:sz w:val="5"/>
                <w:szCs w:val="5"/>
                <w:color w:val="auto"/>
              </w:rPr>
            </w:pPr>
          </w:p>
        </w:tc>
        <w:tc>
          <w:tcPr>
            <w:tcW w:w="840" w:type="dxa"/>
            <w:vAlign w:val="bottom"/>
            <w:tcBorders>
              <w:bottom w:val="single" w:sz="8" w:color="005A64"/>
            </w:tcBorders>
          </w:tcPr>
          <w:p>
            <w:pPr>
              <w:spacing w:after="0"/>
              <w:rPr>
                <w:sz w:val="5"/>
                <w:szCs w:val="5"/>
                <w:color w:val="auto"/>
              </w:rPr>
            </w:pPr>
          </w:p>
        </w:tc>
        <w:tc>
          <w:tcPr>
            <w:tcW w:w="60" w:type="dxa"/>
            <w:vAlign w:val="bottom"/>
            <w:vMerge w:val="restart"/>
          </w:tcPr>
          <w:p>
            <w:pPr>
              <w:spacing w:after="0"/>
              <w:rPr>
                <w:sz w:val="5"/>
                <w:szCs w:val="5"/>
                <w:color w:val="auto"/>
              </w:rPr>
            </w:pPr>
          </w:p>
        </w:tc>
        <w:tc>
          <w:tcPr>
            <w:tcW w:w="840" w:type="dxa"/>
            <w:vAlign w:val="bottom"/>
            <w:tcBorders>
              <w:bottom w:val="single" w:sz="8" w:color="005A64"/>
            </w:tcBorders>
          </w:tcPr>
          <w:p>
            <w:pPr>
              <w:spacing w:after="0"/>
              <w:rPr>
                <w:sz w:val="5"/>
                <w:szCs w:val="5"/>
                <w:color w:val="auto"/>
              </w:rPr>
            </w:pPr>
          </w:p>
        </w:tc>
        <w:tc>
          <w:tcPr>
            <w:tcW w:w="60" w:type="dxa"/>
            <w:vAlign w:val="bottom"/>
            <w:vMerge w:val="restart"/>
          </w:tcPr>
          <w:p>
            <w:pPr>
              <w:spacing w:after="0"/>
              <w:rPr>
                <w:sz w:val="5"/>
                <w:szCs w:val="5"/>
                <w:color w:val="auto"/>
              </w:rPr>
            </w:pPr>
          </w:p>
        </w:tc>
        <w:tc>
          <w:tcPr>
            <w:tcW w:w="840" w:type="dxa"/>
            <w:vAlign w:val="bottom"/>
            <w:tcBorders>
              <w:bottom w:val="single" w:sz="8" w:color="005A64"/>
            </w:tcBorders>
          </w:tcPr>
          <w:p>
            <w:pPr>
              <w:spacing w:after="0"/>
              <w:rPr>
                <w:sz w:val="5"/>
                <w:szCs w:val="5"/>
                <w:color w:val="auto"/>
              </w:rPr>
            </w:pPr>
          </w:p>
        </w:tc>
        <w:tc>
          <w:tcPr>
            <w:tcW w:w="60" w:type="dxa"/>
            <w:vAlign w:val="bottom"/>
            <w:vMerge w:val="restart"/>
          </w:tcPr>
          <w:p>
            <w:pPr>
              <w:spacing w:after="0"/>
              <w:rPr>
                <w:sz w:val="5"/>
                <w:szCs w:val="5"/>
                <w:color w:val="auto"/>
              </w:rPr>
            </w:pPr>
          </w:p>
        </w:tc>
        <w:tc>
          <w:tcPr>
            <w:tcW w:w="880" w:type="dxa"/>
            <w:vAlign w:val="bottom"/>
            <w:tcBorders>
              <w:bottom w:val="single" w:sz="8" w:color="005A64"/>
            </w:tcBorders>
          </w:tcPr>
          <w:p>
            <w:pPr>
              <w:spacing w:after="0"/>
              <w:rPr>
                <w:sz w:val="5"/>
                <w:szCs w:val="5"/>
                <w:color w:val="auto"/>
              </w:rPr>
            </w:pPr>
          </w:p>
        </w:tc>
        <w:tc>
          <w:tcPr>
            <w:tcW w:w="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160" w:type="dxa"/>
            <w:vAlign w:val="bottom"/>
          </w:tcPr>
          <w:p>
            <w:pPr>
              <w:ind w:left="20"/>
              <w:spacing w:after="0"/>
              <w:rPr>
                <w:sz w:val="20"/>
                <w:szCs w:val="20"/>
                <w:color w:val="auto"/>
              </w:rPr>
            </w:pPr>
            <w:r>
              <w:rPr>
                <w:rFonts w:ascii="Arial" w:cs="Arial" w:eastAsia="Arial" w:hAnsi="Arial"/>
                <w:sz w:val="12"/>
                <w:szCs w:val="12"/>
                <w:color w:val="005A64"/>
              </w:rPr>
              <w:t>Fixed assets</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15.8</w:t>
            </w:r>
          </w:p>
        </w:tc>
        <w:tc>
          <w:tcPr>
            <w:tcW w:w="40" w:type="dxa"/>
            <w:vAlign w:val="bottom"/>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20.2</w:t>
            </w:r>
          </w:p>
        </w:tc>
        <w:tc>
          <w:tcPr>
            <w:tcW w:w="60" w:type="dxa"/>
            <w:vAlign w:val="bottom"/>
            <w:vMerge w:val="continue"/>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60" w:type="dxa"/>
            <w:vAlign w:val="bottom"/>
            <w:vMerge w:val="continue"/>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(44.4)</w:t>
            </w:r>
          </w:p>
        </w:tc>
        <w:tc>
          <w:tcPr>
            <w:tcW w:w="60" w:type="dxa"/>
            <w:vAlign w:val="bottom"/>
            <w:vMerge w:val="continue"/>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2"/>
                <w:szCs w:val="12"/>
                <w:color w:val="005A64"/>
              </w:rPr>
              <w:t>(8.4)</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180" w:type="dxa"/>
            <w:vAlign w:val="bottom"/>
            <w:gridSpan w:val="2"/>
          </w:tcPr>
          <w:p>
            <w:pPr>
              <w:ind w:left="20"/>
              <w:spacing w:after="0"/>
              <w:rPr>
                <w:sz w:val="20"/>
                <w:szCs w:val="20"/>
                <w:color w:val="auto"/>
              </w:rPr>
            </w:pPr>
            <w:r>
              <w:rPr>
                <w:rFonts w:ascii="Arial" w:cs="Arial" w:eastAsia="Arial" w:hAnsi="Arial"/>
                <w:sz w:val="12"/>
                <w:szCs w:val="12"/>
                <w:color w:val="005A64"/>
              </w:rPr>
              <w:t>Right-of-use assets</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(55.8)</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(0.8)</w:t>
            </w:r>
          </w:p>
        </w:tc>
        <w:tc>
          <w:tcPr>
            <w:tcW w:w="6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940" w:type="dxa"/>
            <w:vAlign w:val="bottom"/>
            <w:gridSpan w:val="2"/>
          </w:tcPr>
          <w:p>
            <w:pPr>
              <w:ind w:left="60"/>
              <w:spacing w:after="0"/>
              <w:rPr>
                <w:sz w:val="20"/>
                <w:szCs w:val="20"/>
                <w:color w:val="auto"/>
              </w:rPr>
            </w:pPr>
            <w:r>
              <w:rPr>
                <w:rFonts w:ascii="Arial" w:cs="Arial" w:eastAsia="Arial" w:hAnsi="Arial"/>
                <w:sz w:val="12"/>
                <w:szCs w:val="12"/>
                <w:color w:val="005A64"/>
              </w:rPr>
              <w:t>(56.6)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ind w:left="20"/>
              <w:spacing w:after="0"/>
              <w:rPr>
                <w:sz w:val="20"/>
                <w:szCs w:val="20"/>
                <w:color w:val="auto"/>
              </w:rPr>
            </w:pPr>
            <w:r>
              <w:rPr>
                <w:rFonts w:ascii="Arial" w:cs="Arial" w:eastAsia="Arial" w:hAnsi="Arial"/>
                <w:sz w:val="12"/>
                <w:szCs w:val="12"/>
                <w:color w:val="005A64"/>
              </w:rPr>
              <w:t>Inventories</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148.9</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(35.3)</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940" w:type="dxa"/>
            <w:vAlign w:val="bottom"/>
            <w:gridSpan w:val="2"/>
          </w:tcPr>
          <w:p>
            <w:pPr>
              <w:ind w:left="60"/>
              <w:spacing w:after="0"/>
              <w:rPr>
                <w:sz w:val="20"/>
                <w:szCs w:val="20"/>
                <w:color w:val="auto"/>
              </w:rPr>
            </w:pPr>
            <w:r>
              <w:rPr>
                <w:rFonts w:ascii="Arial" w:cs="Arial" w:eastAsia="Arial" w:hAnsi="Arial"/>
                <w:sz w:val="12"/>
                <w:szCs w:val="12"/>
                <w:color w:val="005A64"/>
              </w:rPr>
              <w:t>113.6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ind w:left="20"/>
              <w:spacing w:after="0"/>
              <w:rPr>
                <w:sz w:val="20"/>
                <w:szCs w:val="20"/>
                <w:color w:val="auto"/>
              </w:rPr>
            </w:pPr>
            <w:r>
              <w:rPr>
                <w:rFonts w:ascii="Arial" w:cs="Arial" w:eastAsia="Arial" w:hAnsi="Arial"/>
                <w:sz w:val="12"/>
                <w:szCs w:val="12"/>
                <w:color w:val="005A64"/>
              </w:rPr>
              <w:t>Trade and other receivables</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(162.7)</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72.7</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940" w:type="dxa"/>
            <w:vAlign w:val="bottom"/>
            <w:gridSpan w:val="2"/>
          </w:tcPr>
          <w:p>
            <w:pPr>
              <w:ind w:left="60"/>
              <w:spacing w:after="0"/>
              <w:rPr>
                <w:sz w:val="20"/>
                <w:szCs w:val="20"/>
                <w:color w:val="auto"/>
              </w:rPr>
            </w:pPr>
            <w:r>
              <w:rPr>
                <w:rFonts w:ascii="Arial" w:cs="Arial" w:eastAsia="Arial" w:hAnsi="Arial"/>
                <w:sz w:val="12"/>
                <w:szCs w:val="12"/>
                <w:color w:val="005A64"/>
              </w:rPr>
              <w:t>(90.0)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ind w:left="20"/>
              <w:spacing w:after="0"/>
              <w:rPr>
                <w:sz w:val="20"/>
                <w:szCs w:val="20"/>
                <w:color w:val="auto"/>
              </w:rPr>
            </w:pPr>
            <w:r>
              <w:rPr>
                <w:rFonts w:ascii="Arial" w:cs="Arial" w:eastAsia="Arial" w:hAnsi="Arial"/>
                <w:sz w:val="12"/>
                <w:szCs w:val="12"/>
                <w:color w:val="005A64"/>
              </w:rPr>
              <w:t>Lease liabilities</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55.2</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2.0</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940" w:type="dxa"/>
            <w:vAlign w:val="bottom"/>
            <w:gridSpan w:val="2"/>
          </w:tcPr>
          <w:p>
            <w:pPr>
              <w:ind w:left="60"/>
              <w:spacing w:after="0"/>
              <w:rPr>
                <w:sz w:val="20"/>
                <w:szCs w:val="20"/>
                <w:color w:val="auto"/>
              </w:rPr>
            </w:pPr>
            <w:r>
              <w:rPr>
                <w:rFonts w:ascii="Arial" w:cs="Arial" w:eastAsia="Arial" w:hAnsi="Arial"/>
                <w:sz w:val="12"/>
                <w:szCs w:val="12"/>
                <w:color w:val="005A64"/>
              </w:rPr>
              <w:t>57.2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ind w:left="20"/>
              <w:spacing w:after="0"/>
              <w:rPr>
                <w:sz w:val="20"/>
                <w:szCs w:val="20"/>
                <w:color w:val="auto"/>
              </w:rPr>
            </w:pPr>
            <w:r>
              <w:rPr>
                <w:rFonts w:ascii="Arial" w:cs="Arial" w:eastAsia="Arial" w:hAnsi="Arial"/>
                <w:sz w:val="12"/>
                <w:szCs w:val="12"/>
                <w:color w:val="005A64"/>
              </w:rPr>
              <w:t>Loans and borrowings</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7.6</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(2.8)</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940" w:type="dxa"/>
            <w:vAlign w:val="bottom"/>
            <w:gridSpan w:val="2"/>
          </w:tcPr>
          <w:p>
            <w:pPr>
              <w:ind w:left="60"/>
              <w:spacing w:after="0"/>
              <w:rPr>
                <w:sz w:val="20"/>
                <w:szCs w:val="20"/>
                <w:color w:val="auto"/>
              </w:rPr>
            </w:pPr>
            <w:r>
              <w:rPr>
                <w:rFonts w:ascii="Arial" w:cs="Arial" w:eastAsia="Arial" w:hAnsi="Arial"/>
                <w:sz w:val="12"/>
                <w:szCs w:val="12"/>
                <w:color w:val="005A64"/>
              </w:rPr>
              <w:t>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ind w:left="20"/>
              <w:spacing w:after="0"/>
              <w:rPr>
                <w:sz w:val="20"/>
                <w:szCs w:val="20"/>
                <w:color w:val="auto"/>
              </w:rPr>
            </w:pPr>
            <w:r>
              <w:rPr>
                <w:rFonts w:ascii="Arial" w:cs="Arial" w:eastAsia="Arial" w:hAnsi="Arial"/>
                <w:sz w:val="12"/>
                <w:szCs w:val="12"/>
                <w:color w:val="005A64"/>
              </w:rPr>
              <w:t>Contract liabilities</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(10.0)</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(33.0)</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940" w:type="dxa"/>
            <w:vAlign w:val="bottom"/>
            <w:gridSpan w:val="2"/>
          </w:tcPr>
          <w:p>
            <w:pPr>
              <w:ind w:left="60"/>
              <w:spacing w:after="0"/>
              <w:rPr>
                <w:sz w:val="20"/>
                <w:szCs w:val="20"/>
                <w:color w:val="auto"/>
              </w:rPr>
            </w:pPr>
            <w:r>
              <w:rPr>
                <w:rFonts w:ascii="Arial" w:cs="Arial" w:eastAsia="Arial" w:hAnsi="Arial"/>
                <w:sz w:val="12"/>
                <w:szCs w:val="12"/>
                <w:color w:val="005A64"/>
              </w:rPr>
              <w:t>(43.0)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ind w:left="20"/>
              <w:spacing w:after="0"/>
              <w:rPr>
                <w:sz w:val="20"/>
                <w:szCs w:val="20"/>
                <w:color w:val="auto"/>
              </w:rPr>
            </w:pPr>
            <w:r>
              <w:rPr>
                <w:rFonts w:ascii="Arial" w:cs="Arial" w:eastAsia="Arial" w:hAnsi="Arial"/>
                <w:sz w:val="12"/>
                <w:szCs w:val="12"/>
                <w:color w:val="005A64"/>
              </w:rPr>
              <w:t>Net employee defined benefit liabilities</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0.7</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(0.1)</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940" w:type="dxa"/>
            <w:vAlign w:val="bottom"/>
            <w:gridSpan w:val="2"/>
          </w:tcPr>
          <w:p>
            <w:pPr>
              <w:ind w:left="60"/>
              <w:spacing w:after="0"/>
              <w:rPr>
                <w:sz w:val="20"/>
                <w:szCs w:val="20"/>
                <w:color w:val="auto"/>
              </w:rPr>
            </w:pPr>
            <w:r>
              <w:rPr>
                <w:rFonts w:ascii="Arial" w:cs="Arial" w:eastAsia="Arial" w:hAnsi="Arial"/>
                <w:sz w:val="12"/>
                <w:szCs w:val="12"/>
                <w:color w:val="005A64"/>
              </w:rPr>
              <w:t>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ind w:left="20"/>
              <w:spacing w:after="0"/>
              <w:rPr>
                <w:sz w:val="20"/>
                <w:szCs w:val="20"/>
                <w:color w:val="auto"/>
              </w:rPr>
            </w:pPr>
            <w:r>
              <w:rPr>
                <w:rFonts w:ascii="Arial" w:cs="Arial" w:eastAsia="Arial" w:hAnsi="Arial"/>
                <w:sz w:val="12"/>
                <w:szCs w:val="12"/>
                <w:color w:val="005A64"/>
              </w:rPr>
              <w:t>Other provisions</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11.0</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(1.2)</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940" w:type="dxa"/>
            <w:vAlign w:val="bottom"/>
            <w:gridSpan w:val="2"/>
          </w:tcPr>
          <w:p>
            <w:pPr>
              <w:ind w:left="60"/>
              <w:spacing w:after="0"/>
              <w:rPr>
                <w:sz w:val="20"/>
                <w:szCs w:val="20"/>
                <w:color w:val="auto"/>
              </w:rPr>
            </w:pPr>
            <w:r>
              <w:rPr>
                <w:rFonts w:ascii="Arial" w:cs="Arial" w:eastAsia="Arial" w:hAnsi="Arial"/>
                <w:sz w:val="12"/>
                <w:szCs w:val="12"/>
                <w:color w:val="005A64"/>
              </w:rPr>
              <w:t>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ind w:left="20"/>
              <w:spacing w:after="0"/>
              <w:rPr>
                <w:sz w:val="20"/>
                <w:szCs w:val="20"/>
                <w:color w:val="auto"/>
              </w:rPr>
            </w:pPr>
            <w:r>
              <w:rPr>
                <w:rFonts w:ascii="Arial" w:cs="Arial" w:eastAsia="Arial" w:hAnsi="Arial"/>
                <w:sz w:val="12"/>
                <w:szCs w:val="12"/>
                <w:color w:val="005A64"/>
              </w:rPr>
              <w:t>Share-based payments</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188.4</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12.0</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900" w:type="dxa"/>
            <w:vAlign w:val="bottom"/>
            <w:gridSpan w:val="2"/>
          </w:tcPr>
          <w:p>
            <w:pPr>
              <w:ind w:left="60"/>
              <w:spacing w:after="0"/>
              <w:rPr>
                <w:sz w:val="20"/>
                <w:szCs w:val="20"/>
                <w:color w:val="auto"/>
              </w:rPr>
            </w:pPr>
            <w:r>
              <w:rPr>
                <w:rFonts w:ascii="Arial" w:cs="Arial" w:eastAsia="Arial" w:hAnsi="Arial"/>
                <w:sz w:val="12"/>
                <w:szCs w:val="12"/>
                <w:color w:val="005A64"/>
              </w:rPr>
              <w:t>(58.3)</w:t>
            </w:r>
          </w:p>
        </w:tc>
        <w:tc>
          <w:tcPr>
            <w:tcW w:w="940" w:type="dxa"/>
            <w:vAlign w:val="bottom"/>
            <w:gridSpan w:val="2"/>
          </w:tcPr>
          <w:p>
            <w:pPr>
              <w:ind w:left="60"/>
              <w:spacing w:after="0"/>
              <w:rPr>
                <w:sz w:val="20"/>
                <w:szCs w:val="20"/>
                <w:color w:val="auto"/>
              </w:rPr>
            </w:pPr>
            <w:r>
              <w:rPr>
                <w:rFonts w:ascii="Arial" w:cs="Arial" w:eastAsia="Arial" w:hAnsi="Arial"/>
                <w:sz w:val="12"/>
                <w:szCs w:val="12"/>
                <w:color w:val="005A64"/>
              </w:rPr>
              <w:t>142.1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ind w:left="20"/>
              <w:spacing w:after="0"/>
              <w:rPr>
                <w:sz w:val="20"/>
                <w:szCs w:val="20"/>
                <w:color w:val="auto"/>
              </w:rPr>
            </w:pPr>
            <w:r>
              <w:rPr>
                <w:rFonts w:ascii="Arial" w:cs="Arial" w:eastAsia="Arial" w:hAnsi="Arial"/>
                <w:sz w:val="12"/>
                <w:szCs w:val="12"/>
                <w:color w:val="005A64"/>
              </w:rPr>
              <w:t>Other (incl. deferred expenses)</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61.5</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(106.4)</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940" w:type="dxa"/>
            <w:vAlign w:val="bottom"/>
            <w:gridSpan w:val="2"/>
          </w:tcPr>
          <w:p>
            <w:pPr>
              <w:ind w:left="60"/>
              <w:spacing w:after="0"/>
              <w:rPr>
                <w:sz w:val="20"/>
                <w:szCs w:val="20"/>
                <w:color w:val="auto"/>
              </w:rPr>
            </w:pPr>
            <w:r>
              <w:rPr>
                <w:rFonts w:ascii="Arial" w:cs="Arial" w:eastAsia="Arial" w:hAnsi="Arial"/>
                <w:sz w:val="12"/>
                <w:szCs w:val="12"/>
                <w:color w:val="005A64"/>
              </w:rPr>
              <w:t>(44.9)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ind w:left="20"/>
              <w:spacing w:after="0"/>
              <w:rPr>
                <w:sz w:val="20"/>
                <w:szCs w:val="20"/>
                <w:color w:val="auto"/>
              </w:rPr>
            </w:pPr>
            <w:r>
              <w:rPr>
                <w:rFonts w:ascii="Arial" w:cs="Arial" w:eastAsia="Arial" w:hAnsi="Arial"/>
                <w:sz w:val="12"/>
                <w:szCs w:val="12"/>
                <w:color w:val="005A64"/>
              </w:rPr>
              <w:t>Tax losses / tax credits</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99.5</w:t>
            </w:r>
          </w:p>
        </w:tc>
        <w:tc>
          <w:tcPr>
            <w:tcW w:w="880" w:type="dxa"/>
            <w:vAlign w:val="bottom"/>
            <w:gridSpan w:val="2"/>
          </w:tcPr>
          <w:p>
            <w:pPr>
              <w:ind w:left="60"/>
              <w:spacing w:after="0"/>
              <w:rPr>
                <w:sz w:val="20"/>
                <w:szCs w:val="20"/>
                <w:color w:val="auto"/>
              </w:rPr>
            </w:pPr>
            <w:r>
              <w:rPr>
                <w:rFonts w:ascii="Arial" w:cs="Arial" w:eastAsia="Arial" w:hAnsi="Arial"/>
                <w:sz w:val="12"/>
                <w:szCs w:val="12"/>
                <w:color w:val="005A64"/>
              </w:rPr>
              <w:t>(5.1)</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940" w:type="dxa"/>
            <w:vAlign w:val="bottom"/>
            <w:gridSpan w:val="2"/>
          </w:tcPr>
          <w:p>
            <w:pPr>
              <w:ind w:left="60"/>
              <w:spacing w:after="0"/>
              <w:rPr>
                <w:sz w:val="20"/>
                <w:szCs w:val="20"/>
                <w:color w:val="auto"/>
              </w:rPr>
            </w:pPr>
            <w:r>
              <w:rPr>
                <w:rFonts w:ascii="Arial" w:cs="Arial" w:eastAsia="Arial" w:hAnsi="Arial"/>
                <w:sz w:val="12"/>
                <w:szCs w:val="12"/>
                <w:color w:val="005A64"/>
              </w:rPr>
              <w:t>94.4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180" w:type="dxa"/>
            <w:vAlign w:val="bottom"/>
            <w:gridSpan w:val="2"/>
          </w:tcPr>
          <w:p>
            <w:pPr>
              <w:ind w:left="20"/>
              <w:spacing w:after="0"/>
              <w:rPr>
                <w:sz w:val="20"/>
                <w:szCs w:val="20"/>
                <w:color w:val="auto"/>
              </w:rPr>
            </w:pPr>
            <w:r>
              <w:rPr>
                <w:rFonts w:ascii="Arial" w:cs="Arial" w:eastAsia="Arial" w:hAnsi="Arial"/>
                <w:sz w:val="12"/>
                <w:szCs w:val="12"/>
                <w:b w:val="1"/>
                <w:bCs w:val="1"/>
                <w:color w:val="005A64"/>
              </w:rPr>
              <w:t>Deferred tax assets net (before</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005A64"/>
              </w:rPr>
              <w:t>360.1</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005A64"/>
              </w:rPr>
              <w:t>(77.8)</w:t>
            </w: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005A64"/>
              </w:rPr>
              <w:t>—</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005A64"/>
              </w:rPr>
              <w:t>(102.7)</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005A64"/>
              </w:rPr>
              <w:t>179.6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180" w:type="dxa"/>
            <w:vAlign w:val="bottom"/>
            <w:gridSpan w:val="2"/>
          </w:tcPr>
          <w:p>
            <w:pPr>
              <w:ind w:left="20"/>
              <w:spacing w:after="0"/>
              <w:rPr>
                <w:sz w:val="20"/>
                <w:szCs w:val="20"/>
                <w:color w:val="auto"/>
              </w:rPr>
            </w:pPr>
            <w:r>
              <w:rPr>
                <w:rFonts w:ascii="Arial" w:cs="Arial" w:eastAsia="Arial" w:hAnsi="Arial"/>
                <w:sz w:val="12"/>
                <w:szCs w:val="12"/>
                <w:b w:val="1"/>
                <w:bCs w:val="1"/>
                <w:color w:val="005A64"/>
              </w:rPr>
              <w:t>valuation adjustment)</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216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40" w:type="dxa"/>
            <w:vAlign w:val="bottom"/>
            <w:vMerge w:val="restart"/>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60" w:type="dxa"/>
            <w:vAlign w:val="bottom"/>
            <w:vMerge w:val="restart"/>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60" w:type="dxa"/>
            <w:vAlign w:val="bottom"/>
            <w:vMerge w:val="restart"/>
          </w:tcPr>
          <w:p>
            <w:pPr>
              <w:spacing w:after="0"/>
              <w:rPr>
                <w:sz w:val="4"/>
                <w:szCs w:val="4"/>
                <w:color w:val="auto"/>
              </w:rPr>
            </w:pPr>
          </w:p>
        </w:tc>
        <w:tc>
          <w:tcPr>
            <w:tcW w:w="88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160" w:type="dxa"/>
            <w:vAlign w:val="bottom"/>
          </w:tcPr>
          <w:p>
            <w:pPr>
              <w:ind w:left="20"/>
              <w:spacing w:after="0"/>
              <w:rPr>
                <w:sz w:val="20"/>
                <w:szCs w:val="20"/>
                <w:color w:val="auto"/>
              </w:rPr>
            </w:pPr>
            <w:r>
              <w:rPr>
                <w:rFonts w:ascii="Arial" w:cs="Arial" w:eastAsia="Arial" w:hAnsi="Arial"/>
                <w:sz w:val="12"/>
                <w:szCs w:val="12"/>
                <w:color w:val="005A64"/>
              </w:rPr>
              <w:t>Valuation adjustment</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(136.7)</w:t>
            </w:r>
          </w:p>
        </w:tc>
        <w:tc>
          <w:tcPr>
            <w:tcW w:w="40" w:type="dxa"/>
            <w:vAlign w:val="bottom"/>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color w:val="005A64"/>
              </w:rPr>
              <w:t>65.1</w:t>
            </w: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w:t>
            </w:r>
          </w:p>
        </w:tc>
        <w:tc>
          <w:tcPr>
            <w:tcW w:w="60" w:type="dxa"/>
            <w:vAlign w:val="bottom"/>
            <w:vMerge w:val="continue"/>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color w:val="005A64"/>
              </w:rPr>
              <w:t>(66.4)</w:t>
            </w:r>
          </w:p>
        </w:tc>
        <w:tc>
          <w:tcPr>
            <w:tcW w:w="60" w:type="dxa"/>
            <w:vAlign w:val="bottom"/>
            <w:vMerge w:val="continue"/>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2"/>
                <w:szCs w:val="12"/>
                <w:color w:val="005A64"/>
              </w:rPr>
              <w:t>(138.0)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6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40" w:type="dxa"/>
            <w:vAlign w:val="bottom"/>
            <w:vMerge w:val="restart"/>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60" w:type="dxa"/>
            <w:vAlign w:val="bottom"/>
            <w:vMerge w:val="restart"/>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60" w:type="dxa"/>
            <w:vAlign w:val="bottom"/>
            <w:vMerge w:val="restart"/>
          </w:tcPr>
          <w:p>
            <w:pPr>
              <w:spacing w:after="0"/>
              <w:rPr>
                <w:sz w:val="2"/>
                <w:szCs w:val="2"/>
                <w:color w:val="auto"/>
              </w:rPr>
            </w:pPr>
          </w:p>
        </w:tc>
        <w:tc>
          <w:tcPr>
            <w:tcW w:w="880" w:type="dxa"/>
            <w:vAlign w:val="bottom"/>
            <w:tcBorders>
              <w:bottom w:val="single" w:sz="8" w:color="005A64"/>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2160" w:type="dxa"/>
            <w:vAlign w:val="bottom"/>
          </w:tcPr>
          <w:p>
            <w:pPr>
              <w:ind w:left="20"/>
              <w:spacing w:after="0" w:line="102" w:lineRule="exact"/>
              <w:rPr>
                <w:sz w:val="20"/>
                <w:szCs w:val="20"/>
                <w:color w:val="auto"/>
              </w:rPr>
            </w:pPr>
            <w:r>
              <w:rPr>
                <w:rFonts w:ascii="Arial" w:cs="Arial" w:eastAsia="Arial" w:hAnsi="Arial"/>
                <w:sz w:val="11"/>
                <w:szCs w:val="11"/>
                <w:b w:val="1"/>
                <w:bCs w:val="1"/>
                <w:color w:val="005A64"/>
              </w:rPr>
              <w:t>Deferred tax assets / (liabilities), net</w:t>
            </w:r>
          </w:p>
        </w:tc>
        <w:tc>
          <w:tcPr>
            <w:tcW w:w="2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840" w:type="dxa"/>
            <w:vAlign w:val="bottom"/>
          </w:tcPr>
          <w:p>
            <w:pPr>
              <w:ind w:left="20"/>
              <w:spacing w:after="0" w:line="102" w:lineRule="exact"/>
              <w:rPr>
                <w:sz w:val="20"/>
                <w:szCs w:val="20"/>
                <w:color w:val="auto"/>
              </w:rPr>
            </w:pPr>
            <w:r>
              <w:rPr>
                <w:rFonts w:ascii="Arial" w:cs="Arial" w:eastAsia="Arial" w:hAnsi="Arial"/>
                <w:sz w:val="11"/>
                <w:szCs w:val="11"/>
                <w:b w:val="1"/>
                <w:bCs w:val="1"/>
                <w:color w:val="005A64"/>
              </w:rPr>
              <w:t>223.4</w:t>
            </w:r>
          </w:p>
        </w:tc>
        <w:tc>
          <w:tcPr>
            <w:tcW w:w="40" w:type="dxa"/>
            <w:vAlign w:val="bottom"/>
            <w:vMerge w:val="continue"/>
          </w:tcPr>
          <w:p>
            <w:pPr>
              <w:spacing w:after="0"/>
              <w:rPr>
                <w:sz w:val="8"/>
                <w:szCs w:val="8"/>
                <w:color w:val="auto"/>
              </w:rPr>
            </w:pPr>
          </w:p>
        </w:tc>
        <w:tc>
          <w:tcPr>
            <w:tcW w:w="840" w:type="dxa"/>
            <w:vAlign w:val="bottom"/>
          </w:tcPr>
          <w:p>
            <w:pPr>
              <w:ind w:left="20"/>
              <w:spacing w:after="0" w:line="102" w:lineRule="exact"/>
              <w:rPr>
                <w:sz w:val="20"/>
                <w:szCs w:val="20"/>
                <w:color w:val="auto"/>
              </w:rPr>
            </w:pPr>
            <w:r>
              <w:rPr>
                <w:rFonts w:ascii="Arial" w:cs="Arial" w:eastAsia="Arial" w:hAnsi="Arial"/>
                <w:sz w:val="11"/>
                <w:szCs w:val="11"/>
                <w:b w:val="1"/>
                <w:bCs w:val="1"/>
                <w:color w:val="005A64"/>
              </w:rPr>
              <w:t>(12.7)</w:t>
            </w:r>
          </w:p>
        </w:tc>
        <w:tc>
          <w:tcPr>
            <w:tcW w:w="60" w:type="dxa"/>
            <w:vAlign w:val="bottom"/>
          </w:tcPr>
          <w:p>
            <w:pPr>
              <w:spacing w:after="0"/>
              <w:rPr>
                <w:sz w:val="8"/>
                <w:szCs w:val="8"/>
                <w:color w:val="auto"/>
              </w:rPr>
            </w:pPr>
          </w:p>
        </w:tc>
        <w:tc>
          <w:tcPr>
            <w:tcW w:w="840" w:type="dxa"/>
            <w:vAlign w:val="bottom"/>
          </w:tcPr>
          <w:p>
            <w:pPr>
              <w:spacing w:after="0" w:line="102" w:lineRule="exact"/>
              <w:rPr>
                <w:sz w:val="20"/>
                <w:szCs w:val="20"/>
                <w:color w:val="auto"/>
              </w:rPr>
            </w:pPr>
            <w:r>
              <w:rPr>
                <w:rFonts w:ascii="Arial" w:cs="Arial" w:eastAsia="Arial" w:hAnsi="Arial"/>
                <w:sz w:val="11"/>
                <w:szCs w:val="11"/>
                <w:b w:val="1"/>
                <w:bCs w:val="1"/>
                <w:color w:val="005A64"/>
              </w:rPr>
              <w:t>—</w:t>
            </w:r>
          </w:p>
        </w:tc>
        <w:tc>
          <w:tcPr>
            <w:tcW w:w="60" w:type="dxa"/>
            <w:vAlign w:val="bottom"/>
            <w:vMerge w:val="continue"/>
          </w:tcPr>
          <w:p>
            <w:pPr>
              <w:spacing w:after="0"/>
              <w:rPr>
                <w:sz w:val="8"/>
                <w:szCs w:val="8"/>
                <w:color w:val="auto"/>
              </w:rPr>
            </w:pPr>
          </w:p>
        </w:tc>
        <w:tc>
          <w:tcPr>
            <w:tcW w:w="840" w:type="dxa"/>
            <w:vAlign w:val="bottom"/>
          </w:tcPr>
          <w:p>
            <w:pPr>
              <w:spacing w:after="0" w:line="102" w:lineRule="exact"/>
              <w:rPr>
                <w:sz w:val="20"/>
                <w:szCs w:val="20"/>
                <w:color w:val="auto"/>
              </w:rPr>
            </w:pPr>
            <w:r>
              <w:rPr>
                <w:rFonts w:ascii="Arial" w:cs="Arial" w:eastAsia="Arial" w:hAnsi="Arial"/>
                <w:sz w:val="11"/>
                <w:szCs w:val="11"/>
                <w:b w:val="1"/>
                <w:bCs w:val="1"/>
                <w:color w:val="005A64"/>
              </w:rPr>
              <w:t>(169.1)</w:t>
            </w:r>
          </w:p>
        </w:tc>
        <w:tc>
          <w:tcPr>
            <w:tcW w:w="60" w:type="dxa"/>
            <w:vAlign w:val="bottom"/>
            <w:vMerge w:val="continue"/>
          </w:tcPr>
          <w:p>
            <w:pPr>
              <w:spacing w:after="0"/>
              <w:rPr>
                <w:sz w:val="8"/>
                <w:szCs w:val="8"/>
                <w:color w:val="auto"/>
              </w:rPr>
            </w:pPr>
          </w:p>
        </w:tc>
        <w:tc>
          <w:tcPr>
            <w:tcW w:w="880" w:type="dxa"/>
            <w:vAlign w:val="bottom"/>
          </w:tcPr>
          <w:p>
            <w:pPr>
              <w:spacing w:after="0" w:line="102" w:lineRule="exact"/>
              <w:rPr>
                <w:sz w:val="20"/>
                <w:szCs w:val="20"/>
                <w:color w:val="auto"/>
              </w:rPr>
            </w:pPr>
            <w:r>
              <w:rPr>
                <w:rFonts w:ascii="Arial" w:cs="Arial" w:eastAsia="Arial" w:hAnsi="Arial"/>
                <w:sz w:val="11"/>
                <w:szCs w:val="11"/>
                <w:b w:val="1"/>
                <w:bCs w:val="1"/>
                <w:color w:val="005A64"/>
              </w:rPr>
              <w:t>41.6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180" w:type="dxa"/>
            <w:vAlign w:val="bottom"/>
            <w:gridSpan w:val="2"/>
          </w:tcPr>
          <w:p>
            <w:pPr>
              <w:ind w:left="20"/>
              <w:spacing w:after="0"/>
              <w:rPr>
                <w:sz w:val="20"/>
                <w:szCs w:val="20"/>
                <w:color w:val="auto"/>
              </w:rPr>
            </w:pPr>
            <w:r>
              <w:rPr>
                <w:rFonts w:ascii="Arial" w:cs="Arial" w:eastAsia="Arial" w:hAnsi="Arial"/>
                <w:sz w:val="12"/>
                <w:szCs w:val="12"/>
                <w:b w:val="1"/>
                <w:bCs w:val="1"/>
                <w:color w:val="005A64"/>
              </w:rPr>
              <w:t>(after valuation adjustment)</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16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40" w:type="dxa"/>
            <w:vAlign w:val="bottom"/>
            <w:vMerge w:val="restart"/>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60" w:type="dxa"/>
            <w:vAlign w:val="bottom"/>
            <w:vMerge w:val="restart"/>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60" w:type="dxa"/>
            <w:vAlign w:val="bottom"/>
            <w:vMerge w:val="restart"/>
          </w:tcPr>
          <w:p>
            <w:pPr>
              <w:spacing w:after="0"/>
              <w:rPr>
                <w:sz w:val="4"/>
                <w:szCs w:val="4"/>
                <w:color w:val="auto"/>
              </w:rPr>
            </w:pPr>
          </w:p>
        </w:tc>
        <w:tc>
          <w:tcPr>
            <w:tcW w:w="88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160" w:type="dxa"/>
            <w:vAlign w:val="bottom"/>
          </w:tcPr>
          <w:p>
            <w:pPr>
              <w:ind w:left="20"/>
              <w:spacing w:after="0"/>
              <w:rPr>
                <w:sz w:val="20"/>
                <w:szCs w:val="20"/>
                <w:color w:val="auto"/>
              </w:rPr>
            </w:pPr>
            <w:r>
              <w:rPr>
                <w:rFonts w:ascii="Arial" w:cs="Arial" w:eastAsia="Arial" w:hAnsi="Arial"/>
                <w:sz w:val="12"/>
                <w:szCs w:val="12"/>
                <w:b w:val="1"/>
                <w:bCs w:val="1"/>
                <w:color w:val="005A64"/>
              </w:rPr>
              <w:t>Thereof deferred tax assets</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229.6</w:t>
            </w:r>
          </w:p>
        </w:tc>
        <w:tc>
          <w:tcPr>
            <w:tcW w:w="40" w:type="dxa"/>
            <w:vAlign w:val="bottom"/>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20.8</w:t>
            </w: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005A64"/>
              </w:rPr>
              <w:t>—</w:t>
            </w:r>
          </w:p>
        </w:tc>
        <w:tc>
          <w:tcPr>
            <w:tcW w:w="60" w:type="dxa"/>
            <w:vAlign w:val="bottom"/>
            <w:vMerge w:val="continue"/>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005A64"/>
              </w:rPr>
              <w:t>(169.1)</w:t>
            </w:r>
          </w:p>
        </w:tc>
        <w:tc>
          <w:tcPr>
            <w:tcW w:w="60" w:type="dxa"/>
            <w:vAlign w:val="bottom"/>
            <w:vMerge w:val="continue"/>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005A64"/>
              </w:rPr>
              <w:t>81.3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16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40" w:type="dxa"/>
            <w:vAlign w:val="bottom"/>
            <w:vMerge w:val="restart"/>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60" w:type="dxa"/>
            <w:vAlign w:val="bottom"/>
            <w:vMerge w:val="restart"/>
          </w:tcPr>
          <w:p>
            <w:pPr>
              <w:spacing w:after="0"/>
              <w:rPr>
                <w:sz w:val="2"/>
                <w:szCs w:val="2"/>
                <w:color w:val="auto"/>
              </w:rPr>
            </w:pPr>
          </w:p>
        </w:tc>
        <w:tc>
          <w:tcPr>
            <w:tcW w:w="880" w:type="dxa"/>
            <w:vAlign w:val="bottom"/>
            <w:tcBorders>
              <w:bottom w:val="single" w:sz="8" w:color="005A64"/>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160" w:type="dxa"/>
            <w:vAlign w:val="bottom"/>
          </w:tcPr>
          <w:p>
            <w:pPr>
              <w:ind w:left="20"/>
              <w:spacing w:after="0"/>
              <w:rPr>
                <w:sz w:val="20"/>
                <w:szCs w:val="20"/>
                <w:color w:val="auto"/>
              </w:rPr>
            </w:pPr>
            <w:r>
              <w:rPr>
                <w:rFonts w:ascii="Arial" w:cs="Arial" w:eastAsia="Arial" w:hAnsi="Arial"/>
                <w:sz w:val="12"/>
                <w:szCs w:val="12"/>
                <w:b w:val="1"/>
                <w:bCs w:val="1"/>
                <w:color w:val="005A64"/>
              </w:rPr>
              <w:t>Thereof deferred tax liability</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(6.2)</w:t>
            </w:r>
          </w:p>
        </w:tc>
        <w:tc>
          <w:tcPr>
            <w:tcW w:w="40" w:type="dxa"/>
            <w:vAlign w:val="bottom"/>
            <w:vMerge w:val="continue"/>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005A64"/>
              </w:rPr>
              <w:t>(33.5)</w:t>
            </w: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005A64"/>
              </w:rPr>
              <w:t>—</w:t>
            </w: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005A64"/>
              </w:rPr>
              <w:t>—</w:t>
            </w:r>
          </w:p>
        </w:tc>
        <w:tc>
          <w:tcPr>
            <w:tcW w:w="60" w:type="dxa"/>
            <w:vAlign w:val="bottom"/>
            <w:vMerge w:val="continue"/>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005A64"/>
              </w:rPr>
              <w:t>(39.7)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1157605</wp:posOffset>
            </wp:positionH>
            <wp:positionV relativeFrom="page">
              <wp:posOffset>361950</wp:posOffset>
            </wp:positionV>
            <wp:extent cx="4262120" cy="127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5">
                      <a:extLst>
                        <a:ext uri="{28A0092B-C50C-407E-A947-70E740481C1C}"/>
                      </a:extLst>
                    </a:blip>
                    <a:srcRect/>
                    <a:stretch>
                      <a:fillRect/>
                    </a:stretch>
                  </pic:blipFill>
                  <pic:spPr bwMode="auto">
                    <a:xfrm>
                      <a:off x="0" y="0"/>
                      <a:ext cx="4262120" cy="12700"/>
                    </a:xfrm>
                    <a:prstGeom prst="rect">
                      <a:avLst/>
                    </a:prstGeom>
                    <a:noFill/>
                  </pic:spPr>
                </pic:pic>
              </a:graphicData>
            </a:graphic>
          </wp:anchor>
        </w:drawing>
        <w:drawing>
          <wp:anchor simplePos="0" relativeHeight="251657728" behindDoc="1" locked="0" layoutInCell="0" allowOverlap="1">
            <wp:simplePos x="0" y="0"/>
            <wp:positionH relativeFrom="column">
              <wp:posOffset>1630045</wp:posOffset>
            </wp:positionH>
            <wp:positionV relativeFrom="paragraph">
              <wp:posOffset>-2633345</wp:posOffset>
            </wp:positionV>
            <wp:extent cx="2882265" cy="265747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6">
                      <a:extLst>
                        <a:ext uri="{28A0092B-C50C-407E-A947-70E740481C1C}"/>
                      </a:extLst>
                    </a:blip>
                    <a:srcRect/>
                    <a:stretch>
                      <a:fillRect/>
                    </a:stretch>
                  </pic:blipFill>
                  <pic:spPr bwMode="auto">
                    <a:xfrm>
                      <a:off x="0" y="0"/>
                      <a:ext cx="2882265" cy="2657475"/>
                    </a:xfrm>
                    <a:prstGeom prst="rect">
                      <a:avLst/>
                    </a:prstGeom>
                    <a:noFill/>
                  </pic:spPr>
                </pic:pic>
              </a:graphicData>
            </a:graphic>
          </wp:anchor>
        </w:drawing>
      </w:r>
    </w:p>
    <w:p>
      <w:pPr>
        <w:ind w:left="380" w:right="2100"/>
        <w:spacing w:after="0"/>
        <w:rPr>
          <w:sz w:val="20"/>
          <w:szCs w:val="20"/>
          <w:color w:val="auto"/>
        </w:rPr>
      </w:pPr>
      <w:r>
        <w:rPr>
          <w:rFonts w:ascii="Arial" w:cs="Arial" w:eastAsia="Arial" w:hAnsi="Arial"/>
          <w:sz w:val="13"/>
          <w:szCs w:val="13"/>
          <w:color w:val="auto"/>
        </w:rPr>
        <w:t>As of December 31, 2024, our accumulated tax losses comprised tax losses of German entities that were incurred prior to the establishment of a tax group with BioNTech SE or by entities that are not within the tax group or U.S. tax group. Up until the year ended December 31, 2024, our accumulated tax losses also comprised those of the German tax group. Our accumulated tax losses for the periods indicated amounted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-372745</wp:posOffset>
            </wp:positionV>
            <wp:extent cx="1373505" cy="63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7">
                      <a:extLst>
                        <a:ext uri="{28A0092B-C50C-407E-A947-70E740481C1C}"/>
                      </a:extLst>
                    </a:blip>
                    <a:srcRect/>
                    <a:stretch>
                      <a:fillRect/>
                    </a:stretch>
                  </pic:blipFill>
                  <pic:spPr bwMode="auto">
                    <a:xfrm>
                      <a:off x="0" y="0"/>
                      <a:ext cx="1373505" cy="635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50165</wp:posOffset>
            </wp:positionV>
            <wp:extent cx="4293870" cy="127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8">
                      <a:extLst>
                        <a:ext uri="{28A0092B-C50C-407E-A947-70E740481C1C}"/>
                      </a:extLst>
                    </a:blip>
                    <a:srcRect/>
                    <a:stretch>
                      <a:fillRect/>
                    </a:stretch>
                  </pic:blipFill>
                  <pic:spPr bwMode="auto">
                    <a:xfrm>
                      <a:off x="0" y="0"/>
                      <a:ext cx="4293870" cy="12700"/>
                    </a:xfrm>
                    <a:prstGeom prst="rect">
                      <a:avLst/>
                    </a:prstGeom>
                    <a:noFill/>
                  </pic:spPr>
                </pic:pic>
              </a:graphicData>
            </a:graphic>
          </wp:anchor>
        </w:drawing>
      </w:r>
    </w:p>
    <w:p>
      <w:pPr>
        <w:spacing w:after="0" w:line="123"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005A64"/>
              </w:rPr>
              <w:t>Years ended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005A64"/>
              </w:rPr>
              <w:t>December 31,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660" w:type="dxa"/>
            <w:vAlign w:val="bottom"/>
            <w:gridSpan w:val="3"/>
            <w:vMerge w:val="restart"/>
          </w:tcPr>
          <w:p>
            <w:pPr>
              <w:ind w:left="20"/>
              <w:spacing w:after="0"/>
              <w:rPr>
                <w:sz w:val="20"/>
                <w:szCs w:val="20"/>
                <w:color w:val="auto"/>
              </w:rPr>
            </w:pPr>
            <w:r>
              <w:rPr>
                <w:rFonts w:ascii="Arial" w:cs="Arial" w:eastAsia="Arial" w:hAnsi="Arial"/>
                <w:sz w:val="12"/>
                <w:szCs w:val="12"/>
                <w:i w:val="1"/>
                <w:iCs w:val="1"/>
                <w:color w:val="005A64"/>
              </w:rPr>
              <w:t>(in millions €)</w:t>
            </w:r>
          </w:p>
        </w:tc>
        <w:tc>
          <w:tcPr>
            <w:tcW w:w="40" w:type="dxa"/>
            <w:vAlign w:val="bottom"/>
            <w:tcBorders>
              <w:bottom w:val="single" w:sz="8" w:color="BECE33"/>
            </w:tcBorders>
          </w:tcPr>
          <w:p>
            <w:pPr>
              <w:spacing w:after="0"/>
              <w:rPr>
                <w:sz w:val="11"/>
                <w:szCs w:val="11"/>
                <w:color w:val="auto"/>
              </w:rPr>
            </w:pPr>
          </w:p>
        </w:tc>
        <w:tc>
          <w:tcPr>
            <w:tcW w:w="20" w:type="dxa"/>
            <w:vAlign w:val="bottom"/>
            <w:tcBorders>
              <w:bottom w:val="single" w:sz="8" w:color="BECE33"/>
            </w:tcBorders>
          </w:tcPr>
          <w:p>
            <w:pPr>
              <w:spacing w:after="0"/>
              <w:rPr>
                <w:sz w:val="11"/>
                <w:szCs w:val="11"/>
                <w:color w:val="auto"/>
              </w:rPr>
            </w:pPr>
          </w:p>
        </w:tc>
        <w:tc>
          <w:tcPr>
            <w:tcW w:w="920" w:type="dxa"/>
            <w:vAlign w:val="bottom"/>
            <w:tcBorders>
              <w:bottom w:val="single" w:sz="8" w:color="BECE33"/>
            </w:tcBorders>
          </w:tcPr>
          <w:p>
            <w:pPr>
              <w:spacing w:after="0"/>
              <w:rPr>
                <w:sz w:val="11"/>
                <w:szCs w:val="11"/>
                <w:color w:val="auto"/>
              </w:rPr>
            </w:pPr>
          </w:p>
        </w:tc>
        <w:tc>
          <w:tcPr>
            <w:tcW w:w="20" w:type="dxa"/>
            <w:vAlign w:val="bottom"/>
            <w:tcBorders>
              <w:bottom w:val="single" w:sz="8" w:color="BECE33"/>
            </w:tcBorders>
          </w:tcPr>
          <w:p>
            <w:pPr>
              <w:spacing w:after="0"/>
              <w:rPr>
                <w:sz w:val="11"/>
                <w:szCs w:val="11"/>
                <w:color w:val="auto"/>
              </w:rPr>
            </w:pPr>
          </w:p>
        </w:tc>
        <w:tc>
          <w:tcPr>
            <w:tcW w:w="40" w:type="dxa"/>
            <w:vAlign w:val="bottom"/>
            <w:tcBorders>
              <w:bottom w:val="single" w:sz="8" w:color="BECE33"/>
            </w:tcBorders>
          </w:tcPr>
          <w:p>
            <w:pPr>
              <w:spacing w:after="0"/>
              <w:rPr>
                <w:sz w:val="11"/>
                <w:szCs w:val="11"/>
                <w:color w:val="auto"/>
              </w:rPr>
            </w:pPr>
          </w:p>
        </w:tc>
        <w:tc>
          <w:tcPr>
            <w:tcW w:w="100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005A64"/>
              </w:rPr>
              <w:t>2023</w:t>
            </w:r>
          </w:p>
        </w:tc>
        <w:tc>
          <w:tcPr>
            <w:tcW w:w="1060" w:type="dxa"/>
            <w:vAlign w:val="bottom"/>
            <w:gridSpan w:val="4"/>
            <w:vMerge w:val="restart"/>
          </w:tcPr>
          <w:p>
            <w:pPr>
              <w:ind w:left="100"/>
              <w:spacing w:after="0"/>
              <w:rPr>
                <w:sz w:val="20"/>
                <w:szCs w:val="20"/>
                <w:color w:val="auto"/>
              </w:rPr>
            </w:pPr>
            <w:r>
              <w:rPr>
                <w:rFonts w:ascii="Arial" w:cs="Arial" w:eastAsia="Arial" w:hAnsi="Arial"/>
                <w:sz w:val="12"/>
                <w:szCs w:val="12"/>
                <w:b w:val="1"/>
                <w:bCs w:val="1"/>
                <w:color w:val="005A64"/>
              </w:rPr>
              <w:t>2022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660" w:type="dxa"/>
            <w:vAlign w:val="bottom"/>
            <w:gridSpan w:val="3"/>
            <w:vMerge w:val="continue"/>
          </w:tcPr>
          <w:p>
            <w:pPr>
              <w:spacing w:after="0"/>
              <w:rPr>
                <w:sz w:val="13"/>
                <w:szCs w:val="13"/>
                <w:color w:val="auto"/>
              </w:rPr>
            </w:pPr>
          </w:p>
        </w:tc>
        <w:tc>
          <w:tcPr>
            <w:tcW w:w="980" w:type="dxa"/>
            <w:vAlign w:val="bottom"/>
            <w:tcBorders>
              <w:left w:val="single" w:sz="8" w:color="BECE33"/>
            </w:tcBorders>
            <w:gridSpan w:val="3"/>
          </w:tcPr>
          <w:p>
            <w:pPr>
              <w:ind w:left="20"/>
              <w:spacing w:after="0"/>
              <w:rPr>
                <w:sz w:val="20"/>
                <w:szCs w:val="20"/>
                <w:color w:val="auto"/>
              </w:rPr>
            </w:pPr>
            <w:r>
              <w:rPr>
                <w:rFonts w:ascii="Arial" w:cs="Arial" w:eastAsia="Arial" w:hAnsi="Arial"/>
                <w:sz w:val="12"/>
                <w:szCs w:val="12"/>
                <w:b w:val="1"/>
                <w:bCs w:val="1"/>
                <w:color w:val="005A64"/>
              </w:rPr>
              <w:t>2024</w:t>
            </w:r>
          </w:p>
        </w:tc>
        <w:tc>
          <w:tcPr>
            <w:tcW w:w="20" w:type="dxa"/>
            <w:vAlign w:val="bottom"/>
          </w:tcPr>
          <w:p>
            <w:pPr>
              <w:spacing w:after="0"/>
              <w:rPr>
                <w:sz w:val="13"/>
                <w:szCs w:val="13"/>
                <w:color w:val="auto"/>
              </w:rPr>
            </w:pPr>
          </w:p>
        </w:tc>
        <w:tc>
          <w:tcPr>
            <w:tcW w:w="40" w:type="dxa"/>
            <w:vAlign w:val="bottom"/>
            <w:tcBorders>
              <w:right w:val="single" w:sz="8" w:color="BECE33"/>
            </w:tcBorders>
          </w:tcPr>
          <w:p>
            <w:pPr>
              <w:spacing w:after="0"/>
              <w:rPr>
                <w:sz w:val="13"/>
                <w:szCs w:val="13"/>
                <w:color w:val="auto"/>
              </w:rPr>
            </w:pPr>
          </w:p>
        </w:tc>
        <w:tc>
          <w:tcPr>
            <w:tcW w:w="1000" w:type="dxa"/>
            <w:vAlign w:val="bottom"/>
            <w:gridSpan w:val="4"/>
            <w:vMerge w:val="continue"/>
          </w:tcPr>
          <w:p>
            <w:pPr>
              <w:spacing w:after="0"/>
              <w:rPr>
                <w:sz w:val="13"/>
                <w:szCs w:val="13"/>
                <w:color w:val="auto"/>
              </w:rPr>
            </w:pPr>
          </w:p>
        </w:tc>
        <w:tc>
          <w:tcPr>
            <w:tcW w:w="106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62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left w:val="single" w:sz="8" w:color="BECE33"/>
            </w:tcBorders>
            <w:vMerge w:val="restart"/>
          </w:tcPr>
          <w:p>
            <w:pPr>
              <w:spacing w:after="0"/>
              <w:rPr>
                <w:sz w:val="2"/>
                <w:szCs w:val="2"/>
                <w:color w:val="auto"/>
              </w:rPr>
            </w:pPr>
          </w:p>
        </w:tc>
        <w:tc>
          <w:tcPr>
            <w:tcW w:w="20" w:type="dxa"/>
            <w:vAlign w:val="bottom"/>
            <w:tcBorders>
              <w:bottom w:val="single" w:sz="8" w:color="005A64"/>
            </w:tcBorders>
          </w:tcPr>
          <w:p>
            <w:pPr>
              <w:spacing w:after="0"/>
              <w:rPr>
                <w:sz w:val="2"/>
                <w:szCs w:val="2"/>
                <w:color w:val="auto"/>
              </w:rPr>
            </w:pPr>
          </w:p>
        </w:tc>
        <w:tc>
          <w:tcPr>
            <w:tcW w:w="92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right w:val="single" w:sz="8" w:color="BECE33"/>
            </w:tcBorders>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tcBorders>
              <w:bottom w:val="single" w:sz="8" w:color="005A64"/>
            </w:tcBorders>
          </w:tcPr>
          <w:p>
            <w:pPr>
              <w:spacing w:after="0"/>
              <w:rPr>
                <w:sz w:val="2"/>
                <w:szCs w:val="2"/>
                <w:color w:val="auto"/>
              </w:rPr>
            </w:pPr>
          </w:p>
        </w:tc>
        <w:tc>
          <w:tcPr>
            <w:tcW w:w="94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tcBorders>
              <w:bottom w:val="single" w:sz="8" w:color="005A64"/>
            </w:tcBorders>
          </w:tcPr>
          <w:p>
            <w:pPr>
              <w:spacing w:after="0"/>
              <w:rPr>
                <w:sz w:val="2"/>
                <w:szCs w:val="2"/>
                <w:color w:val="auto"/>
              </w:rPr>
            </w:pPr>
          </w:p>
        </w:tc>
        <w:tc>
          <w:tcPr>
            <w:tcW w:w="960" w:type="dxa"/>
            <w:vAlign w:val="bottom"/>
            <w:tcBorders>
              <w:bottom w:val="single" w:sz="8" w:color="005A64"/>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620" w:type="dxa"/>
            <w:vAlign w:val="bottom"/>
          </w:tcPr>
          <w:p>
            <w:pPr>
              <w:ind w:left="20"/>
              <w:spacing w:after="0"/>
              <w:rPr>
                <w:sz w:val="20"/>
                <w:szCs w:val="20"/>
                <w:color w:val="auto"/>
              </w:rPr>
            </w:pPr>
            <w:r>
              <w:rPr>
                <w:rFonts w:ascii="Arial" w:cs="Arial" w:eastAsia="Arial" w:hAnsi="Arial"/>
                <w:sz w:val="12"/>
                <w:szCs w:val="12"/>
                <w:color w:val="005A64"/>
              </w:rPr>
              <w:t>Corporate tax</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tcBorders>
              <w:left w:val="single" w:sz="8" w:color="BECE33"/>
            </w:tcBorders>
            <w:vMerge w:val="continue"/>
          </w:tcPr>
          <w:p>
            <w:pPr>
              <w:spacing w:after="0"/>
              <w:rPr>
                <w:sz w:val="13"/>
                <w:szCs w:val="13"/>
                <w:color w:val="auto"/>
              </w:rPr>
            </w:pPr>
          </w:p>
        </w:tc>
        <w:tc>
          <w:tcPr>
            <w:tcW w:w="940" w:type="dxa"/>
            <w:vAlign w:val="bottom"/>
            <w:gridSpan w:val="2"/>
          </w:tcPr>
          <w:p>
            <w:pPr>
              <w:spacing w:after="0"/>
              <w:rPr>
                <w:sz w:val="20"/>
                <w:szCs w:val="20"/>
                <w:color w:val="auto"/>
              </w:rPr>
            </w:pPr>
            <w:r>
              <w:rPr>
                <w:rFonts w:ascii="Arial" w:cs="Arial" w:eastAsia="Arial" w:hAnsi="Arial"/>
                <w:sz w:val="12"/>
                <w:szCs w:val="12"/>
                <w:color w:val="005A64"/>
              </w:rPr>
              <w:t>1,236.7</w:t>
            </w:r>
          </w:p>
        </w:tc>
        <w:tc>
          <w:tcPr>
            <w:tcW w:w="20" w:type="dxa"/>
            <w:vAlign w:val="bottom"/>
            <w:vMerge w:val="continue"/>
          </w:tcPr>
          <w:p>
            <w:pPr>
              <w:spacing w:after="0"/>
              <w:rPr>
                <w:sz w:val="13"/>
                <w:szCs w:val="13"/>
                <w:color w:val="auto"/>
              </w:rPr>
            </w:pPr>
          </w:p>
        </w:tc>
        <w:tc>
          <w:tcPr>
            <w:tcW w:w="40" w:type="dxa"/>
            <w:vAlign w:val="bottom"/>
            <w:tcBorders>
              <w:right w:val="single" w:sz="8" w:color="BECE33"/>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960" w:type="dxa"/>
            <w:vAlign w:val="bottom"/>
            <w:gridSpan w:val="2"/>
          </w:tcPr>
          <w:p>
            <w:pPr>
              <w:spacing w:after="0"/>
              <w:rPr>
                <w:sz w:val="20"/>
                <w:szCs w:val="20"/>
                <w:color w:val="auto"/>
              </w:rPr>
            </w:pPr>
            <w:r>
              <w:rPr>
                <w:rFonts w:ascii="Arial" w:cs="Arial" w:eastAsia="Arial" w:hAnsi="Arial"/>
                <w:sz w:val="12"/>
                <w:szCs w:val="12"/>
                <w:color w:val="005A64"/>
              </w:rPr>
              <w:t>260.7</w:t>
            </w: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color w:val="005A64"/>
              </w:rPr>
              <w:t>352.3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660" w:type="dxa"/>
            <w:vAlign w:val="bottom"/>
            <w:gridSpan w:val="3"/>
          </w:tcPr>
          <w:p>
            <w:pPr>
              <w:ind w:left="20"/>
              <w:spacing w:after="0"/>
              <w:rPr>
                <w:sz w:val="20"/>
                <w:szCs w:val="20"/>
                <w:color w:val="auto"/>
              </w:rPr>
            </w:pPr>
            <w:r>
              <w:rPr>
                <w:rFonts w:ascii="Arial" w:cs="Arial" w:eastAsia="Arial" w:hAnsi="Arial"/>
                <w:sz w:val="12"/>
                <w:szCs w:val="12"/>
                <w:color w:val="005A64"/>
              </w:rPr>
              <w:t>Trade tax</w:t>
            </w:r>
          </w:p>
        </w:tc>
        <w:tc>
          <w:tcPr>
            <w:tcW w:w="980" w:type="dxa"/>
            <w:vAlign w:val="bottom"/>
            <w:tcBorders>
              <w:left w:val="single" w:sz="8" w:color="BECE33"/>
            </w:tcBorders>
            <w:gridSpan w:val="3"/>
          </w:tcPr>
          <w:p>
            <w:pPr>
              <w:ind w:left="20"/>
              <w:spacing w:after="0"/>
              <w:rPr>
                <w:sz w:val="20"/>
                <w:szCs w:val="20"/>
                <w:color w:val="auto"/>
              </w:rPr>
            </w:pPr>
            <w:r>
              <w:rPr>
                <w:rFonts w:ascii="Arial" w:cs="Arial" w:eastAsia="Arial" w:hAnsi="Arial"/>
                <w:sz w:val="12"/>
                <w:szCs w:val="12"/>
                <w:color w:val="005A64"/>
              </w:rPr>
              <w:t>989.6</w:t>
            </w:r>
          </w:p>
        </w:tc>
        <w:tc>
          <w:tcPr>
            <w:tcW w:w="20" w:type="dxa"/>
            <w:vAlign w:val="bottom"/>
          </w:tcPr>
          <w:p>
            <w:pPr>
              <w:spacing w:after="0"/>
              <w:rPr>
                <w:sz w:val="15"/>
                <w:szCs w:val="15"/>
                <w:color w:val="auto"/>
              </w:rPr>
            </w:pPr>
          </w:p>
        </w:tc>
        <w:tc>
          <w:tcPr>
            <w:tcW w:w="40" w:type="dxa"/>
            <w:vAlign w:val="bottom"/>
            <w:tcBorders>
              <w:right w:val="single" w:sz="8" w:color="BECE33"/>
            </w:tcBorders>
          </w:tcPr>
          <w:p>
            <w:pPr>
              <w:spacing w:after="0"/>
              <w:rPr>
                <w:sz w:val="15"/>
                <w:szCs w:val="15"/>
                <w:color w:val="auto"/>
              </w:rPr>
            </w:pPr>
          </w:p>
        </w:tc>
        <w:tc>
          <w:tcPr>
            <w:tcW w:w="1000" w:type="dxa"/>
            <w:vAlign w:val="bottom"/>
            <w:gridSpan w:val="4"/>
          </w:tcPr>
          <w:p>
            <w:pPr>
              <w:ind w:left="40"/>
              <w:spacing w:after="0"/>
              <w:rPr>
                <w:sz w:val="20"/>
                <w:szCs w:val="20"/>
                <w:color w:val="auto"/>
              </w:rPr>
            </w:pPr>
            <w:r>
              <w:rPr>
                <w:rFonts w:ascii="Arial" w:cs="Arial" w:eastAsia="Arial" w:hAnsi="Arial"/>
                <w:sz w:val="12"/>
                <w:szCs w:val="12"/>
                <w:color w:val="005A64"/>
              </w:rPr>
              <w:t>140.1</w:t>
            </w:r>
          </w:p>
        </w:tc>
        <w:tc>
          <w:tcPr>
            <w:tcW w:w="1060" w:type="dxa"/>
            <w:vAlign w:val="bottom"/>
            <w:gridSpan w:val="4"/>
          </w:tcPr>
          <w:p>
            <w:pPr>
              <w:ind w:left="100"/>
              <w:spacing w:after="0"/>
              <w:rPr>
                <w:sz w:val="20"/>
                <w:szCs w:val="20"/>
                <w:color w:val="auto"/>
              </w:rPr>
            </w:pPr>
            <w:r>
              <w:rPr>
                <w:rFonts w:ascii="Arial" w:cs="Arial" w:eastAsia="Arial" w:hAnsi="Arial"/>
                <w:sz w:val="12"/>
                <w:szCs w:val="12"/>
                <w:color w:val="005A64"/>
              </w:rPr>
              <w:t>204.1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3620" w:type="dxa"/>
            <w:vAlign w:val="bottom"/>
            <w:tcBorders>
              <w:bottom w:val="single" w:sz="8" w:color="005A64"/>
            </w:tcBorders>
          </w:tcPr>
          <w:p>
            <w:pPr>
              <w:spacing w:after="0"/>
              <w:rPr>
                <w:sz w:val="5"/>
                <w:szCs w:val="5"/>
                <w:color w:val="auto"/>
              </w:rPr>
            </w:pPr>
          </w:p>
        </w:tc>
        <w:tc>
          <w:tcPr>
            <w:tcW w:w="20" w:type="dxa"/>
            <w:vAlign w:val="bottom"/>
            <w:tcBorders>
              <w:bottom w:val="single" w:sz="8" w:color="BECE33"/>
            </w:tcBorders>
          </w:tcPr>
          <w:p>
            <w:pPr>
              <w:spacing w:after="0"/>
              <w:rPr>
                <w:sz w:val="5"/>
                <w:szCs w:val="5"/>
                <w:color w:val="auto"/>
              </w:rPr>
            </w:pPr>
          </w:p>
        </w:tc>
        <w:tc>
          <w:tcPr>
            <w:tcW w:w="20" w:type="dxa"/>
            <w:vAlign w:val="bottom"/>
            <w:tcBorders>
              <w:bottom w:val="single" w:sz="8" w:color="BECE33"/>
            </w:tcBorders>
          </w:tcPr>
          <w:p>
            <w:pPr>
              <w:spacing w:after="0"/>
              <w:rPr>
                <w:sz w:val="5"/>
                <w:szCs w:val="5"/>
                <w:color w:val="auto"/>
              </w:rPr>
            </w:pPr>
          </w:p>
        </w:tc>
        <w:tc>
          <w:tcPr>
            <w:tcW w:w="40" w:type="dxa"/>
            <w:vAlign w:val="bottom"/>
            <w:tcBorders>
              <w:left w:val="single" w:sz="8" w:color="BECE33"/>
              <w:bottom w:val="single" w:sz="8" w:color="BECE33"/>
            </w:tcBorders>
          </w:tcPr>
          <w:p>
            <w:pPr>
              <w:spacing w:after="0"/>
              <w:rPr>
                <w:sz w:val="5"/>
                <w:szCs w:val="5"/>
                <w:color w:val="auto"/>
              </w:rPr>
            </w:pPr>
          </w:p>
        </w:tc>
        <w:tc>
          <w:tcPr>
            <w:tcW w:w="20" w:type="dxa"/>
            <w:vAlign w:val="bottom"/>
            <w:tcBorders>
              <w:bottom w:val="single" w:sz="8" w:color="BECE33"/>
            </w:tcBorders>
          </w:tcPr>
          <w:p>
            <w:pPr>
              <w:spacing w:after="0"/>
              <w:rPr>
                <w:sz w:val="5"/>
                <w:szCs w:val="5"/>
                <w:color w:val="auto"/>
              </w:rPr>
            </w:pPr>
          </w:p>
        </w:tc>
        <w:tc>
          <w:tcPr>
            <w:tcW w:w="920" w:type="dxa"/>
            <w:vAlign w:val="bottom"/>
            <w:tcBorders>
              <w:bottom w:val="single" w:sz="8" w:color="BECE33"/>
            </w:tcBorders>
          </w:tcPr>
          <w:p>
            <w:pPr>
              <w:spacing w:after="0"/>
              <w:rPr>
                <w:sz w:val="5"/>
                <w:szCs w:val="5"/>
                <w:color w:val="auto"/>
              </w:rPr>
            </w:pPr>
          </w:p>
        </w:tc>
        <w:tc>
          <w:tcPr>
            <w:tcW w:w="20" w:type="dxa"/>
            <w:vAlign w:val="bottom"/>
            <w:tcBorders>
              <w:bottom w:val="single" w:sz="8" w:color="BECE33"/>
            </w:tcBorders>
          </w:tcPr>
          <w:p>
            <w:pPr>
              <w:spacing w:after="0"/>
              <w:rPr>
                <w:sz w:val="5"/>
                <w:szCs w:val="5"/>
                <w:color w:val="auto"/>
              </w:rPr>
            </w:pPr>
          </w:p>
        </w:tc>
        <w:tc>
          <w:tcPr>
            <w:tcW w:w="40" w:type="dxa"/>
            <w:vAlign w:val="bottom"/>
            <w:tcBorders>
              <w:bottom w:val="single" w:sz="8" w:color="BECE33"/>
              <w:right w:val="single" w:sz="8" w:color="BECE33"/>
            </w:tcBorders>
          </w:tcPr>
          <w:p>
            <w:pPr>
              <w:spacing w:after="0"/>
              <w:rPr>
                <w:sz w:val="5"/>
                <w:szCs w:val="5"/>
                <w:color w:val="auto"/>
              </w:rPr>
            </w:pPr>
          </w:p>
        </w:tc>
        <w:tc>
          <w:tcPr>
            <w:tcW w:w="20" w:type="dxa"/>
            <w:vAlign w:val="bottom"/>
            <w:tcBorders>
              <w:bottom w:val="single" w:sz="8" w:color="BECE33"/>
            </w:tcBorders>
          </w:tcPr>
          <w:p>
            <w:pPr>
              <w:spacing w:after="0"/>
              <w:rPr>
                <w:sz w:val="5"/>
                <w:szCs w:val="5"/>
                <w:color w:val="auto"/>
              </w:rPr>
            </w:pPr>
          </w:p>
        </w:tc>
        <w:tc>
          <w:tcPr>
            <w:tcW w:w="20" w:type="dxa"/>
            <w:vAlign w:val="bottom"/>
            <w:tcBorders>
              <w:bottom w:val="single" w:sz="8" w:color="BECE33"/>
            </w:tcBorders>
          </w:tcPr>
          <w:p>
            <w:pPr>
              <w:spacing w:after="0"/>
              <w:rPr>
                <w:sz w:val="5"/>
                <w:szCs w:val="5"/>
                <w:color w:val="auto"/>
              </w:rPr>
            </w:pPr>
          </w:p>
        </w:tc>
        <w:tc>
          <w:tcPr>
            <w:tcW w:w="20" w:type="dxa"/>
            <w:vAlign w:val="bottom"/>
            <w:tcBorders>
              <w:bottom w:val="single" w:sz="8" w:color="005A64"/>
            </w:tcBorders>
          </w:tcPr>
          <w:p>
            <w:pPr>
              <w:spacing w:after="0"/>
              <w:rPr>
                <w:sz w:val="5"/>
                <w:szCs w:val="5"/>
                <w:color w:val="auto"/>
              </w:rPr>
            </w:pPr>
          </w:p>
        </w:tc>
        <w:tc>
          <w:tcPr>
            <w:tcW w:w="940" w:type="dxa"/>
            <w:vAlign w:val="bottom"/>
            <w:tcBorders>
              <w:bottom w:val="single" w:sz="8" w:color="005A64"/>
            </w:tcBorders>
          </w:tcPr>
          <w:p>
            <w:pPr>
              <w:spacing w:after="0"/>
              <w:rPr>
                <w:sz w:val="5"/>
                <w:szCs w:val="5"/>
                <w:color w:val="auto"/>
              </w:rPr>
            </w:pPr>
          </w:p>
        </w:tc>
        <w:tc>
          <w:tcPr>
            <w:tcW w:w="20" w:type="dxa"/>
            <w:vAlign w:val="bottom"/>
            <w:tcBorders>
              <w:bottom w:val="single" w:sz="8" w:color="BECE33"/>
            </w:tcBorders>
          </w:tcPr>
          <w:p>
            <w:pPr>
              <w:spacing w:after="0"/>
              <w:rPr>
                <w:sz w:val="5"/>
                <w:szCs w:val="5"/>
                <w:color w:val="auto"/>
              </w:rPr>
            </w:pPr>
          </w:p>
        </w:tc>
        <w:tc>
          <w:tcPr>
            <w:tcW w:w="60" w:type="dxa"/>
            <w:vAlign w:val="bottom"/>
            <w:tcBorders>
              <w:bottom w:val="single" w:sz="8" w:color="BECE33"/>
            </w:tcBorders>
          </w:tcPr>
          <w:p>
            <w:pPr>
              <w:spacing w:after="0"/>
              <w:rPr>
                <w:sz w:val="5"/>
                <w:szCs w:val="5"/>
                <w:color w:val="auto"/>
              </w:rPr>
            </w:pPr>
          </w:p>
        </w:tc>
        <w:tc>
          <w:tcPr>
            <w:tcW w:w="20" w:type="dxa"/>
            <w:vAlign w:val="bottom"/>
            <w:tcBorders>
              <w:bottom w:val="single" w:sz="8" w:color="005A64"/>
            </w:tcBorders>
          </w:tcPr>
          <w:p>
            <w:pPr>
              <w:spacing w:after="0"/>
              <w:rPr>
                <w:sz w:val="5"/>
                <w:szCs w:val="5"/>
                <w:color w:val="auto"/>
              </w:rPr>
            </w:pPr>
          </w:p>
        </w:tc>
        <w:tc>
          <w:tcPr>
            <w:tcW w:w="960" w:type="dxa"/>
            <w:vAlign w:val="bottom"/>
            <w:tcBorders>
              <w:bottom w:val="single" w:sz="8" w:color="005A64"/>
            </w:tcBorders>
          </w:tcPr>
          <w:p>
            <w:pPr>
              <w:spacing w:after="0"/>
              <w:rPr>
                <w:sz w:val="5"/>
                <w:szCs w:val="5"/>
                <w:color w:val="auto"/>
              </w:rPr>
            </w:pPr>
          </w:p>
        </w:tc>
        <w:tc>
          <w:tcPr>
            <w:tcW w:w="20" w:type="dxa"/>
            <w:vAlign w:val="bottom"/>
            <w:tcBorders>
              <w:bottom w:val="single" w:sz="8" w:color="BECE33"/>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2"/>
                <w:szCs w:val="12"/>
                <w:b w:val="1"/>
                <w:bCs w:val="1"/>
                <w:color w:val="005A64"/>
              </w:rPr>
              <w:t>Years ended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2"/>
                <w:szCs w:val="12"/>
                <w:b w:val="1"/>
                <w:bCs w:val="1"/>
                <w:color w:val="005A64"/>
              </w:rPr>
              <w:t>December 31,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660" w:type="dxa"/>
            <w:vAlign w:val="bottom"/>
            <w:gridSpan w:val="3"/>
            <w:vMerge w:val="restart"/>
          </w:tcPr>
          <w:p>
            <w:pPr>
              <w:ind w:left="20"/>
              <w:spacing w:after="0"/>
              <w:rPr>
                <w:sz w:val="20"/>
                <w:szCs w:val="20"/>
                <w:color w:val="auto"/>
              </w:rPr>
            </w:pPr>
            <w:r>
              <w:rPr>
                <w:rFonts w:ascii="Arial" w:cs="Arial" w:eastAsia="Arial" w:hAnsi="Arial"/>
                <w:sz w:val="12"/>
                <w:szCs w:val="12"/>
                <w:i w:val="1"/>
                <w:iCs w:val="1"/>
                <w:color w:val="005A64"/>
              </w:rPr>
              <w:t>(in millions €)</w:t>
            </w:r>
          </w:p>
        </w:tc>
        <w:tc>
          <w:tcPr>
            <w:tcW w:w="60" w:type="dxa"/>
            <w:vAlign w:val="bottom"/>
            <w:tcBorders>
              <w:bottom w:val="single" w:sz="8" w:color="BECE33"/>
            </w:tcBorders>
            <w:gridSpan w:val="2"/>
          </w:tcPr>
          <w:p>
            <w:pPr>
              <w:spacing w:after="0"/>
              <w:rPr>
                <w:sz w:val="11"/>
                <w:szCs w:val="11"/>
                <w:color w:val="auto"/>
              </w:rPr>
            </w:pPr>
          </w:p>
        </w:tc>
        <w:tc>
          <w:tcPr>
            <w:tcW w:w="920" w:type="dxa"/>
            <w:vAlign w:val="bottom"/>
            <w:tcBorders>
              <w:bottom w:val="single" w:sz="8" w:color="BECE33"/>
            </w:tcBorders>
          </w:tcPr>
          <w:p>
            <w:pPr>
              <w:spacing w:after="0"/>
              <w:rPr>
                <w:sz w:val="11"/>
                <w:szCs w:val="11"/>
                <w:color w:val="auto"/>
              </w:rPr>
            </w:pPr>
          </w:p>
        </w:tc>
        <w:tc>
          <w:tcPr>
            <w:tcW w:w="20" w:type="dxa"/>
            <w:vAlign w:val="bottom"/>
            <w:tcBorders>
              <w:bottom w:val="single" w:sz="8" w:color="BECE33"/>
            </w:tcBorders>
          </w:tcPr>
          <w:p>
            <w:pPr>
              <w:spacing w:after="0"/>
              <w:rPr>
                <w:sz w:val="11"/>
                <w:szCs w:val="11"/>
                <w:color w:val="auto"/>
              </w:rPr>
            </w:pPr>
          </w:p>
        </w:tc>
        <w:tc>
          <w:tcPr>
            <w:tcW w:w="40" w:type="dxa"/>
            <w:vAlign w:val="bottom"/>
            <w:tcBorders>
              <w:bottom w:val="single" w:sz="8" w:color="BECE33"/>
            </w:tcBorders>
          </w:tcPr>
          <w:p>
            <w:pPr>
              <w:spacing w:after="0"/>
              <w:rPr>
                <w:sz w:val="11"/>
                <w:szCs w:val="11"/>
                <w:color w:val="auto"/>
              </w:rPr>
            </w:pPr>
          </w:p>
        </w:tc>
        <w:tc>
          <w:tcPr>
            <w:tcW w:w="20" w:type="dxa"/>
            <w:vAlign w:val="bottom"/>
            <w:tcBorders>
              <w:bottom w:val="single" w:sz="8" w:color="BECE33"/>
            </w:tcBorders>
          </w:tcPr>
          <w:p>
            <w:pPr>
              <w:spacing w:after="0"/>
              <w:rPr>
                <w:sz w:val="11"/>
                <w:szCs w:val="11"/>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005A64"/>
              </w:rPr>
              <w:t>2023</w:t>
            </w:r>
          </w:p>
        </w:tc>
        <w:tc>
          <w:tcPr>
            <w:tcW w:w="1060" w:type="dxa"/>
            <w:vAlign w:val="bottom"/>
            <w:gridSpan w:val="4"/>
            <w:vMerge w:val="restart"/>
          </w:tcPr>
          <w:p>
            <w:pPr>
              <w:ind w:left="100"/>
              <w:spacing w:after="0"/>
              <w:rPr>
                <w:sz w:val="20"/>
                <w:szCs w:val="20"/>
                <w:color w:val="auto"/>
              </w:rPr>
            </w:pPr>
            <w:r>
              <w:rPr>
                <w:rFonts w:ascii="Arial" w:cs="Arial" w:eastAsia="Arial" w:hAnsi="Arial"/>
                <w:sz w:val="12"/>
                <w:szCs w:val="12"/>
                <w:b w:val="1"/>
                <w:bCs w:val="1"/>
                <w:color w:val="005A64"/>
              </w:rPr>
              <w:t>2022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660" w:type="dxa"/>
            <w:vAlign w:val="bottom"/>
            <w:gridSpan w:val="3"/>
            <w:vMerge w:val="continue"/>
          </w:tcPr>
          <w:p>
            <w:pPr>
              <w:spacing w:after="0"/>
              <w:rPr>
                <w:sz w:val="13"/>
                <w:szCs w:val="13"/>
                <w:color w:val="auto"/>
              </w:rPr>
            </w:pP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005A64"/>
              </w:rPr>
              <w:t>2024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06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640" w:type="dxa"/>
            <w:vAlign w:val="bottom"/>
            <w:tcBorders>
              <w:bottom w:val="single" w:sz="8" w:color="005A64"/>
            </w:tcBorders>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gridSpan w:val="2"/>
            <w:vMerge w:val="restart"/>
          </w:tcPr>
          <w:p>
            <w:pPr>
              <w:spacing w:after="0"/>
              <w:rPr>
                <w:sz w:val="2"/>
                <w:szCs w:val="2"/>
                <w:color w:val="auto"/>
              </w:rPr>
            </w:pPr>
          </w:p>
        </w:tc>
        <w:tc>
          <w:tcPr>
            <w:tcW w:w="920" w:type="dxa"/>
            <w:vAlign w:val="bottom"/>
            <w:tcBorders>
              <w:bottom w:val="single" w:sz="8" w:color="005A64"/>
            </w:tcBorders>
          </w:tcPr>
          <w:p>
            <w:pPr>
              <w:spacing w:after="0"/>
              <w:rPr>
                <w:sz w:val="2"/>
                <w:szCs w:val="2"/>
                <w:color w:val="auto"/>
              </w:rPr>
            </w:pPr>
          </w:p>
        </w:tc>
        <w:tc>
          <w:tcPr>
            <w:tcW w:w="20" w:type="dxa"/>
            <w:vAlign w:val="bottom"/>
            <w:tcBorders>
              <w:bottom w:val="single" w:sz="8" w:color="005A64"/>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940" w:type="dxa"/>
            <w:vAlign w:val="bottom"/>
            <w:tcBorders>
              <w:bottom w:val="single" w:sz="8" w:color="005A64"/>
            </w:tcBorders>
          </w:tcPr>
          <w:p>
            <w:pPr>
              <w:spacing w:after="0"/>
              <w:rPr>
                <w:sz w:val="2"/>
                <w:szCs w:val="2"/>
                <w:color w:val="auto"/>
              </w:rPr>
            </w:pPr>
          </w:p>
        </w:tc>
        <w:tc>
          <w:tcPr>
            <w:tcW w:w="20" w:type="dxa"/>
            <w:vAlign w:val="bottom"/>
            <w:tcBorders>
              <w:bottom w:val="single" w:sz="8" w:color="005A64"/>
            </w:tcBorders>
          </w:tcPr>
          <w:p>
            <w:pPr>
              <w:spacing w:after="0"/>
              <w:rPr>
                <w:sz w:val="2"/>
                <w:szCs w:val="2"/>
                <w:color w:val="auto"/>
              </w:rPr>
            </w:pPr>
          </w:p>
        </w:tc>
        <w:tc>
          <w:tcPr>
            <w:tcW w:w="80" w:type="dxa"/>
            <w:vAlign w:val="bottom"/>
            <w:gridSpan w:val="2"/>
            <w:vMerge w:val="restart"/>
          </w:tcPr>
          <w:p>
            <w:pPr>
              <w:spacing w:after="0"/>
              <w:rPr>
                <w:sz w:val="2"/>
                <w:szCs w:val="2"/>
                <w:color w:val="auto"/>
              </w:rPr>
            </w:pPr>
          </w:p>
        </w:tc>
        <w:tc>
          <w:tcPr>
            <w:tcW w:w="960" w:type="dxa"/>
            <w:vAlign w:val="bottom"/>
            <w:tcBorders>
              <w:bottom w:val="single" w:sz="8" w:color="005A64"/>
            </w:tcBorders>
          </w:tcPr>
          <w:p>
            <w:pPr>
              <w:spacing w:after="0"/>
              <w:rPr>
                <w:sz w:val="2"/>
                <w:szCs w:val="2"/>
                <w:color w:val="auto"/>
              </w:rPr>
            </w:pPr>
          </w:p>
        </w:tc>
        <w:tc>
          <w:tcPr>
            <w:tcW w:w="2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Federal tax credits</w:t>
            </w:r>
          </w:p>
        </w:tc>
        <w:tc>
          <w:tcPr>
            <w:tcW w:w="20" w:type="dxa"/>
            <w:vAlign w:val="bottom"/>
            <w:vMerge w:val="continue"/>
          </w:tcPr>
          <w:p>
            <w:pPr>
              <w:spacing w:after="0"/>
              <w:rPr>
                <w:sz w:val="13"/>
                <w:szCs w:val="13"/>
                <w:color w:val="auto"/>
              </w:rPr>
            </w:pPr>
          </w:p>
        </w:tc>
        <w:tc>
          <w:tcPr>
            <w:tcW w:w="60" w:type="dxa"/>
            <w:vAlign w:val="bottom"/>
            <w:gridSpan w:val="2"/>
            <w:vMerge w:val="continue"/>
          </w:tcPr>
          <w:p>
            <w:pPr>
              <w:spacing w:after="0"/>
              <w:rPr>
                <w:sz w:val="13"/>
                <w:szCs w:val="13"/>
                <w:color w:val="auto"/>
              </w:rPr>
            </w:pPr>
          </w:p>
        </w:tc>
        <w:tc>
          <w:tcPr>
            <w:tcW w:w="920" w:type="dxa"/>
            <w:vAlign w:val="bottom"/>
          </w:tcPr>
          <w:p>
            <w:pPr>
              <w:spacing w:after="0"/>
              <w:rPr>
                <w:sz w:val="20"/>
                <w:szCs w:val="20"/>
                <w:color w:val="auto"/>
              </w:rPr>
            </w:pPr>
            <w:r>
              <w:rPr>
                <w:rFonts w:ascii="Arial" w:cs="Arial" w:eastAsia="Arial" w:hAnsi="Arial"/>
                <w:sz w:val="12"/>
                <w:szCs w:val="12"/>
                <w:color w:val="005A64"/>
              </w:rPr>
              <w:t>25.4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940" w:type="dxa"/>
            <w:vAlign w:val="bottom"/>
          </w:tcPr>
          <w:p>
            <w:pPr>
              <w:spacing w:after="0"/>
              <w:rPr>
                <w:sz w:val="20"/>
                <w:szCs w:val="20"/>
                <w:color w:val="auto"/>
              </w:rPr>
            </w:pPr>
            <w:r>
              <w:rPr>
                <w:rFonts w:ascii="Arial" w:cs="Arial" w:eastAsia="Arial" w:hAnsi="Arial"/>
                <w:sz w:val="12"/>
                <w:szCs w:val="12"/>
                <w:color w:val="005A64"/>
              </w:rPr>
              <w:t>21.3</w:t>
            </w:r>
          </w:p>
        </w:tc>
        <w:tc>
          <w:tcPr>
            <w:tcW w:w="20" w:type="dxa"/>
            <w:vAlign w:val="bottom"/>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660" w:type="dxa"/>
            <w:vAlign w:val="bottom"/>
            <w:gridSpan w:val="3"/>
          </w:tcPr>
          <w:p>
            <w:pPr>
              <w:ind w:left="20"/>
              <w:spacing w:after="0"/>
              <w:rPr>
                <w:sz w:val="20"/>
                <w:szCs w:val="20"/>
                <w:color w:val="auto"/>
              </w:rPr>
            </w:pPr>
            <w:r>
              <w:rPr>
                <w:rFonts w:ascii="Arial" w:cs="Arial" w:eastAsia="Arial" w:hAnsi="Arial"/>
                <w:sz w:val="12"/>
                <w:szCs w:val="12"/>
                <w:color w:val="005A64"/>
              </w:rPr>
              <w:t>State tax credits</w:t>
            </w:r>
          </w:p>
        </w:tc>
        <w:tc>
          <w:tcPr>
            <w:tcW w:w="980" w:type="dxa"/>
            <w:vAlign w:val="bottom"/>
            <w:gridSpan w:val="3"/>
          </w:tcPr>
          <w:p>
            <w:pPr>
              <w:ind w:left="20"/>
              <w:spacing w:after="0"/>
              <w:rPr>
                <w:sz w:val="20"/>
                <w:szCs w:val="20"/>
                <w:color w:val="auto"/>
              </w:rPr>
            </w:pPr>
            <w:r>
              <w:rPr>
                <w:rFonts w:ascii="Arial" w:cs="Arial" w:eastAsia="Arial" w:hAnsi="Arial"/>
                <w:sz w:val="12"/>
                <w:szCs w:val="12"/>
                <w:color w:val="005A64"/>
              </w:rPr>
              <w:t>7.1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4"/>
          </w:tcPr>
          <w:p>
            <w:pPr>
              <w:ind w:left="40"/>
              <w:spacing w:after="0"/>
              <w:rPr>
                <w:sz w:val="20"/>
                <w:szCs w:val="20"/>
                <w:color w:val="auto"/>
              </w:rPr>
            </w:pPr>
            <w:r>
              <w:rPr>
                <w:rFonts w:ascii="Arial" w:cs="Arial" w:eastAsia="Arial" w:hAnsi="Arial"/>
                <w:sz w:val="12"/>
                <w:szCs w:val="12"/>
                <w:color w:val="005A64"/>
              </w:rPr>
              <w:t>8.7</w:t>
            </w:r>
          </w:p>
        </w:tc>
        <w:tc>
          <w:tcPr>
            <w:tcW w:w="1060" w:type="dxa"/>
            <w:vAlign w:val="bottom"/>
            <w:gridSpan w:val="4"/>
          </w:tcPr>
          <w:p>
            <w:pPr>
              <w:ind w:left="100"/>
              <w:spacing w:after="0"/>
              <w:rPr>
                <w:sz w:val="20"/>
                <w:szCs w:val="20"/>
                <w:color w:val="auto"/>
              </w:rPr>
            </w:pPr>
            <w:r>
              <w:rPr>
                <w:rFonts w:ascii="Arial" w:cs="Arial" w:eastAsia="Arial" w:hAnsi="Arial"/>
                <w:sz w:val="12"/>
                <w:szCs w:val="12"/>
                <w:color w:val="005A64"/>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-351155</wp:posOffset>
            </wp:positionV>
            <wp:extent cx="673735" cy="39179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9">
                      <a:extLst>
                        <a:ext uri="{28A0092B-C50C-407E-A947-70E740481C1C}"/>
                      </a:extLst>
                    </a:blip>
                    <a:srcRect/>
                    <a:stretch>
                      <a:fillRect/>
                    </a:stretch>
                  </pic:blipFill>
                  <pic:spPr bwMode="auto">
                    <a:xfrm>
                      <a:off x="0" y="0"/>
                      <a:ext cx="673735" cy="391795"/>
                    </a:xfrm>
                    <a:prstGeom prst="rect">
                      <a:avLst/>
                    </a:prstGeom>
                    <a:noFill/>
                  </pic:spPr>
                </pic:pic>
              </a:graphicData>
            </a:graphic>
          </wp:anchor>
        </w:drawing>
      </w:r>
    </w:p>
    <w:p>
      <w:pPr>
        <w:spacing w:after="0" w:line="23" w:lineRule="exact"/>
        <w:rPr>
          <w:sz w:val="20"/>
          <w:szCs w:val="20"/>
          <w:color w:val="auto"/>
        </w:rPr>
      </w:pPr>
    </w:p>
    <w:p>
      <w:pPr>
        <w:ind w:left="380" w:right="2120"/>
        <w:spacing w:after="0" w:line="233" w:lineRule="auto"/>
        <w:rPr>
          <w:sz w:val="20"/>
          <w:szCs w:val="20"/>
          <w:color w:val="auto"/>
        </w:rPr>
      </w:pPr>
      <w:r>
        <w:rPr>
          <w:rFonts w:ascii="Arial" w:cs="Arial" w:eastAsia="Arial" w:hAnsi="Arial"/>
          <w:sz w:val="13"/>
          <w:szCs w:val="13"/>
          <w:color w:val="auto"/>
        </w:rPr>
        <w:t>Up until the year ended December 31, 2024, deferred tax assets on tax losses were only partially recognized, as there was not sufficient probability in terms of IAS 12 that future taxable profits would have been available against which all the unused tax losses could have been utilized.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-269875</wp:posOffset>
            </wp:positionV>
            <wp:extent cx="4300220" cy="63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0">
                      <a:extLst>
                        <a:ext uri="{28A0092B-C50C-407E-A947-70E740481C1C}"/>
                      </a:extLst>
                    </a:blip>
                    <a:srcRect/>
                    <a:stretch>
                      <a:fillRect/>
                    </a:stretch>
                  </pic:blipFill>
                  <pic:spPr bwMode="auto">
                    <a:xfrm>
                      <a:off x="0" y="0"/>
                      <a:ext cx="4300220" cy="6350"/>
                    </a:xfrm>
                    <a:prstGeom prst="rect">
                      <a:avLst/>
                    </a:prstGeom>
                    <a:noFill/>
                  </pic:spPr>
                </pic:pic>
              </a:graphicData>
            </a:graphic>
          </wp:anchor>
        </w:drawing>
      </w:r>
    </w:p>
    <w:p>
      <w:pPr>
        <w:spacing w:after="0" w:line="35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F-42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80"/>
        <w:spacing w:after="0" w:line="214" w:lineRule="auto"/>
        <w:rPr>
          <w:sz w:val="20"/>
          <w:szCs w:val="20"/>
          <w:color w:val="auto"/>
        </w:rPr>
      </w:pPr>
      <w:r>
        <w:rPr>
          <w:rFonts w:ascii="Arial" w:cs="Arial" w:eastAsia="Arial" w:hAnsi="Arial"/>
          <w:sz w:val="13"/>
          <w:szCs w:val="13"/>
          <w:color w:val="auto"/>
        </w:rPr>
        <w:t>The amount of deductible temporary differences, unused tax losses, and unused tax credits for which no deferred tax asset is recognized in the statement of financial position as of December 31, 2024, is €2,028.8 million. Therefore, as of December 31, 2024, we have not recognized deferred tax assets for unused tax losses and temporary differences in an amount of €332.4 million (December 31, 2023: €138.0 million, December 31, 2022: €136.7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-416560</wp:posOffset>
            </wp:positionV>
            <wp:extent cx="5231130" cy="63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40"/>
        <w:spacing w:after="0" w:line="210" w:lineRule="auto"/>
        <w:rPr>
          <w:sz w:val="20"/>
          <w:szCs w:val="20"/>
          <w:color w:val="auto"/>
        </w:rPr>
      </w:pPr>
      <w:r>
        <w:rPr>
          <w:rFonts w:ascii="Arial" w:cs="Arial" w:eastAsia="Arial" w:hAnsi="Arial"/>
          <w:sz w:val="13"/>
          <w:szCs w:val="13"/>
          <w:color w:val="auto"/>
        </w:rPr>
        <w:t>As of December 31, 2024, we maintain the partial non-recognition of deferred tax assets for unused U.S. federal and state tax losses and tax credits at an amount of €30.5 million and €4.0 million, respectively, as there is not sufficient probability in terms of IAS 12 that future taxable income will be available against which these unused tax losses and tax credits can be utilized. The material unrecognized U.S. federal and state tax losses and tax credits will begin to expire in 2036.</w:t>
      </w:r>
    </w:p>
    <w:p>
      <w:pPr>
        <w:spacing w:after="0" w:line="3"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We do not recognize deferred tax liabilities for taxable temporary differences associated with investments in subsidiaries, in cases where we are able to control the timing of the reversal of the temporary difference and it is probable that the temporary differences will not reverse in the foreseeable future. The aggregate amount of temporary differences associated with investments in subsidiaries, for which deferred tax liabilities have not been recognized, is €14.5 million.</w:t>
      </w:r>
    </w:p>
    <w:p>
      <w:pPr>
        <w:spacing w:after="0" w:line="3" w:lineRule="exact"/>
        <w:rPr>
          <w:sz w:val="20"/>
          <w:szCs w:val="20"/>
          <w:color w:val="auto"/>
        </w:rPr>
      </w:pPr>
    </w:p>
    <w:p>
      <w:pPr>
        <w:ind w:left="380" w:right="2080"/>
        <w:spacing w:after="0" w:line="232" w:lineRule="auto"/>
        <w:rPr>
          <w:sz w:val="20"/>
          <w:szCs w:val="20"/>
          <w:color w:val="auto"/>
        </w:rPr>
      </w:pPr>
      <w:r>
        <w:rPr>
          <w:rFonts w:ascii="Arial" w:cs="Arial" w:eastAsia="Arial" w:hAnsi="Arial"/>
          <w:sz w:val="13"/>
          <w:szCs w:val="13"/>
          <w:color w:val="auto"/>
        </w:rPr>
        <w:t>The global minimum taxation for large multinational groups (known as The Pillar Two regulations) based on Base Erosion and Profit Shifting (BEPS) project by the Organization for Economic Co-operation and Development</w:t>
      </w:r>
    </w:p>
    <w:p>
      <w:pPr>
        <w:ind w:left="380" w:right="2080"/>
        <w:spacing w:after="0" w:line="207" w:lineRule="auto"/>
        <w:rPr>
          <w:sz w:val="20"/>
          <w:szCs w:val="20"/>
          <w:color w:val="auto"/>
        </w:rPr>
      </w:pPr>
      <w:r>
        <w:rPr>
          <w:rFonts w:ascii="Arial" w:cs="Arial" w:eastAsia="Arial" w:hAnsi="Arial"/>
          <w:sz w:val="13"/>
          <w:szCs w:val="13"/>
          <w:color w:val="auto"/>
        </w:rPr>
        <w:t>(OECD) were transposed into German law at the end of 2023 (MinStG) and came into force on January 1</w:t>
      </w:r>
      <w:r>
        <w:rPr>
          <w:rFonts w:ascii="Arial" w:cs="Arial" w:eastAsia="Arial" w:hAnsi="Arial"/>
          <w:sz w:val="18"/>
          <w:szCs w:val="18"/>
          <w:color w:val="auto"/>
          <w:vertAlign w:val="superscript"/>
        </w:rPr>
        <w:t>st</w:t>
      </w:r>
      <w:r>
        <w:rPr>
          <w:rFonts w:ascii="Arial" w:cs="Arial" w:eastAsia="Arial" w:hAnsi="Arial"/>
          <w:sz w:val="13"/>
          <w:szCs w:val="13"/>
          <w:color w:val="auto"/>
        </w:rPr>
        <w:t>, 2024. We do fall within the scope of these regulations. As of December 31, 2024 we carried out an analysis to determine the impact and jurisdictions from which we are exposed to potential effects in connection with a Pillar Two top-up tax. It was checked whether the CbCR Safe Harbor Regulations were fulfilled. In Jurisdictions where the CbCR Regulations do not apply, the effective tax rate was calculated on a simplified basis. Since our relevant effective tax rate calculated for Pillar Two purposes is mainly above 15% in all jurisdictions in which it operates, it has been determined that we are not materially subject to Pillar Two top-up taxes. We apply the exception in IAS 12, according to which no deferred tax assets and liabilities are recognized in connection with the second pillar (Pillar Two) income taxes of the OECD and no disclosures are made in this regard. We closely monitor the progress of the legislative process in each country in which we operate.</w:t>
      </w:r>
    </w:p>
    <w:p>
      <w:pPr>
        <w:ind w:left="380"/>
        <w:spacing w:after="0" w:line="209" w:lineRule="auto"/>
        <w:rPr>
          <w:sz w:val="20"/>
          <w:szCs w:val="20"/>
          <w:color w:val="auto"/>
        </w:rPr>
      </w:pPr>
      <w:r>
        <w:rPr>
          <w:rFonts w:ascii="Arial" w:cs="Arial" w:eastAsia="Arial" w:hAnsi="Arial"/>
          <w:sz w:val="16"/>
          <w:szCs w:val="16"/>
          <w:b w:val="1"/>
          <w:bCs w:val="1"/>
          <w:color w:val="005A64"/>
        </w:rPr>
        <w:t>9 Earnings per Share</w:t>
      </w:r>
    </w:p>
    <w:p>
      <w:pPr>
        <w:spacing w:after="0" w:line="1" w:lineRule="exact"/>
        <w:rPr>
          <w:sz w:val="20"/>
          <w:szCs w:val="20"/>
          <w:color w:val="auto"/>
        </w:rPr>
      </w:pPr>
    </w:p>
    <w:p>
      <w:pPr>
        <w:ind w:left="380" w:right="2180"/>
        <w:spacing w:after="0"/>
        <w:rPr>
          <w:sz w:val="20"/>
          <w:szCs w:val="20"/>
          <w:color w:val="auto"/>
        </w:rPr>
      </w:pPr>
      <w:r>
        <w:rPr>
          <w:rFonts w:ascii="Arial" w:cs="Arial" w:eastAsia="Arial" w:hAnsi="Arial"/>
          <w:sz w:val="13"/>
          <w:szCs w:val="13"/>
          <w:color w:val="auto"/>
        </w:rPr>
        <w:t>Basic earnings per share (EPS) is calculated by dividing the profit for the year attributable to ordinary equity holders of the parent by the weighted average number of ordinary shares outstanding during the year. Diluted EPS is calculated by dividing the profit attributable to ordinary equity holders of the parent by the weighted average number of ordinary shares outstanding during the year, plus the weighted average number of ordinary shares that would be issued on conversion of all the dilutive potential ordinary shares into ordinary shares.</w:t>
      </w:r>
    </w:p>
    <w:p>
      <w:pPr>
        <w:sectPr>
          <w:pgSz w:w="11900" w:h="16840" w:orient="portrait"/>
          <w:cols w:equalWidth="0" w:num="1">
            <w:col w:w="9020"/>
          </w:cols>
          <w:pgMar w:left="1440" w:top="650" w:right="1440" w:bottom="1440" w:gutter="0" w:footer="0" w:header="0"/>
        </w:sectPr>
      </w:pPr>
    </w:p>
    <w:bookmarkStart w:id="209" w:name="page210"/>
    <w:bookmarkEnd w:id="2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F-43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following table reflects the income and share data used in the basic and diluted EPS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-88265</wp:posOffset>
            </wp:positionV>
            <wp:extent cx="5231130" cy="63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2">
                      <a:extLst>
                        <a:ext uri="{28A0092B-C50C-407E-A947-70E740481C1C}"/>
                      </a:extLst>
                    </a:blip>
                    <a:srcRect/>
                    <a:stretch>
                      <a:fillRect/>
                    </a:stretch>
                  </pic:blipFill>
                  <pic:spPr bwMode="auto">
                    <a:xfrm>
                      <a:off x="0" y="0"/>
                      <a:ext cx="5231130" cy="635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1270</wp:posOffset>
            </wp:positionV>
            <wp:extent cx="4300220" cy="127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3">
                      <a:extLst>
                        <a:ext uri="{28A0092B-C50C-407E-A947-70E740481C1C}"/>
                      </a:extLst>
                    </a:blip>
                    <a:srcRect/>
                    <a:stretch>
                      <a:fillRect/>
                    </a:stretch>
                  </pic:blipFill>
                  <pic:spPr bwMode="auto">
                    <a:xfrm>
                      <a:off x="0" y="0"/>
                      <a:ext cx="4300220" cy="12700"/>
                    </a:xfrm>
                    <a:prstGeom prst="rect">
                      <a:avLst/>
                    </a:prstGeom>
                    <a:noFill/>
                  </pic:spPr>
                </pic:pic>
              </a:graphicData>
            </a:graphic>
          </wp:anchor>
        </w:drawing>
      </w:r>
    </w:p>
    <w:p>
      <w:pPr>
        <w:spacing w:after="0" w:line="46"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005A64"/>
              </w:rPr>
              <w:t>Years ended</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005A64"/>
              </w:rPr>
              <w:t>December 31,</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640" w:type="dxa"/>
            <w:vAlign w:val="bottom"/>
            <w:gridSpan w:val="2"/>
            <w:vMerge w:val="restart"/>
          </w:tcPr>
          <w:p>
            <w:pPr>
              <w:ind w:left="20"/>
              <w:spacing w:after="0"/>
              <w:rPr>
                <w:sz w:val="20"/>
                <w:szCs w:val="20"/>
                <w:color w:val="auto"/>
              </w:rPr>
            </w:pPr>
            <w:r>
              <w:rPr>
                <w:rFonts w:ascii="Arial" w:cs="Arial" w:eastAsia="Arial" w:hAnsi="Arial"/>
                <w:sz w:val="12"/>
                <w:szCs w:val="12"/>
                <w:i w:val="1"/>
                <w:iCs w:val="1"/>
                <w:color w:val="005A64"/>
              </w:rPr>
              <w:t>(in millions €, except per share data)</w:t>
            </w:r>
          </w:p>
        </w:tc>
        <w:tc>
          <w:tcPr>
            <w:tcW w:w="40" w:type="dxa"/>
            <w:vAlign w:val="bottom"/>
            <w:tcBorders>
              <w:bottom w:val="single" w:sz="8" w:color="BECE33"/>
            </w:tcBorders>
          </w:tcPr>
          <w:p>
            <w:pPr>
              <w:spacing w:after="0"/>
              <w:rPr>
                <w:sz w:val="11"/>
                <w:szCs w:val="11"/>
                <w:color w:val="auto"/>
              </w:rPr>
            </w:pPr>
          </w:p>
        </w:tc>
        <w:tc>
          <w:tcPr>
            <w:tcW w:w="980" w:type="dxa"/>
            <w:vAlign w:val="bottom"/>
            <w:tcBorders>
              <w:bottom w:val="single" w:sz="8" w:color="BECE33"/>
            </w:tcBorders>
          </w:tcPr>
          <w:p>
            <w:pPr>
              <w:spacing w:after="0"/>
              <w:rPr>
                <w:sz w:val="11"/>
                <w:szCs w:val="11"/>
                <w:color w:val="auto"/>
              </w:rPr>
            </w:pPr>
          </w:p>
        </w:tc>
        <w:tc>
          <w:tcPr>
            <w:tcW w:w="40" w:type="dxa"/>
            <w:vAlign w:val="bottom"/>
            <w:tcBorders>
              <w:bottom w:val="single" w:sz="8" w:color="BECE33"/>
            </w:tcBorders>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005A64"/>
              </w:rPr>
              <w:t>2023</w:t>
            </w:r>
          </w:p>
        </w:tc>
        <w:tc>
          <w:tcPr>
            <w:tcW w:w="10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005A64"/>
              </w:rPr>
              <w:t>2022</w:t>
            </w:r>
          </w:p>
        </w:tc>
        <w:tc>
          <w:tcPr>
            <w:tcW w:w="0" w:type="dxa"/>
            <w:vAlign w:val="bottom"/>
          </w:tcPr>
          <w:p>
            <w:pPr>
              <w:spacing w:after="0"/>
              <w:rPr>
                <w:sz w:val="1"/>
                <w:szCs w:val="1"/>
                <w:color w:val="auto"/>
              </w:rPr>
            </w:pPr>
          </w:p>
        </w:tc>
      </w:tr>
      <w:tr>
        <w:trPr>
          <w:trHeight w:val="156"/>
        </w:trPr>
        <w:tc>
          <w:tcPr>
            <w:tcW w:w="3640" w:type="dxa"/>
            <w:vAlign w:val="bottom"/>
            <w:gridSpan w:val="2"/>
            <w:vMerge w:val="continue"/>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62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80" w:type="dxa"/>
            <w:vAlign w:val="bottom"/>
            <w:vMerge w:val="restart"/>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3620" w:type="dxa"/>
            <w:vAlign w:val="bottom"/>
          </w:tcPr>
          <w:p>
            <w:pPr>
              <w:ind w:left="20"/>
              <w:spacing w:after="0" w:line="102" w:lineRule="exact"/>
              <w:rPr>
                <w:sz w:val="20"/>
                <w:szCs w:val="20"/>
                <w:color w:val="auto"/>
              </w:rPr>
            </w:pPr>
            <w:r>
              <w:rPr>
                <w:rFonts w:ascii="Arial" w:cs="Arial" w:eastAsia="Arial" w:hAnsi="Arial"/>
                <w:sz w:val="11"/>
                <w:szCs w:val="11"/>
                <w:b w:val="1"/>
                <w:bCs w:val="1"/>
                <w:color w:val="005A64"/>
              </w:rPr>
              <w:t>Profit attributable to ordinary equity holders of the parent for</w:t>
            </w:r>
          </w:p>
        </w:tc>
        <w:tc>
          <w:tcPr>
            <w:tcW w:w="2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980" w:type="dxa"/>
            <w:vAlign w:val="bottom"/>
          </w:tcPr>
          <w:p>
            <w:pPr>
              <w:spacing w:after="0" w:line="102" w:lineRule="exact"/>
              <w:rPr>
                <w:sz w:val="20"/>
                <w:szCs w:val="20"/>
                <w:color w:val="auto"/>
              </w:rPr>
            </w:pPr>
            <w:r>
              <w:rPr>
                <w:rFonts w:ascii="Arial" w:cs="Arial" w:eastAsia="Arial" w:hAnsi="Arial"/>
                <w:sz w:val="11"/>
                <w:szCs w:val="11"/>
                <w:b w:val="1"/>
                <w:bCs w:val="1"/>
                <w:color w:val="005A64"/>
              </w:rPr>
              <w:t>(665.3)</w:t>
            </w:r>
          </w:p>
        </w:tc>
        <w:tc>
          <w:tcPr>
            <w:tcW w:w="4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980" w:type="dxa"/>
            <w:vAlign w:val="bottom"/>
          </w:tcPr>
          <w:p>
            <w:pPr>
              <w:spacing w:after="0" w:line="102" w:lineRule="exact"/>
              <w:rPr>
                <w:sz w:val="20"/>
                <w:szCs w:val="20"/>
                <w:color w:val="auto"/>
              </w:rPr>
            </w:pPr>
            <w:r>
              <w:rPr>
                <w:rFonts w:ascii="Arial" w:cs="Arial" w:eastAsia="Arial" w:hAnsi="Arial"/>
                <w:sz w:val="11"/>
                <w:szCs w:val="11"/>
                <w:b w:val="1"/>
                <w:bCs w:val="1"/>
                <w:color w:val="005A64"/>
              </w:rPr>
              <w:t>930.3</w:t>
            </w:r>
          </w:p>
        </w:tc>
        <w:tc>
          <w:tcPr>
            <w:tcW w:w="80" w:type="dxa"/>
            <w:vAlign w:val="bottom"/>
            <w:vMerge w:val="continue"/>
          </w:tcPr>
          <w:p>
            <w:pPr>
              <w:spacing w:after="0"/>
              <w:rPr>
                <w:sz w:val="8"/>
                <w:szCs w:val="8"/>
                <w:color w:val="auto"/>
              </w:rPr>
            </w:pPr>
          </w:p>
        </w:tc>
        <w:tc>
          <w:tcPr>
            <w:tcW w:w="980" w:type="dxa"/>
            <w:vAlign w:val="bottom"/>
          </w:tcPr>
          <w:p>
            <w:pPr>
              <w:spacing w:after="0" w:line="102" w:lineRule="exact"/>
              <w:rPr>
                <w:sz w:val="20"/>
                <w:szCs w:val="20"/>
                <w:color w:val="auto"/>
              </w:rPr>
            </w:pPr>
            <w:r>
              <w:rPr>
                <w:rFonts w:ascii="Arial" w:cs="Arial" w:eastAsia="Arial" w:hAnsi="Arial"/>
                <w:sz w:val="11"/>
                <w:szCs w:val="11"/>
                <w:b w:val="1"/>
                <w:bCs w:val="1"/>
                <w:color w:val="005A64"/>
              </w:rPr>
              <w:t>9,434.4</w:t>
            </w:r>
          </w:p>
        </w:tc>
        <w:tc>
          <w:tcPr>
            <w:tcW w:w="0" w:type="dxa"/>
            <w:vAlign w:val="bottom"/>
          </w:tcPr>
          <w:p>
            <w:pPr>
              <w:spacing w:after="0"/>
              <w:rPr>
                <w:sz w:val="1"/>
                <w:szCs w:val="1"/>
                <w:color w:val="auto"/>
              </w:rPr>
            </w:pPr>
          </w:p>
        </w:tc>
      </w:tr>
      <w:tr>
        <w:trPr>
          <w:trHeight w:val="166"/>
        </w:trPr>
        <w:tc>
          <w:tcPr>
            <w:tcW w:w="3640" w:type="dxa"/>
            <w:vAlign w:val="bottom"/>
            <w:gridSpan w:val="2"/>
          </w:tcPr>
          <w:p>
            <w:pPr>
              <w:ind w:left="20"/>
              <w:spacing w:after="0"/>
              <w:rPr>
                <w:sz w:val="20"/>
                <w:szCs w:val="20"/>
                <w:color w:val="auto"/>
              </w:rPr>
            </w:pPr>
            <w:r>
              <w:rPr>
                <w:rFonts w:ascii="Arial" w:cs="Arial" w:eastAsia="Arial" w:hAnsi="Arial"/>
                <w:sz w:val="12"/>
                <w:szCs w:val="12"/>
                <w:b w:val="1"/>
                <w:bCs w:val="1"/>
                <w:color w:val="005A64"/>
              </w:rPr>
              <w:t>basic earnings</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362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80" w:type="dxa"/>
            <w:vAlign w:val="bottom"/>
            <w:vMerge w:val="restart"/>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3620" w:type="dxa"/>
            <w:vAlign w:val="bottom"/>
          </w:tcPr>
          <w:p>
            <w:pPr>
              <w:ind w:left="20"/>
              <w:spacing w:after="0" w:line="102" w:lineRule="exact"/>
              <w:rPr>
                <w:sz w:val="20"/>
                <w:szCs w:val="20"/>
                <w:color w:val="auto"/>
              </w:rPr>
            </w:pPr>
            <w:r>
              <w:rPr>
                <w:rFonts w:ascii="Arial" w:cs="Arial" w:eastAsia="Arial" w:hAnsi="Arial"/>
                <w:sz w:val="11"/>
                <w:szCs w:val="11"/>
                <w:b w:val="1"/>
                <w:bCs w:val="1"/>
                <w:color w:val="005A64"/>
              </w:rPr>
              <w:t>Weighted average number of ordinary shares outstanding</w:t>
            </w:r>
          </w:p>
        </w:tc>
        <w:tc>
          <w:tcPr>
            <w:tcW w:w="2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980" w:type="dxa"/>
            <w:vAlign w:val="bottom"/>
          </w:tcPr>
          <w:p>
            <w:pPr>
              <w:spacing w:after="0" w:line="102" w:lineRule="exact"/>
              <w:rPr>
                <w:sz w:val="20"/>
                <w:szCs w:val="20"/>
                <w:color w:val="auto"/>
              </w:rPr>
            </w:pPr>
            <w:r>
              <w:rPr>
                <w:rFonts w:ascii="Arial" w:cs="Arial" w:eastAsia="Arial" w:hAnsi="Arial"/>
                <w:sz w:val="11"/>
                <w:szCs w:val="11"/>
                <w:b w:val="1"/>
                <w:bCs w:val="1"/>
                <w:color w:val="005A64"/>
              </w:rPr>
              <w:t>240.4</w:t>
            </w:r>
          </w:p>
        </w:tc>
        <w:tc>
          <w:tcPr>
            <w:tcW w:w="4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980" w:type="dxa"/>
            <w:vAlign w:val="bottom"/>
          </w:tcPr>
          <w:p>
            <w:pPr>
              <w:spacing w:after="0" w:line="102" w:lineRule="exact"/>
              <w:rPr>
                <w:sz w:val="20"/>
                <w:szCs w:val="20"/>
                <w:color w:val="auto"/>
              </w:rPr>
            </w:pPr>
            <w:r>
              <w:rPr>
                <w:rFonts w:ascii="Arial" w:cs="Arial" w:eastAsia="Arial" w:hAnsi="Arial"/>
                <w:sz w:val="11"/>
                <w:szCs w:val="11"/>
                <w:b w:val="1"/>
                <w:bCs w:val="1"/>
                <w:color w:val="005A64"/>
              </w:rPr>
              <w:t>240.6</w:t>
            </w:r>
          </w:p>
        </w:tc>
        <w:tc>
          <w:tcPr>
            <w:tcW w:w="80" w:type="dxa"/>
            <w:vAlign w:val="bottom"/>
            <w:vMerge w:val="continue"/>
          </w:tcPr>
          <w:p>
            <w:pPr>
              <w:spacing w:after="0"/>
              <w:rPr>
                <w:sz w:val="8"/>
                <w:szCs w:val="8"/>
                <w:color w:val="auto"/>
              </w:rPr>
            </w:pPr>
          </w:p>
        </w:tc>
        <w:tc>
          <w:tcPr>
            <w:tcW w:w="980" w:type="dxa"/>
            <w:vAlign w:val="bottom"/>
          </w:tcPr>
          <w:p>
            <w:pPr>
              <w:spacing w:after="0" w:line="102" w:lineRule="exact"/>
              <w:rPr>
                <w:sz w:val="20"/>
                <w:szCs w:val="20"/>
                <w:color w:val="auto"/>
              </w:rPr>
            </w:pPr>
            <w:r>
              <w:rPr>
                <w:rFonts w:ascii="Arial" w:cs="Arial" w:eastAsia="Arial" w:hAnsi="Arial"/>
                <w:sz w:val="11"/>
                <w:szCs w:val="11"/>
                <w:b w:val="1"/>
                <w:bCs w:val="1"/>
                <w:color w:val="005A64"/>
              </w:rPr>
              <w:t>243.3</w:t>
            </w:r>
          </w:p>
        </w:tc>
        <w:tc>
          <w:tcPr>
            <w:tcW w:w="0" w:type="dxa"/>
            <w:vAlign w:val="bottom"/>
          </w:tcPr>
          <w:p>
            <w:pPr>
              <w:spacing w:after="0"/>
              <w:rPr>
                <w:sz w:val="1"/>
                <w:szCs w:val="1"/>
                <w:color w:val="auto"/>
              </w:rPr>
            </w:pPr>
          </w:p>
        </w:tc>
      </w:tr>
      <w:tr>
        <w:trPr>
          <w:trHeight w:val="166"/>
        </w:trPr>
        <w:tc>
          <w:tcPr>
            <w:tcW w:w="3640" w:type="dxa"/>
            <w:vAlign w:val="bottom"/>
            <w:gridSpan w:val="2"/>
          </w:tcPr>
          <w:p>
            <w:pPr>
              <w:ind w:left="20"/>
              <w:spacing w:after="0"/>
              <w:rPr>
                <w:sz w:val="20"/>
                <w:szCs w:val="20"/>
                <w:color w:val="auto"/>
              </w:rPr>
            </w:pPr>
            <w:r>
              <w:rPr>
                <w:rFonts w:ascii="Arial" w:cs="Arial" w:eastAsia="Arial" w:hAnsi="Arial"/>
                <w:sz w:val="12"/>
                <w:szCs w:val="12"/>
                <w:b w:val="1"/>
                <w:bCs w:val="1"/>
                <w:color w:val="005A64"/>
              </w:rPr>
              <w:t>for basic EPS</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362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4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80" w:type="dxa"/>
            <w:vAlign w:val="bottom"/>
            <w:vMerge w:val="restart"/>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3620" w:type="dxa"/>
            <w:vAlign w:val="bottom"/>
          </w:tcPr>
          <w:p>
            <w:pPr>
              <w:ind w:left="20"/>
              <w:spacing w:after="0"/>
              <w:rPr>
                <w:sz w:val="20"/>
                <w:szCs w:val="20"/>
                <w:color w:val="auto"/>
              </w:rPr>
            </w:pPr>
            <w:r>
              <w:rPr>
                <w:rFonts w:ascii="Arial" w:cs="Arial" w:eastAsia="Arial" w:hAnsi="Arial"/>
                <w:sz w:val="12"/>
                <w:szCs w:val="12"/>
                <w:color w:val="005A64"/>
              </w:rPr>
              <w:t>Effects of dilution from share options</w:t>
            </w:r>
          </w:p>
        </w:tc>
        <w:tc>
          <w:tcPr>
            <w:tcW w:w="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2"/>
                <w:szCs w:val="12"/>
                <w:color w:val="005A64"/>
              </w:rPr>
              <w:t>—</w:t>
            </w:r>
          </w:p>
        </w:tc>
        <w:tc>
          <w:tcPr>
            <w:tcW w:w="4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2"/>
                <w:szCs w:val="12"/>
                <w:color w:val="005A64"/>
              </w:rPr>
              <w:t>2.1</w:t>
            </w:r>
          </w:p>
        </w:tc>
        <w:tc>
          <w:tcPr>
            <w:tcW w:w="80" w:type="dxa"/>
            <w:vAlign w:val="bottom"/>
            <w:vMerge w:val="continue"/>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2"/>
                <w:szCs w:val="12"/>
                <w:color w:val="005A64"/>
              </w:rPr>
              <w:t>6.5</w:t>
            </w:r>
          </w:p>
        </w:tc>
        <w:tc>
          <w:tcPr>
            <w:tcW w:w="0" w:type="dxa"/>
            <w:vAlign w:val="bottom"/>
          </w:tcPr>
          <w:p>
            <w:pPr>
              <w:spacing w:after="0"/>
              <w:rPr>
                <w:sz w:val="1"/>
                <w:szCs w:val="1"/>
                <w:color w:val="auto"/>
              </w:rPr>
            </w:pPr>
          </w:p>
        </w:tc>
      </w:tr>
      <w:tr>
        <w:trPr>
          <w:trHeight w:val="143"/>
        </w:trPr>
        <w:tc>
          <w:tcPr>
            <w:tcW w:w="3640" w:type="dxa"/>
            <w:vAlign w:val="bottom"/>
            <w:gridSpan w:val="2"/>
          </w:tcPr>
          <w:p>
            <w:pPr>
              <w:ind w:left="20"/>
              <w:spacing w:after="0"/>
              <w:rPr>
                <w:sz w:val="20"/>
                <w:szCs w:val="20"/>
                <w:color w:val="auto"/>
              </w:rPr>
            </w:pPr>
            <w:r>
              <w:rPr>
                <w:rFonts w:ascii="Arial" w:cs="Arial" w:eastAsia="Arial" w:hAnsi="Arial"/>
                <w:sz w:val="12"/>
                <w:szCs w:val="12"/>
                <w:b w:val="1"/>
                <w:bCs w:val="1"/>
                <w:color w:val="005A64"/>
              </w:rPr>
              <w:t>Weighted average number of ordinary shares outstanding</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005A64"/>
              </w:rPr>
              <w:t>240.4</w:t>
            </w:r>
          </w:p>
        </w:tc>
        <w:tc>
          <w:tcPr>
            <w:tcW w:w="40" w:type="dxa"/>
            <w:vAlign w:val="bottom"/>
          </w:tcPr>
          <w:p>
            <w:pPr>
              <w:spacing w:after="0"/>
              <w:rPr>
                <w:sz w:val="12"/>
                <w:szCs w:val="12"/>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005A64"/>
              </w:rPr>
              <w:t>242.7</w:t>
            </w: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005A64"/>
              </w:rPr>
              <w:t>249.8</w:t>
            </w:r>
          </w:p>
        </w:tc>
        <w:tc>
          <w:tcPr>
            <w:tcW w:w="0" w:type="dxa"/>
            <w:vAlign w:val="bottom"/>
          </w:tcPr>
          <w:p>
            <w:pPr>
              <w:spacing w:after="0"/>
              <w:rPr>
                <w:sz w:val="1"/>
                <w:szCs w:val="1"/>
                <w:color w:val="auto"/>
              </w:rPr>
            </w:pPr>
          </w:p>
        </w:tc>
      </w:tr>
      <w:tr>
        <w:trPr>
          <w:trHeight w:val="166"/>
        </w:trPr>
        <w:tc>
          <w:tcPr>
            <w:tcW w:w="3640" w:type="dxa"/>
            <w:vAlign w:val="bottom"/>
            <w:gridSpan w:val="2"/>
          </w:tcPr>
          <w:p>
            <w:pPr>
              <w:ind w:left="20"/>
              <w:spacing w:after="0"/>
              <w:rPr>
                <w:sz w:val="20"/>
                <w:szCs w:val="20"/>
                <w:color w:val="auto"/>
              </w:rPr>
            </w:pPr>
            <w:r>
              <w:rPr>
                <w:rFonts w:ascii="Arial" w:cs="Arial" w:eastAsia="Arial" w:hAnsi="Arial"/>
                <w:sz w:val="12"/>
                <w:szCs w:val="12"/>
                <w:b w:val="1"/>
                <w:bCs w:val="1"/>
                <w:color w:val="005A64"/>
              </w:rPr>
              <w:t>adjusted for the effect of dilution</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362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620" w:type="dxa"/>
            <w:vAlign w:val="bottom"/>
          </w:tcPr>
          <w:p>
            <w:pPr>
              <w:ind w:left="20"/>
              <w:spacing w:after="0"/>
              <w:rPr>
                <w:sz w:val="20"/>
                <w:szCs w:val="20"/>
                <w:color w:val="auto"/>
              </w:rPr>
            </w:pPr>
            <w:r>
              <w:rPr>
                <w:rFonts w:ascii="Arial" w:cs="Arial" w:eastAsia="Arial" w:hAnsi="Arial"/>
                <w:sz w:val="12"/>
                <w:szCs w:val="12"/>
                <w:b w:val="1"/>
                <w:bCs w:val="1"/>
                <w:color w:val="3C9673"/>
              </w:rPr>
              <w:t>Earnings / (Loss) per share</w:t>
            </w:r>
          </w:p>
        </w:tc>
        <w:tc>
          <w:tcPr>
            <w:tcW w:w="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Basic earnings / (loss) per share</w:t>
            </w: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(2.77)</w:t>
            </w:r>
          </w:p>
        </w:tc>
        <w:tc>
          <w:tcPr>
            <w:tcW w:w="4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3.87</w:t>
            </w:r>
          </w:p>
        </w:tc>
        <w:tc>
          <w:tcPr>
            <w:tcW w:w="1060" w:type="dxa"/>
            <w:vAlign w:val="bottom"/>
            <w:gridSpan w:val="2"/>
          </w:tcPr>
          <w:p>
            <w:pPr>
              <w:ind w:left="80"/>
              <w:spacing w:after="0"/>
              <w:rPr>
                <w:sz w:val="20"/>
                <w:szCs w:val="20"/>
                <w:color w:val="auto"/>
              </w:rPr>
            </w:pPr>
            <w:r>
              <w:rPr>
                <w:rFonts w:ascii="Arial" w:cs="Arial" w:eastAsia="Arial" w:hAnsi="Arial"/>
                <w:sz w:val="12"/>
                <w:szCs w:val="12"/>
                <w:color w:val="005A64"/>
              </w:rPr>
              <w:t>38.78</w:t>
            </w:r>
          </w:p>
        </w:tc>
        <w:tc>
          <w:tcPr>
            <w:tcW w:w="0" w:type="dxa"/>
            <w:vAlign w:val="bottom"/>
          </w:tcPr>
          <w:p>
            <w:pPr>
              <w:spacing w:after="0"/>
              <w:rPr>
                <w:sz w:val="1"/>
                <w:szCs w:val="1"/>
                <w:color w:val="auto"/>
              </w:rPr>
            </w:pPr>
          </w:p>
        </w:tc>
      </w:tr>
      <w:tr>
        <w:trPr>
          <w:trHeight w:val="202"/>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Diluted earnings / (loss) per share</w:t>
            </w: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(2.77)</w:t>
            </w:r>
          </w:p>
        </w:tc>
        <w:tc>
          <w:tcPr>
            <w:tcW w:w="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005A64"/>
              </w:rPr>
              <w:t>3.83</w:t>
            </w:r>
          </w:p>
        </w:tc>
        <w:tc>
          <w:tcPr>
            <w:tcW w:w="1060" w:type="dxa"/>
            <w:vAlign w:val="bottom"/>
            <w:gridSpan w:val="2"/>
          </w:tcPr>
          <w:p>
            <w:pPr>
              <w:ind w:left="80"/>
              <w:spacing w:after="0"/>
              <w:rPr>
                <w:sz w:val="20"/>
                <w:szCs w:val="20"/>
                <w:color w:val="auto"/>
              </w:rPr>
            </w:pPr>
            <w:r>
              <w:rPr>
                <w:rFonts w:ascii="Arial" w:cs="Arial" w:eastAsia="Arial" w:hAnsi="Arial"/>
                <w:sz w:val="12"/>
                <w:szCs w:val="12"/>
                <w:color w:val="005A64"/>
              </w:rPr>
              <w:t>37.77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-1243330</wp:posOffset>
            </wp:positionV>
            <wp:extent cx="673735" cy="128397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4">
                      <a:extLst>
                        <a:ext uri="{28A0092B-C50C-407E-A947-70E740481C1C}"/>
                      </a:extLst>
                    </a:blip>
                    <a:srcRect/>
                    <a:stretch>
                      <a:fillRect/>
                    </a:stretch>
                  </pic:blipFill>
                  <pic:spPr bwMode="auto">
                    <a:xfrm>
                      <a:off x="0" y="0"/>
                      <a:ext cx="673735" cy="1283970"/>
                    </a:xfrm>
                    <a:prstGeom prst="rect">
                      <a:avLst/>
                    </a:prstGeom>
                    <a:noFill/>
                  </pic:spPr>
                </pic:pic>
              </a:graphicData>
            </a:graphic>
          </wp:anchor>
        </w:drawing>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5A64"/>
        </w:rPr>
        <w:t>10 Other 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-103505</wp:posOffset>
            </wp:positionV>
            <wp:extent cx="4300220" cy="63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5">
                      <a:extLst>
                        <a:ext uri="{28A0092B-C50C-407E-A947-70E740481C1C}"/>
                      </a:extLst>
                    </a:blip>
                    <a:srcRect/>
                    <a:stretch>
                      <a:fillRect/>
                    </a:stretch>
                  </pic:blipFill>
                  <pic:spPr bwMode="auto">
                    <a:xfrm>
                      <a:off x="0" y="0"/>
                      <a:ext cx="4300220" cy="63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b w:val="1"/>
          <w:bCs w:val="1"/>
          <w:color w:val="005A64"/>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-5715</wp:posOffset>
            </wp:positionV>
            <wp:extent cx="4242435" cy="127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6">
                      <a:extLst>
                        <a:ext uri="{28A0092B-C50C-407E-A947-70E740481C1C}"/>
                      </a:extLst>
                    </a:blip>
                    <a:srcRect/>
                    <a:stretch>
                      <a:fillRect/>
                    </a:stretch>
                  </pic:blipFill>
                  <pic:spPr bwMode="auto">
                    <a:xfrm>
                      <a:off x="0" y="0"/>
                      <a:ext cx="4242435" cy="12700"/>
                    </a:xfrm>
                    <a:prstGeom prst="rect">
                      <a:avLst/>
                    </a:prstGeom>
                    <a:noFill/>
                  </pic:spPr>
                </pic:pic>
              </a:graphicData>
            </a:graphic>
          </wp:anchor>
        </w:drawing>
      </w:r>
    </w:p>
    <w:p>
      <w:pPr>
        <w:sectPr>
          <w:pgSz w:w="11900" w:h="16840" w:orient="portrait"/>
          <w:cols w:equalWidth="0" w:num="1">
            <w:col w:w="9020"/>
          </w:cols>
          <w:pgMar w:left="1440" w:top="1440" w:right="1440" w:bottom="31" w:gutter="0" w:footer="0" w:header="0"/>
        </w:sectPr>
      </w:pPr>
    </w:p>
    <w:p>
      <w:pPr>
        <w:spacing w:after="0" w:line="123" w:lineRule="exact"/>
        <w:rPr>
          <w:sz w:val="20"/>
          <w:szCs w:val="20"/>
          <w:color w:val="auto"/>
        </w:rPr>
      </w:pPr>
    </w:p>
    <w:p>
      <w:pPr>
        <w:ind w:left="400"/>
        <w:spacing w:after="0"/>
        <w:rPr>
          <w:sz w:val="20"/>
          <w:szCs w:val="20"/>
          <w:color w:val="auto"/>
        </w:rPr>
      </w:pPr>
      <w:r>
        <w:rPr>
          <w:rFonts w:ascii="Arial" w:cs="Arial" w:eastAsia="Arial" w:hAnsi="Arial"/>
          <w:sz w:val="12"/>
          <w:szCs w:val="12"/>
          <w:i w:val="1"/>
          <w:iCs w:val="1"/>
          <w:color w:val="005A64"/>
        </w:rPr>
        <w:t>(in millions €)</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2"/>
          <w:szCs w:val="12"/>
          <w:b w:val="1"/>
          <w:bCs w:val="1"/>
          <w:color w:val="3C9673"/>
        </w:rPr>
        <w:t>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-86995</wp:posOffset>
            </wp:positionV>
            <wp:extent cx="3587750" cy="63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7">
                      <a:extLst>
                        <a:ext uri="{28A0092B-C50C-407E-A947-70E740481C1C}"/>
                      </a:extLst>
                    </a:blip>
                    <a:srcRect/>
                    <a:stretch>
                      <a:fillRect/>
                    </a:stretch>
                  </pic:blipFill>
                  <pic:spPr bwMode="auto">
                    <a:xfrm>
                      <a:off x="0" y="0"/>
                      <a:ext cx="3587750" cy="6350"/>
                    </a:xfrm>
                    <a:prstGeom prst="rect">
                      <a:avLst/>
                    </a:prstGeom>
                    <a:noFill/>
                  </pic:spPr>
                </pic:pic>
              </a:graphicData>
            </a:graphic>
          </wp:anchor>
        </w:drawing>
      </w:r>
    </w:p>
    <w:p>
      <w:pPr>
        <w:spacing w:after="0" w:line="34" w:lineRule="exact"/>
        <w:rPr>
          <w:sz w:val="20"/>
          <w:szCs w:val="20"/>
          <w:color w:val="auto"/>
        </w:rPr>
      </w:pPr>
    </w:p>
    <w:p>
      <w:pPr>
        <w:ind w:left="400"/>
        <w:spacing w:after="0"/>
        <w:rPr>
          <w:sz w:val="20"/>
          <w:szCs w:val="20"/>
          <w:color w:val="auto"/>
        </w:rPr>
      </w:pPr>
      <w:r>
        <w:rPr>
          <w:rFonts w:ascii="Arial" w:cs="Arial" w:eastAsia="Arial" w:hAnsi="Arial"/>
          <w:sz w:val="12"/>
          <w:szCs w:val="12"/>
          <w:color w:val="005A64"/>
        </w:rPr>
        <w:t>As of January 1, 2023</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2"/>
          <w:szCs w:val="12"/>
          <w:color w:val="005A64"/>
        </w:rPr>
        <w:t>Currency differences</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2"/>
          <w:szCs w:val="12"/>
          <w:color w:val="005A64"/>
        </w:rPr>
        <w:t>Acquisition of subsidiaries and businesses</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2"/>
          <w:szCs w:val="12"/>
          <w:b w:val="1"/>
          <w:bCs w:val="1"/>
          <w:color w:val="005A64"/>
        </w:rPr>
        <w:t>As of December 31, 2023</w:t>
      </w:r>
    </w:p>
    <w:p>
      <w:pPr>
        <w:spacing w:after="0" w:line="74" w:lineRule="exact"/>
        <w:rPr>
          <w:sz w:val="20"/>
          <w:szCs w:val="20"/>
          <w:color w:val="auto"/>
        </w:rPr>
      </w:pPr>
    </w:p>
    <w:p>
      <w:pPr>
        <w:ind w:left="400"/>
        <w:spacing w:after="0"/>
        <w:rPr>
          <w:sz w:val="20"/>
          <w:szCs w:val="20"/>
          <w:color w:val="auto"/>
        </w:rPr>
      </w:pPr>
      <w:r>
        <w:rPr>
          <w:rFonts w:ascii="Arial" w:cs="Arial" w:eastAsia="Arial" w:hAnsi="Arial"/>
          <w:sz w:val="12"/>
          <w:szCs w:val="12"/>
          <w:color w:val="005A64"/>
        </w:rPr>
        <w:t>Acquisition of subsidiaries and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-86995</wp:posOffset>
            </wp:positionV>
            <wp:extent cx="3587750" cy="63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8">
                      <a:extLst>
                        <a:ext uri="{28A0092B-C50C-407E-A947-70E740481C1C}"/>
                      </a:extLst>
                    </a:blip>
                    <a:srcRect/>
                    <a:stretch>
                      <a:fillRect/>
                    </a:stretch>
                  </pic:blipFill>
                  <pic:spPr bwMode="auto">
                    <a:xfrm>
                      <a:off x="0" y="0"/>
                      <a:ext cx="3587750" cy="6350"/>
                    </a:xfrm>
                    <a:prstGeom prst="rect">
                      <a:avLst/>
                    </a:prstGeom>
                    <a:noFill/>
                  </pic:spPr>
                </pic:pic>
              </a:graphicData>
            </a:graphic>
          </wp:anchor>
        </w:drawing>
      </w:r>
    </w:p>
    <w:p>
      <w:pPr>
        <w:spacing w:after="0" w:line="34" w:lineRule="exact"/>
        <w:rPr>
          <w:sz w:val="20"/>
          <w:szCs w:val="20"/>
          <w:color w:val="auto"/>
        </w:rPr>
      </w:pPr>
    </w:p>
    <w:p>
      <w:pPr>
        <w:ind w:left="400"/>
        <w:spacing w:after="0"/>
        <w:rPr>
          <w:sz w:val="20"/>
          <w:szCs w:val="20"/>
          <w:color w:val="auto"/>
        </w:rPr>
      </w:pPr>
      <w:r>
        <w:rPr>
          <w:rFonts w:ascii="Arial" w:cs="Arial" w:eastAsia="Arial" w:hAnsi="Arial"/>
          <w:sz w:val="12"/>
          <w:szCs w:val="12"/>
          <w:color w:val="005A64"/>
        </w:rPr>
        <w:t>Currency differences</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2"/>
          <w:szCs w:val="12"/>
          <w:b w:val="1"/>
          <w:bCs w:val="1"/>
          <w:color w:val="005A64"/>
        </w:rPr>
        <w:t>As of December 31, 2024</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005A64"/>
        </w:rPr>
        <w:t>Intangible Assets with Indefinite Useful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-88265</wp:posOffset>
            </wp:positionV>
            <wp:extent cx="3587750" cy="63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9">
                      <a:extLst>
                        <a:ext uri="{28A0092B-C50C-407E-A947-70E740481C1C}"/>
                      </a:extLst>
                    </a:blip>
                    <a:srcRect/>
                    <a:stretch>
                      <a:fillRect/>
                    </a:stretch>
                  </pic:blipFill>
                  <pic:spPr bwMode="auto">
                    <a:xfrm>
                      <a:off x="0" y="0"/>
                      <a:ext cx="3587750" cy="635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1270</wp:posOffset>
            </wp:positionV>
            <wp:extent cx="4300220" cy="127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0">
                      <a:extLst>
                        <a:ext uri="{28A0092B-C50C-407E-A947-70E740481C1C}"/>
                      </a:extLst>
                    </a:blip>
                    <a:srcRect/>
                    <a:stretch>
                      <a:fillRect/>
                    </a:stretch>
                  </pic:blipFill>
                  <pic:spPr bwMode="auto">
                    <a:xfrm>
                      <a:off x="0" y="0"/>
                      <a:ext cx="4300220"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b w:val="1"/>
          <w:bCs w:val="1"/>
          <w:color w:val="005A64"/>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622300" cy="63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1">
                      <a:extLst>
                        <a:ext uri="{28A0092B-C50C-407E-A947-70E740481C1C}"/>
                      </a:extLst>
                    </a:blip>
                    <a:srcRect/>
                    <a:stretch>
                      <a:fillRect/>
                    </a:stretch>
                  </pic:blipFill>
                  <pic:spPr bwMode="auto">
                    <a:xfrm>
                      <a:off x="0" y="0"/>
                      <a:ext cx="622300" cy="635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005A64"/>
        </w:rPr>
        <w:t>61.2</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005A64"/>
        </w:rPr>
        <w:t>(5.6)</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005A64"/>
        </w:rPr>
        <w:t>306.9</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005A64"/>
        </w:rPr>
        <w:t>362.5</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color w:val="005A6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-86995</wp:posOffset>
            </wp:positionV>
            <wp:extent cx="667385" cy="39179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2">
                      <a:extLst>
                        <a:ext uri="{28A0092B-C50C-407E-A947-70E740481C1C}"/>
                      </a:extLst>
                    </a:blip>
                    <a:srcRect/>
                    <a:stretch>
                      <a:fillRect/>
                    </a:stretch>
                  </pic:blipFill>
                  <pic:spPr bwMode="auto">
                    <a:xfrm>
                      <a:off x="0" y="0"/>
                      <a:ext cx="667385" cy="39179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005A64"/>
        </w:rPr>
        <w:t>18.1</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005A64"/>
        </w:rPr>
        <w:t>380.6</w:t>
      </w:r>
    </w:p>
    <w:p>
      <w:pPr>
        <w:spacing w:after="0" w:line="332" w:lineRule="exact"/>
        <w:rPr>
          <w:sz w:val="20"/>
          <w:szCs w:val="20"/>
          <w:color w:val="auto"/>
        </w:rPr>
      </w:pPr>
    </w:p>
    <w:p>
      <w:pPr>
        <w:sectPr>
          <w:pgSz w:w="11900" w:h="16840" w:orient="portrait"/>
          <w:cols w:equalWidth="0" w:num="2">
            <w:col w:w="5380" w:space="720"/>
            <w:col w:w="2920"/>
          </w:cols>
          <w:pgMar w:left="1440" w:top="1440" w:right="1440" w:bottom="31" w:gutter="0" w:footer="0" w:header="0"/>
          <w:type w:val="continuous"/>
        </w:sectPr>
      </w:pPr>
    </w:p>
    <w:tbl>
      <w:tblPr>
        <w:tblLayout w:type="fixed"/>
        <w:tblInd w:w="380" w:type="dxa"/>
        <w:tblCellMar>
          <w:top w:w="0" w:type="dxa"/>
          <w:left w:w="0" w:type="dxa"/>
          <w:bottom w:w="0" w:type="dxa"/>
          <w:right w:w="0" w:type="dxa"/>
        </w:tblCellMar>
      </w:tblPr>
      <w:tr>
        <w:trPr>
          <w:trHeight w:val="126"/>
        </w:trPr>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005A64"/>
              </w:rPr>
              <w:t>CGU Immunotherapies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005A64"/>
              </w:rPr>
              <w:t>CGU External Product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005A64"/>
              </w:rPr>
              <w:t>CGU External Business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005A64"/>
              </w:rPr>
              <w:t>Total</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005A64"/>
              </w:rPr>
              <w:t>Sales of JPT</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005A64"/>
              </w:rPr>
              <w:t>of InstaDeep</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005A64"/>
              </w:rPr>
              <w:t>(in millions €)</w:t>
            </w:r>
          </w:p>
        </w:tc>
        <w:tc>
          <w:tcPr>
            <w:tcW w:w="20" w:type="dxa"/>
            <w:vAlign w:val="bottom"/>
            <w:tcBorders>
              <w:bottom w:val="single" w:sz="8" w:color="BECE33"/>
            </w:tcBorders>
          </w:tcPr>
          <w:p>
            <w:pPr>
              <w:spacing w:after="0"/>
              <w:rPr>
                <w:sz w:val="7"/>
                <w:szCs w:val="7"/>
                <w:color w:val="auto"/>
              </w:rPr>
            </w:pPr>
          </w:p>
        </w:tc>
        <w:tc>
          <w:tcPr>
            <w:tcW w:w="660" w:type="dxa"/>
            <w:vAlign w:val="bottom"/>
            <w:tcBorders>
              <w:bottom w:val="single" w:sz="8" w:color="BECE33"/>
            </w:tcBorders>
          </w:tcPr>
          <w:p>
            <w:pPr>
              <w:spacing w:after="0"/>
              <w:rPr>
                <w:sz w:val="7"/>
                <w:szCs w:val="7"/>
                <w:color w:val="auto"/>
              </w:rPr>
            </w:pPr>
          </w:p>
        </w:tc>
        <w:tc>
          <w:tcPr>
            <w:tcW w:w="80" w:type="dxa"/>
            <w:vAlign w:val="bottom"/>
            <w:tcBorders>
              <w:bottom w:val="single" w:sz="8" w:color="BECE33"/>
            </w:tcBorders>
          </w:tcPr>
          <w:p>
            <w:pPr>
              <w:spacing w:after="0"/>
              <w:rPr>
                <w:sz w:val="7"/>
                <w:szCs w:val="7"/>
                <w:color w:val="auto"/>
              </w:rPr>
            </w:pPr>
          </w:p>
        </w:tc>
        <w:tc>
          <w:tcPr>
            <w:tcW w:w="660" w:type="dxa"/>
            <w:vAlign w:val="bottom"/>
            <w:tcBorders>
              <w:bottom w:val="single" w:sz="8" w:color="BECE33"/>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Borders>
              <w:bottom w:val="single" w:sz="8" w:color="BECE33"/>
            </w:tcBorders>
          </w:tcPr>
          <w:p>
            <w:pPr>
              <w:spacing w:after="0"/>
              <w:rPr>
                <w:sz w:val="7"/>
                <w:szCs w:val="7"/>
                <w:color w:val="auto"/>
              </w:rPr>
            </w:pPr>
          </w:p>
        </w:tc>
        <w:tc>
          <w:tcPr>
            <w:tcW w:w="660" w:type="dxa"/>
            <w:vAlign w:val="bottom"/>
            <w:tcBorders>
              <w:bottom w:val="single" w:sz="8" w:color="BECE33"/>
            </w:tcBorders>
          </w:tcPr>
          <w:p>
            <w:pPr>
              <w:spacing w:after="0"/>
              <w:rPr>
                <w:sz w:val="7"/>
                <w:szCs w:val="7"/>
                <w:color w:val="auto"/>
              </w:rPr>
            </w:pPr>
          </w:p>
        </w:tc>
        <w:tc>
          <w:tcPr>
            <w:tcW w:w="80" w:type="dxa"/>
            <w:vAlign w:val="bottom"/>
            <w:tcBorders>
              <w:bottom w:val="single" w:sz="8" w:color="BECE33"/>
            </w:tcBorders>
          </w:tcPr>
          <w:p>
            <w:pPr>
              <w:spacing w:after="0"/>
              <w:rPr>
                <w:sz w:val="7"/>
                <w:szCs w:val="7"/>
                <w:color w:val="auto"/>
              </w:rPr>
            </w:pPr>
          </w:p>
        </w:tc>
        <w:tc>
          <w:tcPr>
            <w:tcW w:w="660" w:type="dxa"/>
            <w:vAlign w:val="bottom"/>
            <w:tcBorders>
              <w:bottom w:val="single" w:sz="8" w:color="BECE33"/>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bottom w:val="single" w:sz="8" w:color="BECE33"/>
            </w:tcBorders>
          </w:tcPr>
          <w:p>
            <w:pPr>
              <w:spacing w:after="0"/>
              <w:rPr>
                <w:sz w:val="7"/>
                <w:szCs w:val="7"/>
                <w:color w:val="auto"/>
              </w:rPr>
            </w:pPr>
          </w:p>
        </w:tc>
        <w:tc>
          <w:tcPr>
            <w:tcW w:w="660" w:type="dxa"/>
            <w:vAlign w:val="bottom"/>
            <w:tcBorders>
              <w:bottom w:val="single" w:sz="8" w:color="BECE33"/>
            </w:tcBorders>
          </w:tcPr>
          <w:p>
            <w:pPr>
              <w:spacing w:after="0"/>
              <w:rPr>
                <w:sz w:val="7"/>
                <w:szCs w:val="7"/>
                <w:color w:val="auto"/>
              </w:rPr>
            </w:pPr>
          </w:p>
        </w:tc>
        <w:tc>
          <w:tcPr>
            <w:tcW w:w="80" w:type="dxa"/>
            <w:vAlign w:val="bottom"/>
            <w:tcBorders>
              <w:bottom w:val="single" w:sz="8" w:color="BECE33"/>
            </w:tcBorders>
          </w:tcPr>
          <w:p>
            <w:pPr>
              <w:spacing w:after="0"/>
              <w:rPr>
                <w:sz w:val="7"/>
                <w:szCs w:val="7"/>
                <w:color w:val="auto"/>
              </w:rPr>
            </w:pPr>
          </w:p>
        </w:tc>
        <w:tc>
          <w:tcPr>
            <w:tcW w:w="660" w:type="dxa"/>
            <w:vAlign w:val="bottom"/>
            <w:tcBorders>
              <w:bottom w:val="single" w:sz="8" w:color="BECE33"/>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Borders>
              <w:bottom w:val="single" w:sz="8" w:color="BECE33"/>
            </w:tcBorders>
          </w:tcPr>
          <w:p>
            <w:pPr>
              <w:spacing w:after="0"/>
              <w:rPr>
                <w:sz w:val="7"/>
                <w:szCs w:val="7"/>
                <w:color w:val="auto"/>
              </w:rPr>
            </w:pPr>
          </w:p>
        </w:tc>
        <w:tc>
          <w:tcPr>
            <w:tcW w:w="660" w:type="dxa"/>
            <w:vAlign w:val="bottom"/>
            <w:tcBorders>
              <w:bottom w:val="single" w:sz="8" w:color="BECE33"/>
            </w:tcBorders>
          </w:tcPr>
          <w:p>
            <w:pPr>
              <w:spacing w:after="0"/>
              <w:rPr>
                <w:sz w:val="7"/>
                <w:szCs w:val="7"/>
                <w:color w:val="auto"/>
              </w:rPr>
            </w:pPr>
          </w:p>
        </w:tc>
        <w:tc>
          <w:tcPr>
            <w:tcW w:w="80" w:type="dxa"/>
            <w:vAlign w:val="bottom"/>
            <w:tcBorders>
              <w:bottom w:val="single" w:sz="8" w:color="BECE33"/>
            </w:tcBorders>
          </w:tcPr>
          <w:p>
            <w:pPr>
              <w:spacing w:after="0"/>
              <w:rPr>
                <w:sz w:val="7"/>
                <w:szCs w:val="7"/>
                <w:color w:val="auto"/>
              </w:rPr>
            </w:pPr>
          </w:p>
        </w:tc>
        <w:tc>
          <w:tcPr>
            <w:tcW w:w="660" w:type="dxa"/>
            <w:vAlign w:val="bottom"/>
            <w:tcBorders>
              <w:bottom w:val="single" w:sz="8" w:color="BECE33"/>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0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ind w:left="20"/>
              <w:spacing w:after="0" w:line="92" w:lineRule="exact"/>
              <w:rPr>
                <w:sz w:val="20"/>
                <w:szCs w:val="20"/>
                <w:color w:val="auto"/>
              </w:rPr>
            </w:pPr>
            <w:r>
              <w:rPr>
                <w:rFonts w:ascii="Arial" w:cs="Arial" w:eastAsia="Arial" w:hAnsi="Arial"/>
                <w:sz w:val="10"/>
                <w:szCs w:val="10"/>
                <w:b w:val="1"/>
                <w:bCs w:val="1"/>
                <w:color w:val="005A64"/>
              </w:rPr>
              <w:t>As of</w:t>
            </w:r>
          </w:p>
        </w:tc>
        <w:tc>
          <w:tcPr>
            <w:tcW w:w="80" w:type="dxa"/>
            <w:vAlign w:val="bottom"/>
          </w:tcPr>
          <w:p>
            <w:pPr>
              <w:spacing w:after="0"/>
              <w:rPr>
                <w:sz w:val="7"/>
                <w:szCs w:val="7"/>
                <w:color w:val="auto"/>
              </w:rPr>
            </w:pPr>
          </w:p>
        </w:tc>
        <w:tc>
          <w:tcPr>
            <w:tcW w:w="660" w:type="dxa"/>
            <w:vAlign w:val="bottom"/>
          </w:tcPr>
          <w:p>
            <w:pPr>
              <w:ind w:left="20"/>
              <w:spacing w:after="0" w:line="92" w:lineRule="exact"/>
              <w:rPr>
                <w:sz w:val="20"/>
                <w:szCs w:val="20"/>
                <w:color w:val="auto"/>
              </w:rPr>
            </w:pPr>
            <w:r>
              <w:rPr>
                <w:rFonts w:ascii="Arial" w:cs="Arial" w:eastAsia="Arial" w:hAnsi="Arial"/>
                <w:sz w:val="10"/>
                <w:szCs w:val="10"/>
                <w:b w:val="1"/>
                <w:bCs w:val="1"/>
                <w:color w:val="005A64"/>
              </w:rPr>
              <w:t>As of</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2"/>
          </w:tcPr>
          <w:p>
            <w:pPr>
              <w:ind w:left="20"/>
              <w:spacing w:after="0" w:line="92" w:lineRule="exact"/>
              <w:rPr>
                <w:sz w:val="20"/>
                <w:szCs w:val="20"/>
                <w:color w:val="auto"/>
              </w:rPr>
            </w:pPr>
            <w:r>
              <w:rPr>
                <w:rFonts w:ascii="Arial" w:cs="Arial" w:eastAsia="Arial" w:hAnsi="Arial"/>
                <w:sz w:val="10"/>
                <w:szCs w:val="10"/>
                <w:b w:val="1"/>
                <w:bCs w:val="1"/>
                <w:color w:val="005A64"/>
              </w:rPr>
              <w:t>As of</w:t>
            </w:r>
          </w:p>
        </w:tc>
        <w:tc>
          <w:tcPr>
            <w:tcW w:w="660" w:type="dxa"/>
            <w:vAlign w:val="bottom"/>
          </w:tcPr>
          <w:p>
            <w:pPr>
              <w:ind w:left="20"/>
              <w:spacing w:after="0" w:line="92" w:lineRule="exact"/>
              <w:rPr>
                <w:sz w:val="20"/>
                <w:szCs w:val="20"/>
                <w:color w:val="auto"/>
              </w:rPr>
            </w:pPr>
            <w:r>
              <w:rPr>
                <w:rFonts w:ascii="Arial" w:cs="Arial" w:eastAsia="Arial" w:hAnsi="Arial"/>
                <w:sz w:val="10"/>
                <w:szCs w:val="10"/>
                <w:b w:val="1"/>
                <w:bCs w:val="1"/>
                <w:color w:val="005A64"/>
              </w:rPr>
              <w:t>As of</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tcPr>
          <w:p>
            <w:pPr>
              <w:spacing w:after="0" w:line="92" w:lineRule="exact"/>
              <w:rPr>
                <w:sz w:val="20"/>
                <w:szCs w:val="20"/>
                <w:color w:val="auto"/>
              </w:rPr>
            </w:pPr>
            <w:r>
              <w:rPr>
                <w:rFonts w:ascii="Arial" w:cs="Arial" w:eastAsia="Arial" w:hAnsi="Arial"/>
                <w:sz w:val="10"/>
                <w:szCs w:val="10"/>
                <w:b w:val="1"/>
                <w:bCs w:val="1"/>
                <w:color w:val="005A64"/>
              </w:rPr>
              <w:t>As of</w:t>
            </w:r>
          </w:p>
        </w:tc>
        <w:tc>
          <w:tcPr>
            <w:tcW w:w="660" w:type="dxa"/>
            <w:vAlign w:val="bottom"/>
          </w:tcPr>
          <w:p>
            <w:pPr>
              <w:spacing w:after="0" w:line="92" w:lineRule="exact"/>
              <w:rPr>
                <w:sz w:val="20"/>
                <w:szCs w:val="20"/>
                <w:color w:val="auto"/>
              </w:rPr>
            </w:pPr>
            <w:r>
              <w:rPr>
                <w:rFonts w:ascii="Arial" w:cs="Arial" w:eastAsia="Arial" w:hAnsi="Arial"/>
                <w:sz w:val="10"/>
                <w:szCs w:val="10"/>
                <w:b w:val="1"/>
                <w:bCs w:val="1"/>
                <w:color w:val="005A64"/>
              </w:rPr>
              <w:t>As of</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ind w:left="20"/>
              <w:spacing w:after="0" w:line="92" w:lineRule="exact"/>
              <w:rPr>
                <w:sz w:val="20"/>
                <w:szCs w:val="20"/>
                <w:color w:val="auto"/>
              </w:rPr>
            </w:pPr>
            <w:r>
              <w:rPr>
                <w:rFonts w:ascii="Arial" w:cs="Arial" w:eastAsia="Arial" w:hAnsi="Arial"/>
                <w:sz w:val="10"/>
                <w:szCs w:val="10"/>
                <w:b w:val="1"/>
                <w:bCs w:val="1"/>
                <w:color w:val="005A64"/>
              </w:rPr>
              <w:t>As of</w:t>
            </w:r>
          </w:p>
        </w:tc>
        <w:tc>
          <w:tcPr>
            <w:tcW w:w="80" w:type="dxa"/>
            <w:vAlign w:val="bottom"/>
          </w:tcPr>
          <w:p>
            <w:pPr>
              <w:spacing w:after="0"/>
              <w:rPr>
                <w:sz w:val="7"/>
                <w:szCs w:val="7"/>
                <w:color w:val="auto"/>
              </w:rPr>
            </w:pPr>
          </w:p>
        </w:tc>
        <w:tc>
          <w:tcPr>
            <w:tcW w:w="660" w:type="dxa"/>
            <w:vAlign w:val="bottom"/>
          </w:tcPr>
          <w:p>
            <w:pPr>
              <w:spacing w:after="0" w:line="92" w:lineRule="exact"/>
              <w:rPr>
                <w:sz w:val="20"/>
                <w:szCs w:val="20"/>
                <w:color w:val="auto"/>
              </w:rPr>
            </w:pPr>
            <w:r>
              <w:rPr>
                <w:rFonts w:ascii="Arial" w:cs="Arial" w:eastAsia="Arial" w:hAnsi="Arial"/>
                <w:sz w:val="10"/>
                <w:szCs w:val="10"/>
                <w:b w:val="1"/>
                <w:bCs w:val="1"/>
                <w:color w:val="005A64"/>
              </w:rPr>
              <w:t>As of</w:t>
            </w:r>
          </w:p>
        </w:tc>
        <w:tc>
          <w:tcPr>
            <w:tcW w:w="0" w:type="dxa"/>
            <w:vAlign w:val="bottom"/>
          </w:tcPr>
          <w:p>
            <w:pPr>
              <w:spacing w:after="0"/>
              <w:rPr>
                <w:sz w:val="1"/>
                <w:szCs w:val="1"/>
                <w:color w:val="auto"/>
              </w:rPr>
            </w:pPr>
          </w:p>
        </w:tc>
      </w:tr>
      <w:tr>
        <w:trPr>
          <w:trHeight w:val="101"/>
        </w:trPr>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ind w:left="20"/>
              <w:spacing w:after="0" w:line="101" w:lineRule="exact"/>
              <w:rPr>
                <w:sz w:val="20"/>
                <w:szCs w:val="20"/>
                <w:color w:val="auto"/>
              </w:rPr>
            </w:pPr>
            <w:r>
              <w:rPr>
                <w:rFonts w:ascii="Arial" w:cs="Arial" w:eastAsia="Arial" w:hAnsi="Arial"/>
                <w:sz w:val="11"/>
                <w:szCs w:val="11"/>
                <w:b w:val="1"/>
                <w:bCs w:val="1"/>
                <w:color w:val="005A64"/>
              </w:rPr>
              <w:t>December</w:t>
            </w:r>
          </w:p>
        </w:tc>
        <w:tc>
          <w:tcPr>
            <w:tcW w:w="80" w:type="dxa"/>
            <w:vAlign w:val="bottom"/>
          </w:tcPr>
          <w:p>
            <w:pPr>
              <w:spacing w:after="0"/>
              <w:rPr>
                <w:sz w:val="8"/>
                <w:szCs w:val="8"/>
                <w:color w:val="auto"/>
              </w:rPr>
            </w:pPr>
          </w:p>
        </w:tc>
        <w:tc>
          <w:tcPr>
            <w:tcW w:w="660" w:type="dxa"/>
            <w:vAlign w:val="bottom"/>
          </w:tcPr>
          <w:p>
            <w:pPr>
              <w:ind w:left="20"/>
              <w:spacing w:after="0" w:line="101" w:lineRule="exact"/>
              <w:rPr>
                <w:sz w:val="20"/>
                <w:szCs w:val="20"/>
                <w:color w:val="auto"/>
              </w:rPr>
            </w:pPr>
            <w:r>
              <w:rPr>
                <w:rFonts w:ascii="Arial" w:cs="Arial" w:eastAsia="Arial" w:hAnsi="Arial"/>
                <w:sz w:val="11"/>
                <w:szCs w:val="11"/>
                <w:b w:val="1"/>
                <w:bCs w:val="1"/>
                <w:color w:val="005A64"/>
              </w:rPr>
              <w:t>December</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gridSpan w:val="2"/>
          </w:tcPr>
          <w:p>
            <w:pPr>
              <w:ind w:left="20"/>
              <w:spacing w:after="0" w:line="101" w:lineRule="exact"/>
              <w:rPr>
                <w:sz w:val="20"/>
                <w:szCs w:val="20"/>
                <w:color w:val="auto"/>
              </w:rPr>
            </w:pPr>
            <w:r>
              <w:rPr>
                <w:rFonts w:ascii="Arial" w:cs="Arial" w:eastAsia="Arial" w:hAnsi="Arial"/>
                <w:sz w:val="11"/>
                <w:szCs w:val="11"/>
                <w:b w:val="1"/>
                <w:bCs w:val="1"/>
                <w:color w:val="005A64"/>
              </w:rPr>
              <w:t>December</w:t>
            </w:r>
          </w:p>
        </w:tc>
        <w:tc>
          <w:tcPr>
            <w:tcW w:w="660" w:type="dxa"/>
            <w:vAlign w:val="bottom"/>
          </w:tcPr>
          <w:p>
            <w:pPr>
              <w:ind w:left="20"/>
              <w:spacing w:after="0" w:line="101" w:lineRule="exact"/>
              <w:rPr>
                <w:sz w:val="20"/>
                <w:szCs w:val="20"/>
                <w:color w:val="auto"/>
              </w:rPr>
            </w:pPr>
            <w:r>
              <w:rPr>
                <w:rFonts w:ascii="Arial" w:cs="Arial" w:eastAsia="Arial" w:hAnsi="Arial"/>
                <w:sz w:val="11"/>
                <w:szCs w:val="11"/>
                <w:b w:val="1"/>
                <w:bCs w:val="1"/>
                <w:color w:val="005A64"/>
              </w:rPr>
              <w:t>December</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tcPr>
          <w:p>
            <w:pPr>
              <w:spacing w:after="0" w:line="101" w:lineRule="exact"/>
              <w:rPr>
                <w:sz w:val="20"/>
                <w:szCs w:val="20"/>
                <w:color w:val="auto"/>
              </w:rPr>
            </w:pPr>
            <w:r>
              <w:rPr>
                <w:rFonts w:ascii="Arial" w:cs="Arial" w:eastAsia="Arial" w:hAnsi="Arial"/>
                <w:sz w:val="11"/>
                <w:szCs w:val="11"/>
                <w:b w:val="1"/>
                <w:bCs w:val="1"/>
                <w:color w:val="005A64"/>
              </w:rPr>
              <w:t>December</w:t>
            </w:r>
          </w:p>
        </w:tc>
        <w:tc>
          <w:tcPr>
            <w:tcW w:w="660" w:type="dxa"/>
            <w:vAlign w:val="bottom"/>
          </w:tcPr>
          <w:p>
            <w:pPr>
              <w:spacing w:after="0" w:line="101" w:lineRule="exact"/>
              <w:rPr>
                <w:sz w:val="20"/>
                <w:szCs w:val="20"/>
                <w:color w:val="auto"/>
              </w:rPr>
            </w:pPr>
            <w:r>
              <w:rPr>
                <w:rFonts w:ascii="Arial" w:cs="Arial" w:eastAsia="Arial" w:hAnsi="Arial"/>
                <w:sz w:val="11"/>
                <w:szCs w:val="11"/>
                <w:b w:val="1"/>
                <w:bCs w:val="1"/>
                <w:color w:val="005A64"/>
              </w:rPr>
              <w:t>December</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ind w:left="20"/>
              <w:spacing w:after="0" w:line="101" w:lineRule="exact"/>
              <w:rPr>
                <w:sz w:val="20"/>
                <w:szCs w:val="20"/>
                <w:color w:val="auto"/>
              </w:rPr>
            </w:pPr>
            <w:r>
              <w:rPr>
                <w:rFonts w:ascii="Arial" w:cs="Arial" w:eastAsia="Arial" w:hAnsi="Arial"/>
                <w:sz w:val="11"/>
                <w:szCs w:val="11"/>
                <w:b w:val="1"/>
                <w:bCs w:val="1"/>
                <w:color w:val="005A64"/>
              </w:rPr>
              <w:t>December</w:t>
            </w:r>
          </w:p>
        </w:tc>
        <w:tc>
          <w:tcPr>
            <w:tcW w:w="80" w:type="dxa"/>
            <w:vAlign w:val="bottom"/>
          </w:tcPr>
          <w:p>
            <w:pPr>
              <w:spacing w:after="0"/>
              <w:rPr>
                <w:sz w:val="8"/>
                <w:szCs w:val="8"/>
                <w:color w:val="auto"/>
              </w:rPr>
            </w:pPr>
          </w:p>
        </w:tc>
        <w:tc>
          <w:tcPr>
            <w:tcW w:w="660" w:type="dxa"/>
            <w:vAlign w:val="bottom"/>
          </w:tcPr>
          <w:p>
            <w:pPr>
              <w:spacing w:after="0" w:line="101" w:lineRule="exact"/>
              <w:rPr>
                <w:sz w:val="20"/>
                <w:szCs w:val="20"/>
                <w:color w:val="auto"/>
              </w:rPr>
            </w:pPr>
            <w:r>
              <w:rPr>
                <w:rFonts w:ascii="Arial" w:cs="Arial" w:eastAsia="Arial" w:hAnsi="Arial"/>
                <w:sz w:val="11"/>
                <w:szCs w:val="11"/>
                <w:b w:val="1"/>
                <w:bCs w:val="1"/>
                <w:color w:val="005A64"/>
              </w:rPr>
              <w:t>December</w:t>
            </w: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005A64"/>
              </w:rPr>
              <w:t>31, 2024</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005A64"/>
              </w:rPr>
              <w:t>31, 2023</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005A64"/>
              </w:rPr>
              <w:t>31, 2024</w:t>
            </w:r>
          </w:p>
        </w:tc>
        <w:tc>
          <w:tcPr>
            <w:tcW w:w="8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005A64"/>
              </w:rPr>
              <w:t>31, 2023</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005A64"/>
              </w:rPr>
              <w:t>31, 2024</w:t>
            </w:r>
          </w:p>
        </w:tc>
        <w:tc>
          <w:tcPr>
            <w:tcW w:w="8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1"/>
                <w:szCs w:val="11"/>
                <w:b w:val="1"/>
                <w:bCs w:val="1"/>
                <w:color w:val="005A64"/>
              </w:rPr>
              <w:t>31, 2023</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005A64"/>
              </w:rPr>
              <w:t>31, 2024</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005A64"/>
              </w:rPr>
              <w:t>31, 2023</w:t>
            </w:r>
          </w:p>
        </w:tc>
        <w:tc>
          <w:tcPr>
            <w:tcW w:w="0" w:type="dxa"/>
            <w:vAlign w:val="bottom"/>
          </w:tcPr>
          <w:p>
            <w:pPr>
              <w:spacing w:after="0"/>
              <w:rPr>
                <w:sz w:val="1"/>
                <w:szCs w:val="1"/>
                <w:color w:val="auto"/>
              </w:rPr>
            </w:pPr>
          </w:p>
        </w:tc>
      </w:tr>
      <w:tr>
        <w:trPr>
          <w:trHeight w:val="112"/>
        </w:trPr>
        <w:tc>
          <w:tcPr>
            <w:tcW w:w="10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000" w:type="dxa"/>
            <w:vAlign w:val="bottom"/>
            <w:tcBorders>
              <w:top w:val="single" w:sz="8" w:color="005A64"/>
            </w:tcBorders>
          </w:tcPr>
          <w:p>
            <w:pPr>
              <w:ind w:left="20"/>
              <w:spacing w:after="0"/>
              <w:rPr>
                <w:sz w:val="20"/>
                <w:szCs w:val="20"/>
                <w:color w:val="auto"/>
              </w:rPr>
            </w:pPr>
            <w:r>
              <w:rPr>
                <w:rFonts w:ascii="Arial" w:cs="Arial" w:eastAsia="Arial" w:hAnsi="Arial"/>
                <w:sz w:val="11"/>
                <w:szCs w:val="11"/>
                <w:color w:val="005A64"/>
              </w:rPr>
              <w:t>Goodwill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005A64"/>
            </w:tcBorders>
          </w:tcPr>
          <w:p>
            <w:pPr>
              <w:ind w:left="20"/>
              <w:spacing w:after="0"/>
              <w:rPr>
                <w:sz w:val="20"/>
                <w:szCs w:val="20"/>
                <w:color w:val="auto"/>
              </w:rPr>
            </w:pPr>
            <w:r>
              <w:rPr>
                <w:rFonts w:ascii="Arial" w:cs="Arial" w:eastAsia="Arial" w:hAnsi="Arial"/>
                <w:sz w:val="11"/>
                <w:szCs w:val="11"/>
                <w:color w:val="005A64"/>
              </w:rPr>
              <w:t>369.8</w:t>
            </w:r>
          </w:p>
        </w:tc>
        <w:tc>
          <w:tcPr>
            <w:tcW w:w="80" w:type="dxa"/>
            <w:vAlign w:val="bottom"/>
          </w:tcPr>
          <w:p>
            <w:pPr>
              <w:spacing w:after="0"/>
              <w:rPr>
                <w:sz w:val="11"/>
                <w:szCs w:val="11"/>
                <w:color w:val="auto"/>
              </w:rPr>
            </w:pPr>
          </w:p>
        </w:tc>
        <w:tc>
          <w:tcPr>
            <w:tcW w:w="660" w:type="dxa"/>
            <w:vAlign w:val="bottom"/>
            <w:tcBorders>
              <w:top w:val="single" w:sz="8" w:color="005A64"/>
            </w:tcBorders>
          </w:tcPr>
          <w:p>
            <w:pPr>
              <w:ind w:left="20"/>
              <w:spacing w:after="0"/>
              <w:rPr>
                <w:sz w:val="20"/>
                <w:szCs w:val="20"/>
                <w:color w:val="auto"/>
              </w:rPr>
            </w:pPr>
            <w:r>
              <w:rPr>
                <w:rFonts w:ascii="Arial" w:cs="Arial" w:eastAsia="Arial" w:hAnsi="Arial"/>
                <w:sz w:val="11"/>
                <w:szCs w:val="11"/>
                <w:color w:val="005A64"/>
              </w:rPr>
              <w:t>352.2</w:t>
            </w:r>
          </w:p>
        </w:tc>
        <w:tc>
          <w:tcPr>
            <w:tcW w:w="40" w:type="dxa"/>
            <w:vAlign w:val="bottom"/>
            <w:gridSpan w:val="2"/>
          </w:tcPr>
          <w:p>
            <w:pPr>
              <w:spacing w:after="0"/>
              <w:rPr>
                <w:sz w:val="11"/>
                <w:szCs w:val="11"/>
                <w:color w:val="auto"/>
              </w:rPr>
            </w:pPr>
          </w:p>
        </w:tc>
        <w:tc>
          <w:tcPr>
            <w:tcW w:w="660" w:type="dxa"/>
            <w:vAlign w:val="bottom"/>
            <w:tcBorders>
              <w:top w:val="single" w:sz="8" w:color="005A64"/>
            </w:tcBorders>
          </w:tcPr>
          <w:p>
            <w:pPr>
              <w:ind w:left="20"/>
              <w:spacing w:after="0"/>
              <w:rPr>
                <w:sz w:val="20"/>
                <w:szCs w:val="20"/>
                <w:color w:val="auto"/>
              </w:rPr>
            </w:pPr>
            <w:r>
              <w:rPr>
                <w:rFonts w:ascii="Arial" w:cs="Arial" w:eastAsia="Arial" w:hAnsi="Arial"/>
                <w:sz w:val="11"/>
                <w:szCs w:val="11"/>
                <w:color w:val="005A64"/>
              </w:rPr>
              <w:t>0.5</w:t>
            </w:r>
          </w:p>
        </w:tc>
        <w:tc>
          <w:tcPr>
            <w:tcW w:w="80" w:type="dxa"/>
            <w:vAlign w:val="bottom"/>
          </w:tcPr>
          <w:p>
            <w:pPr>
              <w:spacing w:after="0"/>
              <w:rPr>
                <w:sz w:val="11"/>
                <w:szCs w:val="11"/>
                <w:color w:val="auto"/>
              </w:rPr>
            </w:pPr>
          </w:p>
        </w:tc>
        <w:tc>
          <w:tcPr>
            <w:tcW w:w="660" w:type="dxa"/>
            <w:vAlign w:val="bottom"/>
            <w:tcBorders>
              <w:top w:val="single" w:sz="8" w:color="005A64"/>
            </w:tcBorders>
          </w:tcPr>
          <w:p>
            <w:pPr>
              <w:ind w:left="20"/>
              <w:spacing w:after="0"/>
              <w:rPr>
                <w:sz w:val="20"/>
                <w:szCs w:val="20"/>
                <w:color w:val="auto"/>
              </w:rPr>
            </w:pPr>
            <w:r>
              <w:rPr>
                <w:rFonts w:ascii="Arial" w:cs="Arial" w:eastAsia="Arial" w:hAnsi="Arial"/>
                <w:sz w:val="11"/>
                <w:szCs w:val="11"/>
                <w:color w:val="005A64"/>
              </w:rPr>
              <w:t>0.5</w:t>
            </w:r>
          </w:p>
        </w:tc>
        <w:tc>
          <w:tcPr>
            <w:tcW w:w="60" w:type="dxa"/>
            <w:vAlign w:val="bottom"/>
            <w:gridSpan w:val="2"/>
          </w:tcPr>
          <w:p>
            <w:pPr>
              <w:spacing w:after="0"/>
              <w:rPr>
                <w:sz w:val="11"/>
                <w:szCs w:val="11"/>
                <w:color w:val="auto"/>
              </w:rPr>
            </w:pPr>
          </w:p>
        </w:tc>
        <w:tc>
          <w:tcPr>
            <w:tcW w:w="66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10.3</w:t>
            </w:r>
          </w:p>
        </w:tc>
        <w:tc>
          <w:tcPr>
            <w:tcW w:w="80" w:type="dxa"/>
            <w:vAlign w:val="bottom"/>
          </w:tcPr>
          <w:p>
            <w:pPr>
              <w:spacing w:after="0"/>
              <w:rPr>
                <w:sz w:val="11"/>
                <w:szCs w:val="11"/>
                <w:color w:val="auto"/>
              </w:rPr>
            </w:pPr>
          </w:p>
        </w:tc>
        <w:tc>
          <w:tcPr>
            <w:tcW w:w="66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9.8</w:t>
            </w:r>
          </w:p>
        </w:tc>
        <w:tc>
          <w:tcPr>
            <w:tcW w:w="40" w:type="dxa"/>
            <w:vAlign w:val="bottom"/>
            <w:gridSpan w:val="2"/>
          </w:tcPr>
          <w:p>
            <w:pPr>
              <w:spacing w:after="0"/>
              <w:rPr>
                <w:sz w:val="11"/>
                <w:szCs w:val="11"/>
                <w:color w:val="auto"/>
              </w:rPr>
            </w:pPr>
          </w:p>
        </w:tc>
        <w:tc>
          <w:tcPr>
            <w:tcW w:w="660" w:type="dxa"/>
            <w:vAlign w:val="bottom"/>
            <w:tcBorders>
              <w:top w:val="single" w:sz="8" w:color="005A64"/>
            </w:tcBorders>
          </w:tcPr>
          <w:p>
            <w:pPr>
              <w:ind w:left="20"/>
              <w:spacing w:after="0"/>
              <w:rPr>
                <w:sz w:val="20"/>
                <w:szCs w:val="20"/>
                <w:color w:val="auto"/>
              </w:rPr>
            </w:pPr>
            <w:r>
              <w:rPr>
                <w:rFonts w:ascii="Arial" w:cs="Arial" w:eastAsia="Arial" w:hAnsi="Arial"/>
                <w:sz w:val="11"/>
                <w:szCs w:val="11"/>
                <w:color w:val="005A64"/>
              </w:rPr>
              <w:t>380.6</w:t>
            </w:r>
          </w:p>
        </w:tc>
        <w:tc>
          <w:tcPr>
            <w:tcW w:w="80" w:type="dxa"/>
            <w:vAlign w:val="bottom"/>
          </w:tcPr>
          <w:p>
            <w:pPr>
              <w:spacing w:after="0"/>
              <w:rPr>
                <w:sz w:val="11"/>
                <w:szCs w:val="11"/>
                <w:color w:val="auto"/>
              </w:rPr>
            </w:pPr>
          </w:p>
        </w:tc>
        <w:tc>
          <w:tcPr>
            <w:tcW w:w="66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362.5</w:t>
            </w:r>
          </w:p>
        </w:tc>
        <w:tc>
          <w:tcPr>
            <w:tcW w:w="0" w:type="dxa"/>
            <w:vAlign w:val="bottom"/>
          </w:tcPr>
          <w:p>
            <w:pPr>
              <w:spacing w:after="0"/>
              <w:rPr>
                <w:sz w:val="1"/>
                <w:szCs w:val="1"/>
                <w:color w:val="auto"/>
              </w:rPr>
            </w:pPr>
          </w:p>
        </w:tc>
      </w:tr>
      <w:tr>
        <w:trPr>
          <w:trHeight w:val="147"/>
        </w:trPr>
        <w:tc>
          <w:tcPr>
            <w:tcW w:w="1020" w:type="dxa"/>
            <w:vAlign w:val="bottom"/>
            <w:gridSpan w:val="2"/>
          </w:tcPr>
          <w:p>
            <w:pPr>
              <w:ind w:left="20"/>
              <w:spacing w:after="0"/>
              <w:rPr>
                <w:sz w:val="20"/>
                <w:szCs w:val="20"/>
                <w:color w:val="auto"/>
              </w:rPr>
            </w:pPr>
            <w:r>
              <w:rPr>
                <w:rFonts w:ascii="Arial" w:cs="Arial" w:eastAsia="Arial" w:hAnsi="Arial"/>
                <w:sz w:val="11"/>
                <w:szCs w:val="11"/>
                <w:color w:val="005A64"/>
              </w:rPr>
              <w:t>Intangible assets</w:t>
            </w:r>
          </w:p>
        </w:tc>
        <w:tc>
          <w:tcPr>
            <w:tcW w:w="680" w:type="dxa"/>
            <w:vAlign w:val="bottom"/>
            <w:gridSpan w:val="2"/>
          </w:tcPr>
          <w:p>
            <w:pPr>
              <w:ind w:left="40"/>
              <w:spacing w:after="0"/>
              <w:rPr>
                <w:sz w:val="20"/>
                <w:szCs w:val="20"/>
                <w:color w:val="auto"/>
              </w:rPr>
            </w:pPr>
            <w:r>
              <w:rPr>
                <w:rFonts w:ascii="Arial" w:cs="Arial" w:eastAsia="Arial" w:hAnsi="Arial"/>
                <w:sz w:val="11"/>
                <w:szCs w:val="11"/>
                <w:color w:val="005A64"/>
              </w:rPr>
              <w:t>486.5</w:t>
            </w:r>
          </w:p>
        </w:tc>
        <w:tc>
          <w:tcPr>
            <w:tcW w:w="740" w:type="dxa"/>
            <w:vAlign w:val="bottom"/>
            <w:gridSpan w:val="2"/>
          </w:tcPr>
          <w:p>
            <w:pPr>
              <w:ind w:left="100"/>
              <w:spacing w:after="0"/>
              <w:rPr>
                <w:sz w:val="20"/>
                <w:szCs w:val="20"/>
                <w:color w:val="auto"/>
              </w:rPr>
            </w:pPr>
            <w:r>
              <w:rPr>
                <w:rFonts w:ascii="Arial" w:cs="Arial" w:eastAsia="Arial" w:hAnsi="Arial"/>
                <w:sz w:val="11"/>
                <w:szCs w:val="11"/>
                <w:color w:val="005A64"/>
              </w:rPr>
              <w:t>444.5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color w:val="005A64"/>
              </w:rPr>
              <w:t>—</w:t>
            </w:r>
          </w:p>
        </w:tc>
        <w:tc>
          <w:tcPr>
            <w:tcW w:w="660" w:type="dxa"/>
            <w:vAlign w:val="bottom"/>
          </w:tcPr>
          <w:p>
            <w:pPr>
              <w:ind w:left="20"/>
              <w:spacing w:after="0"/>
              <w:rPr>
                <w:sz w:val="20"/>
                <w:szCs w:val="20"/>
                <w:color w:val="auto"/>
              </w:rPr>
            </w:pPr>
            <w:r>
              <w:rPr>
                <w:rFonts w:ascii="Arial" w:cs="Arial" w:eastAsia="Arial" w:hAnsi="Arial"/>
                <w:sz w:val="11"/>
                <w:szCs w:val="11"/>
                <w:color w:val="005A64"/>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1"/>
                <w:szCs w:val="11"/>
                <w:color w:val="005A64"/>
              </w:rPr>
              <w:t>—</w:t>
            </w:r>
          </w:p>
        </w:tc>
        <w:tc>
          <w:tcPr>
            <w:tcW w:w="660" w:type="dxa"/>
            <w:vAlign w:val="bottom"/>
          </w:tcPr>
          <w:p>
            <w:pPr>
              <w:spacing w:after="0"/>
              <w:rPr>
                <w:sz w:val="20"/>
                <w:szCs w:val="20"/>
                <w:color w:val="auto"/>
              </w:rPr>
            </w:pPr>
            <w:r>
              <w:rPr>
                <w:rFonts w:ascii="Arial" w:cs="Arial" w:eastAsia="Arial" w:hAnsi="Arial"/>
                <w:sz w:val="11"/>
                <w:szCs w:val="11"/>
                <w:color w:val="005A64"/>
              </w:rPr>
              <w:t>—</w:t>
            </w:r>
          </w:p>
        </w:tc>
        <w:tc>
          <w:tcPr>
            <w:tcW w:w="700" w:type="dxa"/>
            <w:vAlign w:val="bottom"/>
            <w:gridSpan w:val="3"/>
          </w:tcPr>
          <w:p>
            <w:pPr>
              <w:ind w:left="60"/>
              <w:spacing w:after="0"/>
              <w:rPr>
                <w:sz w:val="20"/>
                <w:szCs w:val="20"/>
                <w:color w:val="auto"/>
              </w:rPr>
            </w:pPr>
            <w:r>
              <w:rPr>
                <w:rFonts w:ascii="Arial" w:cs="Arial" w:eastAsia="Arial" w:hAnsi="Arial"/>
                <w:sz w:val="11"/>
                <w:szCs w:val="11"/>
                <w:color w:val="005A64"/>
              </w:rPr>
              <w:t>486.5</w:t>
            </w:r>
          </w:p>
        </w:tc>
        <w:tc>
          <w:tcPr>
            <w:tcW w:w="740" w:type="dxa"/>
            <w:vAlign w:val="bottom"/>
            <w:gridSpan w:val="2"/>
          </w:tcPr>
          <w:p>
            <w:pPr>
              <w:ind w:left="80"/>
              <w:spacing w:after="0"/>
              <w:rPr>
                <w:sz w:val="20"/>
                <w:szCs w:val="20"/>
                <w:color w:val="auto"/>
              </w:rPr>
            </w:pPr>
            <w:r>
              <w:rPr>
                <w:rFonts w:ascii="Arial" w:cs="Arial" w:eastAsia="Arial" w:hAnsi="Arial"/>
                <w:sz w:val="11"/>
                <w:szCs w:val="11"/>
                <w:color w:val="005A64"/>
              </w:rPr>
              <w:t>444.5</w:t>
            </w:r>
          </w:p>
        </w:tc>
        <w:tc>
          <w:tcPr>
            <w:tcW w:w="0" w:type="dxa"/>
            <w:vAlign w:val="bottom"/>
          </w:tcPr>
          <w:p>
            <w:pPr>
              <w:spacing w:after="0"/>
              <w:rPr>
                <w:sz w:val="1"/>
                <w:szCs w:val="1"/>
                <w:color w:val="auto"/>
              </w:rPr>
            </w:pPr>
          </w:p>
        </w:tc>
      </w:tr>
      <w:tr>
        <w:trPr>
          <w:trHeight w:val="101"/>
        </w:trPr>
        <w:tc>
          <w:tcPr>
            <w:tcW w:w="1020" w:type="dxa"/>
            <w:vAlign w:val="bottom"/>
            <w:gridSpan w:val="2"/>
          </w:tcPr>
          <w:p>
            <w:pPr>
              <w:ind w:left="20"/>
              <w:spacing w:after="0" w:line="101" w:lineRule="exact"/>
              <w:rPr>
                <w:sz w:val="20"/>
                <w:szCs w:val="20"/>
                <w:color w:val="auto"/>
              </w:rPr>
            </w:pPr>
            <w:r>
              <w:rPr>
                <w:rFonts w:ascii="Arial" w:cs="Arial" w:eastAsia="Arial" w:hAnsi="Arial"/>
                <w:sz w:val="11"/>
                <w:szCs w:val="11"/>
                <w:color w:val="005A64"/>
              </w:rPr>
              <w:t>with indefinite</w:t>
            </w: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20" w:type="dxa"/>
            <w:vAlign w:val="bottom"/>
            <w:gridSpan w:val="2"/>
          </w:tcPr>
          <w:p>
            <w:pPr>
              <w:ind w:left="20"/>
              <w:spacing w:after="0"/>
              <w:rPr>
                <w:sz w:val="20"/>
                <w:szCs w:val="20"/>
                <w:color w:val="auto"/>
              </w:rPr>
            </w:pPr>
            <w:r>
              <w:rPr>
                <w:rFonts w:ascii="Arial" w:cs="Arial" w:eastAsia="Arial" w:hAnsi="Arial"/>
                <w:sz w:val="11"/>
                <w:szCs w:val="11"/>
                <w:color w:val="005A64"/>
              </w:rPr>
              <w:t>useful life</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005A64"/>
              </w:rPr>
              <w:t>Total</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005A64"/>
              </w:rPr>
              <w:t>856.3</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005A64"/>
              </w:rPr>
              <w:t>796.7</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005A64"/>
              </w:rPr>
              <w:t>0.5</w:t>
            </w:r>
          </w:p>
        </w:tc>
        <w:tc>
          <w:tcPr>
            <w:tcW w:w="80" w:type="dxa"/>
            <w:vAlign w:val="bottom"/>
          </w:tcPr>
          <w:p>
            <w:pPr>
              <w:spacing w:after="0"/>
              <w:rPr>
                <w:sz w:val="23"/>
                <w:szCs w:val="23"/>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005A64"/>
              </w:rPr>
              <w:t>0.5</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005A64"/>
              </w:rPr>
              <w:t>10.3</w:t>
            </w:r>
          </w:p>
        </w:tc>
        <w:tc>
          <w:tcPr>
            <w:tcW w:w="80" w:type="dxa"/>
            <w:vAlign w:val="bottom"/>
          </w:tcPr>
          <w:p>
            <w:pPr>
              <w:spacing w:after="0"/>
              <w:rPr>
                <w:sz w:val="23"/>
                <w:szCs w:val="23"/>
                <w:color w:val="auto"/>
              </w:rPr>
            </w:pPr>
          </w:p>
        </w:tc>
        <w:tc>
          <w:tcPr>
            <w:tcW w:w="660" w:type="dxa"/>
            <w:vAlign w:val="bottom"/>
          </w:tcPr>
          <w:p>
            <w:pPr>
              <w:spacing w:after="0"/>
              <w:rPr>
                <w:sz w:val="20"/>
                <w:szCs w:val="20"/>
                <w:color w:val="auto"/>
              </w:rPr>
            </w:pPr>
            <w:r>
              <w:rPr>
                <w:rFonts w:ascii="Arial" w:cs="Arial" w:eastAsia="Arial" w:hAnsi="Arial"/>
                <w:sz w:val="11"/>
                <w:szCs w:val="11"/>
                <w:b w:val="1"/>
                <w:bCs w:val="1"/>
                <w:color w:val="005A64"/>
              </w:rPr>
              <w:t>9.8</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005A64"/>
              </w:rPr>
              <w:t>867.1</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005A64"/>
              </w:rPr>
              <w:t>807.0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-820420</wp:posOffset>
            </wp:positionV>
            <wp:extent cx="468630" cy="86677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3">
                      <a:extLst>
                        <a:ext uri="{28A0092B-C50C-407E-A947-70E740481C1C}"/>
                      </a:extLst>
                    </a:blip>
                    <a:srcRect/>
                    <a:stretch>
                      <a:fillRect/>
                    </a:stretch>
                  </pic:blipFill>
                  <pic:spPr bwMode="auto">
                    <a:xfrm>
                      <a:off x="0" y="0"/>
                      <a:ext cx="468630" cy="8667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-820420</wp:posOffset>
            </wp:positionV>
            <wp:extent cx="468630" cy="8667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4">
                      <a:extLst>
                        <a:ext uri="{28A0092B-C50C-407E-A947-70E740481C1C}"/>
                      </a:extLst>
                    </a:blip>
                    <a:srcRect/>
                    <a:stretch>
                      <a:fillRect/>
                    </a:stretch>
                  </pic:blipFill>
                  <pic:spPr bwMode="auto">
                    <a:xfrm>
                      <a:off x="0" y="0"/>
                      <a:ext cx="468630" cy="86677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-820420</wp:posOffset>
            </wp:positionV>
            <wp:extent cx="468630" cy="86677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5">
                      <a:extLst>
                        <a:ext uri="{28A0092B-C50C-407E-A947-70E740481C1C}"/>
                      </a:extLst>
                    </a:blip>
                    <a:srcRect/>
                    <a:stretch>
                      <a:fillRect/>
                    </a:stretch>
                  </pic:blipFill>
                  <pic:spPr bwMode="auto">
                    <a:xfrm>
                      <a:off x="0" y="0"/>
                      <a:ext cx="468630" cy="86677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-820420</wp:posOffset>
            </wp:positionV>
            <wp:extent cx="468630" cy="86677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6">
                      <a:extLst>
                        <a:ext uri="{28A0092B-C50C-407E-A947-70E740481C1C}"/>
                      </a:extLst>
                    </a:blip>
                    <a:srcRect/>
                    <a:stretch>
                      <a:fillRect/>
                    </a:stretch>
                  </pic:blipFill>
                  <pic:spPr bwMode="auto">
                    <a:xfrm>
                      <a:off x="0" y="0"/>
                      <a:ext cx="468630" cy="866775"/>
                    </a:xfrm>
                    <a:prstGeom prst="rect">
                      <a:avLst/>
                    </a:prstGeom>
                    <a:noFill/>
                  </pic:spPr>
                </pic:pic>
              </a:graphicData>
            </a:graphic>
          </wp:anchor>
        </w:drawing>
      </w:r>
    </w:p>
    <w:p>
      <w:pPr>
        <w:spacing w:after="0" w:line="31" w:lineRule="exact"/>
        <w:rPr>
          <w:sz w:val="20"/>
          <w:szCs w:val="20"/>
          <w:color w:val="auto"/>
        </w:rPr>
      </w:pPr>
    </w:p>
    <w:p>
      <w:pPr>
        <w:ind w:left="380" w:right="2260"/>
        <w:spacing w:after="0" w:line="227" w:lineRule="auto"/>
        <w:rPr>
          <w:sz w:val="20"/>
          <w:szCs w:val="20"/>
          <w:color w:val="auto"/>
        </w:rPr>
      </w:pPr>
      <w:r>
        <w:rPr>
          <w:rFonts w:ascii="Arial" w:cs="Arial" w:eastAsia="Arial" w:hAnsi="Arial"/>
          <w:sz w:val="13"/>
          <w:szCs w:val="13"/>
          <w:color w:val="auto"/>
        </w:rPr>
        <w:t>For the year ended December 31, 2024, our goodwill relates almost completely to the CGU Immunotherapies. The CGU Immunotherapies focuses on the development of therapies in the field of oncology and infectious diseases and comprises our broad pipeline that includes mRNA-based immune activators, antigen-targeting T cells and antibodies and defined immunomodulators of various immune cell mechanisms.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-352425</wp:posOffset>
            </wp:positionV>
            <wp:extent cx="629285" cy="63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7">
                      <a:extLst>
                        <a:ext uri="{28A0092B-C50C-407E-A947-70E740481C1C}"/>
                      </a:extLst>
                    </a:blip>
                    <a:srcRect/>
                    <a:stretch>
                      <a:fillRect/>
                    </a:stretch>
                  </pic:blipFill>
                  <pic:spPr bwMode="auto">
                    <a:xfrm>
                      <a:off x="0" y="0"/>
                      <a:ext cx="629285" cy="6350"/>
                    </a:xfrm>
                    <a:prstGeom prst="rect">
                      <a:avLst/>
                    </a:prstGeom>
                    <a:noFill/>
                  </pic:spPr>
                </pic:pic>
              </a:graphicData>
            </a:graphic>
          </wp:anchor>
        </w:drawing>
        <w:drawing>
          <wp:anchor simplePos="0" relativeHeight="251657728" behindDoc="1" locked="0" layoutInCell="0" allowOverlap="1">
            <wp:simplePos x="0" y="0"/>
            <wp:positionH relativeFrom="column">
              <wp:posOffset>1372870</wp:posOffset>
            </wp:positionH>
            <wp:positionV relativeFrom="paragraph">
              <wp:posOffset>-352425</wp:posOffset>
            </wp:positionV>
            <wp:extent cx="417195" cy="63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8">
                      <a:extLst>
                        <a:ext uri="{28A0092B-C50C-407E-A947-70E740481C1C}"/>
                      </a:extLst>
                    </a:blip>
                    <a:srcRect/>
                    <a:stretch>
                      <a:fillRect/>
                    </a:stretch>
                  </pic:blipFill>
                  <pic:spPr bwMode="auto">
                    <a:xfrm>
                      <a:off x="0" y="0"/>
                      <a:ext cx="417195" cy="6350"/>
                    </a:xfrm>
                    <a:prstGeom prst="rect">
                      <a:avLst/>
                    </a:prstGeom>
                    <a:noFill/>
                  </pic:spPr>
                </pic:pic>
              </a:graphicData>
            </a:graphic>
          </wp:anchor>
        </w:drawing>
        <w:drawing>
          <wp:anchor simplePos="0" relativeHeight="251657728" behindDoc="1" locked="0" layoutInCell="0" allowOverlap="1">
            <wp:simplePos x="0" y="0"/>
            <wp:positionH relativeFrom="column">
              <wp:posOffset>2291080</wp:posOffset>
            </wp:positionH>
            <wp:positionV relativeFrom="paragraph">
              <wp:posOffset>-352425</wp:posOffset>
            </wp:positionV>
            <wp:extent cx="417195" cy="63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9">
                      <a:extLst>
                        <a:ext uri="{28A0092B-C50C-407E-A947-70E740481C1C}"/>
                      </a:extLst>
                    </a:blip>
                    <a:srcRect/>
                    <a:stretch>
                      <a:fillRect/>
                    </a:stretch>
                  </pic:blipFill>
                  <pic:spPr bwMode="auto">
                    <a:xfrm>
                      <a:off x="0" y="0"/>
                      <a:ext cx="417195" cy="6350"/>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-352425</wp:posOffset>
            </wp:positionV>
            <wp:extent cx="417195" cy="63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0">
                      <a:extLst>
                        <a:ext uri="{28A0092B-C50C-407E-A947-70E740481C1C}"/>
                      </a:extLst>
                    </a:blip>
                    <a:srcRect/>
                    <a:stretch>
                      <a:fillRect/>
                    </a:stretch>
                  </pic:blipFill>
                  <pic:spPr bwMode="auto">
                    <a:xfrm>
                      <a:off x="0" y="0"/>
                      <a:ext cx="417195" cy="6350"/>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-352425</wp:posOffset>
            </wp:positionV>
            <wp:extent cx="417195" cy="63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1">
                      <a:extLst>
                        <a:ext uri="{28A0092B-C50C-407E-A947-70E740481C1C}"/>
                      </a:extLst>
                    </a:blip>
                    <a:srcRect/>
                    <a:stretch>
                      <a:fillRect/>
                    </a:stretch>
                  </pic:blipFill>
                  <pic:spPr bwMode="auto">
                    <a:xfrm>
                      <a:off x="0" y="0"/>
                      <a:ext cx="41719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F-44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We performed our annual Goodwill impairment test in October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6" w:lineRule="auto"/>
        <w:rPr>
          <w:sz w:val="20"/>
          <w:szCs w:val="20"/>
          <w:color w:val="auto"/>
        </w:rPr>
      </w:pPr>
      <w:r>
        <w:rPr>
          <w:rFonts w:ascii="Arial" w:cs="Arial" w:eastAsia="Arial" w:hAnsi="Arial"/>
          <w:sz w:val="13"/>
          <w:szCs w:val="13"/>
          <w:color w:val="auto"/>
        </w:rPr>
        <w:t>The recoverable amount of the CGU Immunotherapies has been determined based on a fair value less cost of disposal (FVLCD), which we derived based on our market capitalization as an observable input parameter. The recoverable amounts of the CGU External Product Sales of JPT and the CGU External Business of InstaDeep have been determined based on their value in use. In assessing value in use, the estimated future cash flows, which are derived based on a bottom-up business plan provided by the management of the respective entities, are discounted to their present value using a pre- tax discount rate that reflects current market assessments of the time value of money and the risks specific to the assets. A long-term growth rate of 1.5% is applied to project future cash flows after the last year of the detailed planning period.</w:t>
      </w:r>
    </w:p>
    <w:p>
      <w:pPr>
        <w:sectPr>
          <w:pgSz w:w="11900" w:h="16840" w:orient="portrait"/>
          <w:cols w:equalWidth="0" w:num="1">
            <w:col w:w="9020"/>
          </w:cols>
          <w:pgMar w:left="1440" w:top="1440" w:right="1440" w:bottom="31" w:gutter="0" w:footer="0" w:header="0"/>
          <w:type w:val="continuous"/>
        </w:sectPr>
      </w:pPr>
    </w:p>
    <w:bookmarkStart w:id="210" w:name="page211"/>
    <w:bookmarkEnd w:id="210"/>
    <w:p>
      <w:pPr>
        <w:ind w:left="380" w:right="2100"/>
        <w:spacing w:after="0" w:line="217" w:lineRule="auto"/>
        <w:rPr>
          <w:sz w:val="20"/>
          <w:szCs w:val="20"/>
          <w:color w:val="auto"/>
        </w:rPr>
      </w:pPr>
      <w:r>
        <w:rPr>
          <w:rFonts w:ascii="Arial" w:cs="Arial" w:eastAsia="Arial" w:hAnsi="Arial"/>
          <w:sz w:val="13"/>
          <w:szCs w:val="13"/>
          <w:color w:val="auto"/>
        </w:rPr>
        <w:t>As a result of the analysis in October 2024, we did not identify an impairment for these CGUs. Even if our market capitalization had been approximately 10% lower, FVLCD would have still been above the respective carrying amount of the CGU Immunotherapies.</w:t>
      </w:r>
    </w:p>
    <w:p>
      <w:pPr>
        <w:spacing w:after="0" w:line="1" w:lineRule="exact"/>
        <w:rPr>
          <w:sz w:val="20"/>
          <w:szCs w:val="20"/>
          <w:color w:val="auto"/>
        </w:rPr>
      </w:pPr>
    </w:p>
    <w:p>
      <w:pPr>
        <w:ind w:left="380" w:right="2220"/>
        <w:spacing w:after="0" w:line="210" w:lineRule="auto"/>
        <w:rPr>
          <w:sz w:val="20"/>
          <w:szCs w:val="20"/>
          <w:color w:val="auto"/>
        </w:rPr>
      </w:pPr>
      <w:r>
        <w:rPr>
          <w:rFonts w:ascii="Arial" w:cs="Arial" w:eastAsia="Arial" w:hAnsi="Arial"/>
          <w:sz w:val="13"/>
          <w:szCs w:val="13"/>
          <w:color w:val="auto"/>
        </w:rPr>
        <w:t>Intangible assets with indefinite useful lives mainly comprised acquired intangible assets not yet available for use, or In- process R&amp;D, of €485.5 million (as of December 31, 2023: €443.5 million). Such assets are not amortized and therefore reviewed for impairment annually. The annual impairment test was performed on an individual basis of the assets during the three months ended December 31, 2024. The recoverable amounts were determined based on the value in use. The results gave rise to impairment losses in total of €55.1 million that were related to the CGU Immunotherapies. The impairment losses were recorded under R&amp;D expenses in the consolidated statements of profit or loss. The impairments resulted from revised prioritization of product candidates in the overall portfolio.</w:t>
      </w:r>
    </w:p>
    <w:p>
      <w:pPr>
        <w:spacing w:after="0" w:line="5" w:lineRule="exact"/>
        <w:rPr>
          <w:sz w:val="20"/>
          <w:szCs w:val="20"/>
          <w:color w:val="auto"/>
        </w:rPr>
      </w:pPr>
    </w:p>
    <w:p>
      <w:pPr>
        <w:ind w:left="380" w:right="2260"/>
        <w:spacing w:after="0" w:line="210" w:lineRule="auto"/>
        <w:rPr>
          <w:sz w:val="20"/>
          <w:szCs w:val="20"/>
          <w:color w:val="auto"/>
        </w:rPr>
      </w:pPr>
      <w:r>
        <w:rPr>
          <w:rFonts w:ascii="Arial" w:cs="Arial" w:eastAsia="Arial" w:hAnsi="Arial"/>
          <w:sz w:val="13"/>
          <w:szCs w:val="13"/>
          <w:color w:val="auto"/>
        </w:rPr>
        <w:t>We examine the existence of indications of impairment using various factors, particularly deviations from sales forecasts and the analysis of changes in medium-term planning. The identification of indications of impairment takes place with the involvement of the responsible departments, taking external and internal information sources into consideration.</w:t>
      </w:r>
    </w:p>
    <w:p>
      <w:pPr>
        <w:spacing w:after="0" w:line="2" w:lineRule="exact"/>
        <w:rPr>
          <w:sz w:val="20"/>
          <w:szCs w:val="20"/>
          <w:color w:val="auto"/>
        </w:rPr>
      </w:pPr>
    </w:p>
    <w:p>
      <w:pPr>
        <w:ind w:left="380" w:right="2100"/>
        <w:spacing w:after="0" w:line="214" w:lineRule="auto"/>
        <w:rPr>
          <w:sz w:val="20"/>
          <w:szCs w:val="20"/>
          <w:color w:val="auto"/>
        </w:rPr>
      </w:pPr>
      <w:r>
        <w:rPr>
          <w:rFonts w:ascii="Arial" w:cs="Arial" w:eastAsia="Arial" w:hAnsi="Arial"/>
          <w:sz w:val="13"/>
          <w:szCs w:val="13"/>
          <w:color w:val="auto"/>
        </w:rPr>
        <w:t>During the three months ended June 30, 2024, we identified a triggering event in connection with the asset related to the product candidate BNT326/YL202 due to the partial clinical hold placed on the Phase 1 trial of our partner, MediLink Therapeutics (Suzhou) Co., Ltd, or MediLink by the U.S. Food and Drug Administration, or FDA. The impairment test performed did not reveal any impairment loss. Further triggering events were identified in connection with the asset related to the product candidate BNT316/ONC-392. During the three months ended September 30, 2024, a triggering event was identified based on the operational hold of the trial. During the three months ended December 31, 2024, the trial was then placed on partial clinical hold. The FDA subsequently lifted the partial clinical holds related to both product candidates. During the three months ended December 31, 2024, we identified a triggering event based on our analysis of changes in medium -term planning. We have performed impairment tests in connection with the identified triggering events which did not give rise to any impairment loss. A sensitivity analysis of the key assumptions, future cash flows and weighted average cost of capital, was performed as part of the scheduled impairment testing of the intangible assets not yet available for use. For those assets that have not been impaired, the sensitivity analysis did not give rise to any impairment loss, either for a reduction of 10% in future cash flows or for a 10% increase in the weighted average cost of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F-45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005A64"/>
        </w:rPr>
        <w:t>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-88265</wp:posOffset>
            </wp:positionV>
            <wp:extent cx="5231130" cy="63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3">
                      <a:extLst>
                        <a:ext uri="{28A0092B-C50C-407E-A947-70E740481C1C}"/>
                      </a:extLst>
                    </a:blip>
                    <a:srcRect/>
                    <a:stretch>
                      <a:fillRect/>
                    </a:stretch>
                  </pic:blipFill>
                  <pic:spPr bwMode="auto">
                    <a:xfrm>
                      <a:off x="0" y="0"/>
                      <a:ext cx="5231130" cy="635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1270</wp:posOffset>
            </wp:positionV>
            <wp:extent cx="4236085" cy="127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4">
                      <a:extLst>
                        <a:ext uri="{28A0092B-C50C-407E-A947-70E740481C1C}"/>
                      </a:extLst>
                    </a:blip>
                    <a:srcRect/>
                    <a:stretch>
                      <a:fillRect/>
                    </a:stretch>
                  </pic:blipFill>
                  <pic:spPr bwMode="auto">
                    <a:xfrm>
                      <a:off x="0" y="0"/>
                      <a:ext cx="4236085" cy="12700"/>
                    </a:xfrm>
                    <a:prstGeom prst="rect">
                      <a:avLst/>
                    </a:prstGeom>
                    <a:noFill/>
                  </pic:spPr>
                </pic:pic>
              </a:graphicData>
            </a:graphic>
          </wp:anchor>
        </w:drawing>
      </w:r>
    </w:p>
    <w:p>
      <w:pPr>
        <w:spacing w:after="0" w:line="96"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2620" w:type="dxa"/>
            <w:vAlign w:val="bottom"/>
          </w:tcPr>
          <w:p>
            <w:pPr>
              <w:ind w:left="20"/>
              <w:spacing w:after="0"/>
              <w:rPr>
                <w:sz w:val="20"/>
                <w:szCs w:val="20"/>
                <w:color w:val="auto"/>
              </w:rPr>
            </w:pPr>
            <w:r>
              <w:rPr>
                <w:rFonts w:ascii="Arial" w:cs="Arial" w:eastAsia="Arial" w:hAnsi="Arial"/>
                <w:sz w:val="12"/>
                <w:szCs w:val="12"/>
                <w:i w:val="1"/>
                <w:iCs w:val="1"/>
                <w:color w:val="005A64"/>
              </w:rPr>
              <w:t>(in millions €)</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20"/>
                <w:szCs w:val="20"/>
                <w:color w:val="auto"/>
              </w:rPr>
            </w:pPr>
            <w:r>
              <w:rPr>
                <w:rFonts w:ascii="Arial" w:cs="Arial" w:eastAsia="Arial" w:hAnsi="Arial"/>
                <w:sz w:val="12"/>
                <w:szCs w:val="12"/>
                <w:b w:val="1"/>
                <w:bCs w:val="1"/>
                <w:color w:val="005A64"/>
              </w:rPr>
              <w:t>In-process</w:t>
            </w:r>
          </w:p>
        </w:tc>
        <w:tc>
          <w:tcPr>
            <w:tcW w:w="40" w:type="dxa"/>
            <w:vAlign w:val="bottom"/>
          </w:tcPr>
          <w:p>
            <w:pPr>
              <w:spacing w:after="0"/>
              <w:rPr>
                <w:sz w:val="12"/>
                <w:szCs w:val="12"/>
                <w:color w:val="auto"/>
              </w:rPr>
            </w:pPr>
          </w:p>
        </w:tc>
        <w:tc>
          <w:tcPr>
            <w:tcW w:w="960" w:type="dxa"/>
            <w:vAlign w:val="bottom"/>
          </w:tcPr>
          <w:p>
            <w:pPr>
              <w:ind w:left="20"/>
              <w:spacing w:after="0"/>
              <w:rPr>
                <w:sz w:val="20"/>
                <w:szCs w:val="20"/>
                <w:color w:val="auto"/>
              </w:rPr>
            </w:pPr>
            <w:r>
              <w:rPr>
                <w:rFonts w:ascii="Arial" w:cs="Arial" w:eastAsia="Arial" w:hAnsi="Arial"/>
                <w:sz w:val="12"/>
                <w:szCs w:val="12"/>
                <w:b w:val="1"/>
                <w:bCs w:val="1"/>
                <w:color w:val="005A64"/>
              </w:rPr>
              <w:t>Concessions,</w:t>
            </w:r>
          </w:p>
        </w:tc>
        <w:tc>
          <w:tcPr>
            <w:tcW w:w="60" w:type="dxa"/>
            <w:vAlign w:val="bottom"/>
          </w:tcPr>
          <w:p>
            <w:pPr>
              <w:spacing w:after="0"/>
              <w:rPr>
                <w:sz w:val="12"/>
                <w:szCs w:val="12"/>
                <w:color w:val="auto"/>
              </w:rPr>
            </w:pPr>
          </w:p>
        </w:tc>
        <w:tc>
          <w:tcPr>
            <w:tcW w:w="960" w:type="dxa"/>
            <w:vAlign w:val="bottom"/>
          </w:tcPr>
          <w:p>
            <w:pPr>
              <w:spacing w:after="0"/>
              <w:rPr>
                <w:sz w:val="20"/>
                <w:szCs w:val="20"/>
                <w:color w:val="auto"/>
              </w:rPr>
            </w:pPr>
            <w:r>
              <w:rPr>
                <w:rFonts w:ascii="Arial" w:cs="Arial" w:eastAsia="Arial" w:hAnsi="Arial"/>
                <w:sz w:val="12"/>
                <w:szCs w:val="12"/>
                <w:b w:val="1"/>
                <w:bCs w:val="1"/>
                <w:color w:val="005A64"/>
              </w:rPr>
              <w:t>Advance</w:t>
            </w:r>
          </w:p>
        </w:tc>
        <w:tc>
          <w:tcPr>
            <w:tcW w:w="60" w:type="dxa"/>
            <w:vAlign w:val="bottom"/>
          </w:tcPr>
          <w:p>
            <w:pPr>
              <w:spacing w:after="0"/>
              <w:rPr>
                <w:sz w:val="12"/>
                <w:szCs w:val="12"/>
                <w:color w:val="auto"/>
              </w:rPr>
            </w:pPr>
          </w:p>
        </w:tc>
        <w:tc>
          <w:tcPr>
            <w:tcW w:w="960" w:type="dxa"/>
            <w:vAlign w:val="bottom"/>
          </w:tcPr>
          <w:p>
            <w:pPr>
              <w:spacing w:after="0"/>
              <w:rPr>
                <w:sz w:val="20"/>
                <w:szCs w:val="20"/>
                <w:color w:val="auto"/>
              </w:rPr>
            </w:pPr>
            <w:r>
              <w:rPr>
                <w:rFonts w:ascii="Arial" w:cs="Arial" w:eastAsia="Arial" w:hAnsi="Arial"/>
                <w:sz w:val="12"/>
                <w:szCs w:val="12"/>
                <w:b w:val="1"/>
                <w:bCs w:val="1"/>
                <w:color w:val="005A64"/>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line="121" w:lineRule="exact"/>
              <w:rPr>
                <w:sz w:val="20"/>
                <w:szCs w:val="20"/>
                <w:color w:val="auto"/>
              </w:rPr>
            </w:pPr>
            <w:r>
              <w:rPr>
                <w:rFonts w:ascii="Arial" w:cs="Arial" w:eastAsia="Arial" w:hAnsi="Arial"/>
                <w:sz w:val="12"/>
                <w:szCs w:val="12"/>
                <w:b w:val="1"/>
                <w:bCs w:val="1"/>
                <w:color w:val="005A64"/>
              </w:rPr>
              <w:t>R&amp;D</w:t>
            </w:r>
          </w:p>
        </w:tc>
        <w:tc>
          <w:tcPr>
            <w:tcW w:w="40" w:type="dxa"/>
            <w:vAlign w:val="bottom"/>
          </w:tcPr>
          <w:p>
            <w:pPr>
              <w:spacing w:after="0"/>
              <w:rPr>
                <w:sz w:val="10"/>
                <w:szCs w:val="10"/>
                <w:color w:val="auto"/>
              </w:rPr>
            </w:pPr>
          </w:p>
        </w:tc>
        <w:tc>
          <w:tcPr>
            <w:tcW w:w="960" w:type="dxa"/>
            <w:vAlign w:val="bottom"/>
          </w:tcPr>
          <w:p>
            <w:pPr>
              <w:ind w:left="20"/>
              <w:spacing w:after="0" w:line="121" w:lineRule="exact"/>
              <w:rPr>
                <w:sz w:val="20"/>
                <w:szCs w:val="20"/>
                <w:color w:val="auto"/>
              </w:rPr>
            </w:pPr>
            <w:r>
              <w:rPr>
                <w:rFonts w:ascii="Arial" w:cs="Arial" w:eastAsia="Arial" w:hAnsi="Arial"/>
                <w:sz w:val="12"/>
                <w:szCs w:val="12"/>
                <w:b w:val="1"/>
                <w:bCs w:val="1"/>
                <w:color w:val="005A64"/>
              </w:rPr>
              <w:t>licenses and</w:t>
            </w:r>
          </w:p>
        </w:tc>
        <w:tc>
          <w:tcPr>
            <w:tcW w:w="60" w:type="dxa"/>
            <w:vAlign w:val="bottom"/>
          </w:tcPr>
          <w:p>
            <w:pPr>
              <w:spacing w:after="0"/>
              <w:rPr>
                <w:sz w:val="10"/>
                <w:szCs w:val="10"/>
                <w:color w:val="auto"/>
              </w:rPr>
            </w:pPr>
          </w:p>
        </w:tc>
        <w:tc>
          <w:tcPr>
            <w:tcW w:w="960" w:type="dxa"/>
            <w:vAlign w:val="bottom"/>
          </w:tcPr>
          <w:p>
            <w:pPr>
              <w:spacing w:after="0" w:line="121" w:lineRule="exact"/>
              <w:rPr>
                <w:sz w:val="20"/>
                <w:szCs w:val="20"/>
                <w:color w:val="auto"/>
              </w:rPr>
            </w:pPr>
            <w:r>
              <w:rPr>
                <w:rFonts w:ascii="Arial" w:cs="Arial" w:eastAsia="Arial" w:hAnsi="Arial"/>
                <w:sz w:val="12"/>
                <w:szCs w:val="12"/>
                <w:b w:val="1"/>
                <w:bCs w:val="1"/>
                <w:color w:val="005A64"/>
              </w:rPr>
              <w:t>payments</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2"/>
                <w:szCs w:val="12"/>
                <w:b w:val="1"/>
                <w:bCs w:val="1"/>
                <w:color w:val="005A64"/>
              </w:rPr>
              <w:t>similar rights</w:t>
            </w: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620" w:type="dxa"/>
            <w:vAlign w:val="bottom"/>
            <w:tcBorders>
              <w:bottom w:val="single" w:sz="8" w:color="005A64"/>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Borders>
              <w:bottom w:val="single" w:sz="8" w:color="005A64"/>
            </w:tcBorders>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Borders>
              <w:bottom w:val="single" w:sz="8" w:color="005A64"/>
            </w:tcBorders>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Borders>
              <w:bottom w:val="single" w:sz="8" w:color="005A64"/>
            </w:tcBorders>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Borders>
              <w:bottom w:val="single" w:sz="8" w:color="005A64"/>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620" w:type="dxa"/>
            <w:vAlign w:val="bottom"/>
          </w:tcPr>
          <w:p>
            <w:pPr>
              <w:ind w:left="20"/>
              <w:spacing w:after="0"/>
              <w:rPr>
                <w:sz w:val="20"/>
                <w:szCs w:val="20"/>
                <w:color w:val="auto"/>
              </w:rPr>
            </w:pPr>
            <w:r>
              <w:rPr>
                <w:rFonts w:ascii="Arial" w:cs="Arial" w:eastAsia="Arial" w:hAnsi="Arial"/>
                <w:sz w:val="12"/>
                <w:szCs w:val="12"/>
                <w:b w:val="1"/>
                <w:bCs w:val="1"/>
                <w:color w:val="3C9673"/>
              </w:rPr>
              <w:t>Acquisition costs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2"/>
                <w:szCs w:val="12"/>
                <w:color w:val="005A64"/>
              </w:rPr>
              <w:t>As of January 1, 2023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w:t>
            </w:r>
          </w:p>
        </w:tc>
        <w:tc>
          <w:tcPr>
            <w:tcW w:w="1000" w:type="dxa"/>
            <w:vAlign w:val="bottom"/>
            <w:gridSpan w:val="2"/>
          </w:tcPr>
          <w:p>
            <w:pPr>
              <w:ind w:left="60"/>
              <w:spacing w:after="0"/>
              <w:rPr>
                <w:sz w:val="20"/>
                <w:szCs w:val="20"/>
                <w:color w:val="auto"/>
              </w:rPr>
            </w:pPr>
            <w:r>
              <w:rPr>
                <w:rFonts w:ascii="Arial" w:cs="Arial" w:eastAsia="Arial" w:hAnsi="Arial"/>
                <w:sz w:val="12"/>
                <w:szCs w:val="12"/>
                <w:color w:val="005A64"/>
              </w:rPr>
              <w:t>222.3</w:t>
            </w:r>
          </w:p>
        </w:tc>
        <w:tc>
          <w:tcPr>
            <w:tcW w:w="1020" w:type="dxa"/>
            <w:vAlign w:val="bottom"/>
            <w:gridSpan w:val="2"/>
          </w:tcPr>
          <w:p>
            <w:pPr>
              <w:ind w:left="60"/>
              <w:spacing w:after="0"/>
              <w:rPr>
                <w:sz w:val="20"/>
                <w:szCs w:val="20"/>
                <w:color w:val="auto"/>
              </w:rPr>
            </w:pPr>
            <w:r>
              <w:rPr>
                <w:rFonts w:ascii="Arial" w:cs="Arial" w:eastAsia="Arial" w:hAnsi="Arial"/>
                <w:sz w:val="12"/>
                <w:szCs w:val="12"/>
                <w:color w:val="005A64"/>
              </w:rPr>
              <w:t>13.1</w:t>
            </w:r>
          </w:p>
        </w:tc>
        <w:tc>
          <w:tcPr>
            <w:tcW w:w="1020" w:type="dxa"/>
            <w:vAlign w:val="bottom"/>
            <w:gridSpan w:val="2"/>
          </w:tcPr>
          <w:p>
            <w:pPr>
              <w:ind w:left="60"/>
              <w:spacing w:after="0"/>
              <w:rPr>
                <w:sz w:val="20"/>
                <w:szCs w:val="20"/>
                <w:color w:val="auto"/>
              </w:rPr>
            </w:pPr>
            <w:r>
              <w:rPr>
                <w:rFonts w:ascii="Arial" w:cs="Arial" w:eastAsia="Arial" w:hAnsi="Arial"/>
                <w:sz w:val="12"/>
                <w:szCs w:val="12"/>
                <w:color w:val="005A64"/>
              </w:rPr>
              <w:t>235.4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Arial" w:cs="Arial" w:eastAsia="Arial" w:hAnsi="Arial"/>
                <w:sz w:val="12"/>
                <w:szCs w:val="12"/>
                <w:color w:val="005A64"/>
              </w:rPr>
              <w:t>Additions</w:t>
            </w:r>
          </w:p>
        </w:tc>
        <w:tc>
          <w:tcPr>
            <w:tcW w:w="1020" w:type="dxa"/>
            <w:vAlign w:val="bottom"/>
            <w:gridSpan w:val="3"/>
          </w:tcPr>
          <w:p>
            <w:pPr>
              <w:ind w:left="60"/>
              <w:spacing w:after="0"/>
              <w:rPr>
                <w:sz w:val="20"/>
                <w:szCs w:val="20"/>
                <w:color w:val="auto"/>
              </w:rPr>
            </w:pPr>
            <w:r>
              <w:rPr>
                <w:rFonts w:ascii="Arial" w:cs="Arial" w:eastAsia="Arial" w:hAnsi="Arial"/>
                <w:sz w:val="12"/>
                <w:szCs w:val="12"/>
                <w:color w:val="005A64"/>
              </w:rPr>
              <w:t>443.5</w:t>
            </w:r>
          </w:p>
        </w:tc>
        <w:tc>
          <w:tcPr>
            <w:tcW w:w="1000" w:type="dxa"/>
            <w:vAlign w:val="bottom"/>
            <w:gridSpan w:val="2"/>
          </w:tcPr>
          <w:p>
            <w:pPr>
              <w:ind w:left="60"/>
              <w:spacing w:after="0"/>
              <w:rPr>
                <w:sz w:val="20"/>
                <w:szCs w:val="20"/>
                <w:color w:val="auto"/>
              </w:rPr>
            </w:pPr>
            <w:r>
              <w:rPr>
                <w:rFonts w:ascii="Arial" w:cs="Arial" w:eastAsia="Arial" w:hAnsi="Arial"/>
                <w:sz w:val="12"/>
                <w:szCs w:val="12"/>
                <w:color w:val="005A64"/>
              </w:rPr>
              <w:t>45.7</w:t>
            </w:r>
          </w:p>
        </w:tc>
        <w:tc>
          <w:tcPr>
            <w:tcW w:w="1020" w:type="dxa"/>
            <w:vAlign w:val="bottom"/>
            <w:gridSpan w:val="2"/>
          </w:tcPr>
          <w:p>
            <w:pPr>
              <w:ind w:left="60"/>
              <w:spacing w:after="0"/>
              <w:rPr>
                <w:sz w:val="20"/>
                <w:szCs w:val="20"/>
                <w:color w:val="auto"/>
              </w:rPr>
            </w:pPr>
            <w:r>
              <w:rPr>
                <w:rFonts w:ascii="Arial" w:cs="Arial" w:eastAsia="Arial" w:hAnsi="Arial"/>
                <w:sz w:val="12"/>
                <w:szCs w:val="12"/>
                <w:color w:val="005A64"/>
              </w:rPr>
              <w:t>15.8</w:t>
            </w:r>
          </w:p>
        </w:tc>
        <w:tc>
          <w:tcPr>
            <w:tcW w:w="1020" w:type="dxa"/>
            <w:vAlign w:val="bottom"/>
            <w:gridSpan w:val="2"/>
          </w:tcPr>
          <w:p>
            <w:pPr>
              <w:ind w:left="60"/>
              <w:spacing w:after="0"/>
              <w:rPr>
                <w:sz w:val="20"/>
                <w:szCs w:val="20"/>
                <w:color w:val="auto"/>
              </w:rPr>
            </w:pPr>
            <w:r>
              <w:rPr>
                <w:rFonts w:ascii="Arial" w:cs="Arial" w:eastAsia="Arial" w:hAnsi="Arial"/>
                <w:sz w:val="12"/>
                <w:szCs w:val="12"/>
                <w:color w:val="005A64"/>
              </w:rPr>
              <w:t>505.0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Arial" w:cs="Arial" w:eastAsia="Arial" w:hAnsi="Arial"/>
                <w:sz w:val="12"/>
                <w:szCs w:val="12"/>
                <w:color w:val="005A64"/>
              </w:rPr>
              <w:t>Disposals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w:t>
            </w:r>
          </w:p>
        </w:tc>
        <w:tc>
          <w:tcPr>
            <w:tcW w:w="1000" w:type="dxa"/>
            <w:vAlign w:val="bottom"/>
            <w:gridSpan w:val="2"/>
          </w:tcPr>
          <w:p>
            <w:pPr>
              <w:ind w:left="60"/>
              <w:spacing w:after="0"/>
              <w:rPr>
                <w:sz w:val="20"/>
                <w:szCs w:val="20"/>
                <w:color w:val="auto"/>
              </w:rPr>
            </w:pPr>
            <w:r>
              <w:rPr>
                <w:rFonts w:ascii="Arial" w:cs="Arial" w:eastAsia="Arial" w:hAnsi="Arial"/>
                <w:sz w:val="12"/>
                <w:szCs w:val="12"/>
                <w:color w:val="005A64"/>
              </w:rPr>
              <w:t>(1.6)</w:t>
            </w:r>
          </w:p>
        </w:tc>
        <w:tc>
          <w:tcPr>
            <w:tcW w:w="1020" w:type="dxa"/>
            <w:vAlign w:val="bottom"/>
            <w:gridSpan w:val="2"/>
          </w:tcPr>
          <w:p>
            <w:pPr>
              <w:ind w:left="60"/>
              <w:spacing w:after="0"/>
              <w:rPr>
                <w:sz w:val="20"/>
                <w:szCs w:val="20"/>
                <w:color w:val="auto"/>
              </w:rPr>
            </w:pPr>
            <w:r>
              <w:rPr>
                <w:rFonts w:ascii="Arial" w:cs="Arial" w:eastAsia="Arial" w:hAnsi="Arial"/>
                <w:sz w:val="12"/>
                <w:szCs w:val="12"/>
                <w:color w:val="005A64"/>
              </w:rPr>
              <w:t>(1.6)</w:t>
            </w:r>
          </w:p>
        </w:tc>
        <w:tc>
          <w:tcPr>
            <w:tcW w:w="1020" w:type="dxa"/>
            <w:vAlign w:val="bottom"/>
            <w:gridSpan w:val="2"/>
          </w:tcPr>
          <w:p>
            <w:pPr>
              <w:ind w:left="60"/>
              <w:spacing w:after="0"/>
              <w:rPr>
                <w:sz w:val="20"/>
                <w:szCs w:val="20"/>
                <w:color w:val="auto"/>
              </w:rPr>
            </w:pPr>
            <w:r>
              <w:rPr>
                <w:rFonts w:ascii="Arial" w:cs="Arial" w:eastAsia="Arial" w:hAnsi="Arial"/>
                <w:sz w:val="12"/>
                <w:szCs w:val="12"/>
                <w:color w:val="005A64"/>
              </w:rPr>
              <w:t>(3.2)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Arial" w:cs="Arial" w:eastAsia="Arial" w:hAnsi="Arial"/>
                <w:sz w:val="12"/>
                <w:szCs w:val="12"/>
                <w:color w:val="005A64"/>
              </w:rPr>
              <w:t>Reclassifications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w:t>
            </w:r>
          </w:p>
        </w:tc>
        <w:tc>
          <w:tcPr>
            <w:tcW w:w="1000" w:type="dxa"/>
            <w:vAlign w:val="bottom"/>
            <w:gridSpan w:val="2"/>
          </w:tcPr>
          <w:p>
            <w:pPr>
              <w:ind w:left="60"/>
              <w:spacing w:after="0"/>
              <w:rPr>
                <w:sz w:val="20"/>
                <w:szCs w:val="20"/>
                <w:color w:val="auto"/>
              </w:rPr>
            </w:pPr>
            <w:r>
              <w:rPr>
                <w:rFonts w:ascii="Arial" w:cs="Arial" w:eastAsia="Arial" w:hAnsi="Arial"/>
                <w:sz w:val="12"/>
                <w:szCs w:val="12"/>
                <w:color w:val="005A64"/>
              </w:rPr>
              <w:t>4.9</w:t>
            </w:r>
          </w:p>
        </w:tc>
        <w:tc>
          <w:tcPr>
            <w:tcW w:w="1020" w:type="dxa"/>
            <w:vAlign w:val="bottom"/>
            <w:gridSpan w:val="2"/>
          </w:tcPr>
          <w:p>
            <w:pPr>
              <w:ind w:left="60"/>
              <w:spacing w:after="0"/>
              <w:rPr>
                <w:sz w:val="20"/>
                <w:szCs w:val="20"/>
                <w:color w:val="auto"/>
              </w:rPr>
            </w:pPr>
            <w:r>
              <w:rPr>
                <w:rFonts w:ascii="Arial" w:cs="Arial" w:eastAsia="Arial" w:hAnsi="Arial"/>
                <w:sz w:val="12"/>
                <w:szCs w:val="12"/>
                <w:color w:val="005A64"/>
              </w:rPr>
              <w:t>(4.9)</w:t>
            </w:r>
          </w:p>
        </w:tc>
        <w:tc>
          <w:tcPr>
            <w:tcW w:w="6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Arial" w:cs="Arial" w:eastAsia="Arial" w:hAnsi="Arial"/>
                <w:sz w:val="12"/>
                <w:szCs w:val="12"/>
                <w:color w:val="005A64"/>
              </w:rPr>
              <w:t>Currency differences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w:t>
            </w:r>
          </w:p>
        </w:tc>
        <w:tc>
          <w:tcPr>
            <w:tcW w:w="1000" w:type="dxa"/>
            <w:vAlign w:val="bottom"/>
            <w:gridSpan w:val="2"/>
          </w:tcPr>
          <w:p>
            <w:pPr>
              <w:ind w:left="60"/>
              <w:spacing w:after="0"/>
              <w:rPr>
                <w:sz w:val="20"/>
                <w:szCs w:val="20"/>
                <w:color w:val="auto"/>
              </w:rPr>
            </w:pPr>
            <w:r>
              <w:rPr>
                <w:rFonts w:ascii="Arial" w:cs="Arial" w:eastAsia="Arial" w:hAnsi="Arial"/>
                <w:sz w:val="12"/>
                <w:szCs w:val="12"/>
                <w:color w:val="005A64"/>
              </w:rPr>
              <w:t>(3.6)</w:t>
            </w:r>
          </w:p>
        </w:tc>
        <w:tc>
          <w:tcPr>
            <w:tcW w:w="6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w:t>
            </w:r>
          </w:p>
        </w:tc>
        <w:tc>
          <w:tcPr>
            <w:tcW w:w="1020" w:type="dxa"/>
            <w:vAlign w:val="bottom"/>
            <w:gridSpan w:val="2"/>
          </w:tcPr>
          <w:p>
            <w:pPr>
              <w:ind w:left="60"/>
              <w:spacing w:after="0"/>
              <w:rPr>
                <w:sz w:val="20"/>
                <w:szCs w:val="20"/>
                <w:color w:val="auto"/>
              </w:rPr>
            </w:pPr>
            <w:r>
              <w:rPr>
                <w:rFonts w:ascii="Arial" w:cs="Arial" w:eastAsia="Arial" w:hAnsi="Arial"/>
                <w:sz w:val="12"/>
                <w:szCs w:val="12"/>
                <w:color w:val="005A64"/>
              </w:rPr>
              <w:t>(3.6)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Arial" w:cs="Arial" w:eastAsia="Arial" w:hAnsi="Arial"/>
                <w:sz w:val="12"/>
                <w:szCs w:val="12"/>
                <w:color w:val="005A64"/>
              </w:rPr>
              <w:t>Acquisition of subsidiaries and businesses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w:t>
            </w:r>
          </w:p>
        </w:tc>
        <w:tc>
          <w:tcPr>
            <w:tcW w:w="1000" w:type="dxa"/>
            <w:vAlign w:val="bottom"/>
            <w:gridSpan w:val="2"/>
          </w:tcPr>
          <w:p>
            <w:pPr>
              <w:ind w:left="60"/>
              <w:spacing w:after="0"/>
              <w:rPr>
                <w:sz w:val="20"/>
                <w:szCs w:val="20"/>
                <w:color w:val="auto"/>
              </w:rPr>
            </w:pPr>
            <w:r>
              <w:rPr>
                <w:rFonts w:ascii="Arial" w:cs="Arial" w:eastAsia="Arial" w:hAnsi="Arial"/>
                <w:sz w:val="12"/>
                <w:szCs w:val="12"/>
                <w:color w:val="005A64"/>
              </w:rPr>
              <w:t>187.4</w:t>
            </w:r>
          </w:p>
        </w:tc>
        <w:tc>
          <w:tcPr>
            <w:tcW w:w="6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w:t>
            </w:r>
          </w:p>
        </w:tc>
        <w:tc>
          <w:tcPr>
            <w:tcW w:w="1020" w:type="dxa"/>
            <w:vAlign w:val="bottom"/>
            <w:gridSpan w:val="2"/>
          </w:tcPr>
          <w:p>
            <w:pPr>
              <w:ind w:left="60"/>
              <w:spacing w:after="0"/>
              <w:rPr>
                <w:sz w:val="20"/>
                <w:szCs w:val="20"/>
                <w:color w:val="auto"/>
              </w:rPr>
            </w:pPr>
            <w:r>
              <w:rPr>
                <w:rFonts w:ascii="Arial" w:cs="Arial" w:eastAsia="Arial" w:hAnsi="Arial"/>
                <w:sz w:val="12"/>
                <w:szCs w:val="12"/>
                <w:color w:val="005A64"/>
              </w:rPr>
              <w:t>187.4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620" w:type="dxa"/>
            <w:vAlign w:val="bottom"/>
          </w:tcPr>
          <w:p>
            <w:pPr>
              <w:ind w:left="20"/>
              <w:spacing w:after="0"/>
              <w:rPr>
                <w:sz w:val="20"/>
                <w:szCs w:val="20"/>
                <w:color w:val="auto"/>
              </w:rPr>
            </w:pPr>
            <w:r>
              <w:rPr>
                <w:rFonts w:ascii="Arial" w:cs="Arial" w:eastAsia="Arial" w:hAnsi="Arial"/>
                <w:sz w:val="12"/>
                <w:szCs w:val="12"/>
                <w:b w:val="1"/>
                <w:bCs w:val="1"/>
                <w:color w:val="005A64"/>
              </w:rPr>
              <w:t>As of December 31, 2023</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005A64"/>
              </w:rPr>
              <w:t>443.5</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005A64"/>
              </w:rPr>
              <w:t>455.1</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005A64"/>
              </w:rPr>
              <w:t>22.4</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005A64"/>
              </w:rPr>
              <w:t>921.0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62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1000" w:type="dxa"/>
            <w:vAlign w:val="bottom"/>
            <w:tcBorders>
              <w:bottom w:val="single" w:sz="8" w:color="BECE33"/>
            </w:tcBorders>
            <w:gridSpan w:val="2"/>
          </w:tcPr>
          <w:p>
            <w:pPr>
              <w:spacing w:after="0"/>
              <w:rPr>
                <w:sz w:val="4"/>
                <w:szCs w:val="4"/>
                <w:color w:val="auto"/>
              </w:rPr>
            </w:pPr>
          </w:p>
        </w:tc>
        <w:tc>
          <w:tcPr>
            <w:tcW w:w="1000" w:type="dxa"/>
            <w:vAlign w:val="bottom"/>
            <w:tcBorders>
              <w:bottom w:val="single" w:sz="8" w:color="BECE33"/>
            </w:tcBorders>
            <w:gridSpan w:val="2"/>
          </w:tcPr>
          <w:p>
            <w:pPr>
              <w:spacing w:after="0"/>
              <w:rPr>
                <w:sz w:val="4"/>
                <w:szCs w:val="4"/>
                <w:color w:val="auto"/>
              </w:rPr>
            </w:pPr>
          </w:p>
        </w:tc>
        <w:tc>
          <w:tcPr>
            <w:tcW w:w="1020" w:type="dxa"/>
            <w:vAlign w:val="bottom"/>
            <w:tcBorders>
              <w:bottom w:val="single" w:sz="8" w:color="BECE33"/>
            </w:tcBorders>
            <w:gridSpan w:val="2"/>
          </w:tcPr>
          <w:p>
            <w:pPr>
              <w:spacing w:after="0"/>
              <w:rPr>
                <w:sz w:val="4"/>
                <w:szCs w:val="4"/>
                <w:color w:val="auto"/>
              </w:rPr>
            </w:pPr>
          </w:p>
        </w:tc>
        <w:tc>
          <w:tcPr>
            <w:tcW w:w="1020" w:type="dxa"/>
            <w:vAlign w:val="bottom"/>
            <w:tcBorders>
              <w:bottom w:val="single" w:sz="8" w:color="BECE33"/>
            </w:tcBorders>
            <w:gridSpan w:val="2"/>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620" w:type="dxa"/>
            <w:vAlign w:val="bottom"/>
          </w:tcPr>
          <w:p>
            <w:pPr>
              <w:ind w:left="20"/>
              <w:spacing w:after="0"/>
              <w:rPr>
                <w:sz w:val="20"/>
                <w:szCs w:val="20"/>
                <w:color w:val="auto"/>
              </w:rPr>
            </w:pPr>
            <w:r>
              <w:rPr>
                <w:rFonts w:ascii="Arial" w:cs="Arial" w:eastAsia="Arial" w:hAnsi="Arial"/>
                <w:sz w:val="12"/>
                <w:szCs w:val="12"/>
                <w:color w:val="005A64"/>
              </w:rPr>
              <w:t>Additions</w:t>
            </w:r>
          </w:p>
        </w:tc>
        <w:tc>
          <w:tcPr>
            <w:tcW w:w="20" w:type="dxa"/>
            <w:vAlign w:val="bottom"/>
            <w:vMerge w:val="continue"/>
          </w:tcPr>
          <w:p>
            <w:pPr>
              <w:spacing w:after="0"/>
              <w:rPr>
                <w:sz w:val="13"/>
                <w:szCs w:val="13"/>
                <w:color w:val="auto"/>
              </w:rPr>
            </w:pPr>
          </w:p>
        </w:tc>
        <w:tc>
          <w:tcPr>
            <w:tcW w:w="100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97.1</w:t>
            </w:r>
          </w:p>
        </w:tc>
        <w:tc>
          <w:tcPr>
            <w:tcW w:w="1000" w:type="dxa"/>
            <w:vAlign w:val="bottom"/>
            <w:gridSpan w:val="2"/>
          </w:tcPr>
          <w:p>
            <w:pPr>
              <w:ind w:left="60"/>
              <w:spacing w:after="0"/>
              <w:rPr>
                <w:sz w:val="20"/>
                <w:szCs w:val="20"/>
                <w:color w:val="auto"/>
              </w:rPr>
            </w:pPr>
            <w:r>
              <w:rPr>
                <w:rFonts w:ascii="Arial" w:cs="Arial" w:eastAsia="Arial" w:hAnsi="Arial"/>
                <w:sz w:val="12"/>
                <w:szCs w:val="12"/>
                <w:color w:val="005A64"/>
              </w:rPr>
              <w:t>6.2</w:t>
            </w:r>
          </w:p>
        </w:tc>
        <w:tc>
          <w:tcPr>
            <w:tcW w:w="1020" w:type="dxa"/>
            <w:vAlign w:val="bottom"/>
            <w:gridSpan w:val="2"/>
          </w:tcPr>
          <w:p>
            <w:pPr>
              <w:ind w:left="60"/>
              <w:spacing w:after="0"/>
              <w:rPr>
                <w:sz w:val="20"/>
                <w:szCs w:val="20"/>
                <w:color w:val="auto"/>
              </w:rPr>
            </w:pPr>
            <w:r>
              <w:rPr>
                <w:rFonts w:ascii="Arial" w:cs="Arial" w:eastAsia="Arial" w:hAnsi="Arial"/>
                <w:sz w:val="12"/>
                <w:szCs w:val="12"/>
                <w:color w:val="005A64"/>
              </w:rPr>
              <w:t>11.9</w:t>
            </w:r>
          </w:p>
        </w:tc>
        <w:tc>
          <w:tcPr>
            <w:tcW w:w="1020" w:type="dxa"/>
            <w:vAlign w:val="bottom"/>
            <w:gridSpan w:val="2"/>
          </w:tcPr>
          <w:p>
            <w:pPr>
              <w:ind w:left="60"/>
              <w:spacing w:after="0"/>
              <w:rPr>
                <w:sz w:val="20"/>
                <w:szCs w:val="20"/>
                <w:color w:val="auto"/>
              </w:rPr>
            </w:pPr>
            <w:r>
              <w:rPr>
                <w:rFonts w:ascii="Arial" w:cs="Arial" w:eastAsia="Arial" w:hAnsi="Arial"/>
                <w:sz w:val="12"/>
                <w:szCs w:val="12"/>
                <w:color w:val="005A64"/>
              </w:rPr>
              <w:t>115.2</w:t>
            </w:r>
          </w:p>
        </w:tc>
        <w:tc>
          <w:tcPr>
            <w:tcW w:w="60" w:type="dxa"/>
            <w:vAlign w:val="bottom"/>
            <w:tcBorders>
              <w:right w:val="single" w:sz="8" w:color="BECE33"/>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20"/>
              <w:spacing w:after="0"/>
              <w:rPr>
                <w:sz w:val="20"/>
                <w:szCs w:val="20"/>
                <w:color w:val="auto"/>
              </w:rPr>
            </w:pPr>
            <w:r>
              <w:rPr>
                <w:rFonts w:ascii="Arial" w:cs="Arial" w:eastAsia="Arial" w:hAnsi="Arial"/>
                <w:sz w:val="12"/>
                <w:szCs w:val="12"/>
                <w:color w:val="005A64"/>
              </w:rPr>
              <w:t>Disposals</w:t>
            </w:r>
          </w:p>
        </w:tc>
        <w:tc>
          <w:tcPr>
            <w:tcW w:w="20" w:type="dxa"/>
            <w:vAlign w:val="bottom"/>
          </w:tcPr>
          <w:p>
            <w:pPr>
              <w:spacing w:after="0"/>
              <w:rPr>
                <w:sz w:val="15"/>
                <w:szCs w:val="15"/>
                <w:color w:val="auto"/>
              </w:rPr>
            </w:pPr>
          </w:p>
        </w:tc>
        <w:tc>
          <w:tcPr>
            <w:tcW w:w="40" w:type="dxa"/>
            <w:vAlign w:val="bottom"/>
            <w:tcBorders>
              <w:left w:val="single" w:sz="8" w:color="BECE33"/>
            </w:tcBorders>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w:t>
            </w:r>
          </w:p>
        </w:tc>
        <w:tc>
          <w:tcPr>
            <w:tcW w:w="1000" w:type="dxa"/>
            <w:vAlign w:val="bottom"/>
            <w:gridSpan w:val="2"/>
          </w:tcPr>
          <w:p>
            <w:pPr>
              <w:ind w:left="60"/>
              <w:spacing w:after="0"/>
              <w:rPr>
                <w:sz w:val="20"/>
                <w:szCs w:val="20"/>
                <w:color w:val="auto"/>
              </w:rPr>
            </w:pPr>
            <w:r>
              <w:rPr>
                <w:rFonts w:ascii="Arial" w:cs="Arial" w:eastAsia="Arial" w:hAnsi="Arial"/>
                <w:sz w:val="12"/>
                <w:szCs w:val="12"/>
                <w:color w:val="005A64"/>
              </w:rPr>
              <w:t>(2.9)</w:t>
            </w:r>
          </w:p>
        </w:tc>
        <w:tc>
          <w:tcPr>
            <w:tcW w:w="6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w:t>
            </w:r>
          </w:p>
        </w:tc>
        <w:tc>
          <w:tcPr>
            <w:tcW w:w="1020" w:type="dxa"/>
            <w:vAlign w:val="bottom"/>
            <w:gridSpan w:val="2"/>
          </w:tcPr>
          <w:p>
            <w:pPr>
              <w:ind w:left="60"/>
              <w:spacing w:after="0"/>
              <w:rPr>
                <w:sz w:val="20"/>
                <w:szCs w:val="20"/>
                <w:color w:val="auto"/>
              </w:rPr>
            </w:pPr>
            <w:r>
              <w:rPr>
                <w:rFonts w:ascii="Arial" w:cs="Arial" w:eastAsia="Arial" w:hAnsi="Arial"/>
                <w:sz w:val="12"/>
                <w:szCs w:val="12"/>
                <w:color w:val="005A64"/>
              </w:rPr>
              <w:t>(2.9)</w:t>
            </w:r>
          </w:p>
        </w:tc>
        <w:tc>
          <w:tcPr>
            <w:tcW w:w="60" w:type="dxa"/>
            <w:vAlign w:val="bottom"/>
            <w:tcBorders>
              <w:right w:val="single" w:sz="8" w:color="BECE33"/>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Arial" w:cs="Arial" w:eastAsia="Arial" w:hAnsi="Arial"/>
                <w:sz w:val="12"/>
                <w:szCs w:val="12"/>
                <w:color w:val="005A64"/>
              </w:rPr>
              <w:t>Reclassifications</w:t>
            </w:r>
          </w:p>
        </w:tc>
        <w:tc>
          <w:tcPr>
            <w:tcW w:w="20" w:type="dxa"/>
            <w:vAlign w:val="bottom"/>
          </w:tcPr>
          <w:p>
            <w:pPr>
              <w:spacing w:after="0"/>
              <w:rPr>
                <w:sz w:val="17"/>
                <w:szCs w:val="17"/>
                <w:color w:val="auto"/>
              </w:rPr>
            </w:pPr>
          </w:p>
        </w:tc>
        <w:tc>
          <w:tcPr>
            <w:tcW w:w="40" w:type="dxa"/>
            <w:vAlign w:val="bottom"/>
            <w:tcBorders>
              <w:left w:val="single" w:sz="8" w:color="BECE33"/>
            </w:tcBorders>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w:t>
            </w:r>
          </w:p>
        </w:tc>
        <w:tc>
          <w:tcPr>
            <w:tcW w:w="1000" w:type="dxa"/>
            <w:vAlign w:val="bottom"/>
            <w:gridSpan w:val="2"/>
          </w:tcPr>
          <w:p>
            <w:pPr>
              <w:ind w:left="60"/>
              <w:spacing w:after="0"/>
              <w:rPr>
                <w:sz w:val="20"/>
                <w:szCs w:val="20"/>
                <w:color w:val="auto"/>
              </w:rPr>
            </w:pPr>
            <w:r>
              <w:rPr>
                <w:rFonts w:ascii="Arial" w:cs="Arial" w:eastAsia="Arial" w:hAnsi="Arial"/>
                <w:sz w:val="12"/>
                <w:szCs w:val="12"/>
                <w:color w:val="005A64"/>
              </w:rPr>
              <w:t>11.6</w:t>
            </w:r>
          </w:p>
        </w:tc>
        <w:tc>
          <w:tcPr>
            <w:tcW w:w="1020" w:type="dxa"/>
            <w:vAlign w:val="bottom"/>
            <w:gridSpan w:val="2"/>
          </w:tcPr>
          <w:p>
            <w:pPr>
              <w:ind w:left="60"/>
              <w:spacing w:after="0"/>
              <w:rPr>
                <w:sz w:val="20"/>
                <w:szCs w:val="20"/>
                <w:color w:val="auto"/>
              </w:rPr>
            </w:pPr>
            <w:r>
              <w:rPr>
                <w:rFonts w:ascii="Arial" w:cs="Arial" w:eastAsia="Arial" w:hAnsi="Arial"/>
                <w:sz w:val="12"/>
                <w:szCs w:val="12"/>
                <w:color w:val="005A64"/>
              </w:rPr>
              <w:t>(11.6)</w:t>
            </w:r>
          </w:p>
        </w:tc>
        <w:tc>
          <w:tcPr>
            <w:tcW w:w="6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w:t>
            </w:r>
          </w:p>
        </w:tc>
        <w:tc>
          <w:tcPr>
            <w:tcW w:w="6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Arial" w:cs="Arial" w:eastAsia="Arial" w:hAnsi="Arial"/>
                <w:sz w:val="12"/>
                <w:szCs w:val="12"/>
                <w:color w:val="005A64"/>
              </w:rPr>
              <w:t>Currency differences</w:t>
            </w:r>
          </w:p>
        </w:tc>
        <w:tc>
          <w:tcPr>
            <w:tcW w:w="20" w:type="dxa"/>
            <w:vAlign w:val="bottom"/>
          </w:tcPr>
          <w:p>
            <w:pPr>
              <w:spacing w:after="0"/>
              <w:rPr>
                <w:sz w:val="17"/>
                <w:szCs w:val="17"/>
                <w:color w:val="auto"/>
              </w:rPr>
            </w:pPr>
          </w:p>
        </w:tc>
        <w:tc>
          <w:tcPr>
            <w:tcW w:w="40" w:type="dxa"/>
            <w:vAlign w:val="bottom"/>
            <w:tcBorders>
              <w:left w:val="single" w:sz="8" w:color="BECE33"/>
            </w:tcBorders>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w:t>
            </w:r>
          </w:p>
        </w:tc>
        <w:tc>
          <w:tcPr>
            <w:tcW w:w="1000" w:type="dxa"/>
            <w:vAlign w:val="bottom"/>
            <w:gridSpan w:val="2"/>
          </w:tcPr>
          <w:p>
            <w:pPr>
              <w:ind w:left="60"/>
              <w:spacing w:after="0"/>
              <w:rPr>
                <w:sz w:val="20"/>
                <w:szCs w:val="20"/>
                <w:color w:val="auto"/>
              </w:rPr>
            </w:pPr>
            <w:r>
              <w:rPr>
                <w:rFonts w:ascii="Arial" w:cs="Arial" w:eastAsia="Arial" w:hAnsi="Arial"/>
                <w:sz w:val="12"/>
                <w:szCs w:val="12"/>
                <w:color w:val="005A64"/>
              </w:rPr>
              <w:t>11.1</w:t>
            </w:r>
          </w:p>
        </w:tc>
        <w:tc>
          <w:tcPr>
            <w:tcW w:w="6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w:t>
            </w:r>
          </w:p>
        </w:tc>
        <w:tc>
          <w:tcPr>
            <w:tcW w:w="1020" w:type="dxa"/>
            <w:vAlign w:val="bottom"/>
            <w:gridSpan w:val="2"/>
          </w:tcPr>
          <w:p>
            <w:pPr>
              <w:ind w:left="60"/>
              <w:spacing w:after="0"/>
              <w:rPr>
                <w:sz w:val="20"/>
                <w:szCs w:val="20"/>
                <w:color w:val="auto"/>
              </w:rPr>
            </w:pPr>
            <w:r>
              <w:rPr>
                <w:rFonts w:ascii="Arial" w:cs="Arial" w:eastAsia="Arial" w:hAnsi="Arial"/>
                <w:sz w:val="12"/>
                <w:szCs w:val="12"/>
                <w:color w:val="005A64"/>
              </w:rPr>
              <w:t>11.1</w:t>
            </w:r>
          </w:p>
        </w:tc>
        <w:tc>
          <w:tcPr>
            <w:tcW w:w="6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620" w:type="dxa"/>
            <w:vAlign w:val="bottom"/>
          </w:tcPr>
          <w:p>
            <w:pPr>
              <w:ind w:left="20"/>
              <w:spacing w:after="0"/>
              <w:rPr>
                <w:sz w:val="20"/>
                <w:szCs w:val="20"/>
                <w:color w:val="auto"/>
              </w:rPr>
            </w:pPr>
            <w:r>
              <w:rPr>
                <w:rFonts w:ascii="Arial" w:cs="Arial" w:eastAsia="Arial" w:hAnsi="Arial"/>
                <w:sz w:val="12"/>
                <w:szCs w:val="12"/>
                <w:b w:val="1"/>
                <w:bCs w:val="1"/>
                <w:color w:val="005A64"/>
              </w:rPr>
              <w:t>As of December 31, 2024</w:t>
            </w:r>
          </w:p>
        </w:tc>
        <w:tc>
          <w:tcPr>
            <w:tcW w:w="20" w:type="dxa"/>
            <w:vAlign w:val="bottom"/>
          </w:tcPr>
          <w:p>
            <w:pPr>
              <w:spacing w:after="0"/>
              <w:rPr>
                <w:sz w:val="18"/>
                <w:szCs w:val="18"/>
                <w:color w:val="auto"/>
              </w:rPr>
            </w:pPr>
          </w:p>
        </w:tc>
        <w:tc>
          <w:tcPr>
            <w:tcW w:w="100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b w:val="1"/>
                <w:bCs w:val="1"/>
                <w:color w:val="005A64"/>
              </w:rPr>
              <w:t>540.6</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005A64"/>
              </w:rPr>
              <w:t>481.1</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005A64"/>
              </w:rPr>
              <w:t>22.7</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005A64"/>
              </w:rPr>
              <w:t>1,044.4</w:t>
            </w:r>
          </w:p>
        </w:tc>
        <w:tc>
          <w:tcPr>
            <w:tcW w:w="60" w:type="dxa"/>
            <w:vAlign w:val="bottom"/>
            <w:tcBorders>
              <w:right w:val="single" w:sz="8" w:color="BECE33"/>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620" w:type="dxa"/>
            <w:vAlign w:val="bottom"/>
            <w:tcBorders>
              <w:bottom w:val="single" w:sz="8" w:color="005A64"/>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left w:val="single" w:sz="8" w:color="BECE33"/>
              <w:bottom w:val="single" w:sz="8" w:color="BECE33"/>
            </w:tcBorders>
          </w:tcPr>
          <w:p>
            <w:pPr>
              <w:spacing w:after="0"/>
              <w:rPr>
                <w:sz w:val="4"/>
                <w:szCs w:val="4"/>
                <w:color w:val="auto"/>
              </w:rPr>
            </w:pPr>
          </w:p>
        </w:tc>
        <w:tc>
          <w:tcPr>
            <w:tcW w:w="96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96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96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96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60" w:right="1440" w:bottom="1440" w:gutter="0" w:footer="0" w:header="0"/>
        </w:sectPr>
      </w:pPr>
    </w:p>
    <w:bookmarkStart w:id="211" w:name="page212"/>
    <w:bookmarkEnd w:id="2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1157605</wp:posOffset>
            </wp:positionH>
            <wp:positionV relativeFrom="page">
              <wp:posOffset>361950</wp:posOffset>
            </wp:positionV>
            <wp:extent cx="4242435" cy="127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5">
                      <a:extLst>
                        <a:ext uri="{28A0092B-C50C-407E-A947-70E740481C1C}"/>
                      </a:extLst>
                    </a:blip>
                    <a:srcRect/>
                    <a:stretch>
                      <a:fillRect/>
                    </a:stretch>
                  </pic:blipFill>
                  <pic:spPr bwMode="auto">
                    <a:xfrm>
                      <a:off x="0" y="0"/>
                      <a:ext cx="4242435" cy="12700"/>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138"/>
        </w:trPr>
        <w:tc>
          <w:tcPr>
            <w:tcW w:w="2620" w:type="dxa"/>
            <w:vAlign w:val="bottom"/>
          </w:tcPr>
          <w:p>
            <w:pPr>
              <w:ind w:left="20"/>
              <w:spacing w:after="0"/>
              <w:rPr>
                <w:sz w:val="20"/>
                <w:szCs w:val="20"/>
                <w:color w:val="auto"/>
              </w:rPr>
            </w:pPr>
            <w:r>
              <w:rPr>
                <w:rFonts w:ascii="Arial" w:cs="Arial" w:eastAsia="Arial" w:hAnsi="Arial"/>
                <w:sz w:val="12"/>
                <w:szCs w:val="12"/>
                <w:i w:val="1"/>
                <w:iCs w:val="1"/>
                <w:color w:val="005A64"/>
              </w:rPr>
              <w:t>(in millions €)</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20"/>
                <w:szCs w:val="20"/>
                <w:color w:val="auto"/>
              </w:rPr>
            </w:pPr>
            <w:r>
              <w:rPr>
                <w:rFonts w:ascii="Arial" w:cs="Arial" w:eastAsia="Arial" w:hAnsi="Arial"/>
                <w:sz w:val="12"/>
                <w:szCs w:val="12"/>
                <w:b w:val="1"/>
                <w:bCs w:val="1"/>
                <w:color w:val="005A64"/>
              </w:rPr>
              <w:t>In-process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spacing w:after="0"/>
              <w:rPr>
                <w:sz w:val="20"/>
                <w:szCs w:val="20"/>
                <w:color w:val="auto"/>
              </w:rPr>
            </w:pPr>
            <w:r>
              <w:rPr>
                <w:rFonts w:ascii="Arial" w:cs="Arial" w:eastAsia="Arial" w:hAnsi="Arial"/>
                <w:sz w:val="12"/>
                <w:szCs w:val="12"/>
                <w:b w:val="1"/>
                <w:bCs w:val="1"/>
                <w:color w:val="005A64"/>
              </w:rPr>
              <w:t>Concessions,</w:t>
            </w:r>
          </w:p>
        </w:tc>
        <w:tc>
          <w:tcPr>
            <w:tcW w:w="4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005A64"/>
              </w:rPr>
              <w:t>Advance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line="121" w:lineRule="exact"/>
              <w:rPr>
                <w:sz w:val="20"/>
                <w:szCs w:val="20"/>
                <w:color w:val="auto"/>
              </w:rPr>
            </w:pPr>
            <w:r>
              <w:rPr>
                <w:rFonts w:ascii="Arial" w:cs="Arial" w:eastAsia="Arial" w:hAnsi="Arial"/>
                <w:sz w:val="12"/>
                <w:szCs w:val="12"/>
                <w:b w:val="1"/>
                <w:bCs w:val="1"/>
                <w:color w:val="005A64"/>
              </w:rPr>
              <w:t>R&amp;D</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tcPr>
          <w:p>
            <w:pPr>
              <w:spacing w:after="0" w:line="121" w:lineRule="exact"/>
              <w:rPr>
                <w:sz w:val="20"/>
                <w:szCs w:val="20"/>
                <w:color w:val="auto"/>
              </w:rPr>
            </w:pPr>
            <w:r>
              <w:rPr>
                <w:rFonts w:ascii="Arial" w:cs="Arial" w:eastAsia="Arial" w:hAnsi="Arial"/>
                <w:sz w:val="12"/>
                <w:szCs w:val="12"/>
                <w:b w:val="1"/>
                <w:bCs w:val="1"/>
                <w:color w:val="005A64"/>
              </w:rPr>
              <w:t>licenses and</w:t>
            </w:r>
          </w:p>
        </w:tc>
        <w:tc>
          <w:tcPr>
            <w:tcW w:w="40" w:type="dxa"/>
            <w:vAlign w:val="bottom"/>
          </w:tcPr>
          <w:p>
            <w:pPr>
              <w:spacing w:after="0"/>
              <w:rPr>
                <w:sz w:val="10"/>
                <w:szCs w:val="10"/>
                <w:color w:val="auto"/>
              </w:rPr>
            </w:pPr>
          </w:p>
        </w:tc>
        <w:tc>
          <w:tcPr>
            <w:tcW w:w="960" w:type="dxa"/>
            <w:vAlign w:val="bottom"/>
            <w:gridSpan w:val="2"/>
          </w:tcPr>
          <w:p>
            <w:pPr>
              <w:ind w:left="20"/>
              <w:spacing w:after="0" w:line="121" w:lineRule="exact"/>
              <w:rPr>
                <w:sz w:val="20"/>
                <w:szCs w:val="20"/>
                <w:color w:val="auto"/>
              </w:rPr>
            </w:pPr>
            <w:r>
              <w:rPr>
                <w:rFonts w:ascii="Arial" w:cs="Arial" w:eastAsia="Arial" w:hAnsi="Arial"/>
                <w:sz w:val="12"/>
                <w:szCs w:val="12"/>
                <w:b w:val="1"/>
                <w:bCs w:val="1"/>
                <w:color w:val="005A64"/>
              </w:rPr>
              <w:t>payments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2"/>
                <w:szCs w:val="12"/>
                <w:b w:val="1"/>
                <w:bCs w:val="1"/>
                <w:color w:val="005A64"/>
              </w:rPr>
              <w:t>similar rights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620" w:type="dxa"/>
            <w:vAlign w:val="bottom"/>
            <w:tcBorders>
              <w:bottom w:val="single" w:sz="8" w:color="005A64"/>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Borders>
              <w:bottom w:val="single" w:sz="8" w:color="005A64"/>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bottom w:val="single" w:sz="8" w:color="005A64"/>
            </w:tcBorders>
          </w:tcPr>
          <w:p>
            <w:pPr>
              <w:spacing w:after="0"/>
              <w:rPr>
                <w:sz w:val="6"/>
                <w:szCs w:val="6"/>
                <w:color w:val="auto"/>
              </w:rPr>
            </w:pPr>
          </w:p>
        </w:tc>
        <w:tc>
          <w:tcPr>
            <w:tcW w:w="920" w:type="dxa"/>
            <w:vAlign w:val="bottom"/>
            <w:tcBorders>
              <w:bottom w:val="single" w:sz="8" w:color="005A64"/>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005A64"/>
            </w:tcBorders>
          </w:tcPr>
          <w:p>
            <w:pPr>
              <w:spacing w:after="0"/>
              <w:rPr>
                <w:sz w:val="6"/>
                <w:szCs w:val="6"/>
                <w:color w:val="auto"/>
              </w:rPr>
            </w:pPr>
          </w:p>
        </w:tc>
        <w:tc>
          <w:tcPr>
            <w:tcW w:w="920" w:type="dxa"/>
            <w:vAlign w:val="bottom"/>
            <w:tcBorders>
              <w:bottom w:val="single" w:sz="8" w:color="005A64"/>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bottom w:val="single" w:sz="8" w:color="005A64"/>
            </w:tcBorders>
          </w:tcPr>
          <w:p>
            <w:pPr>
              <w:spacing w:after="0"/>
              <w:rPr>
                <w:sz w:val="6"/>
                <w:szCs w:val="6"/>
                <w:color w:val="auto"/>
              </w:rPr>
            </w:pPr>
          </w:p>
        </w:tc>
        <w:tc>
          <w:tcPr>
            <w:tcW w:w="920" w:type="dxa"/>
            <w:vAlign w:val="bottom"/>
            <w:tcBorders>
              <w:bottom w:val="single" w:sz="8" w:color="005A64"/>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620" w:type="dxa"/>
            <w:vAlign w:val="bottom"/>
          </w:tcPr>
          <w:p>
            <w:pPr>
              <w:ind w:left="20"/>
              <w:spacing w:after="0" w:line="102" w:lineRule="exact"/>
              <w:rPr>
                <w:sz w:val="20"/>
                <w:szCs w:val="20"/>
                <w:color w:val="auto"/>
              </w:rPr>
            </w:pPr>
            <w:r>
              <w:rPr>
                <w:rFonts w:ascii="Arial" w:cs="Arial" w:eastAsia="Arial" w:hAnsi="Arial"/>
                <w:sz w:val="11"/>
                <w:szCs w:val="11"/>
                <w:b w:val="1"/>
                <w:bCs w:val="1"/>
                <w:color w:val="3C9673"/>
              </w:rPr>
              <w:t>Cumulative amortization and impairment</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620" w:type="dxa"/>
            <w:vAlign w:val="bottom"/>
          </w:tcPr>
          <w:p>
            <w:pPr>
              <w:ind w:left="20"/>
              <w:spacing w:after="0"/>
              <w:rPr>
                <w:sz w:val="20"/>
                <w:szCs w:val="20"/>
                <w:color w:val="auto"/>
              </w:rPr>
            </w:pPr>
            <w:r>
              <w:rPr>
                <w:rFonts w:ascii="Arial" w:cs="Arial" w:eastAsia="Arial" w:hAnsi="Arial"/>
                <w:sz w:val="12"/>
                <w:szCs w:val="12"/>
                <w:b w:val="1"/>
                <w:bCs w:val="1"/>
                <w:color w:val="3C9673"/>
              </w:rPr>
              <w:t>charges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Arial" w:cs="Arial" w:eastAsia="Arial" w:hAnsi="Arial"/>
                <w:sz w:val="12"/>
                <w:szCs w:val="12"/>
                <w:color w:val="005A64"/>
              </w:rPr>
              <w:t>As of January 1, 2023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20"/>
                <w:szCs w:val="20"/>
                <w:color w:val="auto"/>
              </w:rPr>
            </w:pPr>
            <w:r>
              <w:rPr>
                <w:rFonts w:ascii="Arial" w:cs="Arial" w:eastAsia="Arial" w:hAnsi="Arial"/>
                <w:sz w:val="12"/>
                <w:szCs w:val="12"/>
                <w:color w:val="005A64"/>
              </w:rPr>
              <w:t>—</w:t>
            </w:r>
          </w:p>
        </w:tc>
        <w:tc>
          <w:tcPr>
            <w:tcW w:w="1020" w:type="dxa"/>
            <w:vAlign w:val="bottom"/>
            <w:gridSpan w:val="4"/>
          </w:tcPr>
          <w:p>
            <w:pPr>
              <w:ind w:left="60"/>
              <w:spacing w:after="0"/>
              <w:rPr>
                <w:sz w:val="20"/>
                <w:szCs w:val="20"/>
                <w:color w:val="auto"/>
              </w:rPr>
            </w:pPr>
            <w:r>
              <w:rPr>
                <w:rFonts w:ascii="Arial" w:cs="Arial" w:eastAsia="Arial" w:hAnsi="Arial"/>
                <w:sz w:val="12"/>
                <w:szCs w:val="12"/>
                <w:color w:val="005A64"/>
              </w:rPr>
              <w:t>76.9</w:t>
            </w:r>
          </w:p>
        </w:tc>
        <w:tc>
          <w:tcPr>
            <w:tcW w:w="4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1020" w:type="dxa"/>
            <w:vAlign w:val="bottom"/>
            <w:gridSpan w:val="4"/>
          </w:tcPr>
          <w:p>
            <w:pPr>
              <w:ind w:left="80"/>
              <w:spacing w:after="0"/>
              <w:rPr>
                <w:sz w:val="20"/>
                <w:szCs w:val="20"/>
                <w:color w:val="auto"/>
              </w:rPr>
            </w:pPr>
            <w:r>
              <w:rPr>
                <w:rFonts w:ascii="Arial" w:cs="Arial" w:eastAsia="Arial" w:hAnsi="Arial"/>
                <w:sz w:val="12"/>
                <w:szCs w:val="12"/>
                <w:color w:val="005A64"/>
              </w:rPr>
              <w:t>76.9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Arial" w:cs="Arial" w:eastAsia="Arial" w:hAnsi="Arial"/>
                <w:sz w:val="12"/>
                <w:szCs w:val="12"/>
                <w:color w:val="005A64"/>
              </w:rPr>
              <w:t>Amortization</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20"/>
                <w:szCs w:val="20"/>
                <w:color w:val="auto"/>
              </w:rPr>
            </w:pPr>
            <w:r>
              <w:rPr>
                <w:rFonts w:ascii="Arial" w:cs="Arial" w:eastAsia="Arial" w:hAnsi="Arial"/>
                <w:sz w:val="12"/>
                <w:szCs w:val="12"/>
                <w:color w:val="005A64"/>
              </w:rPr>
              <w:t>—</w:t>
            </w:r>
          </w:p>
        </w:tc>
        <w:tc>
          <w:tcPr>
            <w:tcW w:w="1020" w:type="dxa"/>
            <w:vAlign w:val="bottom"/>
            <w:gridSpan w:val="4"/>
          </w:tcPr>
          <w:p>
            <w:pPr>
              <w:ind w:left="60"/>
              <w:spacing w:after="0"/>
              <w:rPr>
                <w:sz w:val="20"/>
                <w:szCs w:val="20"/>
                <w:color w:val="auto"/>
              </w:rPr>
            </w:pPr>
            <w:r>
              <w:rPr>
                <w:rFonts w:ascii="Arial" w:cs="Arial" w:eastAsia="Arial" w:hAnsi="Arial"/>
                <w:sz w:val="12"/>
                <w:szCs w:val="12"/>
                <w:color w:val="005A64"/>
              </w:rPr>
              <w:t>40.5</w:t>
            </w:r>
          </w:p>
        </w:tc>
        <w:tc>
          <w:tcPr>
            <w:tcW w:w="4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1020" w:type="dxa"/>
            <w:vAlign w:val="bottom"/>
            <w:gridSpan w:val="4"/>
          </w:tcPr>
          <w:p>
            <w:pPr>
              <w:ind w:left="80"/>
              <w:spacing w:after="0"/>
              <w:rPr>
                <w:sz w:val="20"/>
                <w:szCs w:val="20"/>
                <w:color w:val="auto"/>
              </w:rPr>
            </w:pPr>
            <w:r>
              <w:rPr>
                <w:rFonts w:ascii="Arial" w:cs="Arial" w:eastAsia="Arial" w:hAnsi="Arial"/>
                <w:sz w:val="12"/>
                <w:szCs w:val="12"/>
                <w:color w:val="005A64"/>
              </w:rPr>
              <w:t>40.5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Arial" w:cs="Arial" w:eastAsia="Arial" w:hAnsi="Arial"/>
                <w:sz w:val="12"/>
                <w:szCs w:val="12"/>
                <w:color w:val="005A64"/>
              </w:rPr>
              <w:t>Disposals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20"/>
                <w:szCs w:val="20"/>
                <w:color w:val="auto"/>
              </w:rPr>
            </w:pPr>
            <w:r>
              <w:rPr>
                <w:rFonts w:ascii="Arial" w:cs="Arial" w:eastAsia="Arial" w:hAnsi="Arial"/>
                <w:sz w:val="12"/>
                <w:szCs w:val="12"/>
                <w:color w:val="005A64"/>
              </w:rPr>
              <w:t>—</w:t>
            </w:r>
          </w:p>
        </w:tc>
        <w:tc>
          <w:tcPr>
            <w:tcW w:w="1020" w:type="dxa"/>
            <w:vAlign w:val="bottom"/>
            <w:gridSpan w:val="4"/>
          </w:tcPr>
          <w:p>
            <w:pPr>
              <w:ind w:left="60"/>
              <w:spacing w:after="0"/>
              <w:rPr>
                <w:sz w:val="20"/>
                <w:szCs w:val="20"/>
                <w:color w:val="auto"/>
              </w:rPr>
            </w:pPr>
            <w:r>
              <w:rPr>
                <w:rFonts w:ascii="Arial" w:cs="Arial" w:eastAsia="Arial" w:hAnsi="Arial"/>
                <w:sz w:val="12"/>
                <w:szCs w:val="12"/>
                <w:color w:val="005A64"/>
              </w:rPr>
              <w:t>(0.3)</w:t>
            </w:r>
          </w:p>
        </w:tc>
        <w:tc>
          <w:tcPr>
            <w:tcW w:w="4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1020" w:type="dxa"/>
            <w:vAlign w:val="bottom"/>
            <w:gridSpan w:val="4"/>
          </w:tcPr>
          <w:p>
            <w:pPr>
              <w:ind w:left="80"/>
              <w:spacing w:after="0"/>
              <w:rPr>
                <w:sz w:val="20"/>
                <w:szCs w:val="20"/>
                <w:color w:val="auto"/>
              </w:rPr>
            </w:pPr>
            <w:r>
              <w:rPr>
                <w:rFonts w:ascii="Arial" w:cs="Arial" w:eastAsia="Arial" w:hAnsi="Arial"/>
                <w:sz w:val="12"/>
                <w:szCs w:val="12"/>
                <w:color w:val="005A64"/>
              </w:rPr>
              <w:t>(0.3)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Arial" w:cs="Arial" w:eastAsia="Arial" w:hAnsi="Arial"/>
                <w:sz w:val="12"/>
                <w:szCs w:val="12"/>
                <w:color w:val="005A64"/>
              </w:rPr>
              <w:t>Currency differences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20"/>
                <w:szCs w:val="20"/>
                <w:color w:val="auto"/>
              </w:rPr>
            </w:pPr>
            <w:r>
              <w:rPr>
                <w:rFonts w:ascii="Arial" w:cs="Arial" w:eastAsia="Arial" w:hAnsi="Arial"/>
                <w:sz w:val="12"/>
                <w:szCs w:val="12"/>
                <w:color w:val="005A64"/>
              </w:rPr>
              <w:t>—</w:t>
            </w:r>
          </w:p>
        </w:tc>
        <w:tc>
          <w:tcPr>
            <w:tcW w:w="1020" w:type="dxa"/>
            <w:vAlign w:val="bottom"/>
            <w:gridSpan w:val="4"/>
          </w:tcPr>
          <w:p>
            <w:pPr>
              <w:ind w:left="60"/>
              <w:spacing w:after="0"/>
              <w:rPr>
                <w:sz w:val="20"/>
                <w:szCs w:val="20"/>
                <w:color w:val="auto"/>
              </w:rPr>
            </w:pPr>
            <w:r>
              <w:rPr>
                <w:rFonts w:ascii="Arial" w:cs="Arial" w:eastAsia="Arial" w:hAnsi="Arial"/>
                <w:sz w:val="12"/>
                <w:szCs w:val="12"/>
                <w:color w:val="005A64"/>
              </w:rPr>
              <w:t>(0.2)</w:t>
            </w:r>
          </w:p>
        </w:tc>
        <w:tc>
          <w:tcPr>
            <w:tcW w:w="4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1020" w:type="dxa"/>
            <w:vAlign w:val="bottom"/>
            <w:gridSpan w:val="4"/>
          </w:tcPr>
          <w:p>
            <w:pPr>
              <w:ind w:left="80"/>
              <w:spacing w:after="0"/>
              <w:rPr>
                <w:sz w:val="20"/>
                <w:szCs w:val="20"/>
                <w:color w:val="auto"/>
              </w:rPr>
            </w:pPr>
            <w:r>
              <w:rPr>
                <w:rFonts w:ascii="Arial" w:cs="Arial" w:eastAsia="Arial" w:hAnsi="Arial"/>
                <w:sz w:val="12"/>
                <w:szCs w:val="12"/>
                <w:color w:val="005A64"/>
              </w:rPr>
              <w:t>(0.2)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620" w:type="dxa"/>
            <w:vAlign w:val="bottom"/>
          </w:tcPr>
          <w:p>
            <w:pPr>
              <w:ind w:left="20"/>
              <w:spacing w:after="0"/>
              <w:rPr>
                <w:sz w:val="20"/>
                <w:szCs w:val="20"/>
                <w:color w:val="auto"/>
              </w:rPr>
            </w:pPr>
            <w:r>
              <w:rPr>
                <w:rFonts w:ascii="Arial" w:cs="Arial" w:eastAsia="Arial" w:hAnsi="Arial"/>
                <w:sz w:val="12"/>
                <w:szCs w:val="12"/>
                <w:b w:val="1"/>
                <w:bCs w:val="1"/>
                <w:color w:val="005A64"/>
              </w:rPr>
              <w:t>As of December 31, 2023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2"/>
                <w:szCs w:val="12"/>
                <w:b w:val="1"/>
                <w:bCs w:val="1"/>
                <w:color w:val="005A64"/>
              </w:rPr>
              <w:t>—</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005A64"/>
              </w:rPr>
              <w:t>116.9</w:t>
            </w:r>
          </w:p>
        </w:tc>
        <w:tc>
          <w:tcPr>
            <w:tcW w:w="4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005A64"/>
              </w:rPr>
              <w:t>—</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005A64"/>
              </w:rPr>
              <w:t>116.9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2620" w:type="dxa"/>
            <w:vAlign w:val="bottom"/>
            <w:tcBorders>
              <w:bottom w:val="single" w:sz="8" w:color="005A64"/>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BECE33"/>
            </w:tcBorders>
          </w:tcPr>
          <w:p>
            <w:pPr>
              <w:spacing w:after="0"/>
              <w:rPr>
                <w:sz w:val="5"/>
                <w:szCs w:val="5"/>
                <w:color w:val="auto"/>
              </w:rPr>
            </w:pPr>
          </w:p>
        </w:tc>
        <w:tc>
          <w:tcPr>
            <w:tcW w:w="20" w:type="dxa"/>
            <w:vAlign w:val="bottom"/>
            <w:tcBorders>
              <w:bottom w:val="single" w:sz="8" w:color="BECE33"/>
            </w:tcBorders>
          </w:tcPr>
          <w:p>
            <w:pPr>
              <w:spacing w:after="0"/>
              <w:rPr>
                <w:sz w:val="5"/>
                <w:szCs w:val="5"/>
                <w:color w:val="auto"/>
              </w:rPr>
            </w:pPr>
          </w:p>
        </w:tc>
        <w:tc>
          <w:tcPr>
            <w:tcW w:w="940" w:type="dxa"/>
            <w:vAlign w:val="bottom"/>
            <w:tcBorders>
              <w:bottom w:val="single" w:sz="8" w:color="BECE33"/>
            </w:tcBorders>
          </w:tcPr>
          <w:p>
            <w:pPr>
              <w:spacing w:after="0"/>
              <w:rPr>
                <w:sz w:val="5"/>
                <w:szCs w:val="5"/>
                <w:color w:val="auto"/>
              </w:rPr>
            </w:pPr>
          </w:p>
        </w:tc>
        <w:tc>
          <w:tcPr>
            <w:tcW w:w="40" w:type="dxa"/>
            <w:vAlign w:val="bottom"/>
            <w:tcBorders>
              <w:bottom w:val="single" w:sz="8" w:color="BECE33"/>
            </w:tcBorders>
          </w:tcPr>
          <w:p>
            <w:pPr>
              <w:spacing w:after="0"/>
              <w:rPr>
                <w:sz w:val="5"/>
                <w:szCs w:val="5"/>
                <w:color w:val="auto"/>
              </w:rPr>
            </w:pPr>
          </w:p>
        </w:tc>
        <w:tc>
          <w:tcPr>
            <w:tcW w:w="60" w:type="dxa"/>
            <w:vAlign w:val="bottom"/>
            <w:tcBorders>
              <w:bottom w:val="single" w:sz="8" w:color="BECE33"/>
            </w:tcBorders>
            <w:gridSpan w:val="2"/>
          </w:tcPr>
          <w:p>
            <w:pPr>
              <w:spacing w:after="0"/>
              <w:rPr>
                <w:sz w:val="5"/>
                <w:szCs w:val="5"/>
                <w:color w:val="auto"/>
              </w:rPr>
            </w:pPr>
          </w:p>
        </w:tc>
        <w:tc>
          <w:tcPr>
            <w:tcW w:w="920" w:type="dxa"/>
            <w:vAlign w:val="bottom"/>
            <w:tcBorders>
              <w:bottom w:val="single" w:sz="8" w:color="BECE33"/>
            </w:tcBorders>
          </w:tcPr>
          <w:p>
            <w:pPr>
              <w:spacing w:after="0"/>
              <w:rPr>
                <w:sz w:val="5"/>
                <w:szCs w:val="5"/>
                <w:color w:val="auto"/>
              </w:rPr>
            </w:pPr>
          </w:p>
        </w:tc>
        <w:tc>
          <w:tcPr>
            <w:tcW w:w="40" w:type="dxa"/>
            <w:vAlign w:val="bottom"/>
            <w:tcBorders>
              <w:bottom w:val="single" w:sz="8" w:color="BECE33"/>
            </w:tcBorders>
          </w:tcPr>
          <w:p>
            <w:pPr>
              <w:spacing w:after="0"/>
              <w:rPr>
                <w:sz w:val="5"/>
                <w:szCs w:val="5"/>
                <w:color w:val="auto"/>
              </w:rPr>
            </w:pPr>
          </w:p>
        </w:tc>
        <w:tc>
          <w:tcPr>
            <w:tcW w:w="40" w:type="dxa"/>
            <w:vAlign w:val="bottom"/>
            <w:tcBorders>
              <w:bottom w:val="single" w:sz="8" w:color="BECE33"/>
            </w:tcBorders>
          </w:tcPr>
          <w:p>
            <w:pPr>
              <w:spacing w:after="0"/>
              <w:rPr>
                <w:sz w:val="5"/>
                <w:szCs w:val="5"/>
                <w:color w:val="auto"/>
              </w:rPr>
            </w:pPr>
          </w:p>
        </w:tc>
        <w:tc>
          <w:tcPr>
            <w:tcW w:w="920" w:type="dxa"/>
            <w:vAlign w:val="bottom"/>
            <w:tcBorders>
              <w:bottom w:val="single" w:sz="8" w:color="BECE33"/>
            </w:tcBorders>
          </w:tcPr>
          <w:p>
            <w:pPr>
              <w:spacing w:after="0"/>
              <w:rPr>
                <w:sz w:val="5"/>
                <w:szCs w:val="5"/>
                <w:color w:val="auto"/>
              </w:rPr>
            </w:pPr>
          </w:p>
        </w:tc>
        <w:tc>
          <w:tcPr>
            <w:tcW w:w="40" w:type="dxa"/>
            <w:vAlign w:val="bottom"/>
            <w:tcBorders>
              <w:bottom w:val="single" w:sz="8" w:color="BECE33"/>
            </w:tcBorders>
          </w:tcPr>
          <w:p>
            <w:pPr>
              <w:spacing w:after="0"/>
              <w:rPr>
                <w:sz w:val="5"/>
                <w:szCs w:val="5"/>
                <w:color w:val="auto"/>
              </w:rPr>
            </w:pPr>
          </w:p>
        </w:tc>
        <w:tc>
          <w:tcPr>
            <w:tcW w:w="60" w:type="dxa"/>
            <w:vAlign w:val="bottom"/>
            <w:tcBorders>
              <w:bottom w:val="single" w:sz="8" w:color="BECE33"/>
            </w:tcBorders>
            <w:gridSpan w:val="2"/>
          </w:tcPr>
          <w:p>
            <w:pPr>
              <w:spacing w:after="0"/>
              <w:rPr>
                <w:sz w:val="5"/>
                <w:szCs w:val="5"/>
                <w:color w:val="auto"/>
              </w:rPr>
            </w:pPr>
          </w:p>
        </w:tc>
        <w:tc>
          <w:tcPr>
            <w:tcW w:w="920" w:type="dxa"/>
            <w:vAlign w:val="bottom"/>
            <w:tcBorders>
              <w:bottom w:val="single" w:sz="8" w:color="BECE33"/>
            </w:tcBorders>
          </w:tcPr>
          <w:p>
            <w:pPr>
              <w:spacing w:after="0"/>
              <w:rPr>
                <w:sz w:val="5"/>
                <w:szCs w:val="5"/>
                <w:color w:val="auto"/>
              </w:rPr>
            </w:pPr>
          </w:p>
        </w:tc>
        <w:tc>
          <w:tcPr>
            <w:tcW w:w="60" w:type="dxa"/>
            <w:vAlign w:val="bottom"/>
            <w:tcBorders>
              <w:bottom w:val="single" w:sz="8" w:color="BECE33"/>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620" w:type="dxa"/>
            <w:vAlign w:val="bottom"/>
          </w:tcPr>
          <w:p>
            <w:pPr>
              <w:ind w:left="20"/>
              <w:spacing w:after="0" w:line="130" w:lineRule="exact"/>
              <w:rPr>
                <w:sz w:val="20"/>
                <w:szCs w:val="20"/>
                <w:color w:val="auto"/>
              </w:rPr>
            </w:pPr>
            <w:r>
              <w:rPr>
                <w:rFonts w:ascii="Arial" w:cs="Arial" w:eastAsia="Arial" w:hAnsi="Arial"/>
                <w:sz w:val="12"/>
                <w:szCs w:val="12"/>
                <w:color w:val="005A64"/>
              </w:rPr>
              <w:t>Amortization</w:t>
            </w:r>
          </w:p>
        </w:tc>
        <w:tc>
          <w:tcPr>
            <w:tcW w:w="40" w:type="dxa"/>
            <w:vAlign w:val="bottom"/>
            <w:tcBorders>
              <w:right w:val="single" w:sz="8" w:color="BECE33"/>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2"/>
                <w:szCs w:val="12"/>
                <w:color w:val="005A64"/>
              </w:rPr>
              <w:t>—</w:t>
            </w:r>
          </w:p>
        </w:tc>
        <w:tc>
          <w:tcPr>
            <w:tcW w:w="1020" w:type="dxa"/>
            <w:vAlign w:val="bottom"/>
            <w:gridSpan w:val="4"/>
          </w:tcPr>
          <w:p>
            <w:pPr>
              <w:ind w:left="60"/>
              <w:spacing w:after="0" w:line="130" w:lineRule="exact"/>
              <w:rPr>
                <w:sz w:val="20"/>
                <w:szCs w:val="20"/>
                <w:color w:val="auto"/>
              </w:rPr>
            </w:pPr>
            <w:r>
              <w:rPr>
                <w:rFonts w:ascii="Arial" w:cs="Arial" w:eastAsia="Arial" w:hAnsi="Arial"/>
                <w:sz w:val="12"/>
                <w:szCs w:val="12"/>
                <w:color w:val="005A64"/>
              </w:rPr>
              <w:t>54.8</w:t>
            </w:r>
          </w:p>
        </w:tc>
        <w:tc>
          <w:tcPr>
            <w:tcW w:w="40" w:type="dxa"/>
            <w:vAlign w:val="bottom"/>
          </w:tcPr>
          <w:p>
            <w:pPr>
              <w:spacing w:after="0"/>
              <w:rPr>
                <w:sz w:val="11"/>
                <w:szCs w:val="11"/>
                <w:color w:val="auto"/>
              </w:rPr>
            </w:pP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color w:val="005A64"/>
              </w:rPr>
              <w:t>—</w:t>
            </w:r>
          </w:p>
        </w:tc>
        <w:tc>
          <w:tcPr>
            <w:tcW w:w="1020" w:type="dxa"/>
            <w:vAlign w:val="bottom"/>
            <w:gridSpan w:val="4"/>
          </w:tcPr>
          <w:p>
            <w:pPr>
              <w:ind w:left="80"/>
              <w:spacing w:after="0" w:line="130" w:lineRule="exact"/>
              <w:rPr>
                <w:sz w:val="20"/>
                <w:szCs w:val="20"/>
                <w:color w:val="auto"/>
              </w:rPr>
            </w:pPr>
            <w:r>
              <w:rPr>
                <w:rFonts w:ascii="Arial" w:cs="Arial" w:eastAsia="Arial" w:hAnsi="Arial"/>
                <w:sz w:val="12"/>
                <w:szCs w:val="12"/>
                <w:color w:val="005A64"/>
              </w:rPr>
              <w:t>54.8</w:t>
            </w:r>
          </w:p>
        </w:tc>
        <w:tc>
          <w:tcPr>
            <w:tcW w:w="60" w:type="dxa"/>
            <w:vAlign w:val="bottom"/>
            <w:tcBorders>
              <w:right w:val="single" w:sz="8" w:color="BECE33"/>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20"/>
              <w:spacing w:after="0"/>
              <w:rPr>
                <w:sz w:val="20"/>
                <w:szCs w:val="20"/>
                <w:color w:val="auto"/>
              </w:rPr>
            </w:pPr>
            <w:r>
              <w:rPr>
                <w:rFonts w:ascii="Arial" w:cs="Arial" w:eastAsia="Arial" w:hAnsi="Arial"/>
                <w:sz w:val="12"/>
                <w:szCs w:val="12"/>
                <w:color w:val="005A64"/>
              </w:rPr>
              <w:t>Impairment</w:t>
            </w:r>
          </w:p>
        </w:tc>
        <w:tc>
          <w:tcPr>
            <w:tcW w:w="40" w:type="dxa"/>
            <w:vAlign w:val="bottom"/>
            <w:tcBorders>
              <w:right w:val="single" w:sz="8" w:color="BECE33"/>
            </w:tcBorders>
          </w:tcPr>
          <w:p>
            <w:pPr>
              <w:spacing w:after="0"/>
              <w:rPr>
                <w:sz w:val="15"/>
                <w:szCs w:val="15"/>
                <w:color w:val="auto"/>
              </w:rPr>
            </w:pPr>
          </w:p>
        </w:tc>
        <w:tc>
          <w:tcPr>
            <w:tcW w:w="980" w:type="dxa"/>
            <w:vAlign w:val="bottom"/>
            <w:gridSpan w:val="3"/>
          </w:tcPr>
          <w:p>
            <w:pPr>
              <w:ind w:left="40"/>
              <w:spacing w:after="0"/>
              <w:rPr>
                <w:sz w:val="20"/>
                <w:szCs w:val="20"/>
                <w:color w:val="auto"/>
              </w:rPr>
            </w:pPr>
            <w:r>
              <w:rPr>
                <w:rFonts w:ascii="Arial" w:cs="Arial" w:eastAsia="Arial" w:hAnsi="Arial"/>
                <w:sz w:val="12"/>
                <w:szCs w:val="12"/>
                <w:color w:val="005A64"/>
              </w:rPr>
              <w:t>55.1</w:t>
            </w:r>
          </w:p>
        </w:tc>
        <w:tc>
          <w:tcPr>
            <w:tcW w:w="1020" w:type="dxa"/>
            <w:vAlign w:val="bottom"/>
            <w:gridSpan w:val="4"/>
          </w:tcPr>
          <w:p>
            <w:pPr>
              <w:ind w:left="60"/>
              <w:spacing w:after="0"/>
              <w:rPr>
                <w:sz w:val="20"/>
                <w:szCs w:val="20"/>
                <w:color w:val="auto"/>
              </w:rPr>
            </w:pPr>
            <w:r>
              <w:rPr>
                <w:rFonts w:ascii="Arial" w:cs="Arial" w:eastAsia="Arial" w:hAnsi="Arial"/>
                <w:sz w:val="12"/>
                <w:szCs w:val="12"/>
                <w:color w:val="005A64"/>
              </w:rPr>
              <w:t>28.2</w:t>
            </w:r>
          </w:p>
        </w:tc>
        <w:tc>
          <w:tcPr>
            <w:tcW w:w="4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1020" w:type="dxa"/>
            <w:vAlign w:val="bottom"/>
            <w:gridSpan w:val="4"/>
          </w:tcPr>
          <w:p>
            <w:pPr>
              <w:ind w:left="80"/>
              <w:spacing w:after="0"/>
              <w:rPr>
                <w:sz w:val="20"/>
                <w:szCs w:val="20"/>
                <w:color w:val="auto"/>
              </w:rPr>
            </w:pPr>
            <w:r>
              <w:rPr>
                <w:rFonts w:ascii="Arial" w:cs="Arial" w:eastAsia="Arial" w:hAnsi="Arial"/>
                <w:sz w:val="12"/>
                <w:szCs w:val="12"/>
                <w:color w:val="005A64"/>
              </w:rPr>
              <w:t>83.3</w:t>
            </w:r>
          </w:p>
        </w:tc>
        <w:tc>
          <w:tcPr>
            <w:tcW w:w="60" w:type="dxa"/>
            <w:vAlign w:val="bottom"/>
            <w:tcBorders>
              <w:right w:val="single" w:sz="8" w:color="BECE33"/>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Arial" w:cs="Arial" w:eastAsia="Arial" w:hAnsi="Arial"/>
                <w:sz w:val="12"/>
                <w:szCs w:val="12"/>
                <w:color w:val="005A64"/>
              </w:rPr>
              <w:t>Disposals</w:t>
            </w:r>
          </w:p>
        </w:tc>
        <w:tc>
          <w:tcPr>
            <w:tcW w:w="40" w:type="dxa"/>
            <w:vAlign w:val="bottom"/>
            <w:tcBorders>
              <w:right w:val="single" w:sz="8" w:color="BECE33"/>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20"/>
                <w:szCs w:val="20"/>
                <w:color w:val="auto"/>
              </w:rPr>
            </w:pPr>
            <w:r>
              <w:rPr>
                <w:rFonts w:ascii="Arial" w:cs="Arial" w:eastAsia="Arial" w:hAnsi="Arial"/>
                <w:sz w:val="12"/>
                <w:szCs w:val="12"/>
                <w:color w:val="005A64"/>
              </w:rPr>
              <w:t>—</w:t>
            </w:r>
          </w:p>
        </w:tc>
        <w:tc>
          <w:tcPr>
            <w:tcW w:w="1020" w:type="dxa"/>
            <w:vAlign w:val="bottom"/>
            <w:gridSpan w:val="4"/>
          </w:tcPr>
          <w:p>
            <w:pPr>
              <w:ind w:left="60"/>
              <w:spacing w:after="0"/>
              <w:rPr>
                <w:sz w:val="20"/>
                <w:szCs w:val="20"/>
                <w:color w:val="auto"/>
              </w:rPr>
            </w:pPr>
            <w:r>
              <w:rPr>
                <w:rFonts w:ascii="Arial" w:cs="Arial" w:eastAsia="Arial" w:hAnsi="Arial"/>
                <w:sz w:val="12"/>
                <w:szCs w:val="12"/>
                <w:color w:val="005A64"/>
              </w:rPr>
              <w:t>(2.8)</w:t>
            </w:r>
          </w:p>
        </w:tc>
        <w:tc>
          <w:tcPr>
            <w:tcW w:w="4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1020" w:type="dxa"/>
            <w:vAlign w:val="bottom"/>
            <w:gridSpan w:val="4"/>
          </w:tcPr>
          <w:p>
            <w:pPr>
              <w:ind w:left="80"/>
              <w:spacing w:after="0"/>
              <w:rPr>
                <w:sz w:val="20"/>
                <w:szCs w:val="20"/>
                <w:color w:val="auto"/>
              </w:rPr>
            </w:pPr>
            <w:r>
              <w:rPr>
                <w:rFonts w:ascii="Arial" w:cs="Arial" w:eastAsia="Arial" w:hAnsi="Arial"/>
                <w:sz w:val="12"/>
                <w:szCs w:val="12"/>
                <w:color w:val="005A64"/>
              </w:rPr>
              <w:t>(2.8)</w:t>
            </w:r>
          </w:p>
        </w:tc>
        <w:tc>
          <w:tcPr>
            <w:tcW w:w="6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Arial" w:cs="Arial" w:eastAsia="Arial" w:hAnsi="Arial"/>
                <w:sz w:val="12"/>
                <w:szCs w:val="12"/>
                <w:color w:val="005A64"/>
              </w:rPr>
              <w:t>Currency differences</w:t>
            </w:r>
          </w:p>
        </w:tc>
        <w:tc>
          <w:tcPr>
            <w:tcW w:w="40" w:type="dxa"/>
            <w:vAlign w:val="bottom"/>
            <w:tcBorders>
              <w:right w:val="single" w:sz="8" w:color="BECE33"/>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20"/>
                <w:szCs w:val="20"/>
                <w:color w:val="auto"/>
              </w:rPr>
            </w:pPr>
            <w:r>
              <w:rPr>
                <w:rFonts w:ascii="Arial" w:cs="Arial" w:eastAsia="Arial" w:hAnsi="Arial"/>
                <w:sz w:val="12"/>
                <w:szCs w:val="12"/>
                <w:color w:val="005A64"/>
              </w:rPr>
              <w:t>—</w:t>
            </w:r>
          </w:p>
        </w:tc>
        <w:tc>
          <w:tcPr>
            <w:tcW w:w="1020" w:type="dxa"/>
            <w:vAlign w:val="bottom"/>
            <w:gridSpan w:val="4"/>
          </w:tcPr>
          <w:p>
            <w:pPr>
              <w:ind w:left="60"/>
              <w:spacing w:after="0"/>
              <w:rPr>
                <w:sz w:val="20"/>
                <w:szCs w:val="20"/>
                <w:color w:val="auto"/>
              </w:rPr>
            </w:pPr>
            <w:r>
              <w:rPr>
                <w:rFonts w:ascii="Arial" w:cs="Arial" w:eastAsia="Arial" w:hAnsi="Arial"/>
                <w:sz w:val="12"/>
                <w:szCs w:val="12"/>
                <w:color w:val="005A64"/>
              </w:rPr>
              <w:t>1.8</w:t>
            </w:r>
          </w:p>
        </w:tc>
        <w:tc>
          <w:tcPr>
            <w:tcW w:w="4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1020" w:type="dxa"/>
            <w:vAlign w:val="bottom"/>
            <w:gridSpan w:val="4"/>
          </w:tcPr>
          <w:p>
            <w:pPr>
              <w:ind w:left="80"/>
              <w:spacing w:after="0"/>
              <w:rPr>
                <w:sz w:val="20"/>
                <w:szCs w:val="20"/>
                <w:color w:val="auto"/>
              </w:rPr>
            </w:pPr>
            <w:r>
              <w:rPr>
                <w:rFonts w:ascii="Arial" w:cs="Arial" w:eastAsia="Arial" w:hAnsi="Arial"/>
                <w:sz w:val="12"/>
                <w:szCs w:val="12"/>
                <w:color w:val="005A64"/>
              </w:rPr>
              <w:t>1.8</w:t>
            </w:r>
          </w:p>
        </w:tc>
        <w:tc>
          <w:tcPr>
            <w:tcW w:w="6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620" w:type="dxa"/>
            <w:vAlign w:val="bottom"/>
          </w:tcPr>
          <w:p>
            <w:pPr>
              <w:ind w:left="20"/>
              <w:spacing w:after="0"/>
              <w:rPr>
                <w:sz w:val="20"/>
                <w:szCs w:val="20"/>
                <w:color w:val="auto"/>
              </w:rPr>
            </w:pPr>
            <w:r>
              <w:rPr>
                <w:rFonts w:ascii="Arial" w:cs="Arial" w:eastAsia="Arial" w:hAnsi="Arial"/>
                <w:sz w:val="12"/>
                <w:szCs w:val="12"/>
                <w:b w:val="1"/>
                <w:bCs w:val="1"/>
                <w:color w:val="005A64"/>
              </w:rPr>
              <w:t>As of December 31, 2024</w:t>
            </w:r>
          </w:p>
        </w:tc>
        <w:tc>
          <w:tcPr>
            <w:tcW w:w="40" w:type="dxa"/>
            <w:vAlign w:val="bottom"/>
            <w:tcBorders>
              <w:right w:val="single" w:sz="8" w:color="BECE33"/>
            </w:tcBorders>
          </w:tcPr>
          <w:p>
            <w:pPr>
              <w:spacing w:after="0"/>
              <w:rPr>
                <w:sz w:val="18"/>
                <w:szCs w:val="18"/>
                <w:color w:val="auto"/>
              </w:rPr>
            </w:pP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005A64"/>
              </w:rPr>
              <w:t>55.1</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005A64"/>
              </w:rPr>
              <w:t>198.9</w:t>
            </w:r>
          </w:p>
        </w:tc>
        <w:tc>
          <w:tcPr>
            <w:tcW w:w="4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005A64"/>
              </w:rPr>
              <w:t>—</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005A64"/>
              </w:rPr>
              <w:t>254.0</w:t>
            </w:r>
          </w:p>
        </w:tc>
        <w:tc>
          <w:tcPr>
            <w:tcW w:w="60" w:type="dxa"/>
            <w:vAlign w:val="bottom"/>
            <w:tcBorders>
              <w:right w:val="single" w:sz="8" w:color="BECE33"/>
            </w:tcBorders>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620" w:type="dxa"/>
            <w:vAlign w:val="bottom"/>
            <w:tcBorders>
              <w:bottom w:val="single" w:sz="8" w:color="005A64"/>
            </w:tcBorders>
          </w:tcPr>
          <w:p>
            <w:pPr>
              <w:spacing w:after="0"/>
              <w:rPr>
                <w:sz w:val="4"/>
                <w:szCs w:val="4"/>
                <w:color w:val="auto"/>
              </w:rPr>
            </w:pPr>
          </w:p>
        </w:tc>
        <w:tc>
          <w:tcPr>
            <w:tcW w:w="40" w:type="dxa"/>
            <w:vAlign w:val="bottom"/>
            <w:tcBorders>
              <w:bottom w:val="single" w:sz="8" w:color="BECE33"/>
              <w:right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94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92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92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92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620" w:type="dxa"/>
            <w:vAlign w:val="bottom"/>
          </w:tcPr>
          <w:p>
            <w:pPr>
              <w:ind w:left="20"/>
              <w:spacing w:after="0"/>
              <w:rPr>
                <w:sz w:val="20"/>
                <w:szCs w:val="20"/>
                <w:color w:val="auto"/>
              </w:rPr>
            </w:pPr>
            <w:r>
              <w:rPr>
                <w:rFonts w:ascii="Arial" w:cs="Arial" w:eastAsia="Arial" w:hAnsi="Arial"/>
                <w:sz w:val="12"/>
                <w:szCs w:val="12"/>
                <w:i w:val="1"/>
                <w:iCs w:val="1"/>
                <w:color w:val="005A64"/>
              </w:rPr>
              <w:t>(in millions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ind w:left="40"/>
              <w:spacing w:after="0"/>
              <w:rPr>
                <w:sz w:val="20"/>
                <w:szCs w:val="20"/>
                <w:color w:val="auto"/>
              </w:rPr>
            </w:pPr>
            <w:r>
              <w:rPr>
                <w:rFonts w:ascii="Arial" w:cs="Arial" w:eastAsia="Arial" w:hAnsi="Arial"/>
                <w:sz w:val="12"/>
                <w:szCs w:val="12"/>
                <w:b w:val="1"/>
                <w:bCs w:val="1"/>
                <w:color w:val="005A64"/>
              </w:rPr>
              <w:t>In-process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2"/>
                <w:szCs w:val="12"/>
                <w:b w:val="1"/>
                <w:bCs w:val="1"/>
                <w:color w:val="005A64"/>
              </w:rPr>
              <w:t>Concessions,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2"/>
                <w:szCs w:val="12"/>
                <w:b w:val="1"/>
                <w:bCs w:val="1"/>
                <w:color w:val="005A64"/>
              </w:rPr>
              <w:t>Advance</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2"/>
                <w:szCs w:val="12"/>
                <w:b w:val="1"/>
                <w:bCs w:val="1"/>
                <w:color w:val="005A64"/>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ind w:left="40"/>
              <w:spacing w:after="0" w:line="121" w:lineRule="exact"/>
              <w:rPr>
                <w:sz w:val="20"/>
                <w:szCs w:val="20"/>
                <w:color w:val="auto"/>
              </w:rPr>
            </w:pPr>
            <w:r>
              <w:rPr>
                <w:rFonts w:ascii="Arial" w:cs="Arial" w:eastAsia="Arial" w:hAnsi="Arial"/>
                <w:sz w:val="12"/>
                <w:szCs w:val="12"/>
                <w:b w:val="1"/>
                <w:bCs w:val="1"/>
                <w:color w:val="005A64"/>
              </w:rPr>
              <w:t>R&amp;D</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line="121" w:lineRule="exact"/>
              <w:rPr>
                <w:sz w:val="20"/>
                <w:szCs w:val="20"/>
                <w:color w:val="auto"/>
              </w:rPr>
            </w:pPr>
            <w:r>
              <w:rPr>
                <w:rFonts w:ascii="Arial" w:cs="Arial" w:eastAsia="Arial" w:hAnsi="Arial"/>
                <w:sz w:val="12"/>
                <w:szCs w:val="12"/>
                <w:b w:val="1"/>
                <w:bCs w:val="1"/>
                <w:color w:val="005A64"/>
              </w:rPr>
              <w:t>licenses and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ind w:left="20"/>
              <w:spacing w:after="0" w:line="121" w:lineRule="exact"/>
              <w:rPr>
                <w:sz w:val="20"/>
                <w:szCs w:val="20"/>
                <w:color w:val="auto"/>
              </w:rPr>
            </w:pPr>
            <w:r>
              <w:rPr>
                <w:rFonts w:ascii="Arial" w:cs="Arial" w:eastAsia="Arial" w:hAnsi="Arial"/>
                <w:sz w:val="12"/>
                <w:szCs w:val="12"/>
                <w:b w:val="1"/>
                <w:bCs w:val="1"/>
                <w:color w:val="005A64"/>
              </w:rPr>
              <w:t>payments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2"/>
                <w:szCs w:val="12"/>
                <w:b w:val="1"/>
                <w:bCs w:val="1"/>
                <w:color w:val="005A64"/>
              </w:rPr>
              <w:t>similar rights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620" w:type="dxa"/>
            <w:vAlign w:val="bottom"/>
            <w:tcBorders>
              <w:bottom w:val="single" w:sz="8" w:color="005A64"/>
            </w:tcBorders>
          </w:tcPr>
          <w:p>
            <w:pPr>
              <w:spacing w:after="0"/>
              <w:rPr>
                <w:sz w:val="6"/>
                <w:szCs w:val="6"/>
                <w:color w:val="auto"/>
              </w:rPr>
            </w:pPr>
          </w:p>
        </w:tc>
        <w:tc>
          <w:tcPr>
            <w:tcW w:w="40" w:type="dxa"/>
            <w:vAlign w:val="bottom"/>
            <w:tcBorders>
              <w:bottom w:val="single" w:sz="8" w:color="005A64"/>
            </w:tcBorders>
          </w:tcPr>
          <w:p>
            <w:pPr>
              <w:spacing w:after="0"/>
              <w:rPr>
                <w:sz w:val="6"/>
                <w:szCs w:val="6"/>
                <w:color w:val="auto"/>
              </w:rPr>
            </w:pPr>
          </w:p>
        </w:tc>
        <w:tc>
          <w:tcPr>
            <w:tcW w:w="20" w:type="dxa"/>
            <w:vAlign w:val="bottom"/>
            <w:tcBorders>
              <w:bottom w:val="single" w:sz="8" w:color="005A64"/>
            </w:tcBorders>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Borders>
              <w:bottom w:val="single" w:sz="8" w:color="005A64"/>
            </w:tcBorders>
          </w:tcPr>
          <w:p>
            <w:pPr>
              <w:spacing w:after="0"/>
              <w:rPr>
                <w:sz w:val="6"/>
                <w:szCs w:val="6"/>
                <w:color w:val="auto"/>
              </w:rPr>
            </w:pPr>
          </w:p>
        </w:tc>
        <w:tc>
          <w:tcPr>
            <w:tcW w:w="40" w:type="dxa"/>
            <w:vAlign w:val="bottom"/>
            <w:tcBorders>
              <w:bottom w:val="single" w:sz="8" w:color="005A64"/>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tcBorders>
              <w:bottom w:val="single" w:sz="8" w:color="005A64"/>
            </w:tcBorders>
          </w:tcPr>
          <w:p>
            <w:pPr>
              <w:spacing w:after="0"/>
              <w:rPr>
                <w:sz w:val="6"/>
                <w:szCs w:val="6"/>
                <w:color w:val="auto"/>
              </w:rPr>
            </w:pPr>
          </w:p>
        </w:tc>
        <w:tc>
          <w:tcPr>
            <w:tcW w:w="40" w:type="dxa"/>
            <w:vAlign w:val="bottom"/>
            <w:tcBorders>
              <w:bottom w:val="single" w:sz="8" w:color="005A64"/>
            </w:tcBorders>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tcBorders>
              <w:bottom w:val="single" w:sz="8" w:color="005A64"/>
            </w:tcBorders>
          </w:tcPr>
          <w:p>
            <w:pPr>
              <w:spacing w:after="0"/>
              <w:rPr>
                <w:sz w:val="6"/>
                <w:szCs w:val="6"/>
                <w:color w:val="auto"/>
              </w:rPr>
            </w:pPr>
          </w:p>
        </w:tc>
        <w:tc>
          <w:tcPr>
            <w:tcW w:w="40" w:type="dxa"/>
            <w:vAlign w:val="bottom"/>
            <w:tcBorders>
              <w:bottom w:val="single" w:sz="8" w:color="005A64"/>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tcBorders>
              <w:bottom w:val="single" w:sz="8" w:color="005A64"/>
            </w:tcBorders>
          </w:tcPr>
          <w:p>
            <w:pPr>
              <w:spacing w:after="0"/>
              <w:rPr>
                <w:sz w:val="6"/>
                <w:szCs w:val="6"/>
                <w:color w:val="auto"/>
              </w:rPr>
            </w:pPr>
          </w:p>
        </w:tc>
        <w:tc>
          <w:tcPr>
            <w:tcW w:w="60" w:type="dxa"/>
            <w:vAlign w:val="bottom"/>
            <w:tcBorders>
              <w:bottom w:val="single" w:sz="8" w:color="005A64"/>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620" w:type="dxa"/>
            <w:vAlign w:val="bottom"/>
          </w:tcPr>
          <w:p>
            <w:pPr>
              <w:ind w:left="20"/>
              <w:spacing w:after="0"/>
              <w:rPr>
                <w:sz w:val="20"/>
                <w:szCs w:val="20"/>
                <w:color w:val="auto"/>
              </w:rPr>
            </w:pPr>
            <w:r>
              <w:rPr>
                <w:rFonts w:ascii="Arial" w:cs="Arial" w:eastAsia="Arial" w:hAnsi="Arial"/>
                <w:sz w:val="12"/>
                <w:szCs w:val="12"/>
                <w:b w:val="1"/>
                <w:bCs w:val="1"/>
                <w:color w:val="3C9673"/>
              </w:rPr>
              <w:t>Carrying amount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20"/>
              <w:spacing w:after="0"/>
              <w:rPr>
                <w:sz w:val="20"/>
                <w:szCs w:val="20"/>
                <w:color w:val="auto"/>
              </w:rPr>
            </w:pPr>
            <w:r>
              <w:rPr>
                <w:rFonts w:ascii="Arial" w:cs="Arial" w:eastAsia="Arial" w:hAnsi="Arial"/>
                <w:sz w:val="12"/>
                <w:szCs w:val="12"/>
                <w:b w:val="1"/>
                <w:bCs w:val="1"/>
                <w:color w:val="005A64"/>
              </w:rPr>
              <w:t>As of December 31, 2023</w:t>
            </w:r>
          </w:p>
        </w:tc>
        <w:tc>
          <w:tcPr>
            <w:tcW w:w="1020" w:type="dxa"/>
            <w:vAlign w:val="bottom"/>
            <w:gridSpan w:val="4"/>
          </w:tcPr>
          <w:p>
            <w:pPr>
              <w:ind w:left="120"/>
              <w:spacing w:after="0"/>
              <w:rPr>
                <w:sz w:val="20"/>
                <w:szCs w:val="20"/>
                <w:color w:val="auto"/>
              </w:rPr>
            </w:pPr>
            <w:r>
              <w:rPr>
                <w:rFonts w:ascii="Arial" w:cs="Arial" w:eastAsia="Arial" w:hAnsi="Arial"/>
                <w:sz w:val="12"/>
                <w:szCs w:val="12"/>
                <w:b w:val="1"/>
                <w:bCs w:val="1"/>
                <w:color w:val="005A64"/>
              </w:rPr>
              <w:t>443.5</w:t>
            </w:r>
          </w:p>
        </w:tc>
        <w:tc>
          <w:tcPr>
            <w:tcW w:w="1020" w:type="dxa"/>
            <w:vAlign w:val="bottom"/>
            <w:gridSpan w:val="4"/>
          </w:tcPr>
          <w:p>
            <w:pPr>
              <w:ind w:left="100"/>
              <w:spacing w:after="0"/>
              <w:rPr>
                <w:sz w:val="20"/>
                <w:szCs w:val="20"/>
                <w:color w:val="auto"/>
              </w:rPr>
            </w:pPr>
            <w:r>
              <w:rPr>
                <w:rFonts w:ascii="Arial" w:cs="Arial" w:eastAsia="Arial" w:hAnsi="Arial"/>
                <w:sz w:val="12"/>
                <w:szCs w:val="12"/>
                <w:b w:val="1"/>
                <w:bCs w:val="1"/>
                <w:color w:val="005A64"/>
              </w:rPr>
              <w:t>338.2</w:t>
            </w:r>
          </w:p>
        </w:tc>
        <w:tc>
          <w:tcPr>
            <w:tcW w:w="1000" w:type="dxa"/>
            <w:vAlign w:val="bottom"/>
            <w:gridSpan w:val="3"/>
          </w:tcPr>
          <w:p>
            <w:pPr>
              <w:ind w:left="100"/>
              <w:spacing w:after="0"/>
              <w:rPr>
                <w:sz w:val="20"/>
                <w:szCs w:val="20"/>
                <w:color w:val="auto"/>
              </w:rPr>
            </w:pPr>
            <w:r>
              <w:rPr>
                <w:rFonts w:ascii="Arial" w:cs="Arial" w:eastAsia="Arial" w:hAnsi="Arial"/>
                <w:sz w:val="12"/>
                <w:szCs w:val="12"/>
                <w:b w:val="1"/>
                <w:bCs w:val="1"/>
                <w:color w:val="005A64"/>
              </w:rPr>
              <w:t>22.4</w:t>
            </w:r>
          </w:p>
        </w:tc>
        <w:tc>
          <w:tcPr>
            <w:tcW w:w="1020" w:type="dxa"/>
            <w:vAlign w:val="bottom"/>
            <w:gridSpan w:val="4"/>
          </w:tcPr>
          <w:p>
            <w:pPr>
              <w:ind w:left="120"/>
              <w:spacing w:after="0"/>
              <w:rPr>
                <w:sz w:val="20"/>
                <w:szCs w:val="20"/>
                <w:color w:val="auto"/>
              </w:rPr>
            </w:pPr>
            <w:r>
              <w:rPr>
                <w:rFonts w:ascii="Arial" w:cs="Arial" w:eastAsia="Arial" w:hAnsi="Arial"/>
                <w:sz w:val="12"/>
                <w:szCs w:val="12"/>
                <w:b w:val="1"/>
                <w:bCs w:val="1"/>
                <w:color w:val="005A64"/>
              </w:rPr>
              <w:t>804.1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62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940" w:type="dxa"/>
            <w:vAlign w:val="bottom"/>
            <w:tcBorders>
              <w:bottom w:val="single" w:sz="8" w:color="BECE33"/>
            </w:tcBorders>
          </w:tcPr>
          <w:p>
            <w:pPr>
              <w:spacing w:after="0"/>
              <w:rPr>
                <w:sz w:val="4"/>
                <w:szCs w:val="4"/>
                <w:color w:val="auto"/>
              </w:rPr>
            </w:pPr>
          </w:p>
        </w:tc>
        <w:tc>
          <w:tcPr>
            <w:tcW w:w="1020" w:type="dxa"/>
            <w:vAlign w:val="bottom"/>
            <w:tcBorders>
              <w:bottom w:val="single" w:sz="8" w:color="BECE33"/>
            </w:tcBorders>
            <w:gridSpan w:val="4"/>
          </w:tcPr>
          <w:p>
            <w:pPr>
              <w:spacing w:after="0"/>
              <w:rPr>
                <w:sz w:val="4"/>
                <w:szCs w:val="4"/>
                <w:color w:val="auto"/>
              </w:rPr>
            </w:pPr>
          </w:p>
        </w:tc>
        <w:tc>
          <w:tcPr>
            <w:tcW w:w="1000" w:type="dxa"/>
            <w:vAlign w:val="bottom"/>
            <w:tcBorders>
              <w:bottom w:val="single" w:sz="8" w:color="BECE33"/>
            </w:tcBorders>
            <w:gridSpan w:val="3"/>
          </w:tcPr>
          <w:p>
            <w:pPr>
              <w:spacing w:after="0"/>
              <w:rPr>
                <w:sz w:val="4"/>
                <w:szCs w:val="4"/>
                <w:color w:val="auto"/>
              </w:rPr>
            </w:pPr>
          </w:p>
        </w:tc>
        <w:tc>
          <w:tcPr>
            <w:tcW w:w="1020" w:type="dxa"/>
            <w:vAlign w:val="bottom"/>
            <w:tcBorders>
              <w:bottom w:val="single" w:sz="8" w:color="BECE33"/>
            </w:tcBorders>
            <w:gridSpan w:val="4"/>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620" w:type="dxa"/>
            <w:vAlign w:val="bottom"/>
          </w:tcPr>
          <w:p>
            <w:pPr>
              <w:ind w:left="20"/>
              <w:spacing w:after="0" w:line="71" w:lineRule="exact"/>
              <w:rPr>
                <w:sz w:val="20"/>
                <w:szCs w:val="20"/>
                <w:color w:val="auto"/>
              </w:rPr>
            </w:pPr>
            <w:r>
              <w:rPr>
                <w:rFonts w:ascii="Arial" w:cs="Arial" w:eastAsia="Arial" w:hAnsi="Arial"/>
                <w:sz w:val="8"/>
                <w:szCs w:val="8"/>
                <w:b w:val="1"/>
                <w:bCs w:val="1"/>
                <w:color w:val="005A64"/>
              </w:rPr>
              <w:t>As of December 31, 2024</w:t>
            </w:r>
          </w:p>
        </w:tc>
        <w:tc>
          <w:tcPr>
            <w:tcW w:w="60" w:type="dxa"/>
            <w:vAlign w:val="bottom"/>
            <w:gridSpan w:val="2"/>
          </w:tcPr>
          <w:p>
            <w:pPr>
              <w:spacing w:after="0"/>
              <w:rPr>
                <w:sz w:val="7"/>
                <w:szCs w:val="7"/>
                <w:color w:val="auto"/>
              </w:rPr>
            </w:pPr>
          </w:p>
        </w:tc>
        <w:tc>
          <w:tcPr>
            <w:tcW w:w="20" w:type="dxa"/>
            <w:vAlign w:val="bottom"/>
            <w:vMerge w:val="continue"/>
          </w:tcPr>
          <w:p>
            <w:pPr>
              <w:spacing w:after="0"/>
              <w:rPr>
                <w:sz w:val="7"/>
                <w:szCs w:val="7"/>
                <w:color w:val="auto"/>
              </w:rPr>
            </w:pPr>
          </w:p>
        </w:tc>
        <w:tc>
          <w:tcPr>
            <w:tcW w:w="940" w:type="dxa"/>
            <w:vAlign w:val="bottom"/>
            <w:tcBorders>
              <w:left w:val="single" w:sz="8" w:color="BECE33"/>
            </w:tcBorders>
          </w:tcPr>
          <w:p>
            <w:pPr>
              <w:ind w:left="40"/>
              <w:spacing w:after="0" w:line="71" w:lineRule="exact"/>
              <w:rPr>
                <w:sz w:val="20"/>
                <w:szCs w:val="20"/>
                <w:color w:val="auto"/>
              </w:rPr>
            </w:pPr>
            <w:r>
              <w:rPr>
                <w:rFonts w:ascii="Arial" w:cs="Arial" w:eastAsia="Arial" w:hAnsi="Arial"/>
                <w:sz w:val="8"/>
                <w:szCs w:val="8"/>
                <w:b w:val="1"/>
                <w:bCs w:val="1"/>
                <w:color w:val="005A64"/>
              </w:rPr>
              <w:t>485.5</w:t>
            </w:r>
          </w:p>
        </w:tc>
        <w:tc>
          <w:tcPr>
            <w:tcW w:w="1020" w:type="dxa"/>
            <w:vAlign w:val="bottom"/>
            <w:gridSpan w:val="4"/>
          </w:tcPr>
          <w:p>
            <w:pPr>
              <w:ind w:left="100"/>
              <w:spacing w:after="0" w:line="71" w:lineRule="exact"/>
              <w:rPr>
                <w:sz w:val="20"/>
                <w:szCs w:val="20"/>
                <w:color w:val="auto"/>
              </w:rPr>
            </w:pPr>
            <w:r>
              <w:rPr>
                <w:rFonts w:ascii="Arial" w:cs="Arial" w:eastAsia="Arial" w:hAnsi="Arial"/>
                <w:sz w:val="8"/>
                <w:szCs w:val="8"/>
                <w:b w:val="1"/>
                <w:bCs w:val="1"/>
                <w:color w:val="005A64"/>
              </w:rPr>
              <w:t>282.2</w:t>
            </w:r>
          </w:p>
        </w:tc>
        <w:tc>
          <w:tcPr>
            <w:tcW w:w="1000" w:type="dxa"/>
            <w:vAlign w:val="bottom"/>
            <w:gridSpan w:val="3"/>
          </w:tcPr>
          <w:p>
            <w:pPr>
              <w:ind w:left="100"/>
              <w:spacing w:after="0" w:line="71" w:lineRule="exact"/>
              <w:rPr>
                <w:sz w:val="20"/>
                <w:szCs w:val="20"/>
                <w:color w:val="auto"/>
              </w:rPr>
            </w:pPr>
            <w:r>
              <w:rPr>
                <w:rFonts w:ascii="Arial" w:cs="Arial" w:eastAsia="Arial" w:hAnsi="Arial"/>
                <w:sz w:val="8"/>
                <w:szCs w:val="8"/>
                <w:b w:val="1"/>
                <w:bCs w:val="1"/>
                <w:color w:val="005A64"/>
              </w:rPr>
              <w:t>22.7</w:t>
            </w:r>
          </w:p>
        </w:tc>
        <w:tc>
          <w:tcPr>
            <w:tcW w:w="1020" w:type="dxa"/>
            <w:vAlign w:val="bottom"/>
            <w:gridSpan w:val="4"/>
          </w:tcPr>
          <w:p>
            <w:pPr>
              <w:ind w:left="120"/>
              <w:spacing w:after="0" w:line="71" w:lineRule="exact"/>
              <w:rPr>
                <w:sz w:val="20"/>
                <w:szCs w:val="20"/>
                <w:color w:val="auto"/>
              </w:rPr>
            </w:pPr>
            <w:r>
              <w:rPr>
                <w:rFonts w:ascii="Arial" w:cs="Arial" w:eastAsia="Arial" w:hAnsi="Arial"/>
                <w:sz w:val="8"/>
                <w:szCs w:val="8"/>
                <w:b w:val="1"/>
                <w:bCs w:val="1"/>
                <w:color w:val="005A64"/>
              </w:rPr>
              <w:t>790.4</w:t>
            </w:r>
          </w:p>
        </w:tc>
        <w:tc>
          <w:tcPr>
            <w:tcW w:w="60" w:type="dxa"/>
            <w:vAlign w:val="bottom"/>
            <w:tcBorders>
              <w:right w:val="single" w:sz="8" w:color="BECE33"/>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F-46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60"/>
        <w:spacing w:after="0" w:line="220" w:lineRule="auto"/>
        <w:rPr>
          <w:sz w:val="20"/>
          <w:szCs w:val="20"/>
          <w:color w:val="auto"/>
        </w:rPr>
      </w:pPr>
      <w:r>
        <w:rPr>
          <w:rFonts w:ascii="Arial" w:cs="Arial" w:eastAsia="Arial" w:hAnsi="Arial"/>
          <w:sz w:val="13"/>
          <w:szCs w:val="13"/>
          <w:color w:val="auto"/>
        </w:rPr>
        <w:t>The amortization of the concessions, licenses and similar rights during the year ended December 31, 2024, has been mainly recorded under R&amp;D expenses in the consolidated statements of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color w:val="auto"/>
        </w:rPr>
        <w:t>During the year ended December 31, 2024, triggering events with respect to two intangible assets with definite useful life occurred. We performed impairment tests based on decisions to stop the development of the compounds that were acquired as part of business combinations in the past. The recoverable amounts were determined based on the value in use. The impairment tests gave rise to the full impairment of the compounds in the amount of €26.4 million. The remaining insignificant impairments relate to intangibles which are not significant for the group. The majority of these impairment losses were recorded under R&amp;D expenses in the consolidated statements of profit or loss.</w:t>
      </w:r>
    </w:p>
    <w:p>
      <w:pPr>
        <w:spacing w:after="0" w:line="4" w:lineRule="exact"/>
        <w:rPr>
          <w:sz w:val="20"/>
          <w:szCs w:val="20"/>
          <w:color w:val="auto"/>
        </w:rPr>
      </w:pPr>
    </w:p>
    <w:p>
      <w:pPr>
        <w:ind w:left="380" w:right="2120"/>
        <w:spacing w:after="0" w:line="216" w:lineRule="auto"/>
        <w:rPr>
          <w:sz w:val="20"/>
          <w:szCs w:val="20"/>
          <w:color w:val="auto"/>
        </w:rPr>
      </w:pPr>
      <w:r>
        <w:rPr>
          <w:rFonts w:ascii="Arial" w:cs="Arial" w:eastAsia="Arial" w:hAnsi="Arial"/>
          <w:sz w:val="13"/>
          <w:szCs w:val="13"/>
          <w:color w:val="auto"/>
        </w:rPr>
        <w:t>The decrease in other intangible assets by € 13.7 million from December 31, 2023, to December 31, 2024, was mainly related to impairment losses of €83.3 million in total (as of December 31, 2023: nil). This was partially offset by the payments made in connection with the purchase of intangible assets. We entered into license and collaboration agreements in which we work together with partners to develop pharmaceutical products and, provided regulatory approval is granted, commercialize them. Thereof €9.4 million (as of December 31, 2023: €443.5 million) was related to upfront payments and €87.7 million (as of December 31, 2023: nil) was related to milestone payments as part of the purchase of intangible assets that were recognized as subsequent acquisition cost of the intangible assets acquired. The payments in connection with the license and collaboration agreements resulted in the recognition of intangible assets not yet available for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F-47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ectPr>
          <w:pgSz w:w="11900" w:h="16840" w:orient="portrait"/>
          <w:cols w:equalWidth="0" w:num="1">
            <w:col w:w="9020"/>
          </w:cols>
          <w:pgMar w:left="1440" w:top="684" w:right="1440" w:bottom="138" w:gutter="0" w:footer="0" w:header="0"/>
        </w:sectPr>
      </w:pPr>
    </w:p>
    <w:p>
      <w:pPr>
        <w:spacing w:after="0" w:line="36"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5A64"/>
        </w:rPr>
        <w:t>11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-109220</wp:posOffset>
            </wp:positionV>
            <wp:extent cx="5231130" cy="63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684" w:right="1440" w:bottom="138" w:gutter="0" w:footer="0" w:header="0"/>
          <w:type w:val="continuous"/>
        </w:sectPr>
      </w:pPr>
    </w:p>
    <w:bookmarkStart w:id="212" w:name="page213"/>
    <w:bookmarkEnd w:id="212"/>
    <w:tbl>
      <w:tblPr>
        <w:tblLayout w:type="fixed"/>
        <w:tblInd w:w="380" w:type="dxa"/>
        <w:tblCellMar>
          <w:top w:w="0" w:type="dxa"/>
          <w:left w:w="0" w:type="dxa"/>
          <w:bottom w:w="0" w:type="dxa"/>
          <w:right w:w="0" w:type="dxa"/>
        </w:tblCellMar>
      </w:tblPr>
      <w:tr>
        <w:trPr>
          <w:trHeight w:val="138"/>
        </w:trPr>
        <w:tc>
          <w:tcPr>
            <w:tcW w:w="2540" w:type="dxa"/>
            <w:vAlign w:val="bottom"/>
          </w:tcPr>
          <w:p>
            <w:pPr>
              <w:ind w:left="20"/>
              <w:spacing w:after="0"/>
              <w:rPr>
                <w:sz w:val="20"/>
                <w:szCs w:val="20"/>
                <w:color w:val="auto"/>
              </w:rPr>
            </w:pPr>
            <w:r>
              <w:rPr>
                <w:rFonts w:ascii="Arial" w:cs="Arial" w:eastAsia="Arial" w:hAnsi="Arial"/>
                <w:sz w:val="12"/>
                <w:szCs w:val="12"/>
                <w:i w:val="1"/>
                <w:iCs w:val="1"/>
                <w:color w:val="005A64"/>
              </w:rPr>
              <w:t>(in millions €)</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20"/>
                <w:szCs w:val="20"/>
                <w:color w:val="auto"/>
              </w:rPr>
            </w:pPr>
            <w:r>
              <w:rPr>
                <w:rFonts w:ascii="Arial" w:cs="Arial" w:eastAsia="Arial" w:hAnsi="Arial"/>
                <w:sz w:val="12"/>
                <w:szCs w:val="12"/>
                <w:b w:val="1"/>
                <w:bCs w:val="1"/>
                <w:color w:val="005A64"/>
              </w:rPr>
              <w:t>Land and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spacing w:after="0"/>
              <w:rPr>
                <w:sz w:val="20"/>
                <w:szCs w:val="20"/>
                <w:color w:val="auto"/>
              </w:rPr>
            </w:pPr>
            <w:r>
              <w:rPr>
                <w:rFonts w:ascii="Arial" w:cs="Arial" w:eastAsia="Arial" w:hAnsi="Arial"/>
                <w:sz w:val="12"/>
                <w:szCs w:val="12"/>
                <w:b w:val="1"/>
                <w:bCs w:val="1"/>
                <w:color w:val="005A64"/>
              </w:rPr>
              <w:t>Equipment,</w:t>
            </w:r>
          </w:p>
        </w:tc>
        <w:tc>
          <w:tcPr>
            <w:tcW w:w="40" w:type="dxa"/>
            <w:vAlign w:val="bottom"/>
          </w:tcPr>
          <w:p>
            <w:pPr>
              <w:spacing w:after="0"/>
              <w:rPr>
                <w:sz w:val="12"/>
                <w:szCs w:val="12"/>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005A64"/>
              </w:rPr>
              <w:t>Construction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line="121" w:lineRule="exact"/>
              <w:rPr>
                <w:sz w:val="20"/>
                <w:szCs w:val="20"/>
                <w:color w:val="auto"/>
              </w:rPr>
            </w:pPr>
            <w:r>
              <w:rPr>
                <w:rFonts w:ascii="Arial" w:cs="Arial" w:eastAsia="Arial" w:hAnsi="Arial"/>
                <w:sz w:val="12"/>
                <w:szCs w:val="12"/>
                <w:b w:val="1"/>
                <w:bCs w:val="1"/>
                <w:color w:val="005A64"/>
              </w:rPr>
              <w:t>buildings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2"/>
          </w:tcPr>
          <w:p>
            <w:pPr>
              <w:spacing w:after="0" w:line="121" w:lineRule="exact"/>
              <w:rPr>
                <w:sz w:val="20"/>
                <w:szCs w:val="20"/>
                <w:color w:val="auto"/>
              </w:rPr>
            </w:pPr>
            <w:r>
              <w:rPr>
                <w:rFonts w:ascii="Arial" w:cs="Arial" w:eastAsia="Arial" w:hAnsi="Arial"/>
                <w:sz w:val="12"/>
                <w:szCs w:val="12"/>
                <w:b w:val="1"/>
                <w:bCs w:val="1"/>
                <w:color w:val="005A64"/>
              </w:rPr>
              <w:t>tools and</w:t>
            </w:r>
          </w:p>
        </w:tc>
        <w:tc>
          <w:tcPr>
            <w:tcW w:w="40" w:type="dxa"/>
            <w:vAlign w:val="bottom"/>
          </w:tcPr>
          <w:p>
            <w:pPr>
              <w:spacing w:after="0"/>
              <w:rPr>
                <w:sz w:val="10"/>
                <w:szCs w:val="10"/>
                <w:color w:val="auto"/>
              </w:rPr>
            </w:pPr>
          </w:p>
        </w:tc>
        <w:tc>
          <w:tcPr>
            <w:tcW w:w="980" w:type="dxa"/>
            <w:vAlign w:val="bottom"/>
            <w:gridSpan w:val="2"/>
          </w:tcPr>
          <w:p>
            <w:pPr>
              <w:ind w:left="20"/>
              <w:spacing w:after="0" w:line="121" w:lineRule="exact"/>
              <w:rPr>
                <w:sz w:val="20"/>
                <w:szCs w:val="20"/>
                <w:color w:val="auto"/>
              </w:rPr>
            </w:pPr>
            <w:r>
              <w:rPr>
                <w:rFonts w:ascii="Arial" w:cs="Arial" w:eastAsia="Arial" w:hAnsi="Arial"/>
                <w:sz w:val="12"/>
                <w:szCs w:val="12"/>
                <w:b w:val="1"/>
                <w:bCs w:val="1"/>
                <w:color w:val="005A64"/>
              </w:rPr>
              <w:t>in progress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2"/>
          </w:tcPr>
          <w:p>
            <w:pPr>
              <w:spacing w:after="0" w:line="121" w:lineRule="exact"/>
              <w:rPr>
                <w:sz w:val="20"/>
                <w:szCs w:val="20"/>
                <w:color w:val="auto"/>
              </w:rPr>
            </w:pPr>
            <w:r>
              <w:rPr>
                <w:rFonts w:ascii="Arial" w:cs="Arial" w:eastAsia="Arial" w:hAnsi="Arial"/>
                <w:sz w:val="12"/>
                <w:szCs w:val="12"/>
                <w:b w:val="1"/>
                <w:bCs w:val="1"/>
                <w:color w:val="005A64"/>
              </w:rPr>
              <w:t>installations</w:t>
            </w:r>
          </w:p>
        </w:tc>
        <w:tc>
          <w:tcPr>
            <w:tcW w:w="40" w:type="dxa"/>
            <w:vAlign w:val="bottom"/>
          </w:tcPr>
          <w:p>
            <w:pPr>
              <w:spacing w:after="0"/>
              <w:rPr>
                <w:sz w:val="10"/>
                <w:szCs w:val="10"/>
                <w:color w:val="auto"/>
              </w:rPr>
            </w:pPr>
          </w:p>
        </w:tc>
        <w:tc>
          <w:tcPr>
            <w:tcW w:w="980" w:type="dxa"/>
            <w:vAlign w:val="bottom"/>
            <w:gridSpan w:val="2"/>
          </w:tcPr>
          <w:p>
            <w:pPr>
              <w:ind w:left="20"/>
              <w:spacing w:after="0" w:line="121" w:lineRule="exact"/>
              <w:rPr>
                <w:sz w:val="20"/>
                <w:szCs w:val="20"/>
                <w:color w:val="auto"/>
              </w:rPr>
            </w:pPr>
            <w:r>
              <w:rPr>
                <w:rFonts w:ascii="Arial" w:cs="Arial" w:eastAsia="Arial" w:hAnsi="Arial"/>
                <w:sz w:val="12"/>
                <w:szCs w:val="12"/>
                <w:b w:val="1"/>
                <w:bCs w:val="1"/>
                <w:color w:val="005A64"/>
              </w:rPr>
              <w:t>and advance</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005A64"/>
              </w:rPr>
              <w:t>payments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540" w:type="dxa"/>
            <w:vAlign w:val="bottom"/>
            <w:tcBorders>
              <w:bottom w:val="single" w:sz="8" w:color="005A64"/>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005A64"/>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bottom w:val="single" w:sz="8" w:color="005A64"/>
            </w:tcBorders>
          </w:tcPr>
          <w:p>
            <w:pPr>
              <w:spacing w:after="0"/>
              <w:rPr>
                <w:sz w:val="7"/>
                <w:szCs w:val="7"/>
                <w:color w:val="auto"/>
              </w:rPr>
            </w:pPr>
          </w:p>
        </w:tc>
        <w:tc>
          <w:tcPr>
            <w:tcW w:w="940" w:type="dxa"/>
            <w:vAlign w:val="bottom"/>
            <w:tcBorders>
              <w:bottom w:val="single" w:sz="8" w:color="005A64"/>
            </w:tcBorders>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bottom w:val="single" w:sz="8" w:color="005A64"/>
            </w:tcBorders>
          </w:tcPr>
          <w:p>
            <w:pPr>
              <w:spacing w:after="0"/>
              <w:rPr>
                <w:sz w:val="7"/>
                <w:szCs w:val="7"/>
                <w:color w:val="auto"/>
              </w:rPr>
            </w:pPr>
          </w:p>
        </w:tc>
        <w:tc>
          <w:tcPr>
            <w:tcW w:w="940" w:type="dxa"/>
            <w:vAlign w:val="bottom"/>
            <w:tcBorders>
              <w:bottom w:val="single" w:sz="8" w:color="005A64"/>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bottom w:val="single" w:sz="8" w:color="005A64"/>
            </w:tcBorders>
          </w:tcPr>
          <w:p>
            <w:pPr>
              <w:spacing w:after="0"/>
              <w:rPr>
                <w:sz w:val="7"/>
                <w:szCs w:val="7"/>
                <w:color w:val="auto"/>
              </w:rPr>
            </w:pPr>
          </w:p>
        </w:tc>
        <w:tc>
          <w:tcPr>
            <w:tcW w:w="940" w:type="dxa"/>
            <w:vAlign w:val="bottom"/>
            <w:tcBorders>
              <w:bottom w:val="single" w:sz="8" w:color="005A64"/>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540" w:type="dxa"/>
            <w:vAlign w:val="bottom"/>
          </w:tcPr>
          <w:p>
            <w:pPr>
              <w:ind w:left="20"/>
              <w:spacing w:after="0"/>
              <w:rPr>
                <w:sz w:val="20"/>
                <w:szCs w:val="20"/>
                <w:color w:val="auto"/>
              </w:rPr>
            </w:pPr>
            <w:r>
              <w:rPr>
                <w:rFonts w:ascii="Arial" w:cs="Arial" w:eastAsia="Arial" w:hAnsi="Arial"/>
                <w:sz w:val="12"/>
                <w:szCs w:val="12"/>
                <w:b w:val="1"/>
                <w:bCs w:val="1"/>
                <w:color w:val="3C9673"/>
              </w:rPr>
              <w:t>Acquisition and production costs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40" w:type="dxa"/>
            <w:vAlign w:val="bottom"/>
          </w:tcPr>
          <w:p>
            <w:pPr>
              <w:ind w:left="20"/>
              <w:spacing w:after="0"/>
              <w:rPr>
                <w:sz w:val="20"/>
                <w:szCs w:val="20"/>
                <w:color w:val="auto"/>
              </w:rPr>
            </w:pPr>
            <w:r>
              <w:rPr>
                <w:rFonts w:ascii="Arial" w:cs="Arial" w:eastAsia="Arial" w:hAnsi="Arial"/>
                <w:sz w:val="12"/>
                <w:szCs w:val="12"/>
                <w:color w:val="005A64"/>
              </w:rPr>
              <w:t>As of January 1, 2023</w:t>
            </w:r>
          </w:p>
        </w:tc>
        <w:tc>
          <w:tcPr>
            <w:tcW w:w="1040" w:type="dxa"/>
            <w:vAlign w:val="bottom"/>
            <w:gridSpan w:val="4"/>
          </w:tcPr>
          <w:p>
            <w:pPr>
              <w:ind w:left="80"/>
              <w:spacing w:after="0"/>
              <w:rPr>
                <w:sz w:val="20"/>
                <w:szCs w:val="20"/>
                <w:color w:val="auto"/>
              </w:rPr>
            </w:pPr>
            <w:r>
              <w:rPr>
                <w:rFonts w:ascii="Arial" w:cs="Arial" w:eastAsia="Arial" w:hAnsi="Arial"/>
                <w:sz w:val="12"/>
                <w:szCs w:val="12"/>
                <w:color w:val="005A64"/>
              </w:rPr>
              <w:t>217.0</w:t>
            </w:r>
          </w:p>
        </w:tc>
        <w:tc>
          <w:tcPr>
            <w:tcW w:w="1040" w:type="dxa"/>
            <w:vAlign w:val="bottom"/>
            <w:gridSpan w:val="4"/>
          </w:tcPr>
          <w:p>
            <w:pPr>
              <w:ind w:left="60"/>
              <w:spacing w:after="0"/>
              <w:rPr>
                <w:sz w:val="20"/>
                <w:szCs w:val="20"/>
                <w:color w:val="auto"/>
              </w:rPr>
            </w:pPr>
            <w:r>
              <w:rPr>
                <w:rFonts w:ascii="Arial" w:cs="Arial" w:eastAsia="Arial" w:hAnsi="Arial"/>
                <w:sz w:val="12"/>
                <w:szCs w:val="12"/>
                <w:color w:val="005A64"/>
              </w:rPr>
              <w:t>273.0</w:t>
            </w:r>
          </w:p>
        </w:tc>
        <w:tc>
          <w:tcPr>
            <w:tcW w:w="1020" w:type="dxa"/>
            <w:vAlign w:val="bottom"/>
            <w:gridSpan w:val="3"/>
          </w:tcPr>
          <w:p>
            <w:pPr>
              <w:ind w:left="60"/>
              <w:spacing w:after="0"/>
              <w:rPr>
                <w:sz w:val="20"/>
                <w:szCs w:val="20"/>
                <w:color w:val="auto"/>
              </w:rPr>
            </w:pPr>
            <w:r>
              <w:rPr>
                <w:rFonts w:ascii="Arial" w:cs="Arial" w:eastAsia="Arial" w:hAnsi="Arial"/>
                <w:sz w:val="12"/>
                <w:szCs w:val="12"/>
                <w:color w:val="005A64"/>
              </w:rPr>
              <w:t>235.5</w:t>
            </w:r>
          </w:p>
        </w:tc>
        <w:tc>
          <w:tcPr>
            <w:tcW w:w="1040" w:type="dxa"/>
            <w:vAlign w:val="bottom"/>
            <w:gridSpan w:val="4"/>
          </w:tcPr>
          <w:p>
            <w:pPr>
              <w:ind w:left="80"/>
              <w:spacing w:after="0"/>
              <w:rPr>
                <w:sz w:val="20"/>
                <w:szCs w:val="20"/>
                <w:color w:val="auto"/>
              </w:rPr>
            </w:pPr>
            <w:r>
              <w:rPr>
                <w:rFonts w:ascii="Arial" w:cs="Arial" w:eastAsia="Arial" w:hAnsi="Arial"/>
                <w:sz w:val="12"/>
                <w:szCs w:val="12"/>
                <w:color w:val="005A64"/>
              </w:rPr>
              <w:t>725.5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540" w:type="dxa"/>
            <w:vAlign w:val="bottom"/>
          </w:tcPr>
          <w:p>
            <w:pPr>
              <w:ind w:left="20"/>
              <w:spacing w:after="0"/>
              <w:rPr>
                <w:sz w:val="20"/>
                <w:szCs w:val="20"/>
                <w:color w:val="auto"/>
              </w:rPr>
            </w:pPr>
            <w:r>
              <w:rPr>
                <w:rFonts w:ascii="Arial" w:cs="Arial" w:eastAsia="Arial" w:hAnsi="Arial"/>
                <w:sz w:val="12"/>
                <w:szCs w:val="12"/>
                <w:color w:val="005A64"/>
              </w:rPr>
              <w:t>Additions</w:t>
            </w:r>
          </w:p>
        </w:tc>
        <w:tc>
          <w:tcPr>
            <w:tcW w:w="1040" w:type="dxa"/>
            <w:vAlign w:val="bottom"/>
            <w:gridSpan w:val="4"/>
          </w:tcPr>
          <w:p>
            <w:pPr>
              <w:ind w:left="80"/>
              <w:spacing w:after="0"/>
              <w:rPr>
                <w:sz w:val="20"/>
                <w:szCs w:val="20"/>
                <w:color w:val="auto"/>
              </w:rPr>
            </w:pPr>
            <w:r>
              <w:rPr>
                <w:rFonts w:ascii="Arial" w:cs="Arial" w:eastAsia="Arial" w:hAnsi="Arial"/>
                <w:sz w:val="12"/>
                <w:szCs w:val="12"/>
                <w:color w:val="005A64"/>
              </w:rPr>
              <w:t>9.7</w:t>
            </w:r>
          </w:p>
        </w:tc>
        <w:tc>
          <w:tcPr>
            <w:tcW w:w="1040" w:type="dxa"/>
            <w:vAlign w:val="bottom"/>
            <w:gridSpan w:val="4"/>
          </w:tcPr>
          <w:p>
            <w:pPr>
              <w:ind w:left="60"/>
              <w:spacing w:after="0"/>
              <w:rPr>
                <w:sz w:val="20"/>
                <w:szCs w:val="20"/>
                <w:color w:val="auto"/>
              </w:rPr>
            </w:pPr>
            <w:r>
              <w:rPr>
                <w:rFonts w:ascii="Arial" w:cs="Arial" w:eastAsia="Arial" w:hAnsi="Arial"/>
                <w:sz w:val="12"/>
                <w:szCs w:val="12"/>
                <w:color w:val="005A64"/>
              </w:rPr>
              <w:t>50.3</w:t>
            </w:r>
          </w:p>
        </w:tc>
        <w:tc>
          <w:tcPr>
            <w:tcW w:w="1020" w:type="dxa"/>
            <w:vAlign w:val="bottom"/>
            <w:gridSpan w:val="3"/>
          </w:tcPr>
          <w:p>
            <w:pPr>
              <w:ind w:left="60"/>
              <w:spacing w:after="0"/>
              <w:rPr>
                <w:sz w:val="20"/>
                <w:szCs w:val="20"/>
                <w:color w:val="auto"/>
              </w:rPr>
            </w:pPr>
            <w:r>
              <w:rPr>
                <w:rFonts w:ascii="Arial" w:cs="Arial" w:eastAsia="Arial" w:hAnsi="Arial"/>
                <w:sz w:val="12"/>
                <w:szCs w:val="12"/>
                <w:color w:val="005A64"/>
              </w:rPr>
              <w:t>189.4</w:t>
            </w:r>
          </w:p>
        </w:tc>
        <w:tc>
          <w:tcPr>
            <w:tcW w:w="1040" w:type="dxa"/>
            <w:vAlign w:val="bottom"/>
            <w:gridSpan w:val="4"/>
          </w:tcPr>
          <w:p>
            <w:pPr>
              <w:ind w:left="80"/>
              <w:spacing w:after="0"/>
              <w:rPr>
                <w:sz w:val="20"/>
                <w:szCs w:val="20"/>
                <w:color w:val="auto"/>
              </w:rPr>
            </w:pPr>
            <w:r>
              <w:rPr>
                <w:rFonts w:ascii="Arial" w:cs="Arial" w:eastAsia="Arial" w:hAnsi="Arial"/>
                <w:sz w:val="12"/>
                <w:szCs w:val="12"/>
                <w:color w:val="005A64"/>
              </w:rPr>
              <w:t>249.4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40" w:type="dxa"/>
            <w:vAlign w:val="bottom"/>
          </w:tcPr>
          <w:p>
            <w:pPr>
              <w:ind w:left="20"/>
              <w:spacing w:after="0"/>
              <w:rPr>
                <w:sz w:val="20"/>
                <w:szCs w:val="20"/>
                <w:color w:val="auto"/>
              </w:rPr>
            </w:pPr>
            <w:r>
              <w:rPr>
                <w:rFonts w:ascii="Arial" w:cs="Arial" w:eastAsia="Arial" w:hAnsi="Arial"/>
                <w:sz w:val="12"/>
                <w:szCs w:val="12"/>
                <w:color w:val="005A64"/>
              </w:rPr>
              <w:t>Disposals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w:t>
            </w:r>
          </w:p>
        </w:tc>
        <w:tc>
          <w:tcPr>
            <w:tcW w:w="1040" w:type="dxa"/>
            <w:vAlign w:val="bottom"/>
            <w:gridSpan w:val="4"/>
          </w:tcPr>
          <w:p>
            <w:pPr>
              <w:ind w:left="60"/>
              <w:spacing w:after="0"/>
              <w:rPr>
                <w:sz w:val="20"/>
                <w:szCs w:val="20"/>
                <w:color w:val="auto"/>
              </w:rPr>
            </w:pPr>
            <w:r>
              <w:rPr>
                <w:rFonts w:ascii="Arial" w:cs="Arial" w:eastAsia="Arial" w:hAnsi="Arial"/>
                <w:sz w:val="12"/>
                <w:szCs w:val="12"/>
                <w:color w:val="005A64"/>
              </w:rPr>
              <w:t>(2.4)</w:t>
            </w:r>
          </w:p>
        </w:tc>
        <w:tc>
          <w:tcPr>
            <w:tcW w:w="1020" w:type="dxa"/>
            <w:vAlign w:val="bottom"/>
            <w:gridSpan w:val="3"/>
          </w:tcPr>
          <w:p>
            <w:pPr>
              <w:ind w:left="60"/>
              <w:spacing w:after="0"/>
              <w:rPr>
                <w:sz w:val="20"/>
                <w:szCs w:val="20"/>
                <w:color w:val="auto"/>
              </w:rPr>
            </w:pPr>
            <w:r>
              <w:rPr>
                <w:rFonts w:ascii="Arial" w:cs="Arial" w:eastAsia="Arial" w:hAnsi="Arial"/>
                <w:sz w:val="12"/>
                <w:szCs w:val="12"/>
                <w:color w:val="005A64"/>
              </w:rPr>
              <w:t>(0.2)</w:t>
            </w:r>
          </w:p>
        </w:tc>
        <w:tc>
          <w:tcPr>
            <w:tcW w:w="1040" w:type="dxa"/>
            <w:vAlign w:val="bottom"/>
            <w:gridSpan w:val="4"/>
          </w:tcPr>
          <w:p>
            <w:pPr>
              <w:ind w:left="80"/>
              <w:spacing w:after="0"/>
              <w:rPr>
                <w:sz w:val="20"/>
                <w:szCs w:val="20"/>
                <w:color w:val="auto"/>
              </w:rPr>
            </w:pPr>
            <w:r>
              <w:rPr>
                <w:rFonts w:ascii="Arial" w:cs="Arial" w:eastAsia="Arial" w:hAnsi="Arial"/>
                <w:sz w:val="12"/>
                <w:szCs w:val="12"/>
                <w:color w:val="005A64"/>
              </w:rPr>
              <w:t>(2.6)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40" w:type="dxa"/>
            <w:vAlign w:val="bottom"/>
          </w:tcPr>
          <w:p>
            <w:pPr>
              <w:ind w:left="20"/>
              <w:spacing w:after="0"/>
              <w:rPr>
                <w:sz w:val="20"/>
                <w:szCs w:val="20"/>
                <w:color w:val="auto"/>
              </w:rPr>
            </w:pPr>
            <w:r>
              <w:rPr>
                <w:rFonts w:ascii="Arial" w:cs="Arial" w:eastAsia="Arial" w:hAnsi="Arial"/>
                <w:sz w:val="12"/>
                <w:szCs w:val="12"/>
                <w:color w:val="005A64"/>
              </w:rPr>
              <w:t>Reclassifications</w:t>
            </w:r>
          </w:p>
        </w:tc>
        <w:tc>
          <w:tcPr>
            <w:tcW w:w="1040" w:type="dxa"/>
            <w:vAlign w:val="bottom"/>
            <w:gridSpan w:val="4"/>
          </w:tcPr>
          <w:p>
            <w:pPr>
              <w:ind w:left="80"/>
              <w:spacing w:after="0"/>
              <w:rPr>
                <w:sz w:val="20"/>
                <w:szCs w:val="20"/>
                <w:color w:val="auto"/>
              </w:rPr>
            </w:pPr>
            <w:r>
              <w:rPr>
                <w:rFonts w:ascii="Arial" w:cs="Arial" w:eastAsia="Arial" w:hAnsi="Arial"/>
                <w:sz w:val="12"/>
                <w:szCs w:val="12"/>
                <w:color w:val="005A64"/>
              </w:rPr>
              <w:t>9.3</w:t>
            </w:r>
          </w:p>
        </w:tc>
        <w:tc>
          <w:tcPr>
            <w:tcW w:w="1040" w:type="dxa"/>
            <w:vAlign w:val="bottom"/>
            <w:gridSpan w:val="4"/>
          </w:tcPr>
          <w:p>
            <w:pPr>
              <w:ind w:left="60"/>
              <w:spacing w:after="0"/>
              <w:rPr>
                <w:sz w:val="20"/>
                <w:szCs w:val="20"/>
                <w:color w:val="auto"/>
              </w:rPr>
            </w:pPr>
            <w:r>
              <w:rPr>
                <w:rFonts w:ascii="Arial" w:cs="Arial" w:eastAsia="Arial" w:hAnsi="Arial"/>
                <w:sz w:val="12"/>
                <w:szCs w:val="12"/>
                <w:color w:val="005A64"/>
              </w:rPr>
              <w:t>22.3</w:t>
            </w:r>
          </w:p>
        </w:tc>
        <w:tc>
          <w:tcPr>
            <w:tcW w:w="1020" w:type="dxa"/>
            <w:vAlign w:val="bottom"/>
            <w:gridSpan w:val="3"/>
          </w:tcPr>
          <w:p>
            <w:pPr>
              <w:ind w:left="60"/>
              <w:spacing w:after="0"/>
              <w:rPr>
                <w:sz w:val="20"/>
                <w:szCs w:val="20"/>
                <w:color w:val="auto"/>
              </w:rPr>
            </w:pPr>
            <w:r>
              <w:rPr>
                <w:rFonts w:ascii="Arial" w:cs="Arial" w:eastAsia="Arial" w:hAnsi="Arial"/>
                <w:sz w:val="12"/>
                <w:szCs w:val="12"/>
                <w:color w:val="005A64"/>
              </w:rPr>
              <w:t>(31.6)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40" w:type="dxa"/>
            <w:vAlign w:val="bottom"/>
          </w:tcPr>
          <w:p>
            <w:pPr>
              <w:ind w:left="20"/>
              <w:spacing w:after="0"/>
              <w:rPr>
                <w:sz w:val="20"/>
                <w:szCs w:val="20"/>
                <w:color w:val="auto"/>
              </w:rPr>
            </w:pPr>
            <w:r>
              <w:rPr>
                <w:rFonts w:ascii="Arial" w:cs="Arial" w:eastAsia="Arial" w:hAnsi="Arial"/>
                <w:sz w:val="12"/>
                <w:szCs w:val="12"/>
                <w:color w:val="005A64"/>
              </w:rPr>
              <w:t>Currency differences</w:t>
            </w:r>
          </w:p>
        </w:tc>
        <w:tc>
          <w:tcPr>
            <w:tcW w:w="1040" w:type="dxa"/>
            <w:vAlign w:val="bottom"/>
            <w:gridSpan w:val="4"/>
          </w:tcPr>
          <w:p>
            <w:pPr>
              <w:ind w:left="80"/>
              <w:spacing w:after="0"/>
              <w:rPr>
                <w:sz w:val="20"/>
                <w:szCs w:val="20"/>
                <w:color w:val="auto"/>
              </w:rPr>
            </w:pPr>
            <w:r>
              <w:rPr>
                <w:rFonts w:ascii="Arial" w:cs="Arial" w:eastAsia="Arial" w:hAnsi="Arial"/>
                <w:sz w:val="12"/>
                <w:szCs w:val="12"/>
                <w:color w:val="005A64"/>
              </w:rPr>
              <w:t>(0.6)</w:t>
            </w:r>
          </w:p>
        </w:tc>
        <w:tc>
          <w:tcPr>
            <w:tcW w:w="1040" w:type="dxa"/>
            <w:vAlign w:val="bottom"/>
            <w:gridSpan w:val="4"/>
          </w:tcPr>
          <w:p>
            <w:pPr>
              <w:ind w:left="60"/>
              <w:spacing w:after="0"/>
              <w:rPr>
                <w:sz w:val="20"/>
                <w:szCs w:val="20"/>
                <w:color w:val="auto"/>
              </w:rPr>
            </w:pPr>
            <w:r>
              <w:rPr>
                <w:rFonts w:ascii="Arial" w:cs="Arial" w:eastAsia="Arial" w:hAnsi="Arial"/>
                <w:sz w:val="12"/>
                <w:szCs w:val="12"/>
                <w:color w:val="005A64"/>
              </w:rPr>
              <w:t>(1.2)</w:t>
            </w:r>
          </w:p>
        </w:tc>
        <w:tc>
          <w:tcPr>
            <w:tcW w:w="1020" w:type="dxa"/>
            <w:vAlign w:val="bottom"/>
            <w:gridSpan w:val="3"/>
          </w:tcPr>
          <w:p>
            <w:pPr>
              <w:ind w:left="60"/>
              <w:spacing w:after="0"/>
              <w:rPr>
                <w:sz w:val="20"/>
                <w:szCs w:val="20"/>
                <w:color w:val="auto"/>
              </w:rPr>
            </w:pPr>
            <w:r>
              <w:rPr>
                <w:rFonts w:ascii="Arial" w:cs="Arial" w:eastAsia="Arial" w:hAnsi="Arial"/>
                <w:sz w:val="12"/>
                <w:szCs w:val="12"/>
                <w:color w:val="005A64"/>
              </w:rPr>
              <w:t>(3.6)</w:t>
            </w:r>
          </w:p>
        </w:tc>
        <w:tc>
          <w:tcPr>
            <w:tcW w:w="1040" w:type="dxa"/>
            <w:vAlign w:val="bottom"/>
            <w:gridSpan w:val="4"/>
          </w:tcPr>
          <w:p>
            <w:pPr>
              <w:ind w:left="80"/>
              <w:spacing w:after="0"/>
              <w:rPr>
                <w:sz w:val="20"/>
                <w:szCs w:val="20"/>
                <w:color w:val="auto"/>
              </w:rPr>
            </w:pPr>
            <w:r>
              <w:rPr>
                <w:rFonts w:ascii="Arial" w:cs="Arial" w:eastAsia="Arial" w:hAnsi="Arial"/>
                <w:sz w:val="12"/>
                <w:szCs w:val="12"/>
                <w:color w:val="005A64"/>
              </w:rPr>
              <w:t>(5.4)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40" w:type="dxa"/>
            <w:vAlign w:val="bottom"/>
          </w:tcPr>
          <w:p>
            <w:pPr>
              <w:ind w:left="20"/>
              <w:spacing w:after="0"/>
              <w:rPr>
                <w:sz w:val="20"/>
                <w:szCs w:val="20"/>
                <w:color w:val="auto"/>
              </w:rPr>
            </w:pPr>
            <w:r>
              <w:rPr>
                <w:rFonts w:ascii="Arial" w:cs="Arial" w:eastAsia="Arial" w:hAnsi="Arial"/>
                <w:sz w:val="12"/>
                <w:szCs w:val="12"/>
                <w:color w:val="005A64"/>
              </w:rPr>
              <w:t>Acquisition of subsidiaries and businesses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w:t>
            </w:r>
          </w:p>
        </w:tc>
        <w:tc>
          <w:tcPr>
            <w:tcW w:w="1040" w:type="dxa"/>
            <w:vAlign w:val="bottom"/>
            <w:gridSpan w:val="4"/>
          </w:tcPr>
          <w:p>
            <w:pPr>
              <w:ind w:left="60"/>
              <w:spacing w:after="0"/>
              <w:rPr>
                <w:sz w:val="20"/>
                <w:szCs w:val="20"/>
                <w:color w:val="auto"/>
              </w:rPr>
            </w:pPr>
            <w:r>
              <w:rPr>
                <w:rFonts w:ascii="Arial" w:cs="Arial" w:eastAsia="Arial" w:hAnsi="Arial"/>
                <w:sz w:val="12"/>
                <w:szCs w:val="12"/>
                <w:color w:val="005A64"/>
              </w:rPr>
              <w:t>2.1</w:t>
            </w:r>
          </w:p>
        </w:tc>
        <w:tc>
          <w:tcPr>
            <w:tcW w:w="4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1040" w:type="dxa"/>
            <w:vAlign w:val="bottom"/>
            <w:gridSpan w:val="4"/>
          </w:tcPr>
          <w:p>
            <w:pPr>
              <w:ind w:left="80"/>
              <w:spacing w:after="0"/>
              <w:rPr>
                <w:sz w:val="20"/>
                <w:szCs w:val="20"/>
                <w:color w:val="auto"/>
              </w:rPr>
            </w:pPr>
            <w:r>
              <w:rPr>
                <w:rFonts w:ascii="Arial" w:cs="Arial" w:eastAsia="Arial" w:hAnsi="Arial"/>
                <w:sz w:val="12"/>
                <w:szCs w:val="12"/>
                <w:color w:val="005A64"/>
              </w:rPr>
              <w:t>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40" w:type="dxa"/>
            <w:vAlign w:val="bottom"/>
          </w:tcPr>
          <w:p>
            <w:pPr>
              <w:ind w:left="20"/>
              <w:spacing w:after="0"/>
              <w:rPr>
                <w:sz w:val="20"/>
                <w:szCs w:val="20"/>
                <w:color w:val="auto"/>
              </w:rPr>
            </w:pPr>
            <w:r>
              <w:rPr>
                <w:rFonts w:ascii="Arial" w:cs="Arial" w:eastAsia="Arial" w:hAnsi="Arial"/>
                <w:sz w:val="12"/>
                <w:szCs w:val="12"/>
                <w:b w:val="1"/>
                <w:bCs w:val="1"/>
                <w:color w:val="005A64"/>
              </w:rPr>
              <w:t>As of December 31, 2023</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005A64"/>
              </w:rPr>
              <w:t>235.4</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005A64"/>
              </w:rPr>
              <w:t>344.1</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005A64"/>
              </w:rPr>
              <w:t>389.5</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005A64"/>
              </w:rPr>
              <w:t>969.0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54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96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gridSpan w:val="2"/>
          </w:tcPr>
          <w:p>
            <w:pPr>
              <w:spacing w:after="0"/>
              <w:rPr>
                <w:sz w:val="4"/>
                <w:szCs w:val="4"/>
                <w:color w:val="auto"/>
              </w:rPr>
            </w:pPr>
          </w:p>
        </w:tc>
        <w:tc>
          <w:tcPr>
            <w:tcW w:w="94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94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gridSpan w:val="2"/>
          </w:tcPr>
          <w:p>
            <w:pPr>
              <w:spacing w:after="0"/>
              <w:rPr>
                <w:sz w:val="4"/>
                <w:szCs w:val="4"/>
                <w:color w:val="auto"/>
              </w:rPr>
            </w:pPr>
          </w:p>
        </w:tc>
        <w:tc>
          <w:tcPr>
            <w:tcW w:w="94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540" w:type="dxa"/>
            <w:vAlign w:val="bottom"/>
          </w:tcPr>
          <w:p>
            <w:pPr>
              <w:ind w:left="20"/>
              <w:spacing w:after="0"/>
              <w:rPr>
                <w:sz w:val="20"/>
                <w:szCs w:val="20"/>
                <w:color w:val="auto"/>
              </w:rPr>
            </w:pPr>
            <w:r>
              <w:rPr>
                <w:rFonts w:ascii="Arial" w:cs="Arial" w:eastAsia="Arial" w:hAnsi="Arial"/>
                <w:sz w:val="12"/>
                <w:szCs w:val="12"/>
                <w:color w:val="005A64"/>
              </w:rPr>
              <w:t>Additions</w:t>
            </w:r>
          </w:p>
        </w:tc>
        <w:tc>
          <w:tcPr>
            <w:tcW w:w="20" w:type="dxa"/>
            <w:vAlign w:val="bottom"/>
            <w:vMerge w:val="continue"/>
          </w:tcPr>
          <w:p>
            <w:pPr>
              <w:spacing w:after="0"/>
              <w:rPr>
                <w:sz w:val="13"/>
                <w:szCs w:val="13"/>
                <w:color w:val="auto"/>
              </w:rPr>
            </w:pPr>
          </w:p>
        </w:tc>
        <w:tc>
          <w:tcPr>
            <w:tcW w:w="1020" w:type="dxa"/>
            <w:vAlign w:val="bottom"/>
            <w:tcBorders>
              <w:left w:val="single" w:sz="8" w:color="BECE33"/>
            </w:tcBorders>
            <w:gridSpan w:val="3"/>
          </w:tcPr>
          <w:p>
            <w:pPr>
              <w:ind w:left="60"/>
              <w:spacing w:after="0"/>
              <w:rPr>
                <w:sz w:val="20"/>
                <w:szCs w:val="20"/>
                <w:color w:val="auto"/>
              </w:rPr>
            </w:pPr>
            <w:r>
              <w:rPr>
                <w:rFonts w:ascii="Arial" w:cs="Arial" w:eastAsia="Arial" w:hAnsi="Arial"/>
                <w:sz w:val="12"/>
                <w:szCs w:val="12"/>
                <w:color w:val="005A64"/>
              </w:rPr>
              <w:t>46.2</w:t>
            </w:r>
          </w:p>
        </w:tc>
        <w:tc>
          <w:tcPr>
            <w:tcW w:w="1040" w:type="dxa"/>
            <w:vAlign w:val="bottom"/>
            <w:gridSpan w:val="4"/>
          </w:tcPr>
          <w:p>
            <w:pPr>
              <w:ind w:left="60"/>
              <w:spacing w:after="0"/>
              <w:rPr>
                <w:sz w:val="20"/>
                <w:szCs w:val="20"/>
                <w:color w:val="auto"/>
              </w:rPr>
            </w:pPr>
            <w:r>
              <w:rPr>
                <w:rFonts w:ascii="Arial" w:cs="Arial" w:eastAsia="Arial" w:hAnsi="Arial"/>
                <w:sz w:val="12"/>
                <w:szCs w:val="12"/>
                <w:color w:val="005A64"/>
              </w:rPr>
              <w:t>49.3</w:t>
            </w:r>
          </w:p>
        </w:tc>
        <w:tc>
          <w:tcPr>
            <w:tcW w:w="1020" w:type="dxa"/>
            <w:vAlign w:val="bottom"/>
            <w:gridSpan w:val="3"/>
          </w:tcPr>
          <w:p>
            <w:pPr>
              <w:ind w:left="60"/>
              <w:spacing w:after="0"/>
              <w:rPr>
                <w:sz w:val="20"/>
                <w:szCs w:val="20"/>
                <w:color w:val="auto"/>
              </w:rPr>
            </w:pPr>
            <w:r>
              <w:rPr>
                <w:rFonts w:ascii="Arial" w:cs="Arial" w:eastAsia="Arial" w:hAnsi="Arial"/>
                <w:sz w:val="12"/>
                <w:szCs w:val="12"/>
                <w:color w:val="005A64"/>
              </w:rPr>
              <w:t>192.4</w:t>
            </w:r>
          </w:p>
        </w:tc>
        <w:tc>
          <w:tcPr>
            <w:tcW w:w="1040" w:type="dxa"/>
            <w:vAlign w:val="bottom"/>
            <w:gridSpan w:val="4"/>
          </w:tcPr>
          <w:p>
            <w:pPr>
              <w:ind w:left="80"/>
              <w:spacing w:after="0"/>
              <w:rPr>
                <w:sz w:val="20"/>
                <w:szCs w:val="20"/>
                <w:color w:val="auto"/>
              </w:rPr>
            </w:pPr>
            <w:r>
              <w:rPr>
                <w:rFonts w:ascii="Arial" w:cs="Arial" w:eastAsia="Arial" w:hAnsi="Arial"/>
                <w:sz w:val="12"/>
                <w:szCs w:val="12"/>
                <w:color w:val="005A64"/>
              </w:rPr>
              <w:t>287.9</w:t>
            </w:r>
          </w:p>
        </w:tc>
        <w:tc>
          <w:tcPr>
            <w:tcW w:w="60" w:type="dxa"/>
            <w:vAlign w:val="bottom"/>
            <w:tcBorders>
              <w:right w:val="single" w:sz="8" w:color="BECE33"/>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540" w:type="dxa"/>
            <w:vAlign w:val="bottom"/>
          </w:tcPr>
          <w:p>
            <w:pPr>
              <w:ind w:left="20"/>
              <w:spacing w:after="0"/>
              <w:rPr>
                <w:sz w:val="20"/>
                <w:szCs w:val="20"/>
                <w:color w:val="auto"/>
              </w:rPr>
            </w:pPr>
            <w:r>
              <w:rPr>
                <w:rFonts w:ascii="Arial" w:cs="Arial" w:eastAsia="Arial" w:hAnsi="Arial"/>
                <w:sz w:val="12"/>
                <w:szCs w:val="12"/>
                <w:color w:val="005A64"/>
              </w:rPr>
              <w:t>Disposals</w:t>
            </w:r>
          </w:p>
        </w:tc>
        <w:tc>
          <w:tcPr>
            <w:tcW w:w="20" w:type="dxa"/>
            <w:vAlign w:val="bottom"/>
          </w:tcPr>
          <w:p>
            <w:pPr>
              <w:spacing w:after="0"/>
              <w:rPr>
                <w:sz w:val="15"/>
                <w:szCs w:val="15"/>
                <w:color w:val="auto"/>
              </w:rPr>
            </w:pPr>
          </w:p>
        </w:tc>
        <w:tc>
          <w:tcPr>
            <w:tcW w:w="1020" w:type="dxa"/>
            <w:vAlign w:val="bottom"/>
            <w:tcBorders>
              <w:left w:val="single" w:sz="8" w:color="BECE33"/>
            </w:tcBorders>
            <w:gridSpan w:val="3"/>
          </w:tcPr>
          <w:p>
            <w:pPr>
              <w:ind w:left="60"/>
              <w:spacing w:after="0"/>
              <w:rPr>
                <w:sz w:val="20"/>
                <w:szCs w:val="20"/>
                <w:color w:val="auto"/>
              </w:rPr>
            </w:pPr>
            <w:r>
              <w:rPr>
                <w:rFonts w:ascii="Arial" w:cs="Arial" w:eastAsia="Arial" w:hAnsi="Arial"/>
                <w:sz w:val="12"/>
                <w:szCs w:val="12"/>
                <w:color w:val="005A64"/>
              </w:rPr>
              <w:t>(0.3)</w:t>
            </w:r>
          </w:p>
        </w:tc>
        <w:tc>
          <w:tcPr>
            <w:tcW w:w="1040" w:type="dxa"/>
            <w:vAlign w:val="bottom"/>
            <w:gridSpan w:val="4"/>
          </w:tcPr>
          <w:p>
            <w:pPr>
              <w:ind w:left="60"/>
              <w:spacing w:after="0"/>
              <w:rPr>
                <w:sz w:val="20"/>
                <w:szCs w:val="20"/>
                <w:color w:val="auto"/>
              </w:rPr>
            </w:pPr>
            <w:r>
              <w:rPr>
                <w:rFonts w:ascii="Arial" w:cs="Arial" w:eastAsia="Arial" w:hAnsi="Arial"/>
                <w:sz w:val="12"/>
                <w:szCs w:val="12"/>
                <w:color w:val="005A64"/>
              </w:rPr>
              <w:t>(4.7)</w:t>
            </w:r>
          </w:p>
        </w:tc>
        <w:tc>
          <w:tcPr>
            <w:tcW w:w="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1040" w:type="dxa"/>
            <w:vAlign w:val="bottom"/>
            <w:gridSpan w:val="4"/>
          </w:tcPr>
          <w:p>
            <w:pPr>
              <w:ind w:left="80"/>
              <w:spacing w:after="0"/>
              <w:rPr>
                <w:sz w:val="20"/>
                <w:szCs w:val="20"/>
                <w:color w:val="auto"/>
              </w:rPr>
            </w:pPr>
            <w:r>
              <w:rPr>
                <w:rFonts w:ascii="Arial" w:cs="Arial" w:eastAsia="Arial" w:hAnsi="Arial"/>
                <w:sz w:val="12"/>
                <w:szCs w:val="12"/>
                <w:color w:val="005A64"/>
              </w:rPr>
              <w:t>(5.0)</w:t>
            </w:r>
          </w:p>
        </w:tc>
        <w:tc>
          <w:tcPr>
            <w:tcW w:w="60" w:type="dxa"/>
            <w:vAlign w:val="bottom"/>
            <w:tcBorders>
              <w:right w:val="single" w:sz="8" w:color="BECE33"/>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540" w:type="dxa"/>
            <w:vAlign w:val="bottom"/>
          </w:tcPr>
          <w:p>
            <w:pPr>
              <w:ind w:left="20"/>
              <w:spacing w:after="0"/>
              <w:rPr>
                <w:sz w:val="20"/>
                <w:szCs w:val="20"/>
                <w:color w:val="auto"/>
              </w:rPr>
            </w:pPr>
            <w:r>
              <w:rPr>
                <w:rFonts w:ascii="Arial" w:cs="Arial" w:eastAsia="Arial" w:hAnsi="Arial"/>
                <w:sz w:val="12"/>
                <w:szCs w:val="12"/>
                <w:color w:val="005A64"/>
              </w:rPr>
              <w:t>Reclassifications</w:t>
            </w:r>
          </w:p>
        </w:tc>
        <w:tc>
          <w:tcPr>
            <w:tcW w:w="20" w:type="dxa"/>
            <w:vAlign w:val="bottom"/>
          </w:tcPr>
          <w:p>
            <w:pPr>
              <w:spacing w:after="0"/>
              <w:rPr>
                <w:sz w:val="17"/>
                <w:szCs w:val="17"/>
                <w:color w:val="auto"/>
              </w:rPr>
            </w:pPr>
          </w:p>
        </w:tc>
        <w:tc>
          <w:tcPr>
            <w:tcW w:w="1020" w:type="dxa"/>
            <w:vAlign w:val="bottom"/>
            <w:tcBorders>
              <w:left w:val="single" w:sz="8" w:color="BECE33"/>
            </w:tcBorders>
            <w:gridSpan w:val="3"/>
          </w:tcPr>
          <w:p>
            <w:pPr>
              <w:ind w:left="60"/>
              <w:spacing w:after="0"/>
              <w:rPr>
                <w:sz w:val="20"/>
                <w:szCs w:val="20"/>
                <w:color w:val="auto"/>
              </w:rPr>
            </w:pPr>
            <w:r>
              <w:rPr>
                <w:rFonts w:ascii="Arial" w:cs="Arial" w:eastAsia="Arial" w:hAnsi="Arial"/>
                <w:sz w:val="12"/>
                <w:szCs w:val="12"/>
                <w:color w:val="005A64"/>
              </w:rPr>
              <w:t>86.6</w:t>
            </w:r>
          </w:p>
        </w:tc>
        <w:tc>
          <w:tcPr>
            <w:tcW w:w="1040" w:type="dxa"/>
            <w:vAlign w:val="bottom"/>
            <w:gridSpan w:val="4"/>
          </w:tcPr>
          <w:p>
            <w:pPr>
              <w:ind w:left="60"/>
              <w:spacing w:after="0"/>
              <w:rPr>
                <w:sz w:val="20"/>
                <w:szCs w:val="20"/>
                <w:color w:val="auto"/>
              </w:rPr>
            </w:pPr>
            <w:r>
              <w:rPr>
                <w:rFonts w:ascii="Arial" w:cs="Arial" w:eastAsia="Arial" w:hAnsi="Arial"/>
                <w:sz w:val="12"/>
                <w:szCs w:val="12"/>
                <w:color w:val="005A64"/>
              </w:rPr>
              <w:t>36.3</w:t>
            </w:r>
          </w:p>
        </w:tc>
        <w:tc>
          <w:tcPr>
            <w:tcW w:w="1020" w:type="dxa"/>
            <w:vAlign w:val="bottom"/>
            <w:gridSpan w:val="3"/>
          </w:tcPr>
          <w:p>
            <w:pPr>
              <w:ind w:left="60"/>
              <w:spacing w:after="0"/>
              <w:rPr>
                <w:sz w:val="20"/>
                <w:szCs w:val="20"/>
                <w:color w:val="auto"/>
              </w:rPr>
            </w:pPr>
            <w:r>
              <w:rPr>
                <w:rFonts w:ascii="Arial" w:cs="Arial" w:eastAsia="Arial" w:hAnsi="Arial"/>
                <w:sz w:val="12"/>
                <w:szCs w:val="12"/>
                <w:color w:val="005A64"/>
              </w:rPr>
              <w:t>(122.9)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6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40" w:type="dxa"/>
            <w:vAlign w:val="bottom"/>
          </w:tcPr>
          <w:p>
            <w:pPr>
              <w:ind w:left="20"/>
              <w:spacing w:after="0"/>
              <w:rPr>
                <w:sz w:val="20"/>
                <w:szCs w:val="20"/>
                <w:color w:val="auto"/>
              </w:rPr>
            </w:pPr>
            <w:r>
              <w:rPr>
                <w:rFonts w:ascii="Arial" w:cs="Arial" w:eastAsia="Arial" w:hAnsi="Arial"/>
                <w:sz w:val="12"/>
                <w:szCs w:val="12"/>
                <w:color w:val="005A64"/>
              </w:rPr>
              <w:t>Currency differences</w:t>
            </w:r>
          </w:p>
        </w:tc>
        <w:tc>
          <w:tcPr>
            <w:tcW w:w="20" w:type="dxa"/>
            <w:vAlign w:val="bottom"/>
          </w:tcPr>
          <w:p>
            <w:pPr>
              <w:spacing w:after="0"/>
              <w:rPr>
                <w:sz w:val="17"/>
                <w:szCs w:val="17"/>
                <w:color w:val="auto"/>
              </w:rPr>
            </w:pPr>
          </w:p>
        </w:tc>
        <w:tc>
          <w:tcPr>
            <w:tcW w:w="1020" w:type="dxa"/>
            <w:vAlign w:val="bottom"/>
            <w:tcBorders>
              <w:left w:val="single" w:sz="8" w:color="BECE33"/>
            </w:tcBorders>
            <w:gridSpan w:val="3"/>
          </w:tcPr>
          <w:p>
            <w:pPr>
              <w:ind w:left="60"/>
              <w:spacing w:after="0"/>
              <w:rPr>
                <w:sz w:val="20"/>
                <w:szCs w:val="20"/>
                <w:color w:val="auto"/>
              </w:rPr>
            </w:pPr>
            <w:r>
              <w:rPr>
                <w:rFonts w:ascii="Arial" w:cs="Arial" w:eastAsia="Arial" w:hAnsi="Arial"/>
                <w:sz w:val="12"/>
                <w:szCs w:val="12"/>
                <w:color w:val="005A64"/>
              </w:rPr>
              <w:t>1.5</w:t>
            </w:r>
          </w:p>
        </w:tc>
        <w:tc>
          <w:tcPr>
            <w:tcW w:w="1040" w:type="dxa"/>
            <w:vAlign w:val="bottom"/>
            <w:gridSpan w:val="4"/>
          </w:tcPr>
          <w:p>
            <w:pPr>
              <w:ind w:left="60"/>
              <w:spacing w:after="0"/>
              <w:rPr>
                <w:sz w:val="20"/>
                <w:szCs w:val="20"/>
                <w:color w:val="auto"/>
              </w:rPr>
            </w:pPr>
            <w:r>
              <w:rPr>
                <w:rFonts w:ascii="Arial" w:cs="Arial" w:eastAsia="Arial" w:hAnsi="Arial"/>
                <w:sz w:val="12"/>
                <w:szCs w:val="12"/>
                <w:color w:val="005A64"/>
              </w:rPr>
              <w:t>2.7</w:t>
            </w:r>
          </w:p>
        </w:tc>
        <w:tc>
          <w:tcPr>
            <w:tcW w:w="1020" w:type="dxa"/>
            <w:vAlign w:val="bottom"/>
            <w:gridSpan w:val="3"/>
          </w:tcPr>
          <w:p>
            <w:pPr>
              <w:ind w:left="60"/>
              <w:spacing w:after="0"/>
              <w:rPr>
                <w:sz w:val="20"/>
                <w:szCs w:val="20"/>
                <w:color w:val="auto"/>
              </w:rPr>
            </w:pPr>
            <w:r>
              <w:rPr>
                <w:rFonts w:ascii="Arial" w:cs="Arial" w:eastAsia="Arial" w:hAnsi="Arial"/>
                <w:sz w:val="12"/>
                <w:szCs w:val="12"/>
                <w:color w:val="005A64"/>
              </w:rPr>
              <w:t>1.6</w:t>
            </w:r>
          </w:p>
        </w:tc>
        <w:tc>
          <w:tcPr>
            <w:tcW w:w="1040" w:type="dxa"/>
            <w:vAlign w:val="bottom"/>
            <w:gridSpan w:val="4"/>
          </w:tcPr>
          <w:p>
            <w:pPr>
              <w:ind w:left="80"/>
              <w:spacing w:after="0"/>
              <w:rPr>
                <w:sz w:val="20"/>
                <w:szCs w:val="20"/>
                <w:color w:val="auto"/>
              </w:rPr>
            </w:pPr>
            <w:r>
              <w:rPr>
                <w:rFonts w:ascii="Arial" w:cs="Arial" w:eastAsia="Arial" w:hAnsi="Arial"/>
                <w:sz w:val="12"/>
                <w:szCs w:val="12"/>
                <w:color w:val="005A64"/>
              </w:rPr>
              <w:t>5.8</w:t>
            </w:r>
          </w:p>
        </w:tc>
        <w:tc>
          <w:tcPr>
            <w:tcW w:w="6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40" w:type="dxa"/>
            <w:vAlign w:val="bottom"/>
          </w:tcPr>
          <w:p>
            <w:pPr>
              <w:ind w:left="20"/>
              <w:spacing w:after="0"/>
              <w:rPr>
                <w:sz w:val="20"/>
                <w:szCs w:val="20"/>
                <w:color w:val="auto"/>
              </w:rPr>
            </w:pPr>
            <w:r>
              <w:rPr>
                <w:rFonts w:ascii="Arial" w:cs="Arial" w:eastAsia="Arial" w:hAnsi="Arial"/>
                <w:sz w:val="12"/>
                <w:szCs w:val="12"/>
                <w:b w:val="1"/>
                <w:bCs w:val="1"/>
                <w:color w:val="005A64"/>
              </w:rPr>
              <w:t>As of December 31, 2024</w:t>
            </w:r>
          </w:p>
        </w:tc>
        <w:tc>
          <w:tcPr>
            <w:tcW w:w="20" w:type="dxa"/>
            <w:vAlign w:val="bottom"/>
          </w:tcPr>
          <w:p>
            <w:pPr>
              <w:spacing w:after="0"/>
              <w:rPr>
                <w:sz w:val="18"/>
                <w:szCs w:val="18"/>
                <w:color w:val="auto"/>
              </w:rPr>
            </w:pPr>
          </w:p>
        </w:tc>
        <w:tc>
          <w:tcPr>
            <w:tcW w:w="1020" w:type="dxa"/>
            <w:vAlign w:val="bottom"/>
            <w:tcBorders>
              <w:left w:val="single" w:sz="8" w:color="BECE33"/>
            </w:tcBorders>
            <w:gridSpan w:val="3"/>
          </w:tcPr>
          <w:p>
            <w:pPr>
              <w:ind w:left="60"/>
              <w:spacing w:after="0"/>
              <w:rPr>
                <w:sz w:val="20"/>
                <w:szCs w:val="20"/>
                <w:color w:val="auto"/>
              </w:rPr>
            </w:pPr>
            <w:r>
              <w:rPr>
                <w:rFonts w:ascii="Arial" w:cs="Arial" w:eastAsia="Arial" w:hAnsi="Arial"/>
                <w:sz w:val="12"/>
                <w:szCs w:val="12"/>
                <w:b w:val="1"/>
                <w:bCs w:val="1"/>
                <w:color w:val="005A64"/>
              </w:rPr>
              <w:t>369.4</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005A64"/>
              </w:rPr>
              <w:t>427.7</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005A64"/>
              </w:rPr>
              <w:t>460.6</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005A64"/>
              </w:rPr>
              <w:t>1,257.7</w:t>
            </w:r>
          </w:p>
        </w:tc>
        <w:tc>
          <w:tcPr>
            <w:tcW w:w="60" w:type="dxa"/>
            <w:vAlign w:val="bottom"/>
            <w:tcBorders>
              <w:right w:val="single" w:sz="8" w:color="BECE33"/>
            </w:tcBorders>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540" w:type="dxa"/>
            <w:vAlign w:val="bottom"/>
            <w:tcBorders>
              <w:bottom w:val="single" w:sz="8" w:color="005A64"/>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40" w:type="dxa"/>
            <w:vAlign w:val="bottom"/>
            <w:tcBorders>
              <w:left w:val="single" w:sz="8" w:color="BECE33"/>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96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94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94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94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540" w:type="dxa"/>
            <w:vAlign w:val="bottom"/>
          </w:tcPr>
          <w:p>
            <w:pPr>
              <w:ind w:left="20"/>
              <w:spacing w:after="0"/>
              <w:rPr>
                <w:sz w:val="20"/>
                <w:szCs w:val="20"/>
                <w:color w:val="auto"/>
              </w:rPr>
            </w:pPr>
            <w:r>
              <w:rPr>
                <w:rFonts w:ascii="Arial" w:cs="Arial" w:eastAsia="Arial" w:hAnsi="Arial"/>
                <w:sz w:val="12"/>
                <w:szCs w:val="12"/>
                <w:i w:val="1"/>
                <w:iCs w:val="1"/>
                <w:color w:val="005A64"/>
              </w:rPr>
              <w:t>(in millions €)</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2"/>
                <w:szCs w:val="12"/>
                <w:b w:val="1"/>
                <w:bCs w:val="1"/>
                <w:color w:val="005A64"/>
              </w:rPr>
              <w:t>Land and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2"/>
                <w:szCs w:val="12"/>
                <w:b w:val="1"/>
                <w:bCs w:val="1"/>
                <w:color w:val="005A64"/>
              </w:rPr>
              <w:t>Equipment,</w:t>
            </w:r>
          </w:p>
        </w:tc>
        <w:tc>
          <w:tcPr>
            <w:tcW w:w="4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005A64"/>
              </w:rPr>
              <w:t>Construction</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line="121" w:lineRule="exact"/>
              <w:rPr>
                <w:sz w:val="20"/>
                <w:szCs w:val="20"/>
                <w:color w:val="auto"/>
              </w:rPr>
            </w:pPr>
            <w:r>
              <w:rPr>
                <w:rFonts w:ascii="Arial" w:cs="Arial" w:eastAsia="Arial" w:hAnsi="Arial"/>
                <w:sz w:val="12"/>
                <w:szCs w:val="12"/>
                <w:b w:val="1"/>
                <w:bCs w:val="1"/>
                <w:color w:val="005A64"/>
              </w:rPr>
              <w:t>buildings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2"/>
          </w:tcPr>
          <w:p>
            <w:pPr>
              <w:spacing w:after="0" w:line="121" w:lineRule="exact"/>
              <w:rPr>
                <w:sz w:val="20"/>
                <w:szCs w:val="20"/>
                <w:color w:val="auto"/>
              </w:rPr>
            </w:pPr>
            <w:r>
              <w:rPr>
                <w:rFonts w:ascii="Arial" w:cs="Arial" w:eastAsia="Arial" w:hAnsi="Arial"/>
                <w:sz w:val="12"/>
                <w:szCs w:val="12"/>
                <w:b w:val="1"/>
                <w:bCs w:val="1"/>
                <w:color w:val="005A64"/>
              </w:rPr>
              <w:t>tools and</w:t>
            </w:r>
          </w:p>
        </w:tc>
        <w:tc>
          <w:tcPr>
            <w:tcW w:w="40" w:type="dxa"/>
            <w:vAlign w:val="bottom"/>
          </w:tcPr>
          <w:p>
            <w:pPr>
              <w:spacing w:after="0"/>
              <w:rPr>
                <w:sz w:val="10"/>
                <w:szCs w:val="10"/>
                <w:color w:val="auto"/>
              </w:rPr>
            </w:pPr>
          </w:p>
        </w:tc>
        <w:tc>
          <w:tcPr>
            <w:tcW w:w="980" w:type="dxa"/>
            <w:vAlign w:val="bottom"/>
            <w:gridSpan w:val="2"/>
          </w:tcPr>
          <w:p>
            <w:pPr>
              <w:ind w:left="20"/>
              <w:spacing w:after="0" w:line="121" w:lineRule="exact"/>
              <w:rPr>
                <w:sz w:val="20"/>
                <w:szCs w:val="20"/>
                <w:color w:val="auto"/>
              </w:rPr>
            </w:pPr>
            <w:r>
              <w:rPr>
                <w:rFonts w:ascii="Arial" w:cs="Arial" w:eastAsia="Arial" w:hAnsi="Arial"/>
                <w:sz w:val="12"/>
                <w:szCs w:val="12"/>
                <w:b w:val="1"/>
                <w:bCs w:val="1"/>
                <w:color w:val="005A64"/>
              </w:rPr>
              <w:t>in progress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2"/>
          </w:tcPr>
          <w:p>
            <w:pPr>
              <w:spacing w:after="0" w:line="121" w:lineRule="exact"/>
              <w:rPr>
                <w:sz w:val="20"/>
                <w:szCs w:val="20"/>
                <w:color w:val="auto"/>
              </w:rPr>
            </w:pPr>
            <w:r>
              <w:rPr>
                <w:rFonts w:ascii="Arial" w:cs="Arial" w:eastAsia="Arial" w:hAnsi="Arial"/>
                <w:sz w:val="12"/>
                <w:szCs w:val="12"/>
                <w:b w:val="1"/>
                <w:bCs w:val="1"/>
                <w:color w:val="005A64"/>
              </w:rPr>
              <w:t>installations</w:t>
            </w:r>
          </w:p>
        </w:tc>
        <w:tc>
          <w:tcPr>
            <w:tcW w:w="40" w:type="dxa"/>
            <w:vAlign w:val="bottom"/>
          </w:tcPr>
          <w:p>
            <w:pPr>
              <w:spacing w:after="0"/>
              <w:rPr>
                <w:sz w:val="10"/>
                <w:szCs w:val="10"/>
                <w:color w:val="auto"/>
              </w:rPr>
            </w:pPr>
          </w:p>
        </w:tc>
        <w:tc>
          <w:tcPr>
            <w:tcW w:w="980" w:type="dxa"/>
            <w:vAlign w:val="bottom"/>
            <w:gridSpan w:val="2"/>
          </w:tcPr>
          <w:p>
            <w:pPr>
              <w:ind w:left="20"/>
              <w:spacing w:after="0" w:line="121" w:lineRule="exact"/>
              <w:rPr>
                <w:sz w:val="20"/>
                <w:szCs w:val="20"/>
                <w:color w:val="auto"/>
              </w:rPr>
            </w:pPr>
            <w:r>
              <w:rPr>
                <w:rFonts w:ascii="Arial" w:cs="Arial" w:eastAsia="Arial" w:hAnsi="Arial"/>
                <w:sz w:val="12"/>
                <w:szCs w:val="12"/>
                <w:b w:val="1"/>
                <w:bCs w:val="1"/>
                <w:color w:val="005A64"/>
              </w:rPr>
              <w:t>and advance</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005A64"/>
              </w:rPr>
              <w:t>payments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540" w:type="dxa"/>
            <w:vAlign w:val="bottom"/>
            <w:tcBorders>
              <w:bottom w:val="single" w:sz="8" w:color="005A64"/>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005A64"/>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bottom w:val="single" w:sz="8" w:color="005A64"/>
            </w:tcBorders>
          </w:tcPr>
          <w:p>
            <w:pPr>
              <w:spacing w:after="0"/>
              <w:rPr>
                <w:sz w:val="7"/>
                <w:szCs w:val="7"/>
                <w:color w:val="auto"/>
              </w:rPr>
            </w:pPr>
          </w:p>
        </w:tc>
        <w:tc>
          <w:tcPr>
            <w:tcW w:w="940" w:type="dxa"/>
            <w:vAlign w:val="bottom"/>
            <w:tcBorders>
              <w:bottom w:val="single" w:sz="8" w:color="005A64"/>
            </w:tcBorders>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bottom w:val="single" w:sz="8" w:color="005A64"/>
            </w:tcBorders>
          </w:tcPr>
          <w:p>
            <w:pPr>
              <w:spacing w:after="0"/>
              <w:rPr>
                <w:sz w:val="7"/>
                <w:szCs w:val="7"/>
                <w:color w:val="auto"/>
              </w:rPr>
            </w:pPr>
          </w:p>
        </w:tc>
        <w:tc>
          <w:tcPr>
            <w:tcW w:w="940" w:type="dxa"/>
            <w:vAlign w:val="bottom"/>
            <w:tcBorders>
              <w:bottom w:val="single" w:sz="8" w:color="005A64"/>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bottom w:val="single" w:sz="8" w:color="005A64"/>
            </w:tcBorders>
          </w:tcPr>
          <w:p>
            <w:pPr>
              <w:spacing w:after="0"/>
              <w:rPr>
                <w:sz w:val="7"/>
                <w:szCs w:val="7"/>
                <w:color w:val="auto"/>
              </w:rPr>
            </w:pPr>
          </w:p>
        </w:tc>
        <w:tc>
          <w:tcPr>
            <w:tcW w:w="940" w:type="dxa"/>
            <w:vAlign w:val="bottom"/>
            <w:tcBorders>
              <w:bottom w:val="single" w:sz="8" w:color="005A64"/>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540" w:type="dxa"/>
            <w:vAlign w:val="bottom"/>
          </w:tcPr>
          <w:p>
            <w:pPr>
              <w:ind w:left="20"/>
              <w:spacing w:after="0" w:line="102" w:lineRule="exact"/>
              <w:rPr>
                <w:sz w:val="20"/>
                <w:szCs w:val="20"/>
                <w:color w:val="auto"/>
              </w:rPr>
            </w:pPr>
            <w:r>
              <w:rPr>
                <w:rFonts w:ascii="Arial" w:cs="Arial" w:eastAsia="Arial" w:hAnsi="Arial"/>
                <w:sz w:val="11"/>
                <w:szCs w:val="11"/>
                <w:b w:val="1"/>
                <w:bCs w:val="1"/>
                <w:color w:val="3C9673"/>
              </w:rPr>
              <w:t>Cumulative depreciation and impairment</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540" w:type="dxa"/>
            <w:vAlign w:val="bottom"/>
          </w:tcPr>
          <w:p>
            <w:pPr>
              <w:ind w:left="20"/>
              <w:spacing w:after="0"/>
              <w:rPr>
                <w:sz w:val="20"/>
                <w:szCs w:val="20"/>
                <w:color w:val="auto"/>
              </w:rPr>
            </w:pPr>
            <w:r>
              <w:rPr>
                <w:rFonts w:ascii="Arial" w:cs="Arial" w:eastAsia="Arial" w:hAnsi="Arial"/>
                <w:sz w:val="12"/>
                <w:szCs w:val="12"/>
                <w:b w:val="1"/>
                <w:bCs w:val="1"/>
                <w:color w:val="3C9673"/>
              </w:rPr>
              <w:t>charges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540" w:type="dxa"/>
            <w:vAlign w:val="bottom"/>
          </w:tcPr>
          <w:p>
            <w:pPr>
              <w:ind w:left="20"/>
              <w:spacing w:after="0"/>
              <w:rPr>
                <w:sz w:val="20"/>
                <w:szCs w:val="20"/>
                <w:color w:val="auto"/>
              </w:rPr>
            </w:pPr>
            <w:r>
              <w:rPr>
                <w:rFonts w:ascii="Arial" w:cs="Arial" w:eastAsia="Arial" w:hAnsi="Arial"/>
                <w:sz w:val="12"/>
                <w:szCs w:val="12"/>
                <w:color w:val="005A64"/>
              </w:rPr>
              <w:t>As of January 1, 2023</w:t>
            </w:r>
          </w:p>
        </w:tc>
        <w:tc>
          <w:tcPr>
            <w:tcW w:w="1040" w:type="dxa"/>
            <w:vAlign w:val="bottom"/>
            <w:gridSpan w:val="4"/>
          </w:tcPr>
          <w:p>
            <w:pPr>
              <w:ind w:left="80"/>
              <w:spacing w:after="0"/>
              <w:rPr>
                <w:sz w:val="20"/>
                <w:szCs w:val="20"/>
                <w:color w:val="auto"/>
              </w:rPr>
            </w:pPr>
            <w:r>
              <w:rPr>
                <w:rFonts w:ascii="Arial" w:cs="Arial" w:eastAsia="Arial" w:hAnsi="Arial"/>
                <w:sz w:val="12"/>
                <w:szCs w:val="12"/>
                <w:color w:val="005A64"/>
              </w:rPr>
              <w:t>22.0</w:t>
            </w:r>
          </w:p>
        </w:tc>
        <w:tc>
          <w:tcPr>
            <w:tcW w:w="1040" w:type="dxa"/>
            <w:vAlign w:val="bottom"/>
            <w:gridSpan w:val="4"/>
          </w:tcPr>
          <w:p>
            <w:pPr>
              <w:ind w:left="60"/>
              <w:spacing w:after="0"/>
              <w:rPr>
                <w:sz w:val="20"/>
                <w:szCs w:val="20"/>
                <w:color w:val="auto"/>
              </w:rPr>
            </w:pPr>
            <w:r>
              <w:rPr>
                <w:rFonts w:ascii="Arial" w:cs="Arial" w:eastAsia="Arial" w:hAnsi="Arial"/>
                <w:sz w:val="12"/>
                <w:szCs w:val="12"/>
                <w:color w:val="005A64"/>
              </w:rPr>
              <w:t>94.3</w:t>
            </w:r>
          </w:p>
        </w:tc>
        <w:tc>
          <w:tcPr>
            <w:tcW w:w="4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1040" w:type="dxa"/>
            <w:vAlign w:val="bottom"/>
            <w:gridSpan w:val="4"/>
          </w:tcPr>
          <w:p>
            <w:pPr>
              <w:ind w:left="80"/>
              <w:spacing w:after="0"/>
              <w:rPr>
                <w:sz w:val="20"/>
                <w:szCs w:val="20"/>
                <w:color w:val="auto"/>
              </w:rPr>
            </w:pPr>
            <w:r>
              <w:rPr>
                <w:rFonts w:ascii="Arial" w:cs="Arial" w:eastAsia="Arial" w:hAnsi="Arial"/>
                <w:sz w:val="12"/>
                <w:szCs w:val="12"/>
                <w:color w:val="005A64"/>
              </w:rPr>
              <w:t>116.3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40" w:type="dxa"/>
            <w:vAlign w:val="bottom"/>
          </w:tcPr>
          <w:p>
            <w:pPr>
              <w:ind w:left="20"/>
              <w:spacing w:after="0"/>
              <w:rPr>
                <w:sz w:val="20"/>
                <w:szCs w:val="20"/>
                <w:color w:val="auto"/>
              </w:rPr>
            </w:pPr>
            <w:r>
              <w:rPr>
                <w:rFonts w:ascii="Arial" w:cs="Arial" w:eastAsia="Arial" w:hAnsi="Arial"/>
                <w:sz w:val="12"/>
                <w:szCs w:val="12"/>
                <w:color w:val="005A64"/>
              </w:rPr>
              <w:t>Depreciation</w:t>
            </w:r>
          </w:p>
        </w:tc>
        <w:tc>
          <w:tcPr>
            <w:tcW w:w="1040" w:type="dxa"/>
            <w:vAlign w:val="bottom"/>
            <w:gridSpan w:val="4"/>
          </w:tcPr>
          <w:p>
            <w:pPr>
              <w:ind w:left="80"/>
              <w:spacing w:after="0"/>
              <w:rPr>
                <w:sz w:val="20"/>
                <w:szCs w:val="20"/>
                <w:color w:val="auto"/>
              </w:rPr>
            </w:pPr>
            <w:r>
              <w:rPr>
                <w:rFonts w:ascii="Arial" w:cs="Arial" w:eastAsia="Arial" w:hAnsi="Arial"/>
                <w:sz w:val="12"/>
                <w:szCs w:val="12"/>
                <w:color w:val="005A64"/>
              </w:rPr>
              <w:t>14.4</w:t>
            </w:r>
          </w:p>
        </w:tc>
        <w:tc>
          <w:tcPr>
            <w:tcW w:w="1040" w:type="dxa"/>
            <w:vAlign w:val="bottom"/>
            <w:gridSpan w:val="4"/>
          </w:tcPr>
          <w:p>
            <w:pPr>
              <w:ind w:left="60"/>
              <w:spacing w:after="0"/>
              <w:rPr>
                <w:sz w:val="20"/>
                <w:szCs w:val="20"/>
                <w:color w:val="auto"/>
              </w:rPr>
            </w:pPr>
            <w:r>
              <w:rPr>
                <w:rFonts w:ascii="Arial" w:cs="Arial" w:eastAsia="Arial" w:hAnsi="Arial"/>
                <w:sz w:val="12"/>
                <w:szCs w:val="12"/>
                <w:color w:val="005A64"/>
              </w:rPr>
              <w:t>83.3</w:t>
            </w:r>
          </w:p>
        </w:tc>
        <w:tc>
          <w:tcPr>
            <w:tcW w:w="4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1040" w:type="dxa"/>
            <w:vAlign w:val="bottom"/>
            <w:gridSpan w:val="4"/>
          </w:tcPr>
          <w:p>
            <w:pPr>
              <w:ind w:left="80"/>
              <w:spacing w:after="0"/>
              <w:rPr>
                <w:sz w:val="20"/>
                <w:szCs w:val="20"/>
                <w:color w:val="auto"/>
              </w:rPr>
            </w:pPr>
            <w:r>
              <w:rPr>
                <w:rFonts w:ascii="Arial" w:cs="Arial" w:eastAsia="Arial" w:hAnsi="Arial"/>
                <w:sz w:val="12"/>
                <w:szCs w:val="12"/>
                <w:color w:val="005A64"/>
              </w:rPr>
              <w:t>97.7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40" w:type="dxa"/>
            <w:vAlign w:val="bottom"/>
          </w:tcPr>
          <w:p>
            <w:pPr>
              <w:ind w:left="20"/>
              <w:spacing w:after="0"/>
              <w:rPr>
                <w:sz w:val="20"/>
                <w:szCs w:val="20"/>
                <w:color w:val="auto"/>
              </w:rPr>
            </w:pPr>
            <w:r>
              <w:rPr>
                <w:rFonts w:ascii="Arial" w:cs="Arial" w:eastAsia="Arial" w:hAnsi="Arial"/>
                <w:sz w:val="12"/>
                <w:szCs w:val="12"/>
                <w:color w:val="005A64"/>
              </w:rPr>
              <w:t>Disposals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w:t>
            </w:r>
          </w:p>
        </w:tc>
        <w:tc>
          <w:tcPr>
            <w:tcW w:w="1040" w:type="dxa"/>
            <w:vAlign w:val="bottom"/>
            <w:gridSpan w:val="4"/>
          </w:tcPr>
          <w:p>
            <w:pPr>
              <w:ind w:left="60"/>
              <w:spacing w:after="0"/>
              <w:rPr>
                <w:sz w:val="20"/>
                <w:szCs w:val="20"/>
                <w:color w:val="auto"/>
              </w:rPr>
            </w:pPr>
            <w:r>
              <w:rPr>
                <w:rFonts w:ascii="Arial" w:cs="Arial" w:eastAsia="Arial" w:hAnsi="Arial"/>
                <w:sz w:val="12"/>
                <w:szCs w:val="12"/>
                <w:color w:val="005A64"/>
              </w:rPr>
              <w:t>(1.7)</w:t>
            </w:r>
          </w:p>
        </w:tc>
        <w:tc>
          <w:tcPr>
            <w:tcW w:w="4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1040" w:type="dxa"/>
            <w:vAlign w:val="bottom"/>
            <w:gridSpan w:val="4"/>
          </w:tcPr>
          <w:p>
            <w:pPr>
              <w:ind w:left="80"/>
              <w:spacing w:after="0"/>
              <w:rPr>
                <w:sz w:val="20"/>
                <w:szCs w:val="20"/>
                <w:color w:val="auto"/>
              </w:rPr>
            </w:pPr>
            <w:r>
              <w:rPr>
                <w:rFonts w:ascii="Arial" w:cs="Arial" w:eastAsia="Arial" w:hAnsi="Arial"/>
                <w:sz w:val="12"/>
                <w:szCs w:val="12"/>
                <w:color w:val="005A64"/>
              </w:rPr>
              <w:t>(1.7)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40" w:type="dxa"/>
            <w:vAlign w:val="bottom"/>
          </w:tcPr>
          <w:p>
            <w:pPr>
              <w:ind w:left="20"/>
              <w:spacing w:after="0"/>
              <w:rPr>
                <w:sz w:val="20"/>
                <w:szCs w:val="20"/>
                <w:color w:val="auto"/>
              </w:rPr>
            </w:pPr>
            <w:r>
              <w:rPr>
                <w:rFonts w:ascii="Arial" w:cs="Arial" w:eastAsia="Arial" w:hAnsi="Arial"/>
                <w:sz w:val="12"/>
                <w:szCs w:val="12"/>
                <w:color w:val="005A64"/>
              </w:rPr>
              <w:t>Currency differences</w:t>
            </w:r>
          </w:p>
        </w:tc>
        <w:tc>
          <w:tcPr>
            <w:tcW w:w="1040" w:type="dxa"/>
            <w:vAlign w:val="bottom"/>
            <w:gridSpan w:val="4"/>
          </w:tcPr>
          <w:p>
            <w:pPr>
              <w:ind w:left="80"/>
              <w:spacing w:after="0"/>
              <w:rPr>
                <w:sz w:val="20"/>
                <w:szCs w:val="20"/>
                <w:color w:val="auto"/>
              </w:rPr>
            </w:pPr>
            <w:r>
              <w:rPr>
                <w:rFonts w:ascii="Arial" w:cs="Arial" w:eastAsia="Arial" w:hAnsi="Arial"/>
                <w:sz w:val="12"/>
                <w:szCs w:val="12"/>
                <w:color w:val="005A64"/>
              </w:rPr>
              <w:t>(0.2)</w:t>
            </w:r>
          </w:p>
        </w:tc>
        <w:tc>
          <w:tcPr>
            <w:tcW w:w="1040" w:type="dxa"/>
            <w:vAlign w:val="bottom"/>
            <w:gridSpan w:val="4"/>
          </w:tcPr>
          <w:p>
            <w:pPr>
              <w:ind w:left="60"/>
              <w:spacing w:after="0"/>
              <w:rPr>
                <w:sz w:val="20"/>
                <w:szCs w:val="20"/>
                <w:color w:val="auto"/>
              </w:rPr>
            </w:pPr>
            <w:r>
              <w:rPr>
                <w:rFonts w:ascii="Arial" w:cs="Arial" w:eastAsia="Arial" w:hAnsi="Arial"/>
                <w:sz w:val="12"/>
                <w:szCs w:val="12"/>
                <w:color w:val="005A64"/>
              </w:rPr>
              <w:t>(0.3)</w:t>
            </w:r>
          </w:p>
        </w:tc>
        <w:tc>
          <w:tcPr>
            <w:tcW w:w="4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1040" w:type="dxa"/>
            <w:vAlign w:val="bottom"/>
            <w:gridSpan w:val="4"/>
          </w:tcPr>
          <w:p>
            <w:pPr>
              <w:ind w:left="80"/>
              <w:spacing w:after="0"/>
              <w:rPr>
                <w:sz w:val="20"/>
                <w:szCs w:val="20"/>
                <w:color w:val="auto"/>
              </w:rPr>
            </w:pPr>
            <w:r>
              <w:rPr>
                <w:rFonts w:ascii="Arial" w:cs="Arial" w:eastAsia="Arial" w:hAnsi="Arial"/>
                <w:sz w:val="12"/>
                <w:szCs w:val="12"/>
                <w:color w:val="005A64"/>
              </w:rPr>
              <w:t>(0.5)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40" w:type="dxa"/>
            <w:vAlign w:val="bottom"/>
          </w:tcPr>
          <w:p>
            <w:pPr>
              <w:ind w:left="20"/>
              <w:spacing w:after="0"/>
              <w:rPr>
                <w:sz w:val="20"/>
                <w:szCs w:val="20"/>
                <w:color w:val="auto"/>
              </w:rPr>
            </w:pPr>
            <w:r>
              <w:rPr>
                <w:rFonts w:ascii="Arial" w:cs="Arial" w:eastAsia="Arial" w:hAnsi="Arial"/>
                <w:sz w:val="12"/>
                <w:szCs w:val="12"/>
                <w:b w:val="1"/>
                <w:bCs w:val="1"/>
                <w:color w:val="005A64"/>
              </w:rPr>
              <w:t>As of December 31, 2023</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005A64"/>
              </w:rPr>
              <w:t>36.2</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005A64"/>
              </w:rPr>
              <w:t>175.6</w:t>
            </w:r>
          </w:p>
        </w:tc>
        <w:tc>
          <w:tcPr>
            <w:tcW w:w="4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005A64"/>
              </w:rPr>
              <w:t>—</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005A64"/>
              </w:rPr>
              <w:t>211.8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54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96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gridSpan w:val="2"/>
          </w:tcPr>
          <w:p>
            <w:pPr>
              <w:spacing w:after="0"/>
              <w:rPr>
                <w:sz w:val="4"/>
                <w:szCs w:val="4"/>
                <w:color w:val="auto"/>
              </w:rPr>
            </w:pPr>
          </w:p>
        </w:tc>
        <w:tc>
          <w:tcPr>
            <w:tcW w:w="94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94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gridSpan w:val="2"/>
          </w:tcPr>
          <w:p>
            <w:pPr>
              <w:spacing w:after="0"/>
              <w:rPr>
                <w:sz w:val="4"/>
                <w:szCs w:val="4"/>
                <w:color w:val="auto"/>
              </w:rPr>
            </w:pPr>
          </w:p>
        </w:tc>
        <w:tc>
          <w:tcPr>
            <w:tcW w:w="94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540" w:type="dxa"/>
            <w:vAlign w:val="bottom"/>
          </w:tcPr>
          <w:p>
            <w:pPr>
              <w:ind w:left="20"/>
              <w:spacing w:after="0"/>
              <w:rPr>
                <w:sz w:val="20"/>
                <w:szCs w:val="20"/>
                <w:color w:val="auto"/>
              </w:rPr>
            </w:pPr>
            <w:r>
              <w:rPr>
                <w:rFonts w:ascii="Arial" w:cs="Arial" w:eastAsia="Arial" w:hAnsi="Arial"/>
                <w:sz w:val="12"/>
                <w:szCs w:val="12"/>
                <w:color w:val="005A64"/>
              </w:rPr>
              <w:t>Depreciation</w:t>
            </w:r>
          </w:p>
        </w:tc>
        <w:tc>
          <w:tcPr>
            <w:tcW w:w="20" w:type="dxa"/>
            <w:vAlign w:val="bottom"/>
            <w:vMerge w:val="continue"/>
          </w:tcPr>
          <w:p>
            <w:pPr>
              <w:spacing w:after="0"/>
              <w:rPr>
                <w:sz w:val="13"/>
                <w:szCs w:val="13"/>
                <w:color w:val="auto"/>
              </w:rPr>
            </w:pPr>
          </w:p>
        </w:tc>
        <w:tc>
          <w:tcPr>
            <w:tcW w:w="1020" w:type="dxa"/>
            <w:vAlign w:val="bottom"/>
            <w:tcBorders>
              <w:left w:val="single" w:sz="8" w:color="BECE33"/>
            </w:tcBorders>
            <w:gridSpan w:val="3"/>
          </w:tcPr>
          <w:p>
            <w:pPr>
              <w:ind w:left="60"/>
              <w:spacing w:after="0"/>
              <w:rPr>
                <w:sz w:val="20"/>
                <w:szCs w:val="20"/>
                <w:color w:val="auto"/>
              </w:rPr>
            </w:pPr>
            <w:r>
              <w:rPr>
                <w:rFonts w:ascii="Arial" w:cs="Arial" w:eastAsia="Arial" w:hAnsi="Arial"/>
                <w:sz w:val="12"/>
                <w:szCs w:val="12"/>
                <w:color w:val="005A64"/>
              </w:rPr>
              <w:t>12.3</w:t>
            </w:r>
          </w:p>
        </w:tc>
        <w:tc>
          <w:tcPr>
            <w:tcW w:w="1040" w:type="dxa"/>
            <w:vAlign w:val="bottom"/>
            <w:gridSpan w:val="4"/>
          </w:tcPr>
          <w:p>
            <w:pPr>
              <w:ind w:left="60"/>
              <w:spacing w:after="0"/>
              <w:rPr>
                <w:sz w:val="20"/>
                <w:szCs w:val="20"/>
                <w:color w:val="auto"/>
              </w:rPr>
            </w:pPr>
            <w:r>
              <w:rPr>
                <w:rFonts w:ascii="Arial" w:cs="Arial" w:eastAsia="Arial" w:hAnsi="Arial"/>
                <w:sz w:val="12"/>
                <w:szCs w:val="12"/>
                <w:color w:val="005A64"/>
              </w:rPr>
              <w:t>38.3</w:t>
            </w:r>
          </w:p>
        </w:tc>
        <w:tc>
          <w:tcPr>
            <w:tcW w:w="1020" w:type="dxa"/>
            <w:vAlign w:val="bottom"/>
            <w:gridSpan w:val="3"/>
          </w:tcPr>
          <w:p>
            <w:pPr>
              <w:ind w:left="60"/>
              <w:spacing w:after="0"/>
              <w:rPr>
                <w:sz w:val="20"/>
                <w:szCs w:val="20"/>
                <w:color w:val="auto"/>
              </w:rPr>
            </w:pPr>
            <w:r>
              <w:rPr>
                <w:rFonts w:ascii="Arial" w:cs="Arial" w:eastAsia="Arial" w:hAnsi="Arial"/>
                <w:sz w:val="12"/>
                <w:szCs w:val="12"/>
                <w:color w:val="005A64"/>
              </w:rPr>
              <w:t>4.3</w:t>
            </w:r>
          </w:p>
        </w:tc>
        <w:tc>
          <w:tcPr>
            <w:tcW w:w="1040" w:type="dxa"/>
            <w:vAlign w:val="bottom"/>
            <w:gridSpan w:val="4"/>
          </w:tcPr>
          <w:p>
            <w:pPr>
              <w:ind w:left="80"/>
              <w:spacing w:after="0"/>
              <w:rPr>
                <w:sz w:val="20"/>
                <w:szCs w:val="20"/>
                <w:color w:val="auto"/>
              </w:rPr>
            </w:pPr>
            <w:r>
              <w:rPr>
                <w:rFonts w:ascii="Arial" w:cs="Arial" w:eastAsia="Arial" w:hAnsi="Arial"/>
                <w:sz w:val="12"/>
                <w:szCs w:val="12"/>
                <w:color w:val="005A64"/>
              </w:rPr>
              <w:t>54.9</w:t>
            </w:r>
          </w:p>
        </w:tc>
        <w:tc>
          <w:tcPr>
            <w:tcW w:w="60" w:type="dxa"/>
            <w:vAlign w:val="bottom"/>
            <w:tcBorders>
              <w:right w:val="single" w:sz="8" w:color="BECE33"/>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540" w:type="dxa"/>
            <w:vAlign w:val="bottom"/>
          </w:tcPr>
          <w:p>
            <w:pPr>
              <w:ind w:left="20"/>
              <w:spacing w:after="0"/>
              <w:rPr>
                <w:sz w:val="20"/>
                <w:szCs w:val="20"/>
                <w:color w:val="auto"/>
              </w:rPr>
            </w:pPr>
            <w:r>
              <w:rPr>
                <w:rFonts w:ascii="Arial" w:cs="Arial" w:eastAsia="Arial" w:hAnsi="Arial"/>
                <w:sz w:val="12"/>
                <w:szCs w:val="12"/>
                <w:color w:val="005A64"/>
              </w:rPr>
              <w:t>Impairment</w:t>
            </w:r>
          </w:p>
        </w:tc>
        <w:tc>
          <w:tcPr>
            <w:tcW w:w="20" w:type="dxa"/>
            <w:vAlign w:val="bottom"/>
          </w:tcPr>
          <w:p>
            <w:pPr>
              <w:spacing w:after="0"/>
              <w:rPr>
                <w:sz w:val="15"/>
                <w:szCs w:val="15"/>
                <w:color w:val="auto"/>
              </w:rPr>
            </w:pPr>
          </w:p>
        </w:tc>
        <w:tc>
          <w:tcPr>
            <w:tcW w:w="1020" w:type="dxa"/>
            <w:vAlign w:val="bottom"/>
            <w:tcBorders>
              <w:left w:val="single" w:sz="8" w:color="BECE33"/>
            </w:tcBorders>
            <w:gridSpan w:val="3"/>
          </w:tcPr>
          <w:p>
            <w:pPr>
              <w:ind w:left="60"/>
              <w:spacing w:after="0"/>
              <w:rPr>
                <w:sz w:val="20"/>
                <w:szCs w:val="20"/>
                <w:color w:val="auto"/>
              </w:rPr>
            </w:pPr>
            <w:r>
              <w:rPr>
                <w:rFonts w:ascii="Arial" w:cs="Arial" w:eastAsia="Arial" w:hAnsi="Arial"/>
                <w:sz w:val="12"/>
                <w:szCs w:val="12"/>
                <w:color w:val="005A64"/>
              </w:rPr>
              <w:t>26.0</w:t>
            </w:r>
          </w:p>
        </w:tc>
        <w:tc>
          <w:tcPr>
            <w:tcW w:w="1040" w:type="dxa"/>
            <w:vAlign w:val="bottom"/>
            <w:gridSpan w:val="4"/>
          </w:tcPr>
          <w:p>
            <w:pPr>
              <w:ind w:left="60"/>
              <w:spacing w:after="0"/>
              <w:rPr>
                <w:sz w:val="20"/>
                <w:szCs w:val="20"/>
                <w:color w:val="auto"/>
              </w:rPr>
            </w:pPr>
            <w:r>
              <w:rPr>
                <w:rFonts w:ascii="Arial" w:cs="Arial" w:eastAsia="Arial" w:hAnsi="Arial"/>
                <w:sz w:val="12"/>
                <w:szCs w:val="12"/>
                <w:color w:val="005A64"/>
              </w:rPr>
              <w:t>32.1</w:t>
            </w:r>
          </w:p>
        </w:tc>
        <w:tc>
          <w:tcPr>
            <w:tcW w:w="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1040" w:type="dxa"/>
            <w:vAlign w:val="bottom"/>
            <w:gridSpan w:val="4"/>
          </w:tcPr>
          <w:p>
            <w:pPr>
              <w:ind w:left="80"/>
              <w:spacing w:after="0"/>
              <w:rPr>
                <w:sz w:val="20"/>
                <w:szCs w:val="20"/>
                <w:color w:val="auto"/>
              </w:rPr>
            </w:pPr>
            <w:r>
              <w:rPr>
                <w:rFonts w:ascii="Arial" w:cs="Arial" w:eastAsia="Arial" w:hAnsi="Arial"/>
                <w:sz w:val="12"/>
                <w:szCs w:val="12"/>
                <w:color w:val="005A64"/>
              </w:rPr>
              <w:t>58.1</w:t>
            </w:r>
          </w:p>
        </w:tc>
        <w:tc>
          <w:tcPr>
            <w:tcW w:w="60" w:type="dxa"/>
            <w:vAlign w:val="bottom"/>
            <w:tcBorders>
              <w:right w:val="single" w:sz="8" w:color="BECE33"/>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540" w:type="dxa"/>
            <w:vAlign w:val="bottom"/>
          </w:tcPr>
          <w:p>
            <w:pPr>
              <w:ind w:left="20"/>
              <w:spacing w:after="0"/>
              <w:rPr>
                <w:sz w:val="20"/>
                <w:szCs w:val="20"/>
                <w:color w:val="auto"/>
              </w:rPr>
            </w:pPr>
            <w:r>
              <w:rPr>
                <w:rFonts w:ascii="Arial" w:cs="Arial" w:eastAsia="Arial" w:hAnsi="Arial"/>
                <w:sz w:val="12"/>
                <w:szCs w:val="12"/>
                <w:color w:val="005A64"/>
              </w:rPr>
              <w:t>Disposals</w:t>
            </w:r>
          </w:p>
        </w:tc>
        <w:tc>
          <w:tcPr>
            <w:tcW w:w="20" w:type="dxa"/>
            <w:vAlign w:val="bottom"/>
          </w:tcPr>
          <w:p>
            <w:pPr>
              <w:spacing w:after="0"/>
              <w:rPr>
                <w:sz w:val="17"/>
                <w:szCs w:val="17"/>
                <w:color w:val="auto"/>
              </w:rPr>
            </w:pPr>
          </w:p>
        </w:tc>
        <w:tc>
          <w:tcPr>
            <w:tcW w:w="1020" w:type="dxa"/>
            <w:vAlign w:val="bottom"/>
            <w:tcBorders>
              <w:left w:val="single" w:sz="8" w:color="BECE33"/>
            </w:tcBorders>
            <w:gridSpan w:val="3"/>
          </w:tcPr>
          <w:p>
            <w:pPr>
              <w:ind w:left="60"/>
              <w:spacing w:after="0"/>
              <w:rPr>
                <w:sz w:val="20"/>
                <w:szCs w:val="20"/>
                <w:color w:val="auto"/>
              </w:rPr>
            </w:pPr>
            <w:r>
              <w:rPr>
                <w:rFonts w:ascii="Arial" w:cs="Arial" w:eastAsia="Arial" w:hAnsi="Arial"/>
                <w:sz w:val="12"/>
                <w:szCs w:val="12"/>
                <w:color w:val="005A64"/>
              </w:rPr>
              <w:t>(0.1)</w:t>
            </w:r>
          </w:p>
        </w:tc>
        <w:tc>
          <w:tcPr>
            <w:tcW w:w="1040" w:type="dxa"/>
            <w:vAlign w:val="bottom"/>
            <w:gridSpan w:val="4"/>
          </w:tcPr>
          <w:p>
            <w:pPr>
              <w:ind w:left="60"/>
              <w:spacing w:after="0"/>
              <w:rPr>
                <w:sz w:val="20"/>
                <w:szCs w:val="20"/>
                <w:color w:val="auto"/>
              </w:rPr>
            </w:pPr>
            <w:r>
              <w:rPr>
                <w:rFonts w:ascii="Arial" w:cs="Arial" w:eastAsia="Arial" w:hAnsi="Arial"/>
                <w:sz w:val="12"/>
                <w:szCs w:val="12"/>
                <w:color w:val="005A64"/>
              </w:rPr>
              <w:t>(4.0)</w:t>
            </w:r>
          </w:p>
        </w:tc>
        <w:tc>
          <w:tcPr>
            <w:tcW w:w="4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1040" w:type="dxa"/>
            <w:vAlign w:val="bottom"/>
            <w:gridSpan w:val="4"/>
          </w:tcPr>
          <w:p>
            <w:pPr>
              <w:ind w:left="80"/>
              <w:spacing w:after="0"/>
              <w:rPr>
                <w:sz w:val="20"/>
                <w:szCs w:val="20"/>
                <w:color w:val="auto"/>
              </w:rPr>
            </w:pPr>
            <w:r>
              <w:rPr>
                <w:rFonts w:ascii="Arial" w:cs="Arial" w:eastAsia="Arial" w:hAnsi="Arial"/>
                <w:sz w:val="12"/>
                <w:szCs w:val="12"/>
                <w:color w:val="005A64"/>
              </w:rPr>
              <w:t>(4.1)</w:t>
            </w:r>
          </w:p>
        </w:tc>
        <w:tc>
          <w:tcPr>
            <w:tcW w:w="6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40" w:type="dxa"/>
            <w:vAlign w:val="bottom"/>
          </w:tcPr>
          <w:p>
            <w:pPr>
              <w:ind w:left="20"/>
              <w:spacing w:after="0"/>
              <w:rPr>
                <w:sz w:val="20"/>
                <w:szCs w:val="20"/>
                <w:color w:val="auto"/>
              </w:rPr>
            </w:pPr>
            <w:r>
              <w:rPr>
                <w:rFonts w:ascii="Arial" w:cs="Arial" w:eastAsia="Arial" w:hAnsi="Arial"/>
                <w:sz w:val="12"/>
                <w:szCs w:val="12"/>
                <w:color w:val="005A64"/>
              </w:rPr>
              <w:t>Currency differences</w:t>
            </w:r>
          </w:p>
        </w:tc>
        <w:tc>
          <w:tcPr>
            <w:tcW w:w="20" w:type="dxa"/>
            <w:vAlign w:val="bottom"/>
          </w:tcPr>
          <w:p>
            <w:pPr>
              <w:spacing w:after="0"/>
              <w:rPr>
                <w:sz w:val="17"/>
                <w:szCs w:val="17"/>
                <w:color w:val="auto"/>
              </w:rPr>
            </w:pPr>
          </w:p>
        </w:tc>
        <w:tc>
          <w:tcPr>
            <w:tcW w:w="1020" w:type="dxa"/>
            <w:vAlign w:val="bottom"/>
            <w:tcBorders>
              <w:left w:val="single" w:sz="8" w:color="BECE33"/>
            </w:tcBorders>
            <w:gridSpan w:val="3"/>
          </w:tcPr>
          <w:p>
            <w:pPr>
              <w:ind w:left="60"/>
              <w:spacing w:after="0"/>
              <w:rPr>
                <w:sz w:val="20"/>
                <w:szCs w:val="20"/>
                <w:color w:val="auto"/>
              </w:rPr>
            </w:pPr>
            <w:r>
              <w:rPr>
                <w:rFonts w:ascii="Arial" w:cs="Arial" w:eastAsia="Arial" w:hAnsi="Arial"/>
                <w:sz w:val="12"/>
                <w:szCs w:val="12"/>
                <w:color w:val="005A64"/>
              </w:rPr>
              <w:t>0.4</w:t>
            </w:r>
          </w:p>
        </w:tc>
        <w:tc>
          <w:tcPr>
            <w:tcW w:w="1040" w:type="dxa"/>
            <w:vAlign w:val="bottom"/>
            <w:gridSpan w:val="4"/>
          </w:tcPr>
          <w:p>
            <w:pPr>
              <w:ind w:left="60"/>
              <w:spacing w:after="0"/>
              <w:rPr>
                <w:sz w:val="20"/>
                <w:szCs w:val="20"/>
                <w:color w:val="auto"/>
              </w:rPr>
            </w:pPr>
            <w:r>
              <w:rPr>
                <w:rFonts w:ascii="Arial" w:cs="Arial" w:eastAsia="Arial" w:hAnsi="Arial"/>
                <w:sz w:val="12"/>
                <w:szCs w:val="12"/>
                <w:color w:val="005A64"/>
              </w:rPr>
              <w:t>1.0</w:t>
            </w:r>
          </w:p>
        </w:tc>
        <w:tc>
          <w:tcPr>
            <w:tcW w:w="1020" w:type="dxa"/>
            <w:vAlign w:val="bottom"/>
            <w:gridSpan w:val="3"/>
          </w:tcPr>
          <w:p>
            <w:pPr>
              <w:ind w:left="60"/>
              <w:spacing w:after="0"/>
              <w:rPr>
                <w:sz w:val="20"/>
                <w:szCs w:val="20"/>
                <w:color w:val="auto"/>
              </w:rPr>
            </w:pPr>
            <w:r>
              <w:rPr>
                <w:rFonts w:ascii="Arial" w:cs="Arial" w:eastAsia="Arial" w:hAnsi="Arial"/>
                <w:sz w:val="12"/>
                <w:szCs w:val="12"/>
                <w:color w:val="005A64"/>
              </w:rPr>
              <w:t>0.3</w:t>
            </w:r>
          </w:p>
        </w:tc>
        <w:tc>
          <w:tcPr>
            <w:tcW w:w="1040" w:type="dxa"/>
            <w:vAlign w:val="bottom"/>
            <w:gridSpan w:val="4"/>
          </w:tcPr>
          <w:p>
            <w:pPr>
              <w:ind w:left="80"/>
              <w:spacing w:after="0"/>
              <w:rPr>
                <w:sz w:val="20"/>
                <w:szCs w:val="20"/>
                <w:color w:val="auto"/>
              </w:rPr>
            </w:pPr>
            <w:r>
              <w:rPr>
                <w:rFonts w:ascii="Arial" w:cs="Arial" w:eastAsia="Arial" w:hAnsi="Arial"/>
                <w:sz w:val="12"/>
                <w:szCs w:val="12"/>
                <w:color w:val="005A64"/>
              </w:rPr>
              <w:t>1.7</w:t>
            </w:r>
          </w:p>
        </w:tc>
        <w:tc>
          <w:tcPr>
            <w:tcW w:w="6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40" w:type="dxa"/>
            <w:vAlign w:val="bottom"/>
          </w:tcPr>
          <w:p>
            <w:pPr>
              <w:ind w:left="20"/>
              <w:spacing w:after="0"/>
              <w:rPr>
                <w:sz w:val="20"/>
                <w:szCs w:val="20"/>
                <w:color w:val="auto"/>
              </w:rPr>
            </w:pPr>
            <w:r>
              <w:rPr>
                <w:rFonts w:ascii="Arial" w:cs="Arial" w:eastAsia="Arial" w:hAnsi="Arial"/>
                <w:sz w:val="12"/>
                <w:szCs w:val="12"/>
                <w:b w:val="1"/>
                <w:bCs w:val="1"/>
                <w:color w:val="005A64"/>
              </w:rPr>
              <w:t>As of December 31, 2024</w:t>
            </w:r>
          </w:p>
        </w:tc>
        <w:tc>
          <w:tcPr>
            <w:tcW w:w="20" w:type="dxa"/>
            <w:vAlign w:val="bottom"/>
          </w:tcPr>
          <w:p>
            <w:pPr>
              <w:spacing w:after="0"/>
              <w:rPr>
                <w:sz w:val="18"/>
                <w:szCs w:val="18"/>
                <w:color w:val="auto"/>
              </w:rPr>
            </w:pPr>
          </w:p>
        </w:tc>
        <w:tc>
          <w:tcPr>
            <w:tcW w:w="1020" w:type="dxa"/>
            <w:vAlign w:val="bottom"/>
            <w:tcBorders>
              <w:left w:val="single" w:sz="8" w:color="BECE33"/>
            </w:tcBorders>
            <w:gridSpan w:val="3"/>
          </w:tcPr>
          <w:p>
            <w:pPr>
              <w:ind w:left="60"/>
              <w:spacing w:after="0"/>
              <w:rPr>
                <w:sz w:val="20"/>
                <w:szCs w:val="20"/>
                <w:color w:val="auto"/>
              </w:rPr>
            </w:pPr>
            <w:r>
              <w:rPr>
                <w:rFonts w:ascii="Arial" w:cs="Arial" w:eastAsia="Arial" w:hAnsi="Arial"/>
                <w:sz w:val="12"/>
                <w:szCs w:val="12"/>
                <w:b w:val="1"/>
                <w:bCs w:val="1"/>
                <w:color w:val="005A64"/>
              </w:rPr>
              <w:t>74.8</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005A64"/>
              </w:rPr>
              <w:t>243.0</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005A64"/>
              </w:rPr>
              <w:t>4.6</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005A64"/>
              </w:rPr>
              <w:t>322.4</w:t>
            </w:r>
          </w:p>
        </w:tc>
        <w:tc>
          <w:tcPr>
            <w:tcW w:w="60" w:type="dxa"/>
            <w:vAlign w:val="bottom"/>
            <w:tcBorders>
              <w:right w:val="single" w:sz="8" w:color="BECE33"/>
            </w:tcBorders>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540" w:type="dxa"/>
            <w:vAlign w:val="bottom"/>
            <w:tcBorders>
              <w:bottom w:val="single" w:sz="8" w:color="005A64"/>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40" w:type="dxa"/>
            <w:vAlign w:val="bottom"/>
            <w:tcBorders>
              <w:left w:val="single" w:sz="8" w:color="BECE33"/>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96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94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94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94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540" w:type="dxa"/>
            <w:vAlign w:val="bottom"/>
          </w:tcPr>
          <w:p>
            <w:pPr>
              <w:ind w:left="20"/>
              <w:spacing w:after="0"/>
              <w:rPr>
                <w:sz w:val="20"/>
                <w:szCs w:val="20"/>
                <w:color w:val="auto"/>
              </w:rPr>
            </w:pPr>
            <w:r>
              <w:rPr>
                <w:rFonts w:ascii="Arial" w:cs="Arial" w:eastAsia="Arial" w:hAnsi="Arial"/>
                <w:sz w:val="12"/>
                <w:szCs w:val="12"/>
                <w:i w:val="1"/>
                <w:iCs w:val="1"/>
                <w:color w:val="005A64"/>
              </w:rPr>
              <w:t>(in millions €)</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ind w:left="40"/>
              <w:spacing w:after="0"/>
              <w:rPr>
                <w:sz w:val="20"/>
                <w:szCs w:val="20"/>
                <w:color w:val="auto"/>
              </w:rPr>
            </w:pPr>
            <w:r>
              <w:rPr>
                <w:rFonts w:ascii="Arial" w:cs="Arial" w:eastAsia="Arial" w:hAnsi="Arial"/>
                <w:sz w:val="12"/>
                <w:szCs w:val="12"/>
                <w:b w:val="1"/>
                <w:bCs w:val="1"/>
                <w:color w:val="005A64"/>
              </w:rPr>
              <w:t>Land and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2"/>
                <w:szCs w:val="12"/>
                <w:b w:val="1"/>
                <w:bCs w:val="1"/>
                <w:color w:val="005A64"/>
              </w:rPr>
              <w:t>Equipment,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005A64"/>
              </w:rPr>
              <w:t>Construction</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005A64"/>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ind w:left="40"/>
              <w:spacing w:after="0" w:line="121" w:lineRule="exact"/>
              <w:rPr>
                <w:sz w:val="20"/>
                <w:szCs w:val="20"/>
                <w:color w:val="auto"/>
              </w:rPr>
            </w:pPr>
            <w:r>
              <w:rPr>
                <w:rFonts w:ascii="Arial" w:cs="Arial" w:eastAsia="Arial" w:hAnsi="Arial"/>
                <w:sz w:val="12"/>
                <w:szCs w:val="12"/>
                <w:b w:val="1"/>
                <w:bCs w:val="1"/>
                <w:color w:val="005A64"/>
              </w:rPr>
              <w:t>buildings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line="121" w:lineRule="exact"/>
              <w:rPr>
                <w:sz w:val="20"/>
                <w:szCs w:val="20"/>
                <w:color w:val="auto"/>
              </w:rPr>
            </w:pPr>
            <w:r>
              <w:rPr>
                <w:rFonts w:ascii="Arial" w:cs="Arial" w:eastAsia="Arial" w:hAnsi="Arial"/>
                <w:sz w:val="12"/>
                <w:szCs w:val="12"/>
                <w:b w:val="1"/>
                <w:bCs w:val="1"/>
                <w:color w:val="005A64"/>
              </w:rPr>
              <w:t>tools and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ind w:left="20"/>
              <w:spacing w:after="0" w:line="121" w:lineRule="exact"/>
              <w:rPr>
                <w:sz w:val="20"/>
                <w:szCs w:val="20"/>
                <w:color w:val="auto"/>
              </w:rPr>
            </w:pPr>
            <w:r>
              <w:rPr>
                <w:rFonts w:ascii="Arial" w:cs="Arial" w:eastAsia="Arial" w:hAnsi="Arial"/>
                <w:sz w:val="12"/>
                <w:szCs w:val="12"/>
                <w:b w:val="1"/>
                <w:bCs w:val="1"/>
                <w:color w:val="005A64"/>
              </w:rPr>
              <w:t>in progress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line="121" w:lineRule="exact"/>
              <w:rPr>
                <w:sz w:val="20"/>
                <w:szCs w:val="20"/>
                <w:color w:val="auto"/>
              </w:rPr>
            </w:pPr>
            <w:r>
              <w:rPr>
                <w:rFonts w:ascii="Arial" w:cs="Arial" w:eastAsia="Arial" w:hAnsi="Arial"/>
                <w:sz w:val="12"/>
                <w:szCs w:val="12"/>
                <w:b w:val="1"/>
                <w:bCs w:val="1"/>
                <w:color w:val="005A64"/>
              </w:rPr>
              <w:t>installations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ind w:left="20"/>
              <w:spacing w:after="0" w:line="121" w:lineRule="exact"/>
              <w:rPr>
                <w:sz w:val="20"/>
                <w:szCs w:val="20"/>
                <w:color w:val="auto"/>
              </w:rPr>
            </w:pPr>
            <w:r>
              <w:rPr>
                <w:rFonts w:ascii="Arial" w:cs="Arial" w:eastAsia="Arial" w:hAnsi="Arial"/>
                <w:sz w:val="12"/>
                <w:szCs w:val="12"/>
                <w:b w:val="1"/>
                <w:bCs w:val="1"/>
                <w:color w:val="005A64"/>
              </w:rPr>
              <w:t>and advance</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005A64"/>
              </w:rPr>
              <w:t>payments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540" w:type="dxa"/>
            <w:vAlign w:val="bottom"/>
            <w:tcBorders>
              <w:bottom w:val="single" w:sz="8" w:color="005A64"/>
            </w:tcBorders>
          </w:tcPr>
          <w:p>
            <w:pPr>
              <w:spacing w:after="0"/>
              <w:rPr>
                <w:sz w:val="7"/>
                <w:szCs w:val="7"/>
                <w:color w:val="auto"/>
              </w:rPr>
            </w:pPr>
          </w:p>
        </w:tc>
        <w:tc>
          <w:tcPr>
            <w:tcW w:w="20" w:type="dxa"/>
            <w:vAlign w:val="bottom"/>
            <w:tcBorders>
              <w:bottom w:val="single" w:sz="8" w:color="005A64"/>
            </w:tcBorders>
          </w:tcPr>
          <w:p>
            <w:pPr>
              <w:spacing w:after="0"/>
              <w:rPr>
                <w:sz w:val="7"/>
                <w:szCs w:val="7"/>
                <w:color w:val="auto"/>
              </w:rPr>
            </w:pPr>
          </w:p>
        </w:tc>
        <w:tc>
          <w:tcPr>
            <w:tcW w:w="40" w:type="dxa"/>
            <w:vAlign w:val="bottom"/>
            <w:tcBorders>
              <w:bottom w:val="single" w:sz="8" w:color="005A64"/>
            </w:tcBorders>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005A64"/>
            </w:tcBorders>
          </w:tcPr>
          <w:p>
            <w:pPr>
              <w:spacing w:after="0"/>
              <w:rPr>
                <w:sz w:val="7"/>
                <w:szCs w:val="7"/>
                <w:color w:val="auto"/>
              </w:rPr>
            </w:pPr>
          </w:p>
        </w:tc>
        <w:tc>
          <w:tcPr>
            <w:tcW w:w="40" w:type="dxa"/>
            <w:vAlign w:val="bottom"/>
            <w:tcBorders>
              <w:bottom w:val="single" w:sz="8" w:color="005A64"/>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tcBorders>
              <w:bottom w:val="single" w:sz="8" w:color="005A64"/>
            </w:tcBorders>
          </w:tcPr>
          <w:p>
            <w:pPr>
              <w:spacing w:after="0"/>
              <w:rPr>
                <w:sz w:val="7"/>
                <w:szCs w:val="7"/>
                <w:color w:val="auto"/>
              </w:rPr>
            </w:pPr>
          </w:p>
        </w:tc>
        <w:tc>
          <w:tcPr>
            <w:tcW w:w="40" w:type="dxa"/>
            <w:vAlign w:val="bottom"/>
            <w:tcBorders>
              <w:bottom w:val="single" w:sz="8" w:color="005A64"/>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tcBorders>
              <w:bottom w:val="single" w:sz="8" w:color="005A64"/>
            </w:tcBorders>
          </w:tcPr>
          <w:p>
            <w:pPr>
              <w:spacing w:after="0"/>
              <w:rPr>
                <w:sz w:val="7"/>
                <w:szCs w:val="7"/>
                <w:color w:val="auto"/>
              </w:rPr>
            </w:pPr>
          </w:p>
        </w:tc>
        <w:tc>
          <w:tcPr>
            <w:tcW w:w="40" w:type="dxa"/>
            <w:vAlign w:val="bottom"/>
            <w:tcBorders>
              <w:bottom w:val="single" w:sz="8" w:color="005A64"/>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tcBorders>
              <w:bottom w:val="single" w:sz="8" w:color="005A64"/>
            </w:tcBorders>
          </w:tcPr>
          <w:p>
            <w:pPr>
              <w:spacing w:after="0"/>
              <w:rPr>
                <w:sz w:val="7"/>
                <w:szCs w:val="7"/>
                <w:color w:val="auto"/>
              </w:rPr>
            </w:pPr>
          </w:p>
        </w:tc>
        <w:tc>
          <w:tcPr>
            <w:tcW w:w="60" w:type="dxa"/>
            <w:vAlign w:val="bottom"/>
            <w:tcBorders>
              <w:bottom w:val="single" w:sz="8" w:color="005A64"/>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540" w:type="dxa"/>
            <w:vAlign w:val="bottom"/>
          </w:tcPr>
          <w:p>
            <w:pPr>
              <w:ind w:left="20"/>
              <w:spacing w:after="0"/>
              <w:rPr>
                <w:sz w:val="20"/>
                <w:szCs w:val="20"/>
                <w:color w:val="auto"/>
              </w:rPr>
            </w:pPr>
            <w:r>
              <w:rPr>
                <w:rFonts w:ascii="Arial" w:cs="Arial" w:eastAsia="Arial" w:hAnsi="Arial"/>
                <w:sz w:val="12"/>
                <w:szCs w:val="12"/>
                <w:b w:val="1"/>
                <w:bCs w:val="1"/>
                <w:color w:val="3C9673"/>
              </w:rPr>
              <w:t>Carrying amount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540" w:type="dxa"/>
            <w:vAlign w:val="bottom"/>
          </w:tcPr>
          <w:p>
            <w:pPr>
              <w:ind w:left="20"/>
              <w:spacing w:after="0"/>
              <w:rPr>
                <w:sz w:val="20"/>
                <w:szCs w:val="20"/>
                <w:color w:val="auto"/>
              </w:rPr>
            </w:pPr>
            <w:r>
              <w:rPr>
                <w:rFonts w:ascii="Arial" w:cs="Arial" w:eastAsia="Arial" w:hAnsi="Arial"/>
                <w:sz w:val="12"/>
                <w:szCs w:val="12"/>
                <w:b w:val="1"/>
                <w:bCs w:val="1"/>
                <w:color w:val="005A64"/>
              </w:rPr>
              <w:t>As of December 31, 2023</w:t>
            </w:r>
          </w:p>
        </w:tc>
        <w:tc>
          <w:tcPr>
            <w:tcW w:w="1040" w:type="dxa"/>
            <w:vAlign w:val="bottom"/>
            <w:gridSpan w:val="4"/>
          </w:tcPr>
          <w:p>
            <w:pPr>
              <w:ind w:left="120"/>
              <w:spacing w:after="0"/>
              <w:rPr>
                <w:sz w:val="20"/>
                <w:szCs w:val="20"/>
                <w:color w:val="auto"/>
              </w:rPr>
            </w:pPr>
            <w:r>
              <w:rPr>
                <w:rFonts w:ascii="Arial" w:cs="Arial" w:eastAsia="Arial" w:hAnsi="Arial"/>
                <w:sz w:val="12"/>
                <w:szCs w:val="12"/>
                <w:b w:val="1"/>
                <w:bCs w:val="1"/>
                <w:color w:val="005A64"/>
              </w:rPr>
              <w:t>199.2</w:t>
            </w:r>
          </w:p>
        </w:tc>
        <w:tc>
          <w:tcPr>
            <w:tcW w:w="1040" w:type="dxa"/>
            <w:vAlign w:val="bottom"/>
            <w:gridSpan w:val="4"/>
          </w:tcPr>
          <w:p>
            <w:pPr>
              <w:ind w:left="100"/>
              <w:spacing w:after="0"/>
              <w:rPr>
                <w:sz w:val="20"/>
                <w:szCs w:val="20"/>
                <w:color w:val="auto"/>
              </w:rPr>
            </w:pPr>
            <w:r>
              <w:rPr>
                <w:rFonts w:ascii="Arial" w:cs="Arial" w:eastAsia="Arial" w:hAnsi="Arial"/>
                <w:sz w:val="12"/>
                <w:szCs w:val="12"/>
                <w:b w:val="1"/>
                <w:bCs w:val="1"/>
                <w:color w:val="005A64"/>
              </w:rPr>
              <w:t>168.5</w:t>
            </w:r>
          </w:p>
        </w:tc>
        <w:tc>
          <w:tcPr>
            <w:tcW w:w="1020" w:type="dxa"/>
            <w:vAlign w:val="bottom"/>
            <w:gridSpan w:val="3"/>
          </w:tcPr>
          <w:p>
            <w:pPr>
              <w:ind w:left="100"/>
              <w:spacing w:after="0"/>
              <w:rPr>
                <w:sz w:val="20"/>
                <w:szCs w:val="20"/>
                <w:color w:val="auto"/>
              </w:rPr>
            </w:pPr>
            <w:r>
              <w:rPr>
                <w:rFonts w:ascii="Arial" w:cs="Arial" w:eastAsia="Arial" w:hAnsi="Arial"/>
                <w:sz w:val="12"/>
                <w:szCs w:val="12"/>
                <w:b w:val="1"/>
                <w:bCs w:val="1"/>
                <w:color w:val="005A64"/>
              </w:rPr>
              <w:t>389.5</w:t>
            </w:r>
          </w:p>
        </w:tc>
        <w:tc>
          <w:tcPr>
            <w:tcW w:w="1040" w:type="dxa"/>
            <w:vAlign w:val="bottom"/>
            <w:gridSpan w:val="4"/>
          </w:tcPr>
          <w:p>
            <w:pPr>
              <w:ind w:left="120"/>
              <w:spacing w:after="0"/>
              <w:rPr>
                <w:sz w:val="20"/>
                <w:szCs w:val="20"/>
                <w:color w:val="auto"/>
              </w:rPr>
            </w:pPr>
            <w:r>
              <w:rPr>
                <w:rFonts w:ascii="Arial" w:cs="Arial" w:eastAsia="Arial" w:hAnsi="Arial"/>
                <w:sz w:val="12"/>
                <w:szCs w:val="12"/>
                <w:b w:val="1"/>
                <w:bCs w:val="1"/>
                <w:color w:val="005A64"/>
              </w:rPr>
              <w:t>757.2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540" w:type="dxa"/>
            <w:vAlign w:val="bottom"/>
            <w:tcBorders>
              <w:bottom w:val="single" w:sz="8" w:color="005A64"/>
            </w:tcBorders>
          </w:tcPr>
          <w:p>
            <w:pPr>
              <w:spacing w:after="0"/>
              <w:rPr>
                <w:sz w:val="5"/>
                <w:szCs w:val="5"/>
                <w:color w:val="auto"/>
              </w:rPr>
            </w:pPr>
          </w:p>
        </w:tc>
        <w:tc>
          <w:tcPr>
            <w:tcW w:w="60" w:type="dxa"/>
            <w:vAlign w:val="bottom"/>
            <w:tcBorders>
              <w:bottom w:val="single" w:sz="8" w:color="005A64"/>
            </w:tcBorders>
            <w:gridSpan w:val="2"/>
          </w:tcPr>
          <w:p>
            <w:pPr>
              <w:spacing w:after="0"/>
              <w:rPr>
                <w:sz w:val="5"/>
                <w:szCs w:val="5"/>
                <w:color w:val="auto"/>
              </w:rPr>
            </w:pPr>
          </w:p>
        </w:tc>
        <w:tc>
          <w:tcPr>
            <w:tcW w:w="20" w:type="dxa"/>
            <w:vAlign w:val="bottom"/>
            <w:vMerge w:val="restart"/>
          </w:tcPr>
          <w:p>
            <w:pPr>
              <w:spacing w:after="0"/>
              <w:rPr>
                <w:sz w:val="5"/>
                <w:szCs w:val="5"/>
                <w:color w:val="auto"/>
              </w:rPr>
            </w:pPr>
          </w:p>
        </w:tc>
        <w:tc>
          <w:tcPr>
            <w:tcW w:w="960" w:type="dxa"/>
            <w:vAlign w:val="bottom"/>
            <w:tcBorders>
              <w:bottom w:val="single" w:sz="8" w:color="BECE33"/>
            </w:tcBorders>
          </w:tcPr>
          <w:p>
            <w:pPr>
              <w:spacing w:after="0"/>
              <w:rPr>
                <w:sz w:val="5"/>
                <w:szCs w:val="5"/>
                <w:color w:val="auto"/>
              </w:rPr>
            </w:pPr>
          </w:p>
        </w:tc>
        <w:tc>
          <w:tcPr>
            <w:tcW w:w="1040" w:type="dxa"/>
            <w:vAlign w:val="bottom"/>
            <w:tcBorders>
              <w:bottom w:val="single" w:sz="8" w:color="BECE33"/>
            </w:tcBorders>
            <w:gridSpan w:val="4"/>
          </w:tcPr>
          <w:p>
            <w:pPr>
              <w:spacing w:after="0"/>
              <w:rPr>
                <w:sz w:val="5"/>
                <w:szCs w:val="5"/>
                <w:color w:val="auto"/>
              </w:rPr>
            </w:pPr>
          </w:p>
        </w:tc>
        <w:tc>
          <w:tcPr>
            <w:tcW w:w="1020" w:type="dxa"/>
            <w:vAlign w:val="bottom"/>
            <w:tcBorders>
              <w:bottom w:val="single" w:sz="8" w:color="BECE33"/>
            </w:tcBorders>
            <w:gridSpan w:val="3"/>
          </w:tcPr>
          <w:p>
            <w:pPr>
              <w:spacing w:after="0"/>
              <w:rPr>
                <w:sz w:val="5"/>
                <w:szCs w:val="5"/>
                <w:color w:val="auto"/>
              </w:rPr>
            </w:pPr>
          </w:p>
        </w:tc>
        <w:tc>
          <w:tcPr>
            <w:tcW w:w="1040" w:type="dxa"/>
            <w:vAlign w:val="bottom"/>
            <w:tcBorders>
              <w:bottom w:val="single" w:sz="8" w:color="BECE33"/>
            </w:tcBorders>
            <w:gridSpan w:val="4"/>
          </w:tcPr>
          <w:p>
            <w:pPr>
              <w:spacing w:after="0"/>
              <w:rPr>
                <w:sz w:val="5"/>
                <w:szCs w:val="5"/>
                <w:color w:val="auto"/>
              </w:rPr>
            </w:pPr>
          </w:p>
        </w:tc>
        <w:tc>
          <w:tcPr>
            <w:tcW w:w="60" w:type="dxa"/>
            <w:vAlign w:val="bottom"/>
            <w:tcBorders>
              <w:bottom w:val="single" w:sz="8" w:color="BECE33"/>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540" w:type="dxa"/>
            <w:vAlign w:val="bottom"/>
          </w:tcPr>
          <w:p>
            <w:pPr>
              <w:ind w:left="20"/>
              <w:spacing w:after="0" w:line="136" w:lineRule="exact"/>
              <w:rPr>
                <w:sz w:val="20"/>
                <w:szCs w:val="20"/>
                <w:color w:val="auto"/>
              </w:rPr>
            </w:pPr>
            <w:r>
              <w:rPr>
                <w:rFonts w:ascii="Arial" w:cs="Arial" w:eastAsia="Arial" w:hAnsi="Arial"/>
                <w:sz w:val="12"/>
                <w:szCs w:val="12"/>
                <w:b w:val="1"/>
                <w:bCs w:val="1"/>
                <w:color w:val="005A64"/>
              </w:rPr>
              <w:t>As of December 31, 2024</w:t>
            </w:r>
          </w:p>
        </w:tc>
        <w:tc>
          <w:tcPr>
            <w:tcW w:w="60" w:type="dxa"/>
            <w:vAlign w:val="bottom"/>
            <w:gridSpan w:val="2"/>
          </w:tcPr>
          <w:p>
            <w:pPr>
              <w:spacing w:after="0"/>
              <w:rPr>
                <w:sz w:val="11"/>
                <w:szCs w:val="11"/>
                <w:color w:val="auto"/>
              </w:rPr>
            </w:pPr>
          </w:p>
        </w:tc>
        <w:tc>
          <w:tcPr>
            <w:tcW w:w="20" w:type="dxa"/>
            <w:vAlign w:val="bottom"/>
            <w:vMerge w:val="continue"/>
          </w:tcPr>
          <w:p>
            <w:pPr>
              <w:spacing w:after="0"/>
              <w:rPr>
                <w:sz w:val="11"/>
                <w:szCs w:val="11"/>
                <w:color w:val="auto"/>
              </w:rPr>
            </w:pPr>
          </w:p>
        </w:tc>
        <w:tc>
          <w:tcPr>
            <w:tcW w:w="960" w:type="dxa"/>
            <w:vAlign w:val="bottom"/>
            <w:tcBorders>
              <w:left w:val="single" w:sz="8" w:color="BECE33"/>
            </w:tcBorders>
          </w:tcPr>
          <w:p>
            <w:pPr>
              <w:ind w:left="40"/>
              <w:spacing w:after="0" w:line="136" w:lineRule="exact"/>
              <w:rPr>
                <w:sz w:val="20"/>
                <w:szCs w:val="20"/>
                <w:color w:val="auto"/>
              </w:rPr>
            </w:pPr>
            <w:r>
              <w:rPr>
                <w:rFonts w:ascii="Arial" w:cs="Arial" w:eastAsia="Arial" w:hAnsi="Arial"/>
                <w:sz w:val="12"/>
                <w:szCs w:val="12"/>
                <w:b w:val="1"/>
                <w:bCs w:val="1"/>
                <w:color w:val="005A64"/>
              </w:rPr>
              <w:t>294.6</w:t>
            </w:r>
          </w:p>
        </w:tc>
        <w:tc>
          <w:tcPr>
            <w:tcW w:w="1040" w:type="dxa"/>
            <w:vAlign w:val="bottom"/>
            <w:gridSpan w:val="4"/>
          </w:tcPr>
          <w:p>
            <w:pPr>
              <w:ind w:left="100"/>
              <w:spacing w:after="0" w:line="136" w:lineRule="exact"/>
              <w:rPr>
                <w:sz w:val="20"/>
                <w:szCs w:val="20"/>
                <w:color w:val="auto"/>
              </w:rPr>
            </w:pPr>
            <w:r>
              <w:rPr>
                <w:rFonts w:ascii="Arial" w:cs="Arial" w:eastAsia="Arial" w:hAnsi="Arial"/>
                <w:sz w:val="12"/>
                <w:szCs w:val="12"/>
                <w:b w:val="1"/>
                <w:bCs w:val="1"/>
                <w:color w:val="005A64"/>
              </w:rPr>
              <w:t>184.7</w:t>
            </w:r>
          </w:p>
        </w:tc>
        <w:tc>
          <w:tcPr>
            <w:tcW w:w="102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005A64"/>
              </w:rPr>
              <w:t>456.0</w:t>
            </w:r>
          </w:p>
        </w:tc>
        <w:tc>
          <w:tcPr>
            <w:tcW w:w="1040" w:type="dxa"/>
            <w:vAlign w:val="bottom"/>
            <w:gridSpan w:val="4"/>
          </w:tcPr>
          <w:p>
            <w:pPr>
              <w:ind w:left="120"/>
              <w:spacing w:after="0" w:line="136" w:lineRule="exact"/>
              <w:rPr>
                <w:sz w:val="20"/>
                <w:szCs w:val="20"/>
                <w:color w:val="auto"/>
              </w:rPr>
            </w:pPr>
            <w:r>
              <w:rPr>
                <w:rFonts w:ascii="Arial" w:cs="Arial" w:eastAsia="Arial" w:hAnsi="Arial"/>
                <w:sz w:val="12"/>
                <w:szCs w:val="12"/>
                <w:b w:val="1"/>
                <w:bCs w:val="1"/>
                <w:color w:val="005A64"/>
              </w:rPr>
              <w:t>935.3</w:t>
            </w:r>
          </w:p>
        </w:tc>
        <w:tc>
          <w:tcPr>
            <w:tcW w:w="60" w:type="dxa"/>
            <w:vAlign w:val="bottom"/>
            <w:tcBorders>
              <w:right w:val="single" w:sz="8" w:color="BECE33"/>
            </w:tcBorders>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540" w:type="dxa"/>
            <w:vAlign w:val="bottom"/>
            <w:tcBorders>
              <w:bottom w:val="single" w:sz="8" w:color="005A64"/>
            </w:tcBorders>
          </w:tcPr>
          <w:p>
            <w:pPr>
              <w:spacing w:after="0"/>
              <w:rPr>
                <w:sz w:val="2"/>
                <w:szCs w:val="2"/>
                <w:color w:val="auto"/>
              </w:rPr>
            </w:pPr>
          </w:p>
        </w:tc>
        <w:tc>
          <w:tcPr>
            <w:tcW w:w="20" w:type="dxa"/>
            <w:vAlign w:val="bottom"/>
            <w:tcBorders>
              <w:bottom w:val="single" w:sz="8" w:color="005A64"/>
            </w:tcBorders>
          </w:tcPr>
          <w:p>
            <w:pPr>
              <w:spacing w:after="0"/>
              <w:rPr>
                <w:sz w:val="2"/>
                <w:szCs w:val="2"/>
                <w:color w:val="auto"/>
              </w:rPr>
            </w:pPr>
          </w:p>
        </w:tc>
        <w:tc>
          <w:tcPr>
            <w:tcW w:w="40" w:type="dxa"/>
            <w:vAlign w:val="bottom"/>
            <w:tcBorders>
              <w:bottom w:val="single" w:sz="8" w:color="005A64"/>
            </w:tcBorders>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Borders>
              <w:left w:val="single" w:sz="8" w:color="BECE33"/>
              <w:bottom w:val="single" w:sz="8" w:color="BECE33"/>
            </w:tcBorders>
          </w:tcPr>
          <w:p>
            <w:pPr>
              <w:spacing w:after="0"/>
              <w:rPr>
                <w:sz w:val="2"/>
                <w:szCs w:val="2"/>
                <w:color w:val="auto"/>
              </w:rPr>
            </w:pPr>
          </w:p>
        </w:tc>
        <w:tc>
          <w:tcPr>
            <w:tcW w:w="40" w:type="dxa"/>
            <w:vAlign w:val="bottom"/>
            <w:tcBorders>
              <w:bottom w:val="single" w:sz="8" w:color="BECE33"/>
            </w:tcBorders>
          </w:tcPr>
          <w:p>
            <w:pPr>
              <w:spacing w:after="0"/>
              <w:rPr>
                <w:sz w:val="2"/>
                <w:szCs w:val="2"/>
                <w:color w:val="auto"/>
              </w:rPr>
            </w:pPr>
          </w:p>
        </w:tc>
        <w:tc>
          <w:tcPr>
            <w:tcW w:w="20" w:type="dxa"/>
            <w:vAlign w:val="bottom"/>
            <w:tcBorders>
              <w:bottom w:val="single" w:sz="8" w:color="BECE33"/>
            </w:tcBorders>
          </w:tcPr>
          <w:p>
            <w:pPr>
              <w:spacing w:after="0"/>
              <w:rPr>
                <w:sz w:val="2"/>
                <w:szCs w:val="2"/>
                <w:color w:val="auto"/>
              </w:rPr>
            </w:pPr>
          </w:p>
        </w:tc>
        <w:tc>
          <w:tcPr>
            <w:tcW w:w="40" w:type="dxa"/>
            <w:vAlign w:val="bottom"/>
            <w:tcBorders>
              <w:bottom w:val="single" w:sz="8" w:color="BECE33"/>
            </w:tcBorders>
          </w:tcPr>
          <w:p>
            <w:pPr>
              <w:spacing w:after="0"/>
              <w:rPr>
                <w:sz w:val="2"/>
                <w:szCs w:val="2"/>
                <w:color w:val="auto"/>
              </w:rPr>
            </w:pPr>
          </w:p>
        </w:tc>
        <w:tc>
          <w:tcPr>
            <w:tcW w:w="940" w:type="dxa"/>
            <w:vAlign w:val="bottom"/>
            <w:tcBorders>
              <w:bottom w:val="single" w:sz="8" w:color="BECE33"/>
            </w:tcBorders>
          </w:tcPr>
          <w:p>
            <w:pPr>
              <w:spacing w:after="0"/>
              <w:rPr>
                <w:sz w:val="2"/>
                <w:szCs w:val="2"/>
                <w:color w:val="auto"/>
              </w:rPr>
            </w:pPr>
          </w:p>
        </w:tc>
        <w:tc>
          <w:tcPr>
            <w:tcW w:w="40" w:type="dxa"/>
            <w:vAlign w:val="bottom"/>
            <w:tcBorders>
              <w:bottom w:val="single" w:sz="8" w:color="BECE33"/>
            </w:tcBorders>
          </w:tcPr>
          <w:p>
            <w:pPr>
              <w:spacing w:after="0"/>
              <w:rPr>
                <w:sz w:val="2"/>
                <w:szCs w:val="2"/>
                <w:color w:val="auto"/>
              </w:rPr>
            </w:pPr>
          </w:p>
        </w:tc>
        <w:tc>
          <w:tcPr>
            <w:tcW w:w="40" w:type="dxa"/>
            <w:vAlign w:val="bottom"/>
            <w:tcBorders>
              <w:bottom w:val="single" w:sz="8" w:color="BECE33"/>
            </w:tcBorders>
          </w:tcPr>
          <w:p>
            <w:pPr>
              <w:spacing w:after="0"/>
              <w:rPr>
                <w:sz w:val="2"/>
                <w:szCs w:val="2"/>
                <w:color w:val="auto"/>
              </w:rPr>
            </w:pPr>
          </w:p>
        </w:tc>
        <w:tc>
          <w:tcPr>
            <w:tcW w:w="940" w:type="dxa"/>
            <w:vAlign w:val="bottom"/>
            <w:tcBorders>
              <w:bottom w:val="single" w:sz="8" w:color="BECE33"/>
            </w:tcBorders>
          </w:tcPr>
          <w:p>
            <w:pPr>
              <w:spacing w:after="0"/>
              <w:rPr>
                <w:sz w:val="2"/>
                <w:szCs w:val="2"/>
                <w:color w:val="auto"/>
              </w:rPr>
            </w:pPr>
          </w:p>
        </w:tc>
        <w:tc>
          <w:tcPr>
            <w:tcW w:w="40" w:type="dxa"/>
            <w:vAlign w:val="bottom"/>
            <w:tcBorders>
              <w:bottom w:val="single" w:sz="8" w:color="BECE33"/>
            </w:tcBorders>
          </w:tcPr>
          <w:p>
            <w:pPr>
              <w:spacing w:after="0"/>
              <w:rPr>
                <w:sz w:val="2"/>
                <w:szCs w:val="2"/>
                <w:color w:val="auto"/>
              </w:rPr>
            </w:pPr>
          </w:p>
        </w:tc>
        <w:tc>
          <w:tcPr>
            <w:tcW w:w="20" w:type="dxa"/>
            <w:vAlign w:val="bottom"/>
            <w:tcBorders>
              <w:bottom w:val="single" w:sz="8" w:color="BECE33"/>
            </w:tcBorders>
          </w:tcPr>
          <w:p>
            <w:pPr>
              <w:spacing w:after="0"/>
              <w:rPr>
                <w:sz w:val="2"/>
                <w:szCs w:val="2"/>
                <w:color w:val="auto"/>
              </w:rPr>
            </w:pPr>
          </w:p>
        </w:tc>
        <w:tc>
          <w:tcPr>
            <w:tcW w:w="40" w:type="dxa"/>
            <w:vAlign w:val="bottom"/>
            <w:tcBorders>
              <w:bottom w:val="single" w:sz="8" w:color="BECE33"/>
            </w:tcBorders>
          </w:tcPr>
          <w:p>
            <w:pPr>
              <w:spacing w:after="0"/>
              <w:rPr>
                <w:sz w:val="2"/>
                <w:szCs w:val="2"/>
                <w:color w:val="auto"/>
              </w:rPr>
            </w:pPr>
          </w:p>
        </w:tc>
        <w:tc>
          <w:tcPr>
            <w:tcW w:w="940" w:type="dxa"/>
            <w:vAlign w:val="bottom"/>
            <w:tcBorders>
              <w:bottom w:val="single" w:sz="8" w:color="BECE33"/>
            </w:tcBorders>
          </w:tcPr>
          <w:p>
            <w:pPr>
              <w:spacing w:after="0"/>
              <w:rPr>
                <w:sz w:val="2"/>
                <w:szCs w:val="2"/>
                <w:color w:val="auto"/>
              </w:rPr>
            </w:pPr>
          </w:p>
        </w:tc>
        <w:tc>
          <w:tcPr>
            <w:tcW w:w="60" w:type="dxa"/>
            <w:vAlign w:val="bottom"/>
            <w:tcBorders>
              <w:bottom w:val="single" w:sz="8" w:color="BECE33"/>
              <w:right w:val="single" w:sz="8" w:color="BECE3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1157605</wp:posOffset>
            </wp:positionH>
            <wp:positionV relativeFrom="page">
              <wp:posOffset>361950</wp:posOffset>
            </wp:positionV>
            <wp:extent cx="4242435" cy="127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8">
                      <a:extLst>
                        <a:ext uri="{28A0092B-C50C-407E-A947-70E740481C1C}"/>
                      </a:extLst>
                    </a:blip>
                    <a:srcRect/>
                    <a:stretch>
                      <a:fillRect/>
                    </a:stretch>
                  </pic:blipFill>
                  <pic:spPr bwMode="auto">
                    <a:xfrm>
                      <a:off x="0" y="0"/>
                      <a:ext cx="4242435"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F-48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005A64"/>
        </w:rPr>
        <w:t>Non-Current Assets by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1" w:lineRule="auto"/>
        <w:rPr>
          <w:sz w:val="20"/>
          <w:szCs w:val="20"/>
          <w:color w:val="auto"/>
        </w:rPr>
      </w:pPr>
      <w:r>
        <w:rPr>
          <w:rFonts w:ascii="Arial" w:cs="Arial" w:eastAsia="Arial" w:hAnsi="Arial"/>
          <w:sz w:val="13"/>
          <w:szCs w:val="13"/>
          <w:color w:val="auto"/>
        </w:rPr>
        <w:t>As of December 31, 2024, non-current assets comprised €177.6 million in other intangible assets, goodwill, property, plant and equipment, right-of-use assets and other assets of our subsidiaries incorporated in the United States (as of December 31, 2023: €158.2 million) as well as €529.6 million in the United Kingdom (as of December 31, 2023: €511.7 million), respectively. The remaining non-current assets of €1,683.3 million (as of December 31, 2023: €1,469.0 million) mainly relate to entities incorporated in Germany.</w:t>
      </w:r>
    </w:p>
    <w:p>
      <w:pPr>
        <w:ind w:left="380"/>
        <w:spacing w:after="0" w:line="210" w:lineRule="auto"/>
        <w:rPr>
          <w:sz w:val="20"/>
          <w:szCs w:val="20"/>
          <w:color w:val="auto"/>
        </w:rPr>
      </w:pPr>
      <w:r>
        <w:rPr>
          <w:rFonts w:ascii="Arial" w:cs="Arial" w:eastAsia="Arial" w:hAnsi="Arial"/>
          <w:sz w:val="16"/>
          <w:szCs w:val="16"/>
          <w:b w:val="1"/>
          <w:bCs w:val="1"/>
          <w:color w:val="005A64"/>
        </w:rPr>
        <w:t>12 Financial Assets and Financial Liabilities</w:t>
      </w:r>
    </w:p>
    <w:p>
      <w:pPr>
        <w:ind w:left="380"/>
        <w:spacing w:after="0" w:line="211" w:lineRule="auto"/>
        <w:rPr>
          <w:sz w:val="20"/>
          <w:szCs w:val="20"/>
          <w:color w:val="auto"/>
        </w:rPr>
      </w:pPr>
      <w:r>
        <w:rPr>
          <w:rFonts w:ascii="Arial" w:cs="Arial" w:eastAsia="Arial" w:hAnsi="Arial"/>
          <w:sz w:val="13"/>
          <w:szCs w:val="13"/>
          <w:b w:val="1"/>
          <w:bCs w:val="1"/>
          <w:color w:val="005A64"/>
        </w:rPr>
        <w:t>12.1 Capital Risk Management</w:t>
      </w:r>
    </w:p>
    <w:p>
      <w:pPr>
        <w:ind w:left="380"/>
        <w:spacing w:after="0" w:line="211" w:lineRule="auto"/>
        <w:rPr>
          <w:sz w:val="20"/>
          <w:szCs w:val="20"/>
          <w:color w:val="auto"/>
        </w:rPr>
      </w:pPr>
      <w:r>
        <w:rPr>
          <w:rFonts w:ascii="Arial" w:cs="Arial" w:eastAsia="Arial" w:hAnsi="Arial"/>
          <w:sz w:val="13"/>
          <w:szCs w:val="13"/>
          <w:color w:val="auto"/>
        </w:rPr>
        <w:t>Our capital management objectives are designed primarily to finance our growth strategy.</w:t>
      </w:r>
    </w:p>
    <w:p>
      <w:pPr>
        <w:spacing w:after="0" w:line="1" w:lineRule="exact"/>
        <w:rPr>
          <w:sz w:val="20"/>
          <w:szCs w:val="20"/>
          <w:color w:val="auto"/>
        </w:rPr>
      </w:pPr>
    </w:p>
    <w:p>
      <w:pPr>
        <w:ind w:left="380" w:right="2120"/>
        <w:spacing w:after="0" w:line="222" w:lineRule="auto"/>
        <w:rPr>
          <w:sz w:val="20"/>
          <w:szCs w:val="20"/>
          <w:color w:val="auto"/>
        </w:rPr>
      </w:pPr>
      <w:r>
        <w:rPr>
          <w:rFonts w:ascii="Arial" w:cs="Arial" w:eastAsia="Arial" w:hAnsi="Arial"/>
          <w:sz w:val="13"/>
          <w:szCs w:val="13"/>
          <w:color w:val="auto"/>
        </w:rPr>
        <w:t>Our treasury committee reviews the total amount of cash and cash equivalents on a regular basis. As part of this review, the committee considers total cash and cash equivalents, cash outflow, currency translation differences and refinancing activities. We monitor cash using a burn rate. The cash burn rate is defined as the average monthly net cash flow from operating and investing activities during a financial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-12065</wp:posOffset>
            </wp:positionV>
            <wp:extent cx="4268470" cy="9950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0">
                      <a:extLst>
                        <a:ext uri="{28A0092B-C50C-407E-A947-70E740481C1C}"/>
                      </a:extLst>
                    </a:blip>
                    <a:srcRect/>
                    <a:stretch>
                      <a:fillRect/>
                    </a:stretch>
                  </pic:blipFill>
                  <pic:spPr bwMode="auto">
                    <a:xfrm>
                      <a:off x="0" y="0"/>
                      <a:ext cx="4268470" cy="995045"/>
                    </a:xfrm>
                    <a:prstGeom prst="rect">
                      <a:avLst/>
                    </a:prstGeom>
                    <a:noFill/>
                  </pic:spPr>
                </pic:pic>
              </a:graphicData>
            </a:graphic>
          </wp:anchor>
        </w:drawing>
      </w:r>
    </w:p>
    <w:p>
      <w:pPr>
        <w:spacing w:after="0" w:line="82"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4100" w:type="dxa"/>
            <w:vAlign w:val="bottom"/>
            <w:gridSpan w:val="2"/>
          </w:tcPr>
          <w:p>
            <w:pPr>
              <w:ind w:left="20"/>
              <w:spacing w:after="0"/>
              <w:rPr>
                <w:sz w:val="20"/>
                <w:szCs w:val="20"/>
                <w:color w:val="auto"/>
              </w:rPr>
            </w:pPr>
            <w:r>
              <w:rPr>
                <w:rFonts w:ascii="Arial" w:cs="Arial" w:eastAsia="Arial" w:hAnsi="Arial"/>
                <w:sz w:val="12"/>
                <w:szCs w:val="12"/>
                <w:i w:val="1"/>
                <w:iCs w:val="1"/>
                <w:color w:val="005A64"/>
              </w:rPr>
              <w:t>(in millions €)</w:t>
            </w:r>
          </w:p>
        </w:tc>
        <w:tc>
          <w:tcPr>
            <w:tcW w:w="20" w:type="dxa"/>
            <w:vAlign w:val="bottom"/>
            <w:tcBorders>
              <w:top w:val="single" w:sz="8" w:color="BECE33"/>
            </w:tcBorders>
          </w:tcPr>
          <w:p>
            <w:pPr>
              <w:spacing w:after="0"/>
              <w:rPr>
                <w:sz w:val="16"/>
                <w:szCs w:val="16"/>
                <w:color w:val="auto"/>
              </w:rPr>
            </w:pPr>
          </w:p>
        </w:tc>
        <w:tc>
          <w:tcPr>
            <w:tcW w:w="1320" w:type="dxa"/>
            <w:vAlign w:val="bottom"/>
            <w:tcBorders>
              <w:top w:val="single" w:sz="8" w:color="BECE33"/>
            </w:tcBorders>
            <w:gridSpan w:val="2"/>
          </w:tcPr>
          <w:p>
            <w:pPr>
              <w:ind w:left="20"/>
              <w:spacing w:after="0"/>
              <w:rPr>
                <w:sz w:val="20"/>
                <w:szCs w:val="20"/>
                <w:color w:val="auto"/>
              </w:rPr>
            </w:pPr>
            <w:r>
              <w:rPr>
                <w:rFonts w:ascii="Arial" w:cs="Arial" w:eastAsia="Arial" w:hAnsi="Arial"/>
                <w:sz w:val="12"/>
                <w:szCs w:val="12"/>
                <w:b w:val="1"/>
                <w:bCs w:val="1"/>
                <w:color w:val="005A64"/>
              </w:rPr>
              <w:t>December 31, 2024</w:t>
            </w:r>
          </w:p>
        </w:tc>
        <w:tc>
          <w:tcPr>
            <w:tcW w:w="2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2"/>
                <w:szCs w:val="12"/>
                <w:b w:val="1"/>
                <w:bCs w:val="1"/>
                <w:color w:val="005A64"/>
              </w:rPr>
              <w:t>December 31, 2023</w:t>
            </w:r>
          </w:p>
        </w:tc>
      </w:tr>
      <w:tr>
        <w:trPr>
          <w:trHeight w:val="166"/>
        </w:trPr>
        <w:tc>
          <w:tcPr>
            <w:tcW w:w="4080" w:type="dxa"/>
            <w:vAlign w:val="bottom"/>
            <w:tcBorders>
              <w:top w:val="single" w:sz="8" w:color="005A64"/>
            </w:tcBorders>
          </w:tcPr>
          <w:p>
            <w:pPr>
              <w:ind w:left="20"/>
              <w:spacing w:after="0"/>
              <w:rPr>
                <w:sz w:val="20"/>
                <w:szCs w:val="20"/>
                <w:color w:val="auto"/>
              </w:rPr>
            </w:pPr>
            <w:r>
              <w:rPr>
                <w:rFonts w:ascii="Arial" w:cs="Arial" w:eastAsia="Arial" w:hAnsi="Arial"/>
                <w:sz w:val="12"/>
                <w:szCs w:val="12"/>
                <w:b w:val="1"/>
                <w:bCs w:val="1"/>
                <w:color w:val="005A64"/>
              </w:rPr>
              <w:t>Cash at banks and on hand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Borders>
              <w:top w:val="single" w:sz="8" w:color="005A64"/>
            </w:tcBorders>
          </w:tcPr>
          <w:p>
            <w:pPr>
              <w:ind w:left="20"/>
              <w:spacing w:after="0"/>
              <w:rPr>
                <w:sz w:val="20"/>
                <w:szCs w:val="20"/>
                <w:color w:val="auto"/>
              </w:rPr>
            </w:pPr>
            <w:r>
              <w:rPr>
                <w:rFonts w:ascii="Arial" w:cs="Arial" w:eastAsia="Arial" w:hAnsi="Arial"/>
                <w:sz w:val="12"/>
                <w:szCs w:val="12"/>
                <w:b w:val="1"/>
                <w:bCs w:val="1"/>
                <w:color w:val="005A64"/>
              </w:rPr>
              <w:t>450.0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Borders>
              <w:top w:val="single" w:sz="8" w:color="005A64"/>
            </w:tcBorders>
          </w:tcPr>
          <w:p>
            <w:pPr>
              <w:spacing w:after="0"/>
              <w:rPr>
                <w:sz w:val="20"/>
                <w:szCs w:val="20"/>
                <w:color w:val="auto"/>
              </w:rPr>
            </w:pPr>
            <w:r>
              <w:rPr>
                <w:rFonts w:ascii="Arial" w:cs="Arial" w:eastAsia="Arial" w:hAnsi="Arial"/>
                <w:sz w:val="12"/>
                <w:szCs w:val="12"/>
                <w:b w:val="1"/>
                <w:bCs w:val="1"/>
                <w:color w:val="005A64"/>
              </w:rPr>
              <w:t>453.1</w:t>
            </w:r>
          </w:p>
        </w:tc>
      </w:tr>
      <w:tr>
        <w:trPr>
          <w:trHeight w:val="181"/>
        </w:trPr>
        <w:tc>
          <w:tcPr>
            <w:tcW w:w="4100" w:type="dxa"/>
            <w:vAlign w:val="bottom"/>
            <w:gridSpan w:val="2"/>
          </w:tcPr>
          <w:p>
            <w:pPr>
              <w:ind w:left="20"/>
              <w:spacing w:after="0"/>
              <w:rPr>
                <w:sz w:val="20"/>
                <w:szCs w:val="20"/>
                <w:color w:val="auto"/>
              </w:rPr>
            </w:pPr>
            <w:r>
              <w:rPr>
                <w:rFonts w:ascii="Arial" w:cs="Arial" w:eastAsia="Arial" w:hAnsi="Arial"/>
                <w:sz w:val="12"/>
                <w:szCs w:val="12"/>
                <w:b w:val="1"/>
                <w:bCs w:val="1"/>
                <w:color w:val="005A64"/>
              </w:rPr>
              <w:t>Security investments disclosed as cash and cash equivalents</w:t>
            </w:r>
          </w:p>
        </w:tc>
        <w:tc>
          <w:tcPr>
            <w:tcW w:w="1300" w:type="dxa"/>
            <w:vAlign w:val="bottom"/>
            <w:gridSpan w:val="2"/>
          </w:tcPr>
          <w:p>
            <w:pPr>
              <w:ind w:left="40"/>
              <w:spacing w:after="0"/>
              <w:rPr>
                <w:sz w:val="20"/>
                <w:szCs w:val="20"/>
                <w:color w:val="auto"/>
              </w:rPr>
            </w:pPr>
            <w:r>
              <w:rPr>
                <w:rFonts w:ascii="Arial" w:cs="Arial" w:eastAsia="Arial" w:hAnsi="Arial"/>
                <w:sz w:val="12"/>
                <w:szCs w:val="12"/>
                <w:b w:val="1"/>
                <w:bCs w:val="1"/>
                <w:color w:val="005A64"/>
              </w:rPr>
              <w:t>9,311.9</w:t>
            </w:r>
          </w:p>
        </w:tc>
        <w:tc>
          <w:tcPr>
            <w:tcW w:w="4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2"/>
                <w:szCs w:val="12"/>
                <w:b w:val="1"/>
                <w:bCs w:val="1"/>
                <w:color w:val="005A64"/>
              </w:rPr>
              <w:t>11,210.6</w:t>
            </w:r>
          </w:p>
        </w:tc>
      </w:tr>
      <w:tr>
        <w:trPr>
          <w:trHeight w:val="196"/>
        </w:trPr>
        <w:tc>
          <w:tcPr>
            <w:tcW w:w="4100" w:type="dxa"/>
            <w:vAlign w:val="bottom"/>
            <w:gridSpan w:val="2"/>
          </w:tcPr>
          <w:p>
            <w:pPr>
              <w:ind w:left="20"/>
              <w:spacing w:after="0"/>
              <w:rPr>
                <w:sz w:val="20"/>
                <w:szCs w:val="20"/>
                <w:color w:val="auto"/>
              </w:rPr>
            </w:pPr>
            <w:r>
              <w:rPr>
                <w:rFonts w:ascii="Arial" w:cs="Arial" w:eastAsia="Arial" w:hAnsi="Arial"/>
                <w:sz w:val="12"/>
                <w:szCs w:val="12"/>
                <w:color w:val="005A64"/>
              </w:rPr>
              <w:t>Bank deposits</w:t>
            </w:r>
          </w:p>
        </w:tc>
        <w:tc>
          <w:tcPr>
            <w:tcW w:w="1300" w:type="dxa"/>
            <w:vAlign w:val="bottom"/>
            <w:gridSpan w:val="2"/>
          </w:tcPr>
          <w:p>
            <w:pPr>
              <w:ind w:left="40"/>
              <w:spacing w:after="0"/>
              <w:rPr>
                <w:sz w:val="20"/>
                <w:szCs w:val="20"/>
                <w:color w:val="auto"/>
              </w:rPr>
            </w:pPr>
            <w:r>
              <w:rPr>
                <w:rFonts w:ascii="Arial" w:cs="Arial" w:eastAsia="Arial" w:hAnsi="Arial"/>
                <w:sz w:val="12"/>
                <w:szCs w:val="12"/>
                <w:color w:val="005A64"/>
              </w:rPr>
              <w:t>1,849.4</w:t>
            </w:r>
          </w:p>
        </w:tc>
        <w:tc>
          <w:tcPr>
            <w:tcW w:w="4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2"/>
                <w:szCs w:val="12"/>
                <w:color w:val="005A64"/>
              </w:rPr>
              <w:t>2,589.5</w:t>
            </w:r>
          </w:p>
        </w:tc>
      </w:tr>
      <w:tr>
        <w:trPr>
          <w:trHeight w:val="202"/>
        </w:trPr>
        <w:tc>
          <w:tcPr>
            <w:tcW w:w="4100" w:type="dxa"/>
            <w:vAlign w:val="bottom"/>
            <w:gridSpan w:val="2"/>
          </w:tcPr>
          <w:p>
            <w:pPr>
              <w:ind w:left="20"/>
              <w:spacing w:after="0"/>
              <w:rPr>
                <w:sz w:val="20"/>
                <w:szCs w:val="20"/>
                <w:color w:val="auto"/>
              </w:rPr>
            </w:pPr>
            <w:r>
              <w:rPr>
                <w:rFonts w:ascii="Arial" w:cs="Arial" w:eastAsia="Arial" w:hAnsi="Arial"/>
                <w:sz w:val="12"/>
                <w:szCs w:val="12"/>
                <w:color w:val="005A64"/>
              </w:rPr>
              <w:t>Money market funds</w:t>
            </w:r>
          </w:p>
        </w:tc>
        <w:tc>
          <w:tcPr>
            <w:tcW w:w="1300" w:type="dxa"/>
            <w:vAlign w:val="bottom"/>
            <w:gridSpan w:val="2"/>
          </w:tcPr>
          <w:p>
            <w:pPr>
              <w:ind w:left="40"/>
              <w:spacing w:after="0"/>
              <w:rPr>
                <w:sz w:val="20"/>
                <w:szCs w:val="20"/>
                <w:color w:val="auto"/>
              </w:rPr>
            </w:pPr>
            <w:r>
              <w:rPr>
                <w:rFonts w:ascii="Arial" w:cs="Arial" w:eastAsia="Arial" w:hAnsi="Arial"/>
                <w:sz w:val="12"/>
                <w:szCs w:val="12"/>
                <w:color w:val="005A64"/>
              </w:rPr>
              <w:t>6,947.5</w:t>
            </w:r>
          </w:p>
        </w:tc>
        <w:tc>
          <w:tcPr>
            <w:tcW w:w="4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2"/>
                <w:szCs w:val="12"/>
                <w:color w:val="005A64"/>
              </w:rPr>
              <w:t>7,446.1</w:t>
            </w:r>
          </w:p>
        </w:tc>
      </w:tr>
      <w:tr>
        <w:trPr>
          <w:trHeight w:val="202"/>
        </w:trPr>
        <w:tc>
          <w:tcPr>
            <w:tcW w:w="4100" w:type="dxa"/>
            <w:vAlign w:val="bottom"/>
            <w:gridSpan w:val="2"/>
          </w:tcPr>
          <w:p>
            <w:pPr>
              <w:ind w:left="20"/>
              <w:spacing w:after="0"/>
              <w:rPr>
                <w:sz w:val="20"/>
                <w:szCs w:val="20"/>
                <w:color w:val="auto"/>
              </w:rPr>
            </w:pPr>
            <w:r>
              <w:rPr>
                <w:rFonts w:ascii="Arial" w:cs="Arial" w:eastAsia="Arial" w:hAnsi="Arial"/>
                <w:sz w:val="12"/>
                <w:szCs w:val="12"/>
                <w:color w:val="005A64"/>
              </w:rPr>
              <w:t>Reverse Repo</w:t>
            </w:r>
          </w:p>
        </w:tc>
        <w:tc>
          <w:tcPr>
            <w:tcW w:w="1300" w:type="dxa"/>
            <w:vAlign w:val="bottom"/>
            <w:gridSpan w:val="2"/>
          </w:tcPr>
          <w:p>
            <w:pPr>
              <w:ind w:left="40"/>
              <w:spacing w:after="0"/>
              <w:rPr>
                <w:sz w:val="20"/>
                <w:szCs w:val="20"/>
                <w:color w:val="auto"/>
              </w:rPr>
            </w:pPr>
            <w:r>
              <w:rPr>
                <w:rFonts w:ascii="Arial" w:cs="Arial" w:eastAsia="Arial" w:hAnsi="Arial"/>
                <w:sz w:val="12"/>
                <w:szCs w:val="12"/>
                <w:color w:val="005A64"/>
              </w:rPr>
              <w:t>515.0</w:t>
            </w:r>
          </w:p>
        </w:tc>
        <w:tc>
          <w:tcPr>
            <w:tcW w:w="4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2"/>
                <w:szCs w:val="12"/>
                <w:color w:val="005A64"/>
              </w:rPr>
              <w:t>1,175.0</w:t>
            </w:r>
          </w:p>
        </w:tc>
      </w:tr>
      <w:tr>
        <w:trPr>
          <w:trHeight w:val="208"/>
        </w:trPr>
        <w:tc>
          <w:tcPr>
            <w:tcW w:w="410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w:t>
            </w:r>
          </w:p>
        </w:tc>
        <w:tc>
          <w:tcPr>
            <w:tcW w:w="1300" w:type="dxa"/>
            <w:vAlign w:val="bottom"/>
            <w:gridSpan w:val="2"/>
          </w:tcPr>
          <w:p>
            <w:pPr>
              <w:ind w:left="40"/>
              <w:spacing w:after="0"/>
              <w:rPr>
                <w:sz w:val="20"/>
                <w:szCs w:val="20"/>
                <w:color w:val="auto"/>
              </w:rPr>
            </w:pPr>
            <w:r>
              <w:rPr>
                <w:rFonts w:ascii="Arial" w:cs="Arial" w:eastAsia="Arial" w:hAnsi="Arial"/>
                <w:sz w:val="12"/>
                <w:szCs w:val="12"/>
                <w:b w:val="1"/>
                <w:bCs w:val="1"/>
                <w:color w:val="005A64"/>
              </w:rPr>
              <w:t>9,761.9</w:t>
            </w:r>
          </w:p>
        </w:tc>
        <w:tc>
          <w:tcPr>
            <w:tcW w:w="4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Arial" w:cs="Arial" w:eastAsia="Arial" w:hAnsi="Arial"/>
                <w:sz w:val="12"/>
                <w:szCs w:val="12"/>
                <w:b w:val="1"/>
                <w:bCs w:val="1"/>
                <w:color w:val="005A64"/>
              </w:rPr>
              <w:t>11,663.7</w:t>
            </w:r>
          </w:p>
        </w:tc>
      </w:tr>
    </w:tbl>
    <w:p>
      <w:pPr>
        <w:spacing w:after="0" w:line="37" w:lineRule="exact"/>
        <w:rPr>
          <w:sz w:val="20"/>
          <w:szCs w:val="20"/>
          <w:color w:val="auto"/>
        </w:rPr>
      </w:pPr>
    </w:p>
    <w:p>
      <w:pPr>
        <w:ind w:left="380" w:right="2660"/>
        <w:spacing w:after="0" w:line="220" w:lineRule="auto"/>
        <w:rPr>
          <w:sz w:val="20"/>
          <w:szCs w:val="20"/>
          <w:color w:val="auto"/>
        </w:rPr>
      </w:pPr>
      <w:r>
        <w:rPr>
          <w:rFonts w:ascii="Arial" w:cs="Arial" w:eastAsia="Arial" w:hAnsi="Arial"/>
          <w:sz w:val="13"/>
          <w:szCs w:val="13"/>
          <w:color w:val="auto"/>
        </w:rPr>
        <w:t>In general, the aim is to protect and maximize the financial resources available for further research and development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4268470" cy="63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1">
                      <a:extLst>
                        <a:ext uri="{28A0092B-C50C-407E-A947-70E740481C1C}"/>
                      </a:extLst>
                    </a:blip>
                    <a:srcRect/>
                    <a:stretch>
                      <a:fillRect/>
                    </a:stretch>
                  </pic:blipFill>
                  <pic:spPr bwMode="auto">
                    <a:xfrm>
                      <a:off x="0" y="0"/>
                      <a:ext cx="4268470" cy="6350"/>
                    </a:xfrm>
                    <a:prstGeom prst="rect">
                      <a:avLst/>
                    </a:prstGeom>
                    <a:noFill/>
                  </pic:spPr>
                </pic:pic>
              </a:graphicData>
            </a:graphic>
          </wp:anchor>
        </w:drawing>
      </w:r>
    </w:p>
    <w:p>
      <w:pPr>
        <w:ind w:left="380" w:right="2140"/>
        <w:spacing w:after="0" w:line="210" w:lineRule="auto"/>
        <w:rPr>
          <w:sz w:val="20"/>
          <w:szCs w:val="20"/>
          <w:color w:val="auto"/>
        </w:rPr>
      </w:pPr>
      <w:r>
        <w:rPr>
          <w:rFonts w:ascii="Arial" w:cs="Arial" w:eastAsia="Arial" w:hAnsi="Arial"/>
          <w:sz w:val="13"/>
          <w:szCs w:val="13"/>
          <w:color w:val="auto"/>
        </w:rPr>
        <w:t>Since December 2021, we have had an investment and asset management policy in place that contains policies and processes for managing cash and cash equivalents. Under this policy, our investment portfolio is to be maintained in a manner that minimizes risks to the invested capital. These risks include mainly credit risk and concentration risk. The portfolio must provide liquidity in a timely manner to accommodate operational and capital needs. The portfolio is managed by the Treasury department.</w:t>
      </w:r>
    </w:p>
    <w:p>
      <w:pPr>
        <w:spacing w:after="0" w:line="3" w:lineRule="exact"/>
        <w:rPr>
          <w:sz w:val="20"/>
          <w:szCs w:val="20"/>
          <w:color w:val="auto"/>
        </w:rPr>
      </w:pPr>
    </w:p>
    <w:p>
      <w:pPr>
        <w:ind w:left="380" w:right="2600"/>
        <w:spacing w:after="0" w:line="234" w:lineRule="auto"/>
        <w:rPr>
          <w:sz w:val="20"/>
          <w:szCs w:val="20"/>
          <w:color w:val="auto"/>
        </w:rPr>
      </w:pPr>
      <w:r>
        <w:rPr>
          <w:rFonts w:ascii="Arial" w:cs="Arial" w:eastAsia="Arial" w:hAnsi="Arial"/>
          <w:sz w:val="13"/>
          <w:szCs w:val="13"/>
          <w:color w:val="auto"/>
        </w:rPr>
        <w:t>We are not subject to externally imposed capital requirements. Our capital management objectives were achieved in the years ended December 31, 2024 and 2023.</w:t>
      </w:r>
    </w:p>
    <w:p>
      <w:pPr>
        <w:sectPr>
          <w:pgSz w:w="11900" w:h="16840" w:orient="portrait"/>
          <w:cols w:equalWidth="0" w:num="1">
            <w:col w:w="9020"/>
          </w:cols>
          <w:pgMar w:left="1440" w:top="684" w:right="1440" w:bottom="714" w:gutter="0" w:footer="0" w:header="0"/>
        </w:sectPr>
      </w:pPr>
    </w:p>
    <w:bookmarkStart w:id="213" w:name="page214"/>
    <w:bookmarkEnd w:id="2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F-49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005A64"/>
        </w:rPr>
        <w:t>12.2 Categories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0" w:lineRule="auto"/>
        <w:rPr>
          <w:sz w:val="20"/>
          <w:szCs w:val="20"/>
          <w:color w:val="auto"/>
        </w:rPr>
      </w:pPr>
      <w:r>
        <w:rPr>
          <w:rFonts w:ascii="Arial" w:cs="Arial" w:eastAsia="Arial" w:hAnsi="Arial"/>
          <w:sz w:val="13"/>
          <w:szCs w:val="13"/>
          <w:color w:val="005A64"/>
        </w:rPr>
        <w:t>Financial Assets and Liabilities at Amortized Cost and at Fair Value through OCI and Profit or Loss</w:t>
      </w:r>
    </w:p>
    <w:p>
      <w:pPr>
        <w:spacing w:after="0" w:line="1" w:lineRule="exact"/>
        <w:rPr>
          <w:sz w:val="20"/>
          <w:szCs w:val="20"/>
          <w:color w:val="auto"/>
        </w:rPr>
      </w:pPr>
    </w:p>
    <w:p>
      <w:pPr>
        <w:ind w:left="380" w:right="2100"/>
        <w:spacing w:after="0" w:line="234" w:lineRule="auto"/>
        <w:rPr>
          <w:sz w:val="20"/>
          <w:szCs w:val="20"/>
          <w:color w:val="auto"/>
        </w:rPr>
      </w:pPr>
      <w:r>
        <w:rPr>
          <w:rFonts w:ascii="Arial" w:cs="Arial" w:eastAsia="Arial" w:hAnsi="Arial"/>
          <w:sz w:val="13"/>
          <w:szCs w:val="13"/>
          <w:color w:val="auto"/>
        </w:rPr>
        <w:t>Set out below is an overview of financial assets and liabilities at amortized cost and at fair value through OCI and profit or loss,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-12700</wp:posOffset>
            </wp:positionV>
            <wp:extent cx="4281170" cy="127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3">
                      <a:extLst>
                        <a:ext uri="{28A0092B-C50C-407E-A947-70E740481C1C}"/>
                      </a:extLst>
                    </a:blip>
                    <a:srcRect/>
                    <a:stretch>
                      <a:fillRect/>
                    </a:stretch>
                  </pic:blipFill>
                  <pic:spPr bwMode="auto">
                    <a:xfrm>
                      <a:off x="0" y="0"/>
                      <a:ext cx="4281170" cy="12700"/>
                    </a:xfrm>
                    <a:prstGeom prst="rect">
                      <a:avLst/>
                    </a:prstGeom>
                    <a:noFill/>
                  </pic:spPr>
                </pic:pic>
              </a:graphicData>
            </a:graphic>
          </wp:anchor>
        </w:drawing>
      </w:r>
    </w:p>
    <w:p>
      <w:pPr>
        <w:spacing w:after="0" w:line="101" w:lineRule="exact"/>
        <w:rPr>
          <w:sz w:val="20"/>
          <w:szCs w:val="20"/>
          <w:color w:val="auto"/>
        </w:rPr>
      </w:pPr>
    </w:p>
    <w:tbl>
      <w:tblPr>
        <w:tblLayout w:type="fixed"/>
        <w:tblInd w:w="380" w:type="dxa"/>
        <w:tblCellMar>
          <w:top w:w="0" w:type="dxa"/>
          <w:left w:w="0" w:type="dxa"/>
          <w:bottom w:w="0" w:type="dxa"/>
          <w:right w:w="0" w:type="dxa"/>
        </w:tblCellMar>
      </w:tblPr>
      <w:tr>
        <w:trPr>
          <w:trHeight w:val="124"/>
        </w:trPr>
        <w:tc>
          <w:tcPr>
            <w:tcW w:w="2340" w:type="dxa"/>
            <w:vAlign w:val="bottom"/>
            <w:gridSpan w:val="2"/>
          </w:tcPr>
          <w:p>
            <w:pPr>
              <w:ind w:left="20"/>
              <w:spacing w:after="0"/>
              <w:rPr>
                <w:sz w:val="20"/>
                <w:szCs w:val="20"/>
                <w:color w:val="auto"/>
              </w:rPr>
            </w:pPr>
            <w:r>
              <w:rPr>
                <w:rFonts w:ascii="Arial" w:cs="Arial" w:eastAsia="Arial" w:hAnsi="Arial"/>
                <w:sz w:val="9"/>
                <w:szCs w:val="9"/>
                <w:b w:val="1"/>
                <w:bCs w:val="1"/>
                <w:color w:val="005A64"/>
              </w:rPr>
              <w:t>December 31, 2024</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8"/>
        </w:trPr>
        <w:tc>
          <w:tcPr>
            <w:tcW w:w="2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bottom w:val="single" w:sz="8" w:color="BECE33"/>
            </w:tcBorders>
            <w:gridSpan w:val="2"/>
          </w:tcPr>
          <w:p>
            <w:pPr>
              <w:spacing w:after="0"/>
              <w:rPr>
                <w:sz w:val="14"/>
                <w:szCs w:val="14"/>
                <w:color w:val="auto"/>
              </w:rPr>
            </w:pPr>
          </w:p>
        </w:tc>
        <w:tc>
          <w:tcPr>
            <w:tcW w:w="540" w:type="dxa"/>
            <w:vAlign w:val="bottom"/>
            <w:tcBorders>
              <w:bottom w:val="single" w:sz="8" w:color="BECE33"/>
            </w:tcBorders>
          </w:tcPr>
          <w:p>
            <w:pPr>
              <w:spacing w:after="0"/>
              <w:rPr>
                <w:sz w:val="14"/>
                <w:szCs w:val="14"/>
                <w:color w:val="auto"/>
              </w:rPr>
            </w:pPr>
          </w:p>
        </w:tc>
        <w:tc>
          <w:tcPr>
            <w:tcW w:w="80" w:type="dxa"/>
            <w:vAlign w:val="bottom"/>
            <w:tcBorders>
              <w:bottom w:val="single" w:sz="8" w:color="BECE33"/>
            </w:tcBorders>
          </w:tcPr>
          <w:p>
            <w:pPr>
              <w:spacing w:after="0"/>
              <w:rPr>
                <w:sz w:val="14"/>
                <w:szCs w:val="14"/>
                <w:color w:val="auto"/>
              </w:rPr>
            </w:pPr>
          </w:p>
        </w:tc>
        <w:tc>
          <w:tcPr>
            <w:tcW w:w="540" w:type="dxa"/>
            <w:vAlign w:val="bottom"/>
            <w:tcBorders>
              <w:bottom w:val="single" w:sz="8" w:color="BECE33"/>
            </w:tcBorders>
          </w:tcPr>
          <w:p>
            <w:pPr>
              <w:spacing w:after="0"/>
              <w:rPr>
                <w:sz w:val="14"/>
                <w:szCs w:val="14"/>
                <w:color w:val="auto"/>
              </w:rPr>
            </w:pPr>
          </w:p>
        </w:tc>
        <w:tc>
          <w:tcPr>
            <w:tcW w:w="40" w:type="dxa"/>
            <w:vAlign w:val="bottom"/>
            <w:tcBorders>
              <w:bottom w:val="single" w:sz="8" w:color="BECE33"/>
            </w:tcBorders>
          </w:tcPr>
          <w:p>
            <w:pPr>
              <w:spacing w:after="0"/>
              <w:rPr>
                <w:sz w:val="14"/>
                <w:szCs w:val="14"/>
                <w:color w:val="auto"/>
              </w:rPr>
            </w:pPr>
          </w:p>
        </w:tc>
        <w:tc>
          <w:tcPr>
            <w:tcW w:w="600" w:type="dxa"/>
            <w:vAlign w:val="bottom"/>
            <w:tcBorders>
              <w:bottom w:val="single" w:sz="8" w:color="BECE33"/>
            </w:tcBorders>
          </w:tcPr>
          <w:p>
            <w:pPr>
              <w:spacing w:after="0"/>
              <w:rPr>
                <w:sz w:val="14"/>
                <w:szCs w:val="14"/>
                <w:color w:val="auto"/>
              </w:rPr>
            </w:pPr>
          </w:p>
        </w:tc>
        <w:tc>
          <w:tcPr>
            <w:tcW w:w="80" w:type="dxa"/>
            <w:vAlign w:val="bottom"/>
            <w:tcBorders>
              <w:bottom w:val="single" w:sz="8" w:color="BECE33"/>
            </w:tcBorders>
          </w:tcPr>
          <w:p>
            <w:pPr>
              <w:spacing w:after="0"/>
              <w:rPr>
                <w:sz w:val="14"/>
                <w:szCs w:val="14"/>
                <w:color w:val="auto"/>
              </w:rPr>
            </w:pPr>
          </w:p>
        </w:tc>
        <w:tc>
          <w:tcPr>
            <w:tcW w:w="600" w:type="dxa"/>
            <w:vAlign w:val="bottom"/>
            <w:tcBorders>
              <w:bottom w:val="single" w:sz="8" w:color="BECE33"/>
            </w:tcBorders>
          </w:tcPr>
          <w:p>
            <w:pPr>
              <w:spacing w:after="0"/>
              <w:rPr>
                <w:sz w:val="14"/>
                <w:szCs w:val="14"/>
                <w:color w:val="auto"/>
              </w:rPr>
            </w:pPr>
          </w:p>
        </w:tc>
        <w:tc>
          <w:tcPr>
            <w:tcW w:w="80" w:type="dxa"/>
            <w:vAlign w:val="bottom"/>
            <w:tcBorders>
              <w:bottom w:val="single" w:sz="8" w:color="BECE33"/>
            </w:tcBorders>
          </w:tcPr>
          <w:p>
            <w:pPr>
              <w:spacing w:after="0"/>
              <w:rPr>
                <w:sz w:val="14"/>
                <w:szCs w:val="14"/>
                <w:color w:val="auto"/>
              </w:rPr>
            </w:pPr>
          </w:p>
        </w:tc>
        <w:tc>
          <w:tcPr>
            <w:tcW w:w="600" w:type="dxa"/>
            <w:vAlign w:val="bottom"/>
            <w:tcBorders>
              <w:bottom w:val="single" w:sz="8" w:color="BECE33"/>
            </w:tcBorders>
          </w:tcPr>
          <w:p>
            <w:pPr>
              <w:spacing w:after="0"/>
              <w:rPr>
                <w:sz w:val="14"/>
                <w:szCs w:val="14"/>
                <w:color w:val="auto"/>
              </w:rPr>
            </w:pPr>
          </w:p>
        </w:tc>
        <w:tc>
          <w:tcPr>
            <w:tcW w:w="40" w:type="dxa"/>
            <w:vAlign w:val="bottom"/>
            <w:tcBorders>
              <w:bottom w:val="single" w:sz="8" w:color="BECE33"/>
            </w:tcBorders>
          </w:tcPr>
          <w:p>
            <w:pPr>
              <w:spacing w:after="0"/>
              <w:rPr>
                <w:sz w:val="14"/>
                <w:szCs w:val="14"/>
                <w:color w:val="auto"/>
              </w:rPr>
            </w:pPr>
          </w:p>
        </w:tc>
        <w:tc>
          <w:tcPr>
            <w:tcW w:w="540" w:type="dxa"/>
            <w:vAlign w:val="bottom"/>
            <w:tcBorders>
              <w:bottom w:val="single" w:sz="8" w:color="BECE33"/>
            </w:tcBorders>
          </w:tcPr>
          <w:p>
            <w:pPr>
              <w:spacing w:after="0"/>
              <w:rPr>
                <w:sz w:val="14"/>
                <w:szCs w:val="14"/>
                <w:color w:val="auto"/>
              </w:rPr>
            </w:pPr>
          </w:p>
        </w:tc>
        <w:tc>
          <w:tcPr>
            <w:tcW w:w="40" w:type="dxa"/>
            <w:vAlign w:val="bottom"/>
            <w:tcBorders>
              <w:bottom w:val="single" w:sz="8" w:color="BECE33"/>
            </w:tcBorders>
          </w:tcPr>
          <w:p>
            <w:pPr>
              <w:spacing w:after="0"/>
              <w:rPr>
                <w:sz w:val="14"/>
                <w:szCs w:val="14"/>
                <w:color w:val="auto"/>
              </w:rPr>
            </w:pPr>
          </w:p>
        </w:tc>
      </w:tr>
      <w:tr>
        <w:trPr>
          <w:trHeight w:val="142"/>
        </w:trPr>
        <w:tc>
          <w:tcPr>
            <w:tcW w:w="2300" w:type="dxa"/>
            <w:vAlign w:val="bottom"/>
          </w:tcPr>
          <w:p>
            <w:pPr>
              <w:spacing w:after="0"/>
              <w:rPr>
                <w:sz w:val="12"/>
                <w:szCs w:val="12"/>
                <w:color w:val="auto"/>
              </w:rPr>
            </w:pPr>
          </w:p>
        </w:tc>
        <w:tc>
          <w:tcPr>
            <w:tcW w:w="40" w:type="dxa"/>
            <w:vAlign w:val="bottom"/>
            <w:tcBorders>
              <w:right w:val="single" w:sz="8" w:color="BECE33"/>
            </w:tcBorders>
          </w:tcPr>
          <w:p>
            <w:pPr>
              <w:spacing w:after="0"/>
              <w:rPr>
                <w:sz w:val="12"/>
                <w:szCs w:val="12"/>
                <w:color w:val="auto"/>
              </w:rPr>
            </w:pPr>
          </w:p>
        </w:tc>
        <w:tc>
          <w:tcPr>
            <w:tcW w:w="1180" w:type="dxa"/>
            <w:vAlign w:val="bottom"/>
            <w:gridSpan w:val="3"/>
          </w:tcPr>
          <w:p>
            <w:pPr>
              <w:ind w:left="20"/>
              <w:spacing w:after="0"/>
              <w:rPr>
                <w:sz w:val="20"/>
                <w:szCs w:val="20"/>
                <w:color w:val="auto"/>
              </w:rPr>
            </w:pPr>
            <w:r>
              <w:rPr>
                <w:rFonts w:ascii="Arial" w:cs="Arial" w:eastAsia="Arial" w:hAnsi="Arial"/>
                <w:sz w:val="9"/>
                <w:szCs w:val="9"/>
                <w:b w:val="1"/>
                <w:bCs w:val="1"/>
                <w:color w:val="005A64"/>
              </w:rPr>
              <w:t>Carrying amount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ind w:left="20"/>
              <w:spacing w:after="0"/>
              <w:rPr>
                <w:sz w:val="20"/>
                <w:szCs w:val="20"/>
                <w:color w:val="auto"/>
              </w:rPr>
            </w:pPr>
            <w:r>
              <w:rPr>
                <w:rFonts w:ascii="Arial" w:cs="Arial" w:eastAsia="Arial" w:hAnsi="Arial"/>
                <w:sz w:val="9"/>
                <w:szCs w:val="9"/>
                <w:b w:val="1"/>
                <w:bCs w:val="1"/>
                <w:color w:val="005A64"/>
              </w:rPr>
              <w:t>Fair value</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Borders>
              <w:right w:val="single" w:sz="8" w:color="BECE33"/>
            </w:tcBorders>
          </w:tcPr>
          <w:p>
            <w:pPr>
              <w:spacing w:after="0"/>
              <w:rPr>
                <w:sz w:val="12"/>
                <w:szCs w:val="12"/>
                <w:color w:val="auto"/>
              </w:rPr>
            </w:pPr>
          </w:p>
        </w:tc>
      </w:tr>
      <w:tr>
        <w:trPr>
          <w:trHeight w:val="82"/>
        </w:trPr>
        <w:tc>
          <w:tcPr>
            <w:tcW w:w="2340" w:type="dxa"/>
            <w:vAlign w:val="bottom"/>
            <w:tcBorders>
              <w:right w:val="single" w:sz="8" w:color="BECD32"/>
            </w:tcBorders>
            <w:gridSpan w:val="2"/>
          </w:tcPr>
          <w:p>
            <w:pPr>
              <w:ind w:left="20"/>
              <w:spacing w:after="0" w:line="82" w:lineRule="exact"/>
              <w:rPr>
                <w:sz w:val="20"/>
                <w:szCs w:val="20"/>
                <w:color w:val="auto"/>
              </w:rPr>
            </w:pPr>
            <w:r>
              <w:rPr>
                <w:rFonts w:ascii="Arial" w:cs="Arial" w:eastAsia="Arial" w:hAnsi="Arial"/>
                <w:sz w:val="9"/>
                <w:szCs w:val="9"/>
                <w:i w:val="1"/>
                <w:iCs w:val="1"/>
                <w:color w:val="005A64"/>
              </w:rPr>
              <w:t>(in millions €)</w:t>
            </w:r>
          </w:p>
        </w:tc>
        <w:tc>
          <w:tcPr>
            <w:tcW w:w="560" w:type="dxa"/>
            <w:vAlign w:val="bottom"/>
            <w:tcBorders>
              <w:top w:val="single" w:sz="8" w:color="005A64"/>
            </w:tcBorders>
          </w:tcPr>
          <w:p>
            <w:pPr>
              <w:ind w:left="20"/>
              <w:spacing w:after="0" w:line="82" w:lineRule="exact"/>
              <w:rPr>
                <w:sz w:val="20"/>
                <w:szCs w:val="20"/>
                <w:color w:val="auto"/>
              </w:rPr>
            </w:pPr>
            <w:r>
              <w:rPr>
                <w:rFonts w:ascii="Arial" w:cs="Arial" w:eastAsia="Arial" w:hAnsi="Arial"/>
                <w:sz w:val="9"/>
                <w:szCs w:val="9"/>
                <w:b w:val="1"/>
                <w:bCs w:val="1"/>
                <w:color w:val="005A64"/>
              </w:rPr>
              <w:t>Current</w:t>
            </w:r>
          </w:p>
        </w:tc>
        <w:tc>
          <w:tcPr>
            <w:tcW w:w="80" w:type="dxa"/>
            <w:vAlign w:val="bottom"/>
            <w:tcBorders>
              <w:top w:val="single" w:sz="8" w:color="005A64"/>
            </w:tcBorders>
          </w:tcPr>
          <w:p>
            <w:pPr>
              <w:spacing w:after="0"/>
              <w:rPr>
                <w:sz w:val="7"/>
                <w:szCs w:val="7"/>
                <w:color w:val="auto"/>
              </w:rPr>
            </w:pPr>
          </w:p>
        </w:tc>
        <w:tc>
          <w:tcPr>
            <w:tcW w:w="540" w:type="dxa"/>
            <w:vAlign w:val="bottom"/>
            <w:tcBorders>
              <w:top w:val="single" w:sz="8" w:color="005A64"/>
            </w:tcBorders>
          </w:tcPr>
          <w:p>
            <w:pPr>
              <w:spacing w:after="0" w:line="82" w:lineRule="exact"/>
              <w:rPr>
                <w:sz w:val="20"/>
                <w:szCs w:val="20"/>
                <w:color w:val="auto"/>
              </w:rPr>
            </w:pPr>
            <w:r>
              <w:rPr>
                <w:rFonts w:ascii="Arial" w:cs="Arial" w:eastAsia="Arial" w:hAnsi="Arial"/>
                <w:sz w:val="9"/>
                <w:szCs w:val="9"/>
                <w:b w:val="1"/>
                <w:bCs w:val="1"/>
                <w:color w:val="005A64"/>
              </w:rPr>
              <w:t>Non-</w:t>
            </w:r>
          </w:p>
        </w:tc>
        <w:tc>
          <w:tcPr>
            <w:tcW w:w="80" w:type="dxa"/>
            <w:vAlign w:val="bottom"/>
            <w:tcBorders>
              <w:top w:val="single" w:sz="8" w:color="005A64"/>
            </w:tcBorders>
          </w:tcPr>
          <w:p>
            <w:pPr>
              <w:spacing w:after="0"/>
              <w:rPr>
                <w:sz w:val="7"/>
                <w:szCs w:val="7"/>
                <w:color w:val="auto"/>
              </w:rPr>
            </w:pPr>
          </w:p>
        </w:tc>
        <w:tc>
          <w:tcPr>
            <w:tcW w:w="540" w:type="dxa"/>
            <w:vAlign w:val="bottom"/>
            <w:tcBorders>
              <w:top w:val="single" w:sz="8" w:color="005A64"/>
            </w:tcBorders>
          </w:tcPr>
          <w:p>
            <w:pPr>
              <w:ind w:left="20"/>
              <w:spacing w:after="0" w:line="82" w:lineRule="exact"/>
              <w:rPr>
                <w:sz w:val="20"/>
                <w:szCs w:val="20"/>
                <w:color w:val="auto"/>
              </w:rPr>
            </w:pPr>
            <w:r>
              <w:rPr>
                <w:rFonts w:ascii="Arial" w:cs="Arial" w:eastAsia="Arial" w:hAnsi="Arial"/>
                <w:sz w:val="9"/>
                <w:szCs w:val="9"/>
                <w:b w:val="1"/>
                <w:bCs w:val="1"/>
                <w:color w:val="005A64"/>
              </w:rPr>
              <w:t>Total</w:t>
            </w:r>
          </w:p>
        </w:tc>
        <w:tc>
          <w:tcPr>
            <w:tcW w:w="40" w:type="dxa"/>
            <w:vAlign w:val="bottom"/>
          </w:tcPr>
          <w:p>
            <w:pPr>
              <w:spacing w:after="0"/>
              <w:rPr>
                <w:sz w:val="7"/>
                <w:szCs w:val="7"/>
                <w:color w:val="auto"/>
              </w:rPr>
            </w:pPr>
          </w:p>
        </w:tc>
        <w:tc>
          <w:tcPr>
            <w:tcW w:w="600" w:type="dxa"/>
            <w:vAlign w:val="bottom"/>
            <w:tcBorders>
              <w:top w:val="single" w:sz="8" w:color="005A64"/>
            </w:tcBorders>
          </w:tcPr>
          <w:p>
            <w:pPr>
              <w:ind w:left="20"/>
              <w:spacing w:after="0" w:line="82" w:lineRule="exact"/>
              <w:rPr>
                <w:sz w:val="20"/>
                <w:szCs w:val="20"/>
                <w:color w:val="auto"/>
              </w:rPr>
            </w:pPr>
            <w:r>
              <w:rPr>
                <w:rFonts w:ascii="Arial" w:cs="Arial" w:eastAsia="Arial" w:hAnsi="Arial"/>
                <w:sz w:val="9"/>
                <w:szCs w:val="9"/>
                <w:b w:val="1"/>
                <w:bCs w:val="1"/>
                <w:color w:val="005A64"/>
              </w:rPr>
              <w:t>Level 1</w:t>
            </w:r>
          </w:p>
        </w:tc>
        <w:tc>
          <w:tcPr>
            <w:tcW w:w="80" w:type="dxa"/>
            <w:vAlign w:val="bottom"/>
            <w:tcBorders>
              <w:top w:val="single" w:sz="8" w:color="005A64"/>
            </w:tcBorders>
          </w:tcPr>
          <w:p>
            <w:pPr>
              <w:spacing w:after="0"/>
              <w:rPr>
                <w:sz w:val="7"/>
                <w:szCs w:val="7"/>
                <w:color w:val="auto"/>
              </w:rPr>
            </w:pPr>
          </w:p>
        </w:tc>
        <w:tc>
          <w:tcPr>
            <w:tcW w:w="600" w:type="dxa"/>
            <w:vAlign w:val="bottom"/>
            <w:tcBorders>
              <w:top w:val="single" w:sz="8" w:color="005A64"/>
            </w:tcBorders>
          </w:tcPr>
          <w:p>
            <w:pPr>
              <w:ind w:left="20"/>
              <w:spacing w:after="0" w:line="82" w:lineRule="exact"/>
              <w:rPr>
                <w:sz w:val="20"/>
                <w:szCs w:val="20"/>
                <w:color w:val="auto"/>
              </w:rPr>
            </w:pPr>
            <w:r>
              <w:rPr>
                <w:rFonts w:ascii="Arial" w:cs="Arial" w:eastAsia="Arial" w:hAnsi="Arial"/>
                <w:sz w:val="9"/>
                <w:szCs w:val="9"/>
                <w:b w:val="1"/>
                <w:bCs w:val="1"/>
                <w:color w:val="005A64"/>
              </w:rPr>
              <w:t>Level 2</w:t>
            </w:r>
          </w:p>
        </w:tc>
        <w:tc>
          <w:tcPr>
            <w:tcW w:w="80" w:type="dxa"/>
            <w:vAlign w:val="bottom"/>
            <w:tcBorders>
              <w:top w:val="single" w:sz="8" w:color="005A64"/>
            </w:tcBorders>
          </w:tcPr>
          <w:p>
            <w:pPr>
              <w:spacing w:after="0"/>
              <w:rPr>
                <w:sz w:val="7"/>
                <w:szCs w:val="7"/>
                <w:color w:val="auto"/>
              </w:rPr>
            </w:pPr>
          </w:p>
        </w:tc>
        <w:tc>
          <w:tcPr>
            <w:tcW w:w="600" w:type="dxa"/>
            <w:vAlign w:val="bottom"/>
            <w:tcBorders>
              <w:top w:val="single" w:sz="8" w:color="005A64"/>
            </w:tcBorders>
          </w:tcPr>
          <w:p>
            <w:pPr>
              <w:ind w:left="20"/>
              <w:spacing w:after="0" w:line="82" w:lineRule="exact"/>
              <w:rPr>
                <w:sz w:val="20"/>
                <w:szCs w:val="20"/>
                <w:color w:val="auto"/>
              </w:rPr>
            </w:pPr>
            <w:r>
              <w:rPr>
                <w:rFonts w:ascii="Arial" w:cs="Arial" w:eastAsia="Arial" w:hAnsi="Arial"/>
                <w:sz w:val="9"/>
                <w:szCs w:val="9"/>
                <w:b w:val="1"/>
                <w:bCs w:val="1"/>
                <w:color w:val="005A64"/>
              </w:rPr>
              <w:t>Level 3</w:t>
            </w:r>
          </w:p>
        </w:tc>
        <w:tc>
          <w:tcPr>
            <w:tcW w:w="40" w:type="dxa"/>
            <w:vAlign w:val="bottom"/>
          </w:tcPr>
          <w:p>
            <w:pPr>
              <w:spacing w:after="0"/>
              <w:rPr>
                <w:sz w:val="7"/>
                <w:szCs w:val="7"/>
                <w:color w:val="auto"/>
              </w:rPr>
            </w:pPr>
          </w:p>
        </w:tc>
        <w:tc>
          <w:tcPr>
            <w:tcW w:w="580" w:type="dxa"/>
            <w:vAlign w:val="bottom"/>
            <w:tcBorders>
              <w:right w:val="single" w:sz="8" w:color="BECE33"/>
            </w:tcBorders>
            <w:gridSpan w:val="2"/>
          </w:tcPr>
          <w:p>
            <w:pPr>
              <w:spacing w:after="0" w:line="82" w:lineRule="exact"/>
              <w:rPr>
                <w:sz w:val="20"/>
                <w:szCs w:val="20"/>
                <w:color w:val="auto"/>
              </w:rPr>
            </w:pPr>
            <w:r>
              <w:rPr>
                <w:rFonts w:ascii="Arial" w:cs="Arial" w:eastAsia="Arial" w:hAnsi="Arial"/>
                <w:sz w:val="9"/>
                <w:szCs w:val="9"/>
                <w:b w:val="1"/>
                <w:bCs w:val="1"/>
                <w:color w:val="005A64"/>
              </w:rPr>
              <w:t>Total</w:t>
            </w:r>
          </w:p>
        </w:tc>
      </w:tr>
      <w:tr>
        <w:trPr>
          <w:trHeight w:val="171"/>
        </w:trPr>
        <w:tc>
          <w:tcPr>
            <w:tcW w:w="2300" w:type="dxa"/>
            <w:vAlign w:val="bottom"/>
          </w:tcPr>
          <w:p>
            <w:pPr>
              <w:spacing w:after="0"/>
              <w:rPr>
                <w:sz w:val="14"/>
                <w:szCs w:val="14"/>
                <w:color w:val="auto"/>
              </w:rPr>
            </w:pPr>
          </w:p>
        </w:tc>
        <w:tc>
          <w:tcPr>
            <w:tcW w:w="40" w:type="dxa"/>
            <w:vAlign w:val="bottom"/>
            <w:tcBorders>
              <w:right w:val="single" w:sz="8" w:color="BECD32"/>
            </w:tcBorders>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9"/>
                <w:szCs w:val="9"/>
                <w:b w:val="1"/>
                <w:bCs w:val="1"/>
                <w:color w:val="005A64"/>
              </w:rPr>
              <w:t>current</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9"/>
                <w:szCs w:val="9"/>
                <w:b w:val="1"/>
                <w:bCs w:val="1"/>
                <w:color w:val="005A64"/>
              </w:rPr>
              <w:t>(Fair value)</w:t>
            </w: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9"/>
                <w:szCs w:val="9"/>
                <w:b w:val="1"/>
                <w:bCs w:val="1"/>
                <w:color w:val="005A64"/>
              </w:rPr>
              <w:t>(Fair value)</w:t>
            </w: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9"/>
                <w:szCs w:val="9"/>
                <w:b w:val="1"/>
                <w:bCs w:val="1"/>
                <w:color w:val="005A64"/>
              </w:rPr>
              <w:t>(Fair value)</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Borders>
              <w:right w:val="single" w:sz="8" w:color="BECE33"/>
            </w:tcBorders>
          </w:tcPr>
          <w:p>
            <w:pPr>
              <w:spacing w:after="0"/>
              <w:rPr>
                <w:sz w:val="14"/>
                <w:szCs w:val="14"/>
                <w:color w:val="auto"/>
              </w:rPr>
            </w:pPr>
          </w:p>
        </w:tc>
      </w:tr>
      <w:tr>
        <w:trPr>
          <w:trHeight w:val="82"/>
        </w:trPr>
        <w:tc>
          <w:tcPr>
            <w:tcW w:w="2300" w:type="dxa"/>
            <w:vAlign w:val="bottom"/>
            <w:tcBorders>
              <w:top w:val="single" w:sz="8" w:color="005A64"/>
            </w:tcBorders>
          </w:tcPr>
          <w:p>
            <w:pPr>
              <w:ind w:left="20"/>
              <w:spacing w:after="0" w:line="82" w:lineRule="exact"/>
              <w:rPr>
                <w:sz w:val="20"/>
                <w:szCs w:val="20"/>
                <w:color w:val="auto"/>
              </w:rPr>
            </w:pPr>
            <w:r>
              <w:rPr>
                <w:rFonts w:ascii="Arial" w:cs="Arial" w:eastAsia="Arial" w:hAnsi="Arial"/>
                <w:sz w:val="9"/>
                <w:szCs w:val="9"/>
                <w:b w:val="1"/>
                <w:bCs w:val="1"/>
                <w:color w:val="3C9673"/>
              </w:rPr>
              <w:t>Financial assets subsequently measured at fair</w:t>
            </w:r>
          </w:p>
        </w:tc>
        <w:tc>
          <w:tcPr>
            <w:tcW w:w="40" w:type="dxa"/>
            <w:vAlign w:val="bottom"/>
            <w:tcBorders>
              <w:right w:val="single" w:sz="8" w:color="BECD32"/>
            </w:tcBorders>
          </w:tcPr>
          <w:p>
            <w:pPr>
              <w:spacing w:after="0"/>
              <w:rPr>
                <w:sz w:val="7"/>
                <w:szCs w:val="7"/>
                <w:color w:val="auto"/>
              </w:rPr>
            </w:pPr>
          </w:p>
        </w:tc>
        <w:tc>
          <w:tcPr>
            <w:tcW w:w="560" w:type="dxa"/>
            <w:vAlign w:val="bottom"/>
            <w:tcBorders>
              <w:top w:val="single" w:sz="8" w:color="005A64"/>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005A64"/>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005A64"/>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top w:val="single" w:sz="8" w:color="005A64"/>
            </w:tcBorders>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top w:val="single" w:sz="8" w:color="005A64"/>
            </w:tcBorders>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top w:val="single" w:sz="8" w:color="005A64"/>
            </w:tcBorders>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Borders>
              <w:top w:val="single" w:sz="8" w:color="005A64"/>
            </w:tcBorders>
          </w:tcPr>
          <w:p>
            <w:pPr>
              <w:spacing w:after="0"/>
              <w:rPr>
                <w:sz w:val="7"/>
                <w:szCs w:val="7"/>
                <w:color w:val="auto"/>
              </w:rPr>
            </w:pPr>
          </w:p>
        </w:tc>
        <w:tc>
          <w:tcPr>
            <w:tcW w:w="40" w:type="dxa"/>
            <w:vAlign w:val="bottom"/>
            <w:tcBorders>
              <w:right w:val="single" w:sz="8" w:color="BECD32"/>
            </w:tcBorders>
          </w:tcPr>
          <w:p>
            <w:pPr>
              <w:spacing w:after="0"/>
              <w:rPr>
                <w:sz w:val="7"/>
                <w:szCs w:val="7"/>
                <w:color w:val="auto"/>
              </w:rPr>
            </w:pPr>
          </w:p>
        </w:tc>
      </w:tr>
      <w:tr>
        <w:trPr>
          <w:trHeight w:val="124"/>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b w:val="1"/>
                <w:bCs w:val="1"/>
                <w:color w:val="3C9673"/>
              </w:rPr>
              <w:t>value through profit or loss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Borders>
              <w:right w:val="single" w:sz="8" w:color="BECD32"/>
            </w:tcBorders>
          </w:tcPr>
          <w:p>
            <w:pPr>
              <w:spacing w:after="0"/>
              <w:rPr>
                <w:sz w:val="10"/>
                <w:szCs w:val="10"/>
                <w:color w:val="auto"/>
              </w:rPr>
            </w:pPr>
          </w:p>
        </w:tc>
      </w:tr>
      <w:tr>
        <w:trPr>
          <w:trHeight w:val="166"/>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color w:val="005A64"/>
              </w:rPr>
              <w:t>Foreign exchange forward contracts</w:t>
            </w:r>
          </w:p>
        </w:tc>
        <w:tc>
          <w:tcPr>
            <w:tcW w:w="560" w:type="dxa"/>
            <w:vAlign w:val="bottom"/>
          </w:tcPr>
          <w:p>
            <w:pPr>
              <w:ind w:left="20"/>
              <w:spacing w:after="0"/>
              <w:rPr>
                <w:sz w:val="20"/>
                <w:szCs w:val="20"/>
                <w:color w:val="auto"/>
              </w:rPr>
            </w:pPr>
            <w:r>
              <w:rPr>
                <w:rFonts w:ascii="Arial" w:cs="Arial" w:eastAsia="Arial" w:hAnsi="Arial"/>
                <w:sz w:val="9"/>
                <w:szCs w:val="9"/>
                <w:color w:val="005A64"/>
              </w:rPr>
              <w:t>11.9</w:t>
            </w:r>
          </w:p>
        </w:tc>
        <w:tc>
          <w:tcPr>
            <w:tcW w:w="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9"/>
                <w:szCs w:val="9"/>
                <w:color w:val="005A64"/>
              </w:rPr>
              <w:t>—</w:t>
            </w:r>
          </w:p>
        </w:tc>
        <w:tc>
          <w:tcPr>
            <w:tcW w:w="620" w:type="dxa"/>
            <w:vAlign w:val="bottom"/>
            <w:gridSpan w:val="2"/>
          </w:tcPr>
          <w:p>
            <w:pPr>
              <w:ind w:left="100"/>
              <w:spacing w:after="0"/>
              <w:rPr>
                <w:sz w:val="20"/>
                <w:szCs w:val="20"/>
                <w:color w:val="auto"/>
              </w:rPr>
            </w:pPr>
            <w:r>
              <w:rPr>
                <w:rFonts w:ascii="Arial" w:cs="Arial" w:eastAsia="Arial" w:hAnsi="Arial"/>
                <w:sz w:val="9"/>
                <w:szCs w:val="9"/>
                <w:color w:val="005A64"/>
              </w:rPr>
              <w:t>11.9</w:t>
            </w:r>
          </w:p>
        </w:tc>
        <w:tc>
          <w:tcPr>
            <w:tcW w:w="4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680" w:type="dxa"/>
            <w:vAlign w:val="bottom"/>
            <w:gridSpan w:val="2"/>
          </w:tcPr>
          <w:p>
            <w:pPr>
              <w:ind w:left="100"/>
              <w:spacing w:after="0"/>
              <w:rPr>
                <w:sz w:val="20"/>
                <w:szCs w:val="20"/>
                <w:color w:val="auto"/>
              </w:rPr>
            </w:pPr>
            <w:r>
              <w:rPr>
                <w:rFonts w:ascii="Arial" w:cs="Arial" w:eastAsia="Arial" w:hAnsi="Arial"/>
                <w:sz w:val="9"/>
                <w:szCs w:val="9"/>
                <w:color w:val="005A64"/>
              </w:rPr>
              <w:t>11.9</w:t>
            </w: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580" w:type="dxa"/>
            <w:vAlign w:val="bottom"/>
            <w:gridSpan w:val="2"/>
          </w:tcPr>
          <w:p>
            <w:pPr>
              <w:ind w:left="40"/>
              <w:spacing w:after="0"/>
              <w:rPr>
                <w:sz w:val="20"/>
                <w:szCs w:val="20"/>
                <w:color w:val="auto"/>
              </w:rPr>
            </w:pPr>
            <w:r>
              <w:rPr>
                <w:rFonts w:ascii="Arial" w:cs="Arial" w:eastAsia="Arial" w:hAnsi="Arial"/>
                <w:sz w:val="9"/>
                <w:szCs w:val="9"/>
                <w:color w:val="005A64"/>
              </w:rPr>
              <w:t>11.9</w:t>
            </w:r>
          </w:p>
        </w:tc>
        <w:tc>
          <w:tcPr>
            <w:tcW w:w="40" w:type="dxa"/>
            <w:vAlign w:val="bottom"/>
            <w:tcBorders>
              <w:right w:val="single" w:sz="8" w:color="BECD32"/>
            </w:tcBorders>
          </w:tcPr>
          <w:p>
            <w:pPr>
              <w:spacing w:after="0"/>
              <w:rPr>
                <w:sz w:val="14"/>
                <w:szCs w:val="14"/>
                <w:color w:val="auto"/>
              </w:rPr>
            </w:pPr>
          </w:p>
        </w:tc>
      </w:tr>
      <w:tr>
        <w:trPr>
          <w:trHeight w:val="134"/>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color w:val="005A64"/>
              </w:rPr>
              <w:t>Security investments disclosed as cash and cash</w:t>
            </w:r>
          </w:p>
        </w:tc>
        <w:tc>
          <w:tcPr>
            <w:tcW w:w="560" w:type="dxa"/>
            <w:vAlign w:val="bottom"/>
          </w:tcPr>
          <w:p>
            <w:pPr>
              <w:ind w:left="20"/>
              <w:spacing w:after="0"/>
              <w:rPr>
                <w:sz w:val="20"/>
                <w:szCs w:val="20"/>
                <w:color w:val="auto"/>
              </w:rPr>
            </w:pPr>
            <w:r>
              <w:rPr>
                <w:rFonts w:ascii="Arial" w:cs="Arial" w:eastAsia="Arial" w:hAnsi="Arial"/>
                <w:sz w:val="9"/>
                <w:szCs w:val="9"/>
                <w:color w:val="005A64"/>
              </w:rPr>
              <w:t>6,947.5</w:t>
            </w:r>
          </w:p>
        </w:tc>
        <w:tc>
          <w:tcPr>
            <w:tcW w:w="8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9"/>
                <w:szCs w:val="9"/>
                <w:color w:val="005A64"/>
              </w:rPr>
              <w:t>—</w:t>
            </w:r>
          </w:p>
        </w:tc>
        <w:tc>
          <w:tcPr>
            <w:tcW w:w="620" w:type="dxa"/>
            <w:vAlign w:val="bottom"/>
            <w:gridSpan w:val="2"/>
          </w:tcPr>
          <w:p>
            <w:pPr>
              <w:ind w:left="100"/>
              <w:spacing w:after="0"/>
              <w:rPr>
                <w:sz w:val="20"/>
                <w:szCs w:val="20"/>
                <w:color w:val="auto"/>
              </w:rPr>
            </w:pPr>
            <w:r>
              <w:rPr>
                <w:rFonts w:ascii="Arial" w:cs="Arial" w:eastAsia="Arial" w:hAnsi="Arial"/>
                <w:sz w:val="9"/>
                <w:szCs w:val="9"/>
                <w:color w:val="005A64"/>
              </w:rPr>
              <w:t>6,947.5</w:t>
            </w:r>
          </w:p>
        </w:tc>
        <w:tc>
          <w:tcPr>
            <w:tcW w:w="640" w:type="dxa"/>
            <w:vAlign w:val="bottom"/>
            <w:gridSpan w:val="2"/>
          </w:tcPr>
          <w:p>
            <w:pPr>
              <w:ind w:left="60"/>
              <w:spacing w:after="0"/>
              <w:rPr>
                <w:sz w:val="20"/>
                <w:szCs w:val="20"/>
                <w:color w:val="auto"/>
              </w:rPr>
            </w:pPr>
            <w:r>
              <w:rPr>
                <w:rFonts w:ascii="Arial" w:cs="Arial" w:eastAsia="Arial" w:hAnsi="Arial"/>
                <w:sz w:val="9"/>
                <w:szCs w:val="9"/>
                <w:color w:val="005A64"/>
              </w:rPr>
              <w:t>6,947.5</w:t>
            </w:r>
          </w:p>
        </w:tc>
        <w:tc>
          <w:tcPr>
            <w:tcW w:w="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580" w:type="dxa"/>
            <w:vAlign w:val="bottom"/>
            <w:gridSpan w:val="2"/>
          </w:tcPr>
          <w:p>
            <w:pPr>
              <w:ind w:left="40"/>
              <w:spacing w:after="0"/>
              <w:rPr>
                <w:sz w:val="20"/>
                <w:szCs w:val="20"/>
                <w:color w:val="auto"/>
              </w:rPr>
            </w:pPr>
            <w:r>
              <w:rPr>
                <w:rFonts w:ascii="Arial" w:cs="Arial" w:eastAsia="Arial" w:hAnsi="Arial"/>
                <w:sz w:val="9"/>
                <w:szCs w:val="9"/>
                <w:color w:val="005A64"/>
              </w:rPr>
              <w:t>6,947.5</w:t>
            </w:r>
          </w:p>
        </w:tc>
        <w:tc>
          <w:tcPr>
            <w:tcW w:w="40" w:type="dxa"/>
            <w:vAlign w:val="bottom"/>
            <w:tcBorders>
              <w:right w:val="single" w:sz="8" w:color="BECD32"/>
            </w:tcBorders>
          </w:tcPr>
          <w:p>
            <w:pPr>
              <w:spacing w:after="0"/>
              <w:rPr>
                <w:sz w:val="11"/>
                <w:szCs w:val="11"/>
                <w:color w:val="auto"/>
              </w:rPr>
            </w:pPr>
          </w:p>
        </w:tc>
      </w:tr>
      <w:tr>
        <w:trPr>
          <w:trHeight w:val="118"/>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color w:val="005A64"/>
              </w:rPr>
              <w:t>equivalents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Borders>
              <w:right w:val="single" w:sz="8" w:color="BECD32"/>
            </w:tcBorders>
          </w:tcPr>
          <w:p>
            <w:pPr>
              <w:spacing w:after="0"/>
              <w:rPr>
                <w:sz w:val="10"/>
                <w:szCs w:val="10"/>
                <w:color w:val="auto"/>
              </w:rPr>
            </w:pPr>
          </w:p>
        </w:tc>
      </w:tr>
      <w:tr>
        <w:trPr>
          <w:trHeight w:val="182"/>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color w:val="005A64"/>
              </w:rPr>
              <w:t>Other financial assets</w:t>
            </w:r>
          </w:p>
        </w:tc>
        <w:tc>
          <w:tcPr>
            <w:tcW w:w="560" w:type="dxa"/>
            <w:vAlign w:val="bottom"/>
          </w:tcPr>
          <w:p>
            <w:pPr>
              <w:ind w:left="20"/>
              <w:spacing w:after="0"/>
              <w:rPr>
                <w:sz w:val="20"/>
                <w:szCs w:val="20"/>
                <w:color w:val="auto"/>
              </w:rPr>
            </w:pPr>
            <w:r>
              <w:rPr>
                <w:rFonts w:ascii="Arial" w:cs="Arial" w:eastAsia="Arial" w:hAnsi="Arial"/>
                <w:sz w:val="9"/>
                <w:szCs w:val="9"/>
                <w:color w:val="005A64"/>
              </w:rPr>
              <w:t>—</w:t>
            </w:r>
          </w:p>
        </w:tc>
        <w:tc>
          <w:tcPr>
            <w:tcW w:w="620" w:type="dxa"/>
            <w:vAlign w:val="bottom"/>
            <w:gridSpan w:val="2"/>
          </w:tcPr>
          <w:p>
            <w:pPr>
              <w:ind w:left="80"/>
              <w:spacing w:after="0"/>
              <w:rPr>
                <w:sz w:val="20"/>
                <w:szCs w:val="20"/>
                <w:color w:val="auto"/>
              </w:rPr>
            </w:pPr>
            <w:r>
              <w:rPr>
                <w:rFonts w:ascii="Arial" w:cs="Arial" w:eastAsia="Arial" w:hAnsi="Arial"/>
                <w:sz w:val="9"/>
                <w:szCs w:val="9"/>
                <w:color w:val="005A64"/>
              </w:rPr>
              <w:t>39.6</w:t>
            </w:r>
          </w:p>
        </w:tc>
        <w:tc>
          <w:tcPr>
            <w:tcW w:w="620" w:type="dxa"/>
            <w:vAlign w:val="bottom"/>
            <w:gridSpan w:val="2"/>
          </w:tcPr>
          <w:p>
            <w:pPr>
              <w:ind w:left="100"/>
              <w:spacing w:after="0"/>
              <w:rPr>
                <w:sz w:val="20"/>
                <w:szCs w:val="20"/>
                <w:color w:val="auto"/>
              </w:rPr>
            </w:pPr>
            <w:r>
              <w:rPr>
                <w:rFonts w:ascii="Arial" w:cs="Arial" w:eastAsia="Arial" w:hAnsi="Arial"/>
                <w:sz w:val="9"/>
                <w:szCs w:val="9"/>
                <w:color w:val="005A64"/>
              </w:rPr>
              <w:t>39.6</w:t>
            </w:r>
          </w:p>
        </w:tc>
        <w:tc>
          <w:tcPr>
            <w:tcW w:w="4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680" w:type="dxa"/>
            <w:vAlign w:val="bottom"/>
            <w:gridSpan w:val="2"/>
          </w:tcPr>
          <w:p>
            <w:pPr>
              <w:ind w:left="100"/>
              <w:spacing w:after="0"/>
              <w:rPr>
                <w:sz w:val="20"/>
                <w:szCs w:val="20"/>
                <w:color w:val="auto"/>
              </w:rPr>
            </w:pPr>
            <w:r>
              <w:rPr>
                <w:rFonts w:ascii="Arial" w:cs="Arial" w:eastAsia="Arial" w:hAnsi="Arial"/>
                <w:sz w:val="9"/>
                <w:szCs w:val="9"/>
                <w:color w:val="005A64"/>
              </w:rPr>
              <w:t>39.6</w:t>
            </w:r>
          </w:p>
        </w:tc>
        <w:tc>
          <w:tcPr>
            <w:tcW w:w="580" w:type="dxa"/>
            <w:vAlign w:val="bottom"/>
            <w:gridSpan w:val="2"/>
          </w:tcPr>
          <w:p>
            <w:pPr>
              <w:ind w:left="40"/>
              <w:spacing w:after="0"/>
              <w:rPr>
                <w:sz w:val="20"/>
                <w:szCs w:val="20"/>
                <w:color w:val="auto"/>
              </w:rPr>
            </w:pPr>
            <w:r>
              <w:rPr>
                <w:rFonts w:ascii="Arial" w:cs="Arial" w:eastAsia="Arial" w:hAnsi="Arial"/>
                <w:sz w:val="9"/>
                <w:szCs w:val="9"/>
                <w:color w:val="005A64"/>
              </w:rPr>
              <w:t>39.6</w:t>
            </w:r>
          </w:p>
        </w:tc>
        <w:tc>
          <w:tcPr>
            <w:tcW w:w="40" w:type="dxa"/>
            <w:vAlign w:val="bottom"/>
            <w:tcBorders>
              <w:right w:val="single" w:sz="8" w:color="BECD32"/>
            </w:tcBorders>
          </w:tcPr>
          <w:p>
            <w:pPr>
              <w:spacing w:after="0"/>
              <w:rPr>
                <w:sz w:val="15"/>
                <w:szCs w:val="15"/>
                <w:color w:val="auto"/>
              </w:rPr>
            </w:pPr>
          </w:p>
        </w:tc>
      </w:tr>
      <w:tr>
        <w:trPr>
          <w:trHeight w:val="134"/>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b w:val="1"/>
                <w:bCs w:val="1"/>
                <w:color w:val="3C9673"/>
              </w:rPr>
              <w:t>Financial assets subsequently measured at fair</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Borders>
              <w:right w:val="single" w:sz="8" w:color="BECD32"/>
            </w:tcBorders>
          </w:tcPr>
          <w:p>
            <w:pPr>
              <w:spacing w:after="0"/>
              <w:rPr>
                <w:sz w:val="11"/>
                <w:szCs w:val="11"/>
                <w:color w:val="auto"/>
              </w:rPr>
            </w:pPr>
          </w:p>
        </w:tc>
      </w:tr>
      <w:tr>
        <w:trPr>
          <w:trHeight w:val="124"/>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b w:val="1"/>
                <w:bCs w:val="1"/>
                <w:color w:val="3C9673"/>
              </w:rPr>
              <w:t>value through OCI</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Borders>
              <w:right w:val="single" w:sz="8" w:color="BECD32"/>
            </w:tcBorders>
          </w:tcPr>
          <w:p>
            <w:pPr>
              <w:spacing w:after="0"/>
              <w:rPr>
                <w:sz w:val="10"/>
                <w:szCs w:val="10"/>
                <w:color w:val="auto"/>
              </w:rPr>
            </w:pPr>
          </w:p>
        </w:tc>
      </w:tr>
      <w:tr>
        <w:trPr>
          <w:trHeight w:val="176"/>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color w:val="005A64"/>
              </w:rPr>
              <w:t>Non-listed equity investments</w:t>
            </w:r>
          </w:p>
        </w:tc>
        <w:tc>
          <w:tcPr>
            <w:tcW w:w="560" w:type="dxa"/>
            <w:vAlign w:val="bottom"/>
          </w:tcPr>
          <w:p>
            <w:pPr>
              <w:ind w:left="20"/>
              <w:spacing w:after="0"/>
              <w:rPr>
                <w:sz w:val="20"/>
                <w:szCs w:val="20"/>
                <w:color w:val="auto"/>
              </w:rPr>
            </w:pPr>
            <w:r>
              <w:rPr>
                <w:rFonts w:ascii="Arial" w:cs="Arial" w:eastAsia="Arial" w:hAnsi="Arial"/>
                <w:sz w:val="9"/>
                <w:szCs w:val="9"/>
                <w:color w:val="005A64"/>
              </w:rPr>
              <w:t>—</w:t>
            </w:r>
          </w:p>
        </w:tc>
        <w:tc>
          <w:tcPr>
            <w:tcW w:w="620" w:type="dxa"/>
            <w:vAlign w:val="bottom"/>
            <w:gridSpan w:val="2"/>
          </w:tcPr>
          <w:p>
            <w:pPr>
              <w:ind w:left="80"/>
              <w:spacing w:after="0"/>
              <w:rPr>
                <w:sz w:val="20"/>
                <w:szCs w:val="20"/>
                <w:color w:val="auto"/>
              </w:rPr>
            </w:pPr>
            <w:r>
              <w:rPr>
                <w:rFonts w:ascii="Arial" w:cs="Arial" w:eastAsia="Arial" w:hAnsi="Arial"/>
                <w:sz w:val="9"/>
                <w:szCs w:val="9"/>
                <w:color w:val="005A64"/>
              </w:rPr>
              <w:t>1.5</w:t>
            </w:r>
          </w:p>
        </w:tc>
        <w:tc>
          <w:tcPr>
            <w:tcW w:w="620" w:type="dxa"/>
            <w:vAlign w:val="bottom"/>
            <w:gridSpan w:val="2"/>
          </w:tcPr>
          <w:p>
            <w:pPr>
              <w:ind w:left="100"/>
              <w:spacing w:after="0"/>
              <w:rPr>
                <w:sz w:val="20"/>
                <w:szCs w:val="20"/>
                <w:color w:val="auto"/>
              </w:rPr>
            </w:pPr>
            <w:r>
              <w:rPr>
                <w:rFonts w:ascii="Arial" w:cs="Arial" w:eastAsia="Arial" w:hAnsi="Arial"/>
                <w:sz w:val="9"/>
                <w:szCs w:val="9"/>
                <w:color w:val="005A64"/>
              </w:rPr>
              <w:t>1.5</w:t>
            </w:r>
          </w:p>
        </w:tc>
        <w:tc>
          <w:tcPr>
            <w:tcW w:w="4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680" w:type="dxa"/>
            <w:vAlign w:val="bottom"/>
            <w:gridSpan w:val="2"/>
          </w:tcPr>
          <w:p>
            <w:pPr>
              <w:ind w:left="100"/>
              <w:spacing w:after="0"/>
              <w:rPr>
                <w:sz w:val="20"/>
                <w:szCs w:val="20"/>
                <w:color w:val="auto"/>
              </w:rPr>
            </w:pPr>
            <w:r>
              <w:rPr>
                <w:rFonts w:ascii="Arial" w:cs="Arial" w:eastAsia="Arial" w:hAnsi="Arial"/>
                <w:sz w:val="9"/>
                <w:szCs w:val="9"/>
                <w:color w:val="005A64"/>
              </w:rPr>
              <w:t>1.5</w:t>
            </w:r>
          </w:p>
        </w:tc>
        <w:tc>
          <w:tcPr>
            <w:tcW w:w="580" w:type="dxa"/>
            <w:vAlign w:val="bottom"/>
            <w:gridSpan w:val="2"/>
          </w:tcPr>
          <w:p>
            <w:pPr>
              <w:ind w:left="40"/>
              <w:spacing w:after="0"/>
              <w:rPr>
                <w:sz w:val="20"/>
                <w:szCs w:val="20"/>
                <w:color w:val="auto"/>
              </w:rPr>
            </w:pPr>
            <w:r>
              <w:rPr>
                <w:rFonts w:ascii="Arial" w:cs="Arial" w:eastAsia="Arial" w:hAnsi="Arial"/>
                <w:sz w:val="9"/>
                <w:szCs w:val="9"/>
                <w:color w:val="005A64"/>
              </w:rPr>
              <w:t>1.5</w:t>
            </w:r>
          </w:p>
        </w:tc>
        <w:tc>
          <w:tcPr>
            <w:tcW w:w="40" w:type="dxa"/>
            <w:vAlign w:val="bottom"/>
            <w:tcBorders>
              <w:right w:val="single" w:sz="8" w:color="BECD32"/>
            </w:tcBorders>
          </w:tcPr>
          <w:p>
            <w:pPr>
              <w:spacing w:after="0"/>
              <w:rPr>
                <w:sz w:val="15"/>
                <w:szCs w:val="15"/>
                <w:color w:val="auto"/>
              </w:rPr>
            </w:pPr>
          </w:p>
        </w:tc>
      </w:tr>
      <w:tr>
        <w:trPr>
          <w:trHeight w:val="162"/>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color w:val="005A64"/>
              </w:rPr>
              <w:t>Listed equity investments</w:t>
            </w:r>
          </w:p>
        </w:tc>
        <w:tc>
          <w:tcPr>
            <w:tcW w:w="560" w:type="dxa"/>
            <w:vAlign w:val="bottom"/>
          </w:tcPr>
          <w:p>
            <w:pPr>
              <w:ind w:left="20"/>
              <w:spacing w:after="0"/>
              <w:rPr>
                <w:sz w:val="20"/>
                <w:szCs w:val="20"/>
                <w:color w:val="auto"/>
              </w:rPr>
            </w:pPr>
            <w:r>
              <w:rPr>
                <w:rFonts w:ascii="Arial" w:cs="Arial" w:eastAsia="Arial" w:hAnsi="Arial"/>
                <w:sz w:val="9"/>
                <w:szCs w:val="9"/>
                <w:color w:val="005A64"/>
              </w:rPr>
              <w:t>—</w:t>
            </w:r>
          </w:p>
        </w:tc>
        <w:tc>
          <w:tcPr>
            <w:tcW w:w="620" w:type="dxa"/>
            <w:vAlign w:val="bottom"/>
            <w:gridSpan w:val="2"/>
          </w:tcPr>
          <w:p>
            <w:pPr>
              <w:ind w:left="80"/>
              <w:spacing w:after="0"/>
              <w:rPr>
                <w:sz w:val="20"/>
                <w:szCs w:val="20"/>
                <w:color w:val="auto"/>
              </w:rPr>
            </w:pPr>
            <w:r>
              <w:rPr>
                <w:rFonts w:ascii="Arial" w:cs="Arial" w:eastAsia="Arial" w:hAnsi="Arial"/>
                <w:sz w:val="9"/>
                <w:szCs w:val="9"/>
                <w:color w:val="005A64"/>
              </w:rPr>
              <w:t>92.7</w:t>
            </w:r>
          </w:p>
        </w:tc>
        <w:tc>
          <w:tcPr>
            <w:tcW w:w="620" w:type="dxa"/>
            <w:vAlign w:val="bottom"/>
            <w:gridSpan w:val="2"/>
          </w:tcPr>
          <w:p>
            <w:pPr>
              <w:ind w:left="100"/>
              <w:spacing w:after="0"/>
              <w:rPr>
                <w:sz w:val="20"/>
                <w:szCs w:val="20"/>
                <w:color w:val="auto"/>
              </w:rPr>
            </w:pPr>
            <w:r>
              <w:rPr>
                <w:rFonts w:ascii="Arial" w:cs="Arial" w:eastAsia="Arial" w:hAnsi="Arial"/>
                <w:sz w:val="9"/>
                <w:szCs w:val="9"/>
                <w:color w:val="005A64"/>
              </w:rPr>
              <w:t>92.7</w:t>
            </w:r>
          </w:p>
        </w:tc>
        <w:tc>
          <w:tcPr>
            <w:tcW w:w="640" w:type="dxa"/>
            <w:vAlign w:val="bottom"/>
            <w:gridSpan w:val="2"/>
          </w:tcPr>
          <w:p>
            <w:pPr>
              <w:ind w:left="60"/>
              <w:spacing w:after="0"/>
              <w:rPr>
                <w:sz w:val="20"/>
                <w:szCs w:val="20"/>
                <w:color w:val="auto"/>
              </w:rPr>
            </w:pPr>
            <w:r>
              <w:rPr>
                <w:rFonts w:ascii="Arial" w:cs="Arial" w:eastAsia="Arial" w:hAnsi="Arial"/>
                <w:sz w:val="9"/>
                <w:szCs w:val="9"/>
                <w:color w:val="005A64"/>
              </w:rPr>
              <w:t>92.7</w:t>
            </w: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580" w:type="dxa"/>
            <w:vAlign w:val="bottom"/>
            <w:gridSpan w:val="2"/>
          </w:tcPr>
          <w:p>
            <w:pPr>
              <w:ind w:left="40"/>
              <w:spacing w:after="0"/>
              <w:rPr>
                <w:sz w:val="20"/>
                <w:szCs w:val="20"/>
                <w:color w:val="auto"/>
              </w:rPr>
            </w:pPr>
            <w:r>
              <w:rPr>
                <w:rFonts w:ascii="Arial" w:cs="Arial" w:eastAsia="Arial" w:hAnsi="Arial"/>
                <w:sz w:val="9"/>
                <w:szCs w:val="9"/>
                <w:color w:val="005A64"/>
              </w:rPr>
              <w:t>92.7</w:t>
            </w:r>
          </w:p>
        </w:tc>
        <w:tc>
          <w:tcPr>
            <w:tcW w:w="40" w:type="dxa"/>
            <w:vAlign w:val="bottom"/>
            <w:tcBorders>
              <w:right w:val="single" w:sz="8" w:color="BECD32"/>
            </w:tcBorders>
          </w:tcPr>
          <w:p>
            <w:pPr>
              <w:spacing w:after="0"/>
              <w:rPr>
                <w:sz w:val="14"/>
                <w:szCs w:val="14"/>
                <w:color w:val="auto"/>
              </w:rPr>
            </w:pPr>
          </w:p>
        </w:tc>
      </w:tr>
      <w:tr>
        <w:trPr>
          <w:trHeight w:val="154"/>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b w:val="1"/>
                <w:bCs w:val="1"/>
                <w:color w:val="3C9673"/>
              </w:rPr>
              <w:t>Financial assets subsequently measured at</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Borders>
              <w:right w:val="single" w:sz="8" w:color="BECD32"/>
            </w:tcBorders>
          </w:tcPr>
          <w:p>
            <w:pPr>
              <w:spacing w:after="0"/>
              <w:rPr>
                <w:sz w:val="13"/>
                <w:szCs w:val="13"/>
                <w:color w:val="auto"/>
              </w:rPr>
            </w:pPr>
          </w:p>
        </w:tc>
      </w:tr>
      <w:tr>
        <w:trPr>
          <w:trHeight w:val="183"/>
        </w:trPr>
        <w:tc>
          <w:tcPr>
            <w:tcW w:w="2340" w:type="dxa"/>
            <w:vAlign w:val="bottom"/>
            <w:tcBorders>
              <w:right w:val="single" w:sz="8" w:color="BECD32"/>
            </w:tcBorders>
            <w:gridSpan w:val="2"/>
          </w:tcPr>
          <w:p>
            <w:pPr>
              <w:ind w:left="20"/>
              <w:spacing w:after="0" w:line="183" w:lineRule="exact"/>
              <w:rPr>
                <w:sz w:val="20"/>
                <w:szCs w:val="20"/>
                <w:color w:val="auto"/>
              </w:rPr>
            </w:pPr>
            <w:r>
              <w:rPr>
                <w:rFonts w:ascii="Arial" w:cs="Arial" w:eastAsia="Arial" w:hAnsi="Arial"/>
                <w:sz w:val="9"/>
                <w:szCs w:val="9"/>
                <w:b w:val="1"/>
                <w:bCs w:val="1"/>
                <w:color w:val="3C9673"/>
              </w:rPr>
              <w:t>amortized costs</w:t>
            </w:r>
            <w:r>
              <w:rPr>
                <w:rFonts w:ascii="Arial" w:cs="Arial" w:eastAsia="Arial" w:hAnsi="Arial"/>
                <w:sz w:val="16"/>
                <w:szCs w:val="16"/>
                <w:color w:val="005A64"/>
                <w:vertAlign w:val="superscript"/>
              </w:rPr>
              <w:t>(1)</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Borders>
              <w:right w:val="single" w:sz="8" w:color="BECD32"/>
            </w:tcBorders>
          </w:tcPr>
          <w:p>
            <w:pPr>
              <w:spacing w:after="0"/>
              <w:rPr>
                <w:sz w:val="15"/>
                <w:szCs w:val="15"/>
                <w:color w:val="auto"/>
              </w:rPr>
            </w:pPr>
          </w:p>
        </w:tc>
      </w:tr>
      <w:tr>
        <w:trPr>
          <w:trHeight w:val="91"/>
        </w:trPr>
        <w:tc>
          <w:tcPr>
            <w:tcW w:w="2340" w:type="dxa"/>
            <w:vAlign w:val="bottom"/>
            <w:tcBorders>
              <w:right w:val="single" w:sz="8" w:color="BECD32"/>
            </w:tcBorders>
            <w:gridSpan w:val="2"/>
          </w:tcPr>
          <w:p>
            <w:pPr>
              <w:ind w:left="20"/>
              <w:spacing w:after="0" w:line="91" w:lineRule="exact"/>
              <w:rPr>
                <w:sz w:val="20"/>
                <w:szCs w:val="20"/>
                <w:color w:val="auto"/>
              </w:rPr>
            </w:pPr>
            <w:r>
              <w:rPr>
                <w:rFonts w:ascii="Arial" w:cs="Arial" w:eastAsia="Arial" w:hAnsi="Arial"/>
                <w:sz w:val="9"/>
                <w:szCs w:val="9"/>
                <w:color w:val="005A64"/>
              </w:rPr>
              <w:t>Security investments disclosed as other financial</w:t>
            </w:r>
          </w:p>
        </w:tc>
        <w:tc>
          <w:tcPr>
            <w:tcW w:w="560" w:type="dxa"/>
            <w:vAlign w:val="bottom"/>
          </w:tcPr>
          <w:p>
            <w:pPr>
              <w:ind w:left="20"/>
              <w:spacing w:after="0" w:line="91" w:lineRule="exact"/>
              <w:rPr>
                <w:sz w:val="20"/>
                <w:szCs w:val="20"/>
                <w:color w:val="auto"/>
              </w:rPr>
            </w:pPr>
            <w:r>
              <w:rPr>
                <w:rFonts w:ascii="Arial" w:cs="Arial" w:eastAsia="Arial" w:hAnsi="Arial"/>
                <w:sz w:val="9"/>
                <w:szCs w:val="9"/>
                <w:color w:val="005A64"/>
              </w:rPr>
              <w:t>6,536.2</w:t>
            </w:r>
          </w:p>
        </w:tc>
        <w:tc>
          <w:tcPr>
            <w:tcW w:w="620" w:type="dxa"/>
            <w:vAlign w:val="bottom"/>
            <w:gridSpan w:val="2"/>
          </w:tcPr>
          <w:p>
            <w:pPr>
              <w:ind w:left="80"/>
              <w:spacing w:after="0" w:line="91" w:lineRule="exact"/>
              <w:rPr>
                <w:sz w:val="20"/>
                <w:szCs w:val="20"/>
                <w:color w:val="auto"/>
              </w:rPr>
            </w:pPr>
            <w:r>
              <w:rPr>
                <w:rFonts w:ascii="Arial" w:cs="Arial" w:eastAsia="Arial" w:hAnsi="Arial"/>
                <w:sz w:val="9"/>
                <w:szCs w:val="9"/>
                <w:color w:val="005A64"/>
              </w:rPr>
              <w:t>1,061.1</w:t>
            </w:r>
          </w:p>
        </w:tc>
        <w:tc>
          <w:tcPr>
            <w:tcW w:w="620" w:type="dxa"/>
            <w:vAlign w:val="bottom"/>
            <w:gridSpan w:val="2"/>
          </w:tcPr>
          <w:p>
            <w:pPr>
              <w:ind w:left="100"/>
              <w:spacing w:after="0" w:line="91" w:lineRule="exact"/>
              <w:rPr>
                <w:sz w:val="20"/>
                <w:szCs w:val="20"/>
                <w:color w:val="auto"/>
              </w:rPr>
            </w:pPr>
            <w:r>
              <w:rPr>
                <w:rFonts w:ascii="Arial" w:cs="Arial" w:eastAsia="Arial" w:hAnsi="Arial"/>
                <w:sz w:val="9"/>
                <w:szCs w:val="9"/>
                <w:color w:val="005A64"/>
              </w:rPr>
              <w:t>7,597.3</w:t>
            </w:r>
          </w:p>
        </w:tc>
        <w:tc>
          <w:tcPr>
            <w:tcW w:w="40" w:type="dxa"/>
            <w:vAlign w:val="bottom"/>
          </w:tcPr>
          <w:p>
            <w:pPr>
              <w:spacing w:after="0"/>
              <w:rPr>
                <w:sz w:val="7"/>
                <w:szCs w:val="7"/>
                <w:color w:val="auto"/>
              </w:rPr>
            </w:pPr>
          </w:p>
        </w:tc>
        <w:tc>
          <w:tcPr>
            <w:tcW w:w="600" w:type="dxa"/>
            <w:vAlign w:val="bottom"/>
          </w:tcPr>
          <w:p>
            <w:pPr>
              <w:ind w:left="20"/>
              <w:spacing w:after="0" w:line="91" w:lineRule="exact"/>
              <w:rPr>
                <w:sz w:val="20"/>
                <w:szCs w:val="20"/>
                <w:color w:val="auto"/>
              </w:rPr>
            </w:pPr>
            <w:r>
              <w:rPr>
                <w:rFonts w:ascii="Arial" w:cs="Arial" w:eastAsia="Arial" w:hAnsi="Arial"/>
                <w:sz w:val="9"/>
                <w:szCs w:val="9"/>
                <w:color w:val="005A64"/>
              </w:rPr>
              <w:t>—</w:t>
            </w:r>
          </w:p>
        </w:tc>
        <w:tc>
          <w:tcPr>
            <w:tcW w:w="80" w:type="dxa"/>
            <w:vAlign w:val="bottom"/>
          </w:tcPr>
          <w:p>
            <w:pPr>
              <w:spacing w:after="0"/>
              <w:rPr>
                <w:sz w:val="7"/>
                <w:szCs w:val="7"/>
                <w:color w:val="auto"/>
              </w:rPr>
            </w:pPr>
          </w:p>
        </w:tc>
        <w:tc>
          <w:tcPr>
            <w:tcW w:w="600" w:type="dxa"/>
            <w:vAlign w:val="bottom"/>
          </w:tcPr>
          <w:p>
            <w:pPr>
              <w:ind w:left="20"/>
              <w:spacing w:after="0" w:line="91" w:lineRule="exact"/>
              <w:rPr>
                <w:sz w:val="20"/>
                <w:szCs w:val="20"/>
                <w:color w:val="auto"/>
              </w:rPr>
            </w:pPr>
            <w:r>
              <w:rPr>
                <w:rFonts w:ascii="Arial" w:cs="Arial" w:eastAsia="Arial" w:hAnsi="Arial"/>
                <w:sz w:val="9"/>
                <w:szCs w:val="9"/>
                <w:color w:val="005A64"/>
              </w:rPr>
              <w:t>—</w:t>
            </w:r>
          </w:p>
        </w:tc>
        <w:tc>
          <w:tcPr>
            <w:tcW w:w="80" w:type="dxa"/>
            <w:vAlign w:val="bottom"/>
          </w:tcPr>
          <w:p>
            <w:pPr>
              <w:spacing w:after="0"/>
              <w:rPr>
                <w:sz w:val="7"/>
                <w:szCs w:val="7"/>
                <w:color w:val="auto"/>
              </w:rPr>
            </w:pPr>
          </w:p>
        </w:tc>
        <w:tc>
          <w:tcPr>
            <w:tcW w:w="600" w:type="dxa"/>
            <w:vAlign w:val="bottom"/>
          </w:tcPr>
          <w:p>
            <w:pPr>
              <w:ind w:left="20"/>
              <w:spacing w:after="0" w:line="91" w:lineRule="exact"/>
              <w:rPr>
                <w:sz w:val="20"/>
                <w:szCs w:val="20"/>
                <w:color w:val="auto"/>
              </w:rPr>
            </w:pPr>
            <w:r>
              <w:rPr>
                <w:rFonts w:ascii="Arial" w:cs="Arial" w:eastAsia="Arial" w:hAnsi="Arial"/>
                <w:sz w:val="9"/>
                <w:szCs w:val="9"/>
                <w:color w:val="005A64"/>
              </w:rPr>
              <w:t>—</w:t>
            </w:r>
          </w:p>
        </w:tc>
        <w:tc>
          <w:tcPr>
            <w:tcW w:w="580" w:type="dxa"/>
            <w:vAlign w:val="bottom"/>
            <w:gridSpan w:val="2"/>
          </w:tcPr>
          <w:p>
            <w:pPr>
              <w:ind w:left="40"/>
              <w:spacing w:after="0" w:line="91" w:lineRule="exact"/>
              <w:rPr>
                <w:sz w:val="20"/>
                <w:szCs w:val="20"/>
                <w:color w:val="auto"/>
              </w:rPr>
            </w:pPr>
            <w:r>
              <w:rPr>
                <w:rFonts w:ascii="Arial" w:cs="Arial" w:eastAsia="Arial" w:hAnsi="Arial"/>
                <w:sz w:val="9"/>
                <w:szCs w:val="9"/>
                <w:color w:val="005A64"/>
              </w:rPr>
              <w:t>7,597.3</w:t>
            </w:r>
          </w:p>
        </w:tc>
        <w:tc>
          <w:tcPr>
            <w:tcW w:w="40" w:type="dxa"/>
            <w:vAlign w:val="bottom"/>
            <w:tcBorders>
              <w:right w:val="single" w:sz="8" w:color="BECD32"/>
            </w:tcBorders>
          </w:tcPr>
          <w:p>
            <w:pPr>
              <w:spacing w:after="0"/>
              <w:rPr>
                <w:sz w:val="7"/>
                <w:szCs w:val="7"/>
                <w:color w:val="auto"/>
              </w:rPr>
            </w:pPr>
          </w:p>
        </w:tc>
      </w:tr>
      <w:tr>
        <w:trPr>
          <w:trHeight w:val="118"/>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color w:val="005A64"/>
              </w:rPr>
              <w:t>assets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Borders>
              <w:right w:val="single" w:sz="8" w:color="BECD32"/>
            </w:tcBorders>
          </w:tcPr>
          <w:p>
            <w:pPr>
              <w:spacing w:after="0"/>
              <w:rPr>
                <w:sz w:val="10"/>
                <w:szCs w:val="10"/>
                <w:color w:val="auto"/>
              </w:rPr>
            </w:pPr>
          </w:p>
        </w:tc>
      </w:tr>
      <w:tr>
        <w:trPr>
          <w:trHeight w:val="155"/>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color w:val="005A64"/>
              </w:rPr>
              <w:t>Security investments disclosed as cash and cash</w:t>
            </w:r>
          </w:p>
        </w:tc>
        <w:tc>
          <w:tcPr>
            <w:tcW w:w="560" w:type="dxa"/>
            <w:vAlign w:val="bottom"/>
          </w:tcPr>
          <w:p>
            <w:pPr>
              <w:ind w:left="20"/>
              <w:spacing w:after="0"/>
              <w:rPr>
                <w:sz w:val="20"/>
                <w:szCs w:val="20"/>
                <w:color w:val="auto"/>
              </w:rPr>
            </w:pPr>
            <w:r>
              <w:rPr>
                <w:rFonts w:ascii="Arial" w:cs="Arial" w:eastAsia="Arial" w:hAnsi="Arial"/>
                <w:sz w:val="9"/>
                <w:szCs w:val="9"/>
                <w:color w:val="005A64"/>
              </w:rPr>
              <w:t>2,364.4</w:t>
            </w:r>
          </w:p>
        </w:tc>
        <w:tc>
          <w:tcPr>
            <w:tcW w:w="8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9"/>
                <w:szCs w:val="9"/>
                <w:color w:val="005A64"/>
              </w:rPr>
              <w:t>—</w:t>
            </w:r>
          </w:p>
        </w:tc>
        <w:tc>
          <w:tcPr>
            <w:tcW w:w="620" w:type="dxa"/>
            <w:vAlign w:val="bottom"/>
            <w:gridSpan w:val="2"/>
          </w:tcPr>
          <w:p>
            <w:pPr>
              <w:ind w:left="100"/>
              <w:spacing w:after="0"/>
              <w:rPr>
                <w:sz w:val="20"/>
                <w:szCs w:val="20"/>
                <w:color w:val="auto"/>
              </w:rPr>
            </w:pPr>
            <w:r>
              <w:rPr>
                <w:rFonts w:ascii="Arial" w:cs="Arial" w:eastAsia="Arial" w:hAnsi="Arial"/>
                <w:sz w:val="9"/>
                <w:szCs w:val="9"/>
                <w:color w:val="005A64"/>
              </w:rPr>
              <w:t>2,364.4</w:t>
            </w:r>
          </w:p>
        </w:tc>
        <w:tc>
          <w:tcPr>
            <w:tcW w:w="4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580" w:type="dxa"/>
            <w:vAlign w:val="bottom"/>
            <w:gridSpan w:val="2"/>
          </w:tcPr>
          <w:p>
            <w:pPr>
              <w:ind w:left="40"/>
              <w:spacing w:after="0"/>
              <w:rPr>
                <w:sz w:val="20"/>
                <w:szCs w:val="20"/>
                <w:color w:val="auto"/>
              </w:rPr>
            </w:pPr>
            <w:r>
              <w:rPr>
                <w:rFonts w:ascii="Arial" w:cs="Arial" w:eastAsia="Arial" w:hAnsi="Arial"/>
                <w:sz w:val="9"/>
                <w:szCs w:val="9"/>
                <w:color w:val="005A64"/>
              </w:rPr>
              <w:t>2,364.4</w:t>
            </w:r>
          </w:p>
        </w:tc>
        <w:tc>
          <w:tcPr>
            <w:tcW w:w="40" w:type="dxa"/>
            <w:vAlign w:val="bottom"/>
            <w:tcBorders>
              <w:right w:val="single" w:sz="8" w:color="BECD32"/>
            </w:tcBorders>
          </w:tcPr>
          <w:p>
            <w:pPr>
              <w:spacing w:after="0"/>
              <w:rPr>
                <w:sz w:val="13"/>
                <w:szCs w:val="13"/>
                <w:color w:val="auto"/>
              </w:rPr>
            </w:pPr>
          </w:p>
        </w:tc>
      </w:tr>
      <w:tr>
        <w:trPr>
          <w:trHeight w:val="118"/>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color w:val="005A64"/>
              </w:rPr>
              <w:t>equivalents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Borders>
              <w:right w:val="single" w:sz="8" w:color="BECD32"/>
            </w:tcBorders>
          </w:tcPr>
          <w:p>
            <w:pPr>
              <w:spacing w:after="0"/>
              <w:rPr>
                <w:sz w:val="10"/>
                <w:szCs w:val="10"/>
                <w:color w:val="auto"/>
              </w:rPr>
            </w:pPr>
          </w:p>
        </w:tc>
      </w:tr>
      <w:tr>
        <w:trPr>
          <w:trHeight w:val="182"/>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color w:val="005A64"/>
              </w:rPr>
              <w:t>Cash at banks and on hand</w:t>
            </w:r>
          </w:p>
        </w:tc>
        <w:tc>
          <w:tcPr>
            <w:tcW w:w="560" w:type="dxa"/>
            <w:vAlign w:val="bottom"/>
          </w:tcPr>
          <w:p>
            <w:pPr>
              <w:ind w:left="20"/>
              <w:spacing w:after="0"/>
              <w:rPr>
                <w:sz w:val="20"/>
                <w:szCs w:val="20"/>
                <w:color w:val="auto"/>
              </w:rPr>
            </w:pPr>
            <w:r>
              <w:rPr>
                <w:rFonts w:ascii="Arial" w:cs="Arial" w:eastAsia="Arial" w:hAnsi="Arial"/>
                <w:sz w:val="9"/>
                <w:szCs w:val="9"/>
                <w:color w:val="005A64"/>
              </w:rPr>
              <w:t>450.0</w:t>
            </w:r>
          </w:p>
        </w:tc>
        <w:tc>
          <w:tcPr>
            <w:tcW w:w="8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9"/>
                <w:szCs w:val="9"/>
                <w:color w:val="005A64"/>
              </w:rPr>
              <w:t>—</w:t>
            </w:r>
          </w:p>
        </w:tc>
        <w:tc>
          <w:tcPr>
            <w:tcW w:w="620" w:type="dxa"/>
            <w:vAlign w:val="bottom"/>
            <w:gridSpan w:val="2"/>
          </w:tcPr>
          <w:p>
            <w:pPr>
              <w:ind w:left="100"/>
              <w:spacing w:after="0"/>
              <w:rPr>
                <w:sz w:val="20"/>
                <w:szCs w:val="20"/>
                <w:color w:val="auto"/>
              </w:rPr>
            </w:pPr>
            <w:r>
              <w:rPr>
                <w:rFonts w:ascii="Arial" w:cs="Arial" w:eastAsia="Arial" w:hAnsi="Arial"/>
                <w:sz w:val="9"/>
                <w:szCs w:val="9"/>
                <w:color w:val="005A64"/>
              </w:rPr>
              <w:t>450.0</w:t>
            </w:r>
          </w:p>
        </w:tc>
        <w:tc>
          <w:tcPr>
            <w:tcW w:w="4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580" w:type="dxa"/>
            <w:vAlign w:val="bottom"/>
            <w:gridSpan w:val="2"/>
          </w:tcPr>
          <w:p>
            <w:pPr>
              <w:ind w:left="40"/>
              <w:spacing w:after="0"/>
              <w:rPr>
                <w:sz w:val="20"/>
                <w:szCs w:val="20"/>
                <w:color w:val="auto"/>
              </w:rPr>
            </w:pPr>
            <w:r>
              <w:rPr>
                <w:rFonts w:ascii="Arial" w:cs="Arial" w:eastAsia="Arial" w:hAnsi="Arial"/>
                <w:sz w:val="9"/>
                <w:szCs w:val="9"/>
                <w:color w:val="005A64"/>
              </w:rPr>
              <w:t>450.0</w:t>
            </w:r>
          </w:p>
        </w:tc>
        <w:tc>
          <w:tcPr>
            <w:tcW w:w="40" w:type="dxa"/>
            <w:vAlign w:val="bottom"/>
            <w:tcBorders>
              <w:right w:val="single" w:sz="8" w:color="BECD32"/>
            </w:tcBorders>
          </w:tcPr>
          <w:p>
            <w:pPr>
              <w:spacing w:after="0"/>
              <w:rPr>
                <w:sz w:val="15"/>
                <w:szCs w:val="15"/>
                <w:color w:val="auto"/>
              </w:rPr>
            </w:pPr>
          </w:p>
        </w:tc>
      </w:tr>
      <w:tr>
        <w:trPr>
          <w:trHeight w:val="162"/>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color w:val="005A64"/>
              </w:rPr>
              <w:t>Trade and other receivables</w:t>
            </w:r>
          </w:p>
        </w:tc>
        <w:tc>
          <w:tcPr>
            <w:tcW w:w="560" w:type="dxa"/>
            <w:vAlign w:val="bottom"/>
          </w:tcPr>
          <w:p>
            <w:pPr>
              <w:ind w:left="20"/>
              <w:spacing w:after="0"/>
              <w:rPr>
                <w:sz w:val="20"/>
                <w:szCs w:val="20"/>
                <w:color w:val="auto"/>
              </w:rPr>
            </w:pPr>
            <w:r>
              <w:rPr>
                <w:rFonts w:ascii="Arial" w:cs="Arial" w:eastAsia="Arial" w:hAnsi="Arial"/>
                <w:sz w:val="9"/>
                <w:szCs w:val="9"/>
                <w:color w:val="005A64"/>
              </w:rPr>
              <w:t>1,463.9</w:t>
            </w:r>
          </w:p>
        </w:tc>
        <w:tc>
          <w:tcPr>
            <w:tcW w:w="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9"/>
                <w:szCs w:val="9"/>
                <w:color w:val="005A64"/>
              </w:rPr>
              <w:t>—</w:t>
            </w:r>
          </w:p>
        </w:tc>
        <w:tc>
          <w:tcPr>
            <w:tcW w:w="620" w:type="dxa"/>
            <w:vAlign w:val="bottom"/>
            <w:gridSpan w:val="2"/>
          </w:tcPr>
          <w:p>
            <w:pPr>
              <w:ind w:left="100"/>
              <w:spacing w:after="0"/>
              <w:rPr>
                <w:sz w:val="20"/>
                <w:szCs w:val="20"/>
                <w:color w:val="auto"/>
              </w:rPr>
            </w:pPr>
            <w:r>
              <w:rPr>
                <w:rFonts w:ascii="Arial" w:cs="Arial" w:eastAsia="Arial" w:hAnsi="Arial"/>
                <w:sz w:val="9"/>
                <w:szCs w:val="9"/>
                <w:color w:val="005A64"/>
              </w:rPr>
              <w:t>1,463.9</w:t>
            </w:r>
          </w:p>
        </w:tc>
        <w:tc>
          <w:tcPr>
            <w:tcW w:w="4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580" w:type="dxa"/>
            <w:vAlign w:val="bottom"/>
            <w:gridSpan w:val="2"/>
          </w:tcPr>
          <w:p>
            <w:pPr>
              <w:ind w:left="40"/>
              <w:spacing w:after="0"/>
              <w:rPr>
                <w:sz w:val="20"/>
                <w:szCs w:val="20"/>
                <w:color w:val="auto"/>
              </w:rPr>
            </w:pPr>
            <w:r>
              <w:rPr>
                <w:rFonts w:ascii="Arial" w:cs="Arial" w:eastAsia="Arial" w:hAnsi="Arial"/>
                <w:sz w:val="9"/>
                <w:szCs w:val="9"/>
                <w:color w:val="005A64"/>
              </w:rPr>
              <w:t>1,463.9</w:t>
            </w:r>
          </w:p>
        </w:tc>
        <w:tc>
          <w:tcPr>
            <w:tcW w:w="40" w:type="dxa"/>
            <w:vAlign w:val="bottom"/>
            <w:tcBorders>
              <w:right w:val="single" w:sz="8" w:color="BECD32"/>
            </w:tcBorders>
          </w:tcPr>
          <w:p>
            <w:pPr>
              <w:spacing w:after="0"/>
              <w:rPr>
                <w:sz w:val="14"/>
                <w:szCs w:val="14"/>
                <w:color w:val="auto"/>
              </w:rPr>
            </w:pPr>
          </w:p>
        </w:tc>
      </w:tr>
      <w:tr>
        <w:trPr>
          <w:trHeight w:val="162"/>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color w:val="005A64"/>
              </w:rPr>
              <w:t>Reimbursement asset</w:t>
            </w:r>
          </w:p>
        </w:tc>
        <w:tc>
          <w:tcPr>
            <w:tcW w:w="560" w:type="dxa"/>
            <w:vAlign w:val="bottom"/>
          </w:tcPr>
          <w:p>
            <w:pPr>
              <w:ind w:left="20"/>
              <w:spacing w:after="0"/>
              <w:rPr>
                <w:sz w:val="20"/>
                <w:szCs w:val="20"/>
                <w:color w:val="auto"/>
              </w:rPr>
            </w:pPr>
            <w:r>
              <w:rPr>
                <w:rFonts w:ascii="Arial" w:cs="Arial" w:eastAsia="Arial" w:hAnsi="Arial"/>
                <w:sz w:val="9"/>
                <w:szCs w:val="9"/>
                <w:color w:val="005A64"/>
              </w:rPr>
              <w:t>473.6</w:t>
            </w:r>
          </w:p>
        </w:tc>
        <w:tc>
          <w:tcPr>
            <w:tcW w:w="620" w:type="dxa"/>
            <w:vAlign w:val="bottom"/>
            <w:gridSpan w:val="2"/>
          </w:tcPr>
          <w:p>
            <w:pPr>
              <w:ind w:left="80"/>
              <w:spacing w:after="0"/>
              <w:rPr>
                <w:sz w:val="20"/>
                <w:szCs w:val="20"/>
                <w:color w:val="auto"/>
              </w:rPr>
            </w:pPr>
            <w:r>
              <w:rPr>
                <w:rFonts w:ascii="Arial" w:cs="Arial" w:eastAsia="Arial" w:hAnsi="Arial"/>
                <w:sz w:val="9"/>
                <w:szCs w:val="9"/>
                <w:color w:val="005A64"/>
              </w:rPr>
              <w:t>40.9</w:t>
            </w:r>
          </w:p>
        </w:tc>
        <w:tc>
          <w:tcPr>
            <w:tcW w:w="620" w:type="dxa"/>
            <w:vAlign w:val="bottom"/>
            <w:gridSpan w:val="2"/>
          </w:tcPr>
          <w:p>
            <w:pPr>
              <w:ind w:left="100"/>
              <w:spacing w:after="0"/>
              <w:rPr>
                <w:sz w:val="20"/>
                <w:szCs w:val="20"/>
                <w:color w:val="auto"/>
              </w:rPr>
            </w:pPr>
            <w:r>
              <w:rPr>
                <w:rFonts w:ascii="Arial" w:cs="Arial" w:eastAsia="Arial" w:hAnsi="Arial"/>
                <w:sz w:val="9"/>
                <w:szCs w:val="9"/>
                <w:color w:val="005A64"/>
              </w:rPr>
              <w:t>514.5</w:t>
            </w:r>
          </w:p>
        </w:tc>
        <w:tc>
          <w:tcPr>
            <w:tcW w:w="4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580" w:type="dxa"/>
            <w:vAlign w:val="bottom"/>
            <w:gridSpan w:val="2"/>
          </w:tcPr>
          <w:p>
            <w:pPr>
              <w:ind w:left="40"/>
              <w:spacing w:after="0"/>
              <w:rPr>
                <w:sz w:val="20"/>
                <w:szCs w:val="20"/>
                <w:color w:val="auto"/>
              </w:rPr>
            </w:pPr>
            <w:r>
              <w:rPr>
                <w:rFonts w:ascii="Arial" w:cs="Arial" w:eastAsia="Arial" w:hAnsi="Arial"/>
                <w:sz w:val="9"/>
                <w:szCs w:val="9"/>
                <w:color w:val="005A64"/>
              </w:rPr>
              <w:t>514.5</w:t>
            </w:r>
          </w:p>
        </w:tc>
        <w:tc>
          <w:tcPr>
            <w:tcW w:w="40" w:type="dxa"/>
            <w:vAlign w:val="bottom"/>
            <w:tcBorders>
              <w:right w:val="single" w:sz="8" w:color="BECD32"/>
            </w:tcBorders>
          </w:tcPr>
          <w:p>
            <w:pPr>
              <w:spacing w:after="0"/>
              <w:rPr>
                <w:sz w:val="14"/>
                <w:szCs w:val="14"/>
                <w:color w:val="auto"/>
              </w:rPr>
            </w:pPr>
          </w:p>
        </w:tc>
      </w:tr>
      <w:tr>
        <w:trPr>
          <w:trHeight w:val="162"/>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color w:val="005A64"/>
              </w:rPr>
              <w:t>Other financial assets</w:t>
            </w:r>
          </w:p>
        </w:tc>
        <w:tc>
          <w:tcPr>
            <w:tcW w:w="560" w:type="dxa"/>
            <w:vAlign w:val="bottom"/>
          </w:tcPr>
          <w:p>
            <w:pPr>
              <w:ind w:left="20"/>
              <w:spacing w:after="0"/>
              <w:rPr>
                <w:sz w:val="20"/>
                <w:szCs w:val="20"/>
                <w:color w:val="auto"/>
              </w:rPr>
            </w:pPr>
            <w:r>
              <w:rPr>
                <w:rFonts w:ascii="Arial" w:cs="Arial" w:eastAsia="Arial" w:hAnsi="Arial"/>
                <w:sz w:val="9"/>
                <w:szCs w:val="9"/>
                <w:color w:val="005A64"/>
              </w:rPr>
              <w:t>—</w:t>
            </w:r>
          </w:p>
        </w:tc>
        <w:tc>
          <w:tcPr>
            <w:tcW w:w="620" w:type="dxa"/>
            <w:vAlign w:val="bottom"/>
            <w:gridSpan w:val="2"/>
          </w:tcPr>
          <w:p>
            <w:pPr>
              <w:ind w:left="80"/>
              <w:spacing w:after="0"/>
              <w:rPr>
                <w:sz w:val="20"/>
                <w:szCs w:val="20"/>
                <w:color w:val="auto"/>
              </w:rPr>
            </w:pPr>
            <w:r>
              <w:rPr>
                <w:rFonts w:ascii="Arial" w:cs="Arial" w:eastAsia="Arial" w:hAnsi="Arial"/>
                <w:sz w:val="9"/>
                <w:szCs w:val="9"/>
                <w:color w:val="005A64"/>
              </w:rPr>
              <w:t>18.2</w:t>
            </w:r>
          </w:p>
        </w:tc>
        <w:tc>
          <w:tcPr>
            <w:tcW w:w="620" w:type="dxa"/>
            <w:vAlign w:val="bottom"/>
            <w:gridSpan w:val="2"/>
          </w:tcPr>
          <w:p>
            <w:pPr>
              <w:ind w:left="100"/>
              <w:spacing w:after="0"/>
              <w:rPr>
                <w:sz w:val="20"/>
                <w:szCs w:val="20"/>
                <w:color w:val="auto"/>
              </w:rPr>
            </w:pPr>
            <w:r>
              <w:rPr>
                <w:rFonts w:ascii="Arial" w:cs="Arial" w:eastAsia="Arial" w:hAnsi="Arial"/>
                <w:sz w:val="9"/>
                <w:szCs w:val="9"/>
                <w:color w:val="005A64"/>
              </w:rPr>
              <w:t>18.2</w:t>
            </w:r>
          </w:p>
        </w:tc>
        <w:tc>
          <w:tcPr>
            <w:tcW w:w="4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580" w:type="dxa"/>
            <w:vAlign w:val="bottom"/>
            <w:gridSpan w:val="2"/>
          </w:tcPr>
          <w:p>
            <w:pPr>
              <w:ind w:left="40"/>
              <w:spacing w:after="0"/>
              <w:rPr>
                <w:sz w:val="20"/>
                <w:szCs w:val="20"/>
                <w:color w:val="auto"/>
              </w:rPr>
            </w:pPr>
            <w:r>
              <w:rPr>
                <w:rFonts w:ascii="Arial" w:cs="Arial" w:eastAsia="Arial" w:hAnsi="Arial"/>
                <w:sz w:val="9"/>
                <w:szCs w:val="9"/>
                <w:color w:val="005A64"/>
              </w:rPr>
              <w:t>18.2</w:t>
            </w:r>
          </w:p>
        </w:tc>
        <w:tc>
          <w:tcPr>
            <w:tcW w:w="40" w:type="dxa"/>
            <w:vAlign w:val="bottom"/>
            <w:tcBorders>
              <w:right w:val="single" w:sz="8" w:color="BECD32"/>
            </w:tcBorders>
          </w:tcPr>
          <w:p>
            <w:pPr>
              <w:spacing w:after="0"/>
              <w:rPr>
                <w:sz w:val="14"/>
                <w:szCs w:val="14"/>
                <w:color w:val="auto"/>
              </w:rPr>
            </w:pPr>
          </w:p>
        </w:tc>
      </w:tr>
      <w:tr>
        <w:trPr>
          <w:trHeight w:val="134"/>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b w:val="1"/>
                <w:bCs w:val="1"/>
                <w:color w:val="3C9673"/>
              </w:rPr>
              <w:t>Financial liabilities subsequently measured at</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Borders>
              <w:right w:val="single" w:sz="8" w:color="BECD32"/>
            </w:tcBorders>
          </w:tcPr>
          <w:p>
            <w:pPr>
              <w:spacing w:after="0"/>
              <w:rPr>
                <w:sz w:val="11"/>
                <w:szCs w:val="11"/>
                <w:color w:val="auto"/>
              </w:rPr>
            </w:pPr>
          </w:p>
        </w:tc>
      </w:tr>
      <w:tr>
        <w:trPr>
          <w:trHeight w:val="124"/>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b w:val="1"/>
                <w:bCs w:val="1"/>
                <w:color w:val="3C9673"/>
              </w:rPr>
              <w:t>fair value</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Borders>
              <w:right w:val="single" w:sz="8" w:color="BECD32"/>
            </w:tcBorders>
          </w:tcPr>
          <w:p>
            <w:pPr>
              <w:spacing w:after="0"/>
              <w:rPr>
                <w:sz w:val="10"/>
                <w:szCs w:val="10"/>
                <w:color w:val="auto"/>
              </w:rPr>
            </w:pPr>
          </w:p>
        </w:tc>
      </w:tr>
      <w:tr>
        <w:trPr>
          <w:trHeight w:val="176"/>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color w:val="005A64"/>
              </w:rPr>
              <w:t>Foreign exchange forward contracts</w:t>
            </w:r>
          </w:p>
        </w:tc>
        <w:tc>
          <w:tcPr>
            <w:tcW w:w="560" w:type="dxa"/>
            <w:vAlign w:val="bottom"/>
          </w:tcPr>
          <w:p>
            <w:pPr>
              <w:ind w:left="20"/>
              <w:spacing w:after="0"/>
              <w:rPr>
                <w:sz w:val="20"/>
                <w:szCs w:val="20"/>
                <w:color w:val="auto"/>
              </w:rPr>
            </w:pPr>
            <w:r>
              <w:rPr>
                <w:rFonts w:ascii="Arial" w:cs="Arial" w:eastAsia="Arial" w:hAnsi="Arial"/>
                <w:sz w:val="9"/>
                <w:szCs w:val="9"/>
                <w:color w:val="005A64"/>
              </w:rPr>
              <w:t>16.3</w:t>
            </w:r>
          </w:p>
        </w:tc>
        <w:tc>
          <w:tcPr>
            <w:tcW w:w="8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9"/>
                <w:szCs w:val="9"/>
                <w:color w:val="005A64"/>
              </w:rPr>
              <w:t>—</w:t>
            </w:r>
          </w:p>
        </w:tc>
        <w:tc>
          <w:tcPr>
            <w:tcW w:w="620" w:type="dxa"/>
            <w:vAlign w:val="bottom"/>
            <w:gridSpan w:val="2"/>
          </w:tcPr>
          <w:p>
            <w:pPr>
              <w:ind w:left="100"/>
              <w:spacing w:after="0"/>
              <w:rPr>
                <w:sz w:val="20"/>
                <w:szCs w:val="20"/>
                <w:color w:val="auto"/>
              </w:rPr>
            </w:pPr>
            <w:r>
              <w:rPr>
                <w:rFonts w:ascii="Arial" w:cs="Arial" w:eastAsia="Arial" w:hAnsi="Arial"/>
                <w:sz w:val="9"/>
                <w:szCs w:val="9"/>
                <w:color w:val="005A64"/>
              </w:rPr>
              <w:t>16.3</w:t>
            </w:r>
          </w:p>
        </w:tc>
        <w:tc>
          <w:tcPr>
            <w:tcW w:w="4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680" w:type="dxa"/>
            <w:vAlign w:val="bottom"/>
            <w:gridSpan w:val="2"/>
          </w:tcPr>
          <w:p>
            <w:pPr>
              <w:ind w:left="100"/>
              <w:spacing w:after="0"/>
              <w:rPr>
                <w:sz w:val="20"/>
                <w:szCs w:val="20"/>
                <w:color w:val="auto"/>
              </w:rPr>
            </w:pPr>
            <w:r>
              <w:rPr>
                <w:rFonts w:ascii="Arial" w:cs="Arial" w:eastAsia="Arial" w:hAnsi="Arial"/>
                <w:sz w:val="9"/>
                <w:szCs w:val="9"/>
                <w:color w:val="005A64"/>
              </w:rPr>
              <w:t>16.3</w:t>
            </w:r>
          </w:p>
        </w:tc>
        <w:tc>
          <w:tcPr>
            <w:tcW w:w="8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580" w:type="dxa"/>
            <w:vAlign w:val="bottom"/>
            <w:gridSpan w:val="2"/>
          </w:tcPr>
          <w:p>
            <w:pPr>
              <w:ind w:left="40"/>
              <w:spacing w:after="0"/>
              <w:rPr>
                <w:sz w:val="20"/>
                <w:szCs w:val="20"/>
                <w:color w:val="auto"/>
              </w:rPr>
            </w:pPr>
            <w:r>
              <w:rPr>
                <w:rFonts w:ascii="Arial" w:cs="Arial" w:eastAsia="Arial" w:hAnsi="Arial"/>
                <w:sz w:val="9"/>
                <w:szCs w:val="9"/>
                <w:color w:val="005A64"/>
              </w:rPr>
              <w:t>16.3</w:t>
            </w:r>
          </w:p>
        </w:tc>
        <w:tc>
          <w:tcPr>
            <w:tcW w:w="40" w:type="dxa"/>
            <w:vAlign w:val="bottom"/>
            <w:tcBorders>
              <w:right w:val="single" w:sz="8" w:color="BECD32"/>
            </w:tcBorders>
          </w:tcPr>
          <w:p>
            <w:pPr>
              <w:spacing w:after="0"/>
              <w:rPr>
                <w:sz w:val="15"/>
                <w:szCs w:val="15"/>
                <w:color w:val="auto"/>
              </w:rPr>
            </w:pPr>
          </w:p>
        </w:tc>
      </w:tr>
      <w:tr>
        <w:trPr>
          <w:trHeight w:val="162"/>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color w:val="005A64"/>
              </w:rPr>
              <w:t>Contingent consideration</w:t>
            </w:r>
          </w:p>
        </w:tc>
        <w:tc>
          <w:tcPr>
            <w:tcW w:w="560" w:type="dxa"/>
            <w:vAlign w:val="bottom"/>
          </w:tcPr>
          <w:p>
            <w:pPr>
              <w:ind w:left="20"/>
              <w:spacing w:after="0"/>
              <w:rPr>
                <w:sz w:val="20"/>
                <w:szCs w:val="20"/>
                <w:color w:val="auto"/>
              </w:rPr>
            </w:pPr>
            <w:r>
              <w:rPr>
                <w:rFonts w:ascii="Arial" w:cs="Arial" w:eastAsia="Arial" w:hAnsi="Arial"/>
                <w:sz w:val="9"/>
                <w:szCs w:val="9"/>
                <w:color w:val="005A64"/>
              </w:rPr>
              <w:t>0.9</w:t>
            </w:r>
          </w:p>
        </w:tc>
        <w:tc>
          <w:tcPr>
            <w:tcW w:w="620" w:type="dxa"/>
            <w:vAlign w:val="bottom"/>
            <w:gridSpan w:val="2"/>
          </w:tcPr>
          <w:p>
            <w:pPr>
              <w:ind w:left="80"/>
              <w:spacing w:after="0"/>
              <w:rPr>
                <w:sz w:val="20"/>
                <w:szCs w:val="20"/>
                <w:color w:val="auto"/>
              </w:rPr>
            </w:pPr>
            <w:r>
              <w:rPr>
                <w:rFonts w:ascii="Arial" w:cs="Arial" w:eastAsia="Arial" w:hAnsi="Arial"/>
                <w:sz w:val="9"/>
                <w:szCs w:val="9"/>
                <w:color w:val="005A64"/>
              </w:rPr>
              <w:t>46.9</w:t>
            </w:r>
          </w:p>
        </w:tc>
        <w:tc>
          <w:tcPr>
            <w:tcW w:w="620" w:type="dxa"/>
            <w:vAlign w:val="bottom"/>
            <w:gridSpan w:val="2"/>
          </w:tcPr>
          <w:p>
            <w:pPr>
              <w:ind w:left="100"/>
              <w:spacing w:after="0"/>
              <w:rPr>
                <w:sz w:val="20"/>
                <w:szCs w:val="20"/>
                <w:color w:val="auto"/>
              </w:rPr>
            </w:pPr>
            <w:r>
              <w:rPr>
                <w:rFonts w:ascii="Arial" w:cs="Arial" w:eastAsia="Arial" w:hAnsi="Arial"/>
                <w:sz w:val="9"/>
                <w:szCs w:val="9"/>
                <w:color w:val="005A64"/>
              </w:rPr>
              <w:t>47.8</w:t>
            </w:r>
          </w:p>
        </w:tc>
        <w:tc>
          <w:tcPr>
            <w:tcW w:w="4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680" w:type="dxa"/>
            <w:vAlign w:val="bottom"/>
            <w:gridSpan w:val="2"/>
          </w:tcPr>
          <w:p>
            <w:pPr>
              <w:ind w:left="100"/>
              <w:spacing w:after="0"/>
              <w:rPr>
                <w:sz w:val="20"/>
                <w:szCs w:val="20"/>
                <w:color w:val="auto"/>
              </w:rPr>
            </w:pPr>
            <w:r>
              <w:rPr>
                <w:rFonts w:ascii="Arial" w:cs="Arial" w:eastAsia="Arial" w:hAnsi="Arial"/>
                <w:sz w:val="9"/>
                <w:szCs w:val="9"/>
                <w:color w:val="005A64"/>
              </w:rPr>
              <w:t>47.8</w:t>
            </w:r>
          </w:p>
        </w:tc>
        <w:tc>
          <w:tcPr>
            <w:tcW w:w="580" w:type="dxa"/>
            <w:vAlign w:val="bottom"/>
            <w:gridSpan w:val="2"/>
          </w:tcPr>
          <w:p>
            <w:pPr>
              <w:ind w:left="40"/>
              <w:spacing w:after="0"/>
              <w:rPr>
                <w:sz w:val="20"/>
                <w:szCs w:val="20"/>
                <w:color w:val="auto"/>
              </w:rPr>
            </w:pPr>
            <w:r>
              <w:rPr>
                <w:rFonts w:ascii="Arial" w:cs="Arial" w:eastAsia="Arial" w:hAnsi="Arial"/>
                <w:sz w:val="9"/>
                <w:szCs w:val="9"/>
                <w:color w:val="005A64"/>
              </w:rPr>
              <w:t>47.8</w:t>
            </w:r>
          </w:p>
        </w:tc>
        <w:tc>
          <w:tcPr>
            <w:tcW w:w="40" w:type="dxa"/>
            <w:vAlign w:val="bottom"/>
            <w:tcBorders>
              <w:right w:val="single" w:sz="8" w:color="BECD32"/>
            </w:tcBorders>
          </w:tcPr>
          <w:p>
            <w:pPr>
              <w:spacing w:after="0"/>
              <w:rPr>
                <w:sz w:val="14"/>
                <w:szCs w:val="14"/>
                <w:color w:val="auto"/>
              </w:rPr>
            </w:pPr>
          </w:p>
        </w:tc>
      </w:tr>
      <w:tr>
        <w:trPr>
          <w:trHeight w:val="154"/>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b w:val="1"/>
                <w:bCs w:val="1"/>
                <w:color w:val="3C9673"/>
              </w:rPr>
              <w:t>Financial liabilities subsequently measured at</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Borders>
              <w:right w:val="single" w:sz="8" w:color="BECD32"/>
            </w:tcBorders>
          </w:tcPr>
          <w:p>
            <w:pPr>
              <w:spacing w:after="0"/>
              <w:rPr>
                <w:sz w:val="13"/>
                <w:szCs w:val="13"/>
                <w:color w:val="auto"/>
              </w:rPr>
            </w:pPr>
          </w:p>
        </w:tc>
      </w:tr>
      <w:tr>
        <w:trPr>
          <w:trHeight w:val="183"/>
        </w:trPr>
        <w:tc>
          <w:tcPr>
            <w:tcW w:w="2340" w:type="dxa"/>
            <w:vAlign w:val="bottom"/>
            <w:tcBorders>
              <w:right w:val="single" w:sz="8" w:color="BECD32"/>
            </w:tcBorders>
            <w:gridSpan w:val="2"/>
          </w:tcPr>
          <w:p>
            <w:pPr>
              <w:ind w:left="20"/>
              <w:spacing w:after="0" w:line="183" w:lineRule="exact"/>
              <w:rPr>
                <w:sz w:val="20"/>
                <w:szCs w:val="20"/>
                <w:color w:val="auto"/>
              </w:rPr>
            </w:pPr>
            <w:r>
              <w:rPr>
                <w:rFonts w:ascii="Arial" w:cs="Arial" w:eastAsia="Arial" w:hAnsi="Arial"/>
                <w:sz w:val="9"/>
                <w:szCs w:val="9"/>
                <w:b w:val="1"/>
                <w:bCs w:val="1"/>
                <w:color w:val="3C9673"/>
              </w:rPr>
              <w:t>amortized costs</w:t>
            </w:r>
            <w:r>
              <w:rPr>
                <w:rFonts w:ascii="Arial" w:cs="Arial" w:eastAsia="Arial" w:hAnsi="Arial"/>
                <w:sz w:val="16"/>
                <w:szCs w:val="16"/>
                <w:color w:val="005A64"/>
                <w:vertAlign w:val="superscript"/>
              </w:rPr>
              <w:t>(1)</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Borders>
              <w:right w:val="single" w:sz="8" w:color="BECD32"/>
            </w:tcBorders>
          </w:tcPr>
          <w:p>
            <w:pPr>
              <w:spacing w:after="0"/>
              <w:rPr>
                <w:sz w:val="15"/>
                <w:szCs w:val="15"/>
                <w:color w:val="auto"/>
              </w:rPr>
            </w:pPr>
          </w:p>
        </w:tc>
      </w:tr>
      <w:tr>
        <w:trPr>
          <w:trHeight w:val="118"/>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color w:val="005A64"/>
              </w:rPr>
              <w:t>Loans and borrowings</w:t>
            </w:r>
          </w:p>
        </w:tc>
        <w:tc>
          <w:tcPr>
            <w:tcW w:w="560" w:type="dxa"/>
            <w:vAlign w:val="bottom"/>
          </w:tcPr>
          <w:p>
            <w:pPr>
              <w:ind w:left="20"/>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0"/>
                <w:szCs w:val="10"/>
                <w:color w:val="auto"/>
              </w:rPr>
            </w:pPr>
          </w:p>
        </w:tc>
        <w:tc>
          <w:tcPr>
            <w:tcW w:w="540" w:type="dxa"/>
            <w:vAlign w:val="bottom"/>
          </w:tcPr>
          <w:p>
            <w:pPr>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9"/>
                <w:szCs w:val="9"/>
                <w:color w:val="005A64"/>
              </w:rPr>
              <w:t>—</w:t>
            </w:r>
          </w:p>
        </w:tc>
        <w:tc>
          <w:tcPr>
            <w:tcW w:w="40" w:type="dxa"/>
            <w:vAlign w:val="bottom"/>
          </w:tcPr>
          <w:p>
            <w:pPr>
              <w:spacing w:after="0"/>
              <w:rPr>
                <w:sz w:val="10"/>
                <w:szCs w:val="10"/>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0"/>
                <w:szCs w:val="10"/>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0"/>
                <w:szCs w:val="10"/>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40" w:type="dxa"/>
            <w:vAlign w:val="bottom"/>
          </w:tcPr>
          <w:p>
            <w:pPr>
              <w:spacing w:after="0"/>
              <w:rPr>
                <w:sz w:val="10"/>
                <w:szCs w:val="10"/>
                <w:color w:val="auto"/>
              </w:rPr>
            </w:pPr>
          </w:p>
        </w:tc>
        <w:tc>
          <w:tcPr>
            <w:tcW w:w="580" w:type="dxa"/>
            <w:vAlign w:val="bottom"/>
            <w:tcBorders>
              <w:right w:val="single" w:sz="8" w:color="BECD32"/>
            </w:tcBorders>
            <w:gridSpan w:val="2"/>
          </w:tcPr>
          <w:p>
            <w:pPr>
              <w:spacing w:after="0"/>
              <w:rPr>
                <w:sz w:val="20"/>
                <w:szCs w:val="20"/>
                <w:color w:val="auto"/>
              </w:rPr>
            </w:pPr>
            <w:r>
              <w:rPr>
                <w:rFonts w:ascii="Arial" w:cs="Arial" w:eastAsia="Arial" w:hAnsi="Arial"/>
                <w:sz w:val="9"/>
                <w:szCs w:val="9"/>
                <w:color w:val="005A64"/>
              </w:rPr>
              <w:t>—</w:t>
            </w:r>
          </w:p>
        </w:tc>
      </w:tr>
      <w:tr>
        <w:trPr>
          <w:trHeight w:val="162"/>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color w:val="005A64"/>
              </w:rPr>
              <w:t>Trade payables and other payables</w:t>
            </w:r>
          </w:p>
        </w:tc>
        <w:tc>
          <w:tcPr>
            <w:tcW w:w="560" w:type="dxa"/>
            <w:vAlign w:val="bottom"/>
          </w:tcPr>
          <w:p>
            <w:pPr>
              <w:ind w:left="20"/>
              <w:spacing w:after="0"/>
              <w:rPr>
                <w:sz w:val="20"/>
                <w:szCs w:val="20"/>
                <w:color w:val="auto"/>
              </w:rPr>
            </w:pPr>
            <w:r>
              <w:rPr>
                <w:rFonts w:ascii="Arial" w:cs="Arial" w:eastAsia="Arial" w:hAnsi="Arial"/>
                <w:sz w:val="9"/>
                <w:szCs w:val="9"/>
                <w:color w:val="005A64"/>
              </w:rPr>
              <w:t>426.7</w:t>
            </w:r>
          </w:p>
        </w:tc>
        <w:tc>
          <w:tcPr>
            <w:tcW w:w="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9"/>
                <w:szCs w:val="9"/>
                <w:color w:val="005A64"/>
              </w:rPr>
              <w:t>—</w:t>
            </w:r>
          </w:p>
        </w:tc>
        <w:tc>
          <w:tcPr>
            <w:tcW w:w="620" w:type="dxa"/>
            <w:vAlign w:val="bottom"/>
            <w:gridSpan w:val="2"/>
          </w:tcPr>
          <w:p>
            <w:pPr>
              <w:ind w:left="100"/>
              <w:spacing w:after="0"/>
              <w:rPr>
                <w:sz w:val="20"/>
                <w:szCs w:val="20"/>
                <w:color w:val="auto"/>
              </w:rPr>
            </w:pPr>
            <w:r>
              <w:rPr>
                <w:rFonts w:ascii="Arial" w:cs="Arial" w:eastAsia="Arial" w:hAnsi="Arial"/>
                <w:sz w:val="9"/>
                <w:szCs w:val="9"/>
                <w:color w:val="005A64"/>
              </w:rPr>
              <w:t>426.7</w:t>
            </w:r>
          </w:p>
        </w:tc>
        <w:tc>
          <w:tcPr>
            <w:tcW w:w="4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580" w:type="dxa"/>
            <w:vAlign w:val="bottom"/>
            <w:gridSpan w:val="2"/>
          </w:tcPr>
          <w:p>
            <w:pPr>
              <w:ind w:left="40"/>
              <w:spacing w:after="0"/>
              <w:rPr>
                <w:sz w:val="20"/>
                <w:szCs w:val="20"/>
                <w:color w:val="auto"/>
              </w:rPr>
            </w:pPr>
            <w:r>
              <w:rPr>
                <w:rFonts w:ascii="Arial" w:cs="Arial" w:eastAsia="Arial" w:hAnsi="Arial"/>
                <w:sz w:val="9"/>
                <w:szCs w:val="9"/>
                <w:color w:val="005A64"/>
              </w:rPr>
              <w:t>426.7</w:t>
            </w:r>
          </w:p>
        </w:tc>
        <w:tc>
          <w:tcPr>
            <w:tcW w:w="40" w:type="dxa"/>
            <w:vAlign w:val="bottom"/>
            <w:tcBorders>
              <w:right w:val="single" w:sz="8" w:color="BECD32"/>
            </w:tcBorders>
          </w:tcPr>
          <w:p>
            <w:pPr>
              <w:spacing w:after="0"/>
              <w:rPr>
                <w:sz w:val="14"/>
                <w:szCs w:val="14"/>
                <w:color w:val="auto"/>
              </w:rPr>
            </w:pPr>
          </w:p>
        </w:tc>
      </w:tr>
      <w:tr>
        <w:trPr>
          <w:trHeight w:val="162"/>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color w:val="005A64"/>
              </w:rPr>
              <w:t>Other financial liabilities</w:t>
            </w:r>
          </w:p>
        </w:tc>
        <w:tc>
          <w:tcPr>
            <w:tcW w:w="560" w:type="dxa"/>
            <w:vAlign w:val="bottom"/>
          </w:tcPr>
          <w:p>
            <w:pPr>
              <w:ind w:left="20"/>
              <w:spacing w:after="0"/>
              <w:rPr>
                <w:sz w:val="20"/>
                <w:szCs w:val="20"/>
                <w:color w:val="auto"/>
              </w:rPr>
            </w:pPr>
            <w:r>
              <w:rPr>
                <w:rFonts w:ascii="Arial" w:cs="Arial" w:eastAsia="Arial" w:hAnsi="Arial"/>
                <w:sz w:val="9"/>
                <w:szCs w:val="9"/>
                <w:color w:val="005A64"/>
              </w:rPr>
              <w:t>1,426.2</w:t>
            </w:r>
          </w:p>
        </w:tc>
        <w:tc>
          <w:tcPr>
            <w:tcW w:w="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9"/>
                <w:szCs w:val="9"/>
                <w:color w:val="005A64"/>
              </w:rPr>
              <w:t>—</w:t>
            </w:r>
          </w:p>
        </w:tc>
        <w:tc>
          <w:tcPr>
            <w:tcW w:w="620" w:type="dxa"/>
            <w:vAlign w:val="bottom"/>
            <w:gridSpan w:val="2"/>
          </w:tcPr>
          <w:p>
            <w:pPr>
              <w:ind w:left="100"/>
              <w:spacing w:after="0"/>
              <w:rPr>
                <w:sz w:val="20"/>
                <w:szCs w:val="20"/>
                <w:color w:val="auto"/>
              </w:rPr>
            </w:pPr>
            <w:r>
              <w:rPr>
                <w:rFonts w:ascii="Arial" w:cs="Arial" w:eastAsia="Arial" w:hAnsi="Arial"/>
                <w:sz w:val="9"/>
                <w:szCs w:val="9"/>
                <w:color w:val="005A64"/>
              </w:rPr>
              <w:t>1,426.2</w:t>
            </w:r>
          </w:p>
        </w:tc>
        <w:tc>
          <w:tcPr>
            <w:tcW w:w="4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580" w:type="dxa"/>
            <w:vAlign w:val="bottom"/>
            <w:gridSpan w:val="2"/>
          </w:tcPr>
          <w:p>
            <w:pPr>
              <w:ind w:left="40"/>
              <w:spacing w:after="0"/>
              <w:rPr>
                <w:sz w:val="20"/>
                <w:szCs w:val="20"/>
                <w:color w:val="auto"/>
              </w:rPr>
            </w:pPr>
            <w:r>
              <w:rPr>
                <w:rFonts w:ascii="Arial" w:cs="Arial" w:eastAsia="Arial" w:hAnsi="Arial"/>
                <w:sz w:val="9"/>
                <w:szCs w:val="9"/>
                <w:color w:val="005A64"/>
              </w:rPr>
              <w:t>1,426.2</w:t>
            </w:r>
          </w:p>
        </w:tc>
        <w:tc>
          <w:tcPr>
            <w:tcW w:w="40" w:type="dxa"/>
            <w:vAlign w:val="bottom"/>
            <w:tcBorders>
              <w:right w:val="single" w:sz="8" w:color="BECD32"/>
            </w:tcBorders>
          </w:tcPr>
          <w:p>
            <w:pPr>
              <w:spacing w:after="0"/>
              <w:rPr>
                <w:sz w:val="14"/>
                <w:szCs w:val="14"/>
                <w:color w:val="auto"/>
              </w:rPr>
            </w:pPr>
          </w:p>
        </w:tc>
      </w:tr>
      <w:tr>
        <w:trPr>
          <w:trHeight w:val="134"/>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b w:val="1"/>
                <w:bCs w:val="1"/>
                <w:color w:val="3C9673"/>
              </w:rPr>
              <w:t>Financial liabilities subsequently not measured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Borders>
              <w:right w:val="single" w:sz="8" w:color="BECD32"/>
            </w:tcBorders>
          </w:tcPr>
          <w:p>
            <w:pPr>
              <w:spacing w:after="0"/>
              <w:rPr>
                <w:sz w:val="11"/>
                <w:szCs w:val="11"/>
                <w:color w:val="auto"/>
              </w:rPr>
            </w:pPr>
          </w:p>
        </w:tc>
      </w:tr>
      <w:tr>
        <w:trPr>
          <w:trHeight w:val="124"/>
        </w:trPr>
        <w:tc>
          <w:tcPr>
            <w:tcW w:w="2340" w:type="dxa"/>
            <w:vAlign w:val="bottom"/>
            <w:tcBorders>
              <w:right w:val="single" w:sz="8" w:color="BECD32"/>
            </w:tcBorders>
            <w:gridSpan w:val="2"/>
          </w:tcPr>
          <w:p>
            <w:pPr>
              <w:ind w:left="20"/>
              <w:spacing w:after="0"/>
              <w:rPr>
                <w:sz w:val="20"/>
                <w:szCs w:val="20"/>
                <w:color w:val="auto"/>
              </w:rPr>
            </w:pPr>
            <w:r>
              <w:rPr>
                <w:rFonts w:ascii="Arial" w:cs="Arial" w:eastAsia="Arial" w:hAnsi="Arial"/>
                <w:sz w:val="9"/>
                <w:szCs w:val="9"/>
                <w:b w:val="1"/>
                <w:bCs w:val="1"/>
                <w:color w:val="3C9673"/>
              </w:rPr>
              <w:t>according to IFRS 9</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Borders>
              <w:right w:val="single" w:sz="8" w:color="BECD32"/>
            </w:tcBorders>
          </w:tcPr>
          <w:p>
            <w:pPr>
              <w:spacing w:after="0"/>
              <w:rPr>
                <w:sz w:val="10"/>
                <w:szCs w:val="10"/>
                <w:color w:val="auto"/>
              </w:rPr>
            </w:pPr>
          </w:p>
        </w:tc>
      </w:tr>
      <w:tr>
        <w:trPr>
          <w:trHeight w:val="219"/>
        </w:trPr>
        <w:tc>
          <w:tcPr>
            <w:tcW w:w="2300" w:type="dxa"/>
            <w:vAlign w:val="bottom"/>
          </w:tcPr>
          <w:p>
            <w:pPr>
              <w:ind w:left="20"/>
              <w:spacing w:after="0"/>
              <w:rPr>
                <w:sz w:val="20"/>
                <w:szCs w:val="20"/>
                <w:color w:val="auto"/>
              </w:rPr>
            </w:pPr>
            <w:r>
              <w:rPr>
                <w:rFonts w:ascii="Arial" w:cs="Arial" w:eastAsia="Arial" w:hAnsi="Arial"/>
                <w:sz w:val="9"/>
                <w:szCs w:val="9"/>
                <w:color w:val="005A64"/>
              </w:rPr>
              <w:t>Lease liabilities</w:t>
            </w:r>
          </w:p>
        </w:tc>
        <w:tc>
          <w:tcPr>
            <w:tcW w:w="40" w:type="dxa"/>
            <w:vAlign w:val="bottom"/>
            <w:tcBorders>
              <w:right w:val="single" w:sz="8" w:color="BECD32"/>
            </w:tcBorders>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9"/>
                <w:szCs w:val="9"/>
                <w:color w:val="005A64"/>
              </w:rPr>
              <w:t>39.5</w:t>
            </w:r>
          </w:p>
        </w:tc>
        <w:tc>
          <w:tcPr>
            <w:tcW w:w="620" w:type="dxa"/>
            <w:vAlign w:val="bottom"/>
            <w:gridSpan w:val="2"/>
          </w:tcPr>
          <w:p>
            <w:pPr>
              <w:ind w:left="80"/>
              <w:spacing w:after="0"/>
              <w:rPr>
                <w:sz w:val="20"/>
                <w:szCs w:val="20"/>
                <w:color w:val="auto"/>
              </w:rPr>
            </w:pPr>
            <w:r>
              <w:rPr>
                <w:rFonts w:ascii="Arial" w:cs="Arial" w:eastAsia="Arial" w:hAnsi="Arial"/>
                <w:sz w:val="9"/>
                <w:szCs w:val="9"/>
                <w:color w:val="005A64"/>
              </w:rPr>
              <w:t>214.7</w:t>
            </w:r>
          </w:p>
        </w:tc>
        <w:tc>
          <w:tcPr>
            <w:tcW w:w="620" w:type="dxa"/>
            <w:vAlign w:val="bottom"/>
            <w:gridSpan w:val="2"/>
          </w:tcPr>
          <w:p>
            <w:pPr>
              <w:ind w:left="100"/>
              <w:spacing w:after="0"/>
              <w:rPr>
                <w:sz w:val="20"/>
                <w:szCs w:val="20"/>
                <w:color w:val="auto"/>
              </w:rPr>
            </w:pPr>
            <w:r>
              <w:rPr>
                <w:rFonts w:ascii="Arial" w:cs="Arial" w:eastAsia="Arial" w:hAnsi="Arial"/>
                <w:sz w:val="9"/>
                <w:szCs w:val="9"/>
                <w:color w:val="005A64"/>
              </w:rPr>
              <w:t>254.2</w:t>
            </w:r>
          </w:p>
        </w:tc>
        <w:tc>
          <w:tcPr>
            <w:tcW w:w="4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9"/>
                <w:szCs w:val="9"/>
                <w:color w:val="005A64"/>
              </w:rPr>
              <w:t>—</w:t>
            </w:r>
          </w:p>
        </w:tc>
        <w:tc>
          <w:tcPr>
            <w:tcW w:w="580" w:type="dxa"/>
            <w:vAlign w:val="bottom"/>
            <w:gridSpan w:val="2"/>
          </w:tcPr>
          <w:p>
            <w:pPr>
              <w:ind w:left="40"/>
              <w:spacing w:after="0"/>
              <w:rPr>
                <w:sz w:val="20"/>
                <w:szCs w:val="20"/>
                <w:color w:val="auto"/>
              </w:rPr>
            </w:pPr>
            <w:r>
              <w:rPr>
                <w:rFonts w:ascii="Arial" w:cs="Arial" w:eastAsia="Arial" w:hAnsi="Arial"/>
                <w:sz w:val="9"/>
                <w:szCs w:val="9"/>
                <w:color w:val="005A64"/>
              </w:rPr>
              <w:t>254.2</w:t>
            </w:r>
          </w:p>
        </w:tc>
        <w:tc>
          <w:tcPr>
            <w:tcW w:w="40" w:type="dxa"/>
            <w:vAlign w:val="bottom"/>
            <w:tcBorders>
              <w:right w:val="single" w:sz="8" w:color="BECD32"/>
            </w:tcBorders>
          </w:tcPr>
          <w:p>
            <w:pPr>
              <w:spacing w:after="0"/>
              <w:rPr>
                <w:sz w:val="19"/>
                <w:szCs w:val="19"/>
                <w:color w:val="auto"/>
              </w:rPr>
            </w:pPr>
          </w:p>
        </w:tc>
      </w:tr>
      <w:tr>
        <w:trPr>
          <w:trHeight w:val="20"/>
        </w:trPr>
        <w:tc>
          <w:tcPr>
            <w:tcW w:w="2300" w:type="dxa"/>
            <w:vAlign w:val="bottom"/>
            <w:shd w:val="clear" w:color="auto" w:fill="005A64"/>
          </w:tcPr>
          <w:p>
            <w:pPr>
              <w:spacing w:after="0" w:line="20" w:lineRule="exact"/>
              <w:rPr>
                <w:sz w:val="1"/>
                <w:szCs w:val="1"/>
                <w:color w:val="auto"/>
              </w:rPr>
            </w:pPr>
          </w:p>
        </w:tc>
        <w:tc>
          <w:tcPr>
            <w:tcW w:w="40" w:type="dxa"/>
            <w:vAlign w:val="bottom"/>
            <w:tcBorders>
              <w:right w:val="single" w:sz="8" w:color="BECE33"/>
            </w:tcBorders>
          </w:tcPr>
          <w:p>
            <w:pPr>
              <w:spacing w:after="0" w:line="20" w:lineRule="exact"/>
              <w:rPr>
                <w:sz w:val="1"/>
                <w:szCs w:val="1"/>
                <w:color w:val="auto"/>
              </w:rPr>
            </w:pPr>
          </w:p>
        </w:tc>
        <w:tc>
          <w:tcPr>
            <w:tcW w:w="560" w:type="dxa"/>
            <w:vAlign w:val="bottom"/>
            <w:shd w:val="clear" w:color="auto" w:fill="BECE33"/>
          </w:tcPr>
          <w:p>
            <w:pPr>
              <w:spacing w:after="0" w:line="20" w:lineRule="exact"/>
              <w:rPr>
                <w:sz w:val="1"/>
                <w:szCs w:val="1"/>
                <w:color w:val="auto"/>
              </w:rPr>
            </w:pPr>
          </w:p>
        </w:tc>
        <w:tc>
          <w:tcPr>
            <w:tcW w:w="80" w:type="dxa"/>
            <w:vAlign w:val="bottom"/>
            <w:shd w:val="clear" w:color="auto" w:fill="BECE33"/>
          </w:tcPr>
          <w:p>
            <w:pPr>
              <w:spacing w:after="0" w:line="20" w:lineRule="exact"/>
              <w:rPr>
                <w:sz w:val="1"/>
                <w:szCs w:val="1"/>
                <w:color w:val="auto"/>
              </w:rPr>
            </w:pPr>
          </w:p>
        </w:tc>
        <w:tc>
          <w:tcPr>
            <w:tcW w:w="540" w:type="dxa"/>
            <w:vAlign w:val="bottom"/>
            <w:shd w:val="clear" w:color="auto" w:fill="BECE33"/>
          </w:tcPr>
          <w:p>
            <w:pPr>
              <w:spacing w:after="0" w:line="20" w:lineRule="exact"/>
              <w:rPr>
                <w:sz w:val="1"/>
                <w:szCs w:val="1"/>
                <w:color w:val="auto"/>
              </w:rPr>
            </w:pPr>
          </w:p>
        </w:tc>
        <w:tc>
          <w:tcPr>
            <w:tcW w:w="80" w:type="dxa"/>
            <w:vAlign w:val="bottom"/>
            <w:shd w:val="clear" w:color="auto" w:fill="BECE33"/>
          </w:tcPr>
          <w:p>
            <w:pPr>
              <w:spacing w:after="0" w:line="20" w:lineRule="exact"/>
              <w:rPr>
                <w:sz w:val="1"/>
                <w:szCs w:val="1"/>
                <w:color w:val="auto"/>
              </w:rPr>
            </w:pPr>
          </w:p>
        </w:tc>
        <w:tc>
          <w:tcPr>
            <w:tcW w:w="540" w:type="dxa"/>
            <w:vAlign w:val="bottom"/>
            <w:shd w:val="clear" w:color="auto" w:fill="BECE33"/>
          </w:tcPr>
          <w:p>
            <w:pPr>
              <w:spacing w:after="0" w:line="20" w:lineRule="exact"/>
              <w:rPr>
                <w:sz w:val="1"/>
                <w:szCs w:val="1"/>
                <w:color w:val="auto"/>
              </w:rPr>
            </w:pPr>
          </w:p>
        </w:tc>
        <w:tc>
          <w:tcPr>
            <w:tcW w:w="40" w:type="dxa"/>
            <w:vAlign w:val="bottom"/>
            <w:shd w:val="clear" w:color="auto" w:fill="BECE33"/>
          </w:tcPr>
          <w:p>
            <w:pPr>
              <w:spacing w:after="0" w:line="20" w:lineRule="exact"/>
              <w:rPr>
                <w:sz w:val="1"/>
                <w:szCs w:val="1"/>
                <w:color w:val="auto"/>
              </w:rPr>
            </w:pPr>
          </w:p>
        </w:tc>
        <w:tc>
          <w:tcPr>
            <w:tcW w:w="600" w:type="dxa"/>
            <w:vAlign w:val="bottom"/>
            <w:shd w:val="clear" w:color="auto" w:fill="BECE33"/>
          </w:tcPr>
          <w:p>
            <w:pPr>
              <w:spacing w:after="0" w:line="20" w:lineRule="exact"/>
              <w:rPr>
                <w:sz w:val="1"/>
                <w:szCs w:val="1"/>
                <w:color w:val="auto"/>
              </w:rPr>
            </w:pPr>
          </w:p>
        </w:tc>
        <w:tc>
          <w:tcPr>
            <w:tcW w:w="80" w:type="dxa"/>
            <w:vAlign w:val="bottom"/>
            <w:shd w:val="clear" w:color="auto" w:fill="BECE33"/>
          </w:tcPr>
          <w:p>
            <w:pPr>
              <w:spacing w:after="0" w:line="20" w:lineRule="exact"/>
              <w:rPr>
                <w:sz w:val="1"/>
                <w:szCs w:val="1"/>
                <w:color w:val="auto"/>
              </w:rPr>
            </w:pPr>
          </w:p>
        </w:tc>
        <w:tc>
          <w:tcPr>
            <w:tcW w:w="600" w:type="dxa"/>
            <w:vAlign w:val="bottom"/>
            <w:shd w:val="clear" w:color="auto" w:fill="BECE33"/>
          </w:tcPr>
          <w:p>
            <w:pPr>
              <w:spacing w:after="0" w:line="20" w:lineRule="exact"/>
              <w:rPr>
                <w:sz w:val="1"/>
                <w:szCs w:val="1"/>
                <w:color w:val="auto"/>
              </w:rPr>
            </w:pPr>
          </w:p>
        </w:tc>
        <w:tc>
          <w:tcPr>
            <w:tcW w:w="80" w:type="dxa"/>
            <w:vAlign w:val="bottom"/>
            <w:shd w:val="clear" w:color="auto" w:fill="BECE33"/>
          </w:tcPr>
          <w:p>
            <w:pPr>
              <w:spacing w:after="0" w:line="20" w:lineRule="exact"/>
              <w:rPr>
                <w:sz w:val="1"/>
                <w:szCs w:val="1"/>
                <w:color w:val="auto"/>
              </w:rPr>
            </w:pPr>
          </w:p>
        </w:tc>
        <w:tc>
          <w:tcPr>
            <w:tcW w:w="600" w:type="dxa"/>
            <w:vAlign w:val="bottom"/>
            <w:shd w:val="clear" w:color="auto" w:fill="BECE33"/>
          </w:tcPr>
          <w:p>
            <w:pPr>
              <w:spacing w:after="0" w:line="20" w:lineRule="exact"/>
              <w:rPr>
                <w:sz w:val="1"/>
                <w:szCs w:val="1"/>
                <w:color w:val="auto"/>
              </w:rPr>
            </w:pPr>
          </w:p>
        </w:tc>
        <w:tc>
          <w:tcPr>
            <w:tcW w:w="40" w:type="dxa"/>
            <w:vAlign w:val="bottom"/>
            <w:shd w:val="clear" w:color="auto" w:fill="BECE33"/>
          </w:tcPr>
          <w:p>
            <w:pPr>
              <w:spacing w:after="0" w:line="20" w:lineRule="exact"/>
              <w:rPr>
                <w:sz w:val="1"/>
                <w:szCs w:val="1"/>
                <w:color w:val="auto"/>
              </w:rPr>
            </w:pPr>
          </w:p>
        </w:tc>
        <w:tc>
          <w:tcPr>
            <w:tcW w:w="540" w:type="dxa"/>
            <w:vAlign w:val="bottom"/>
            <w:shd w:val="clear" w:color="auto" w:fill="BECE33"/>
          </w:tcPr>
          <w:p>
            <w:pPr>
              <w:spacing w:after="0" w:line="20" w:lineRule="exact"/>
              <w:rPr>
                <w:sz w:val="1"/>
                <w:szCs w:val="1"/>
                <w:color w:val="auto"/>
              </w:rPr>
            </w:pPr>
          </w:p>
        </w:tc>
        <w:tc>
          <w:tcPr>
            <w:tcW w:w="40" w:type="dxa"/>
            <w:vAlign w:val="bottom"/>
            <w:tcBorders>
              <w:right w:val="single" w:sz="8" w:color="BECE33"/>
            </w:tcBorders>
            <w:shd w:val="clear" w:color="auto" w:fill="BECE33"/>
          </w:tcPr>
          <w:p>
            <w:pPr>
              <w:spacing w:after="0" w:line="20" w:lineRule="exact"/>
              <w:rPr>
                <w:sz w:val="1"/>
                <w:szCs w:val="1"/>
                <w:color w:val="auto"/>
              </w:rPr>
            </w:pPr>
          </w:p>
        </w:tc>
      </w:tr>
    </w:tbl>
    <w:p>
      <w:pPr>
        <w:spacing w:after="0" w:line="30" w:lineRule="exact"/>
        <w:rPr>
          <w:sz w:val="20"/>
          <w:szCs w:val="20"/>
          <w:color w:val="auto"/>
        </w:rPr>
      </w:pPr>
    </w:p>
    <w:p>
      <w:pPr>
        <w:ind w:left="380" w:right="2420" w:firstLine="3"/>
        <w:spacing w:after="0" w:line="209" w:lineRule="auto"/>
        <w:tabs>
          <w:tab w:leader="none" w:pos="582" w:val="left"/>
        </w:tabs>
        <w:numPr>
          <w:ilvl w:val="0"/>
          <w:numId w:val="52"/>
        </w:numPr>
        <w:rPr>
          <w:rFonts w:ascii="Arial" w:cs="Arial" w:eastAsia="Arial" w:hAnsi="Arial"/>
          <w:sz w:val="16"/>
          <w:szCs w:val="16"/>
          <w:color w:val="005A64"/>
          <w:vertAlign w:val="superscript"/>
        </w:rPr>
      </w:pPr>
      <w:r>
        <w:rPr>
          <w:rFonts w:ascii="Arial" w:cs="Arial" w:eastAsia="Arial" w:hAnsi="Arial"/>
          <w:sz w:val="12"/>
          <w:szCs w:val="12"/>
          <w:color w:val="005A64"/>
        </w:rPr>
        <w:t>Fair values for financial assets and liabilities at amortized costs are not disclosed as the book values represent a reasonable approximation.</w:t>
      </w:r>
    </w:p>
    <w:p>
      <w:pPr>
        <w:sectPr>
          <w:pgSz w:w="11900" w:h="16840" w:orient="portrait"/>
          <w:cols w:equalWidth="0" w:num="1">
            <w:col w:w="9020"/>
          </w:cols>
          <w:pgMar w:left="1440" w:top="1440" w:right="1440" w:bottom="1440" w:gutter="0" w:footer="0" w:header="0"/>
        </w:sectPr>
      </w:pPr>
    </w:p>
    <w:bookmarkStart w:id="214" w:name="page215"/>
    <w:bookmarkEnd w:id="214"/>
    <w:p>
      <w:pPr>
        <w:ind w:left="380"/>
        <w:spacing w:after="0"/>
        <w:rPr>
          <w:sz w:val="20"/>
          <w:szCs w:val="20"/>
          <w:color w:val="auto"/>
        </w:rPr>
      </w:pPr>
      <w:r>
        <w:rPr>
          <w:rFonts w:ascii="Arial" w:cs="Arial" w:eastAsia="Arial" w:hAnsi="Arial"/>
          <w:sz w:val="13"/>
          <w:szCs w:val="13"/>
          <w:color w:val="auto"/>
        </w:rPr>
        <w:t>F-50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29845</wp:posOffset>
            </wp:positionV>
            <wp:extent cx="5231130" cy="190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4">
                      <a:extLst>
                        <a:ext uri="{28A0092B-C50C-407E-A947-70E740481C1C}"/>
                      </a:extLst>
                    </a:blip>
                    <a:srcRect/>
                    <a:stretch>
                      <a:fillRect/>
                    </a:stretch>
                  </pic:blipFill>
                  <pic:spPr bwMode="auto">
                    <a:xfrm>
                      <a:off x="0" y="0"/>
                      <a:ext cx="5231130" cy="19050"/>
                    </a:xfrm>
                    <a:prstGeom prst="rect">
                      <a:avLst/>
                    </a:prstGeom>
                    <a:noFill/>
                  </pic:spPr>
                </pic:pic>
              </a:graphicData>
            </a:graphic>
          </wp:anchor>
        </w:drawing>
      </w:r>
    </w:p>
    <w:p>
      <w:pPr>
        <w:spacing w:after="0" w:line="180" w:lineRule="exact"/>
        <w:rPr>
          <w:sz w:val="20"/>
          <w:szCs w:val="20"/>
          <w:color w:val="auto"/>
        </w:rPr>
      </w:pPr>
    </w:p>
    <w:tbl>
      <w:tblPr>
        <w:tblLayout w:type="fixed"/>
        <w:tblInd w:w="380" w:type="dxa"/>
        <w:tblCellMar>
          <w:top w:w="0" w:type="dxa"/>
          <w:left w:w="0" w:type="dxa"/>
          <w:bottom w:w="0" w:type="dxa"/>
          <w:right w:w="0" w:type="dxa"/>
        </w:tblCellMar>
      </w:tblPr>
      <w:tr>
        <w:trPr>
          <w:trHeight w:val="124"/>
        </w:trPr>
        <w:tc>
          <w:tcPr>
            <w:tcW w:w="2380" w:type="dxa"/>
            <w:vAlign w:val="bottom"/>
            <w:gridSpan w:val="2"/>
          </w:tcPr>
          <w:p>
            <w:pPr>
              <w:ind w:left="20"/>
              <w:spacing w:after="0"/>
              <w:rPr>
                <w:sz w:val="20"/>
                <w:szCs w:val="20"/>
                <w:color w:val="auto"/>
              </w:rPr>
            </w:pPr>
            <w:r>
              <w:rPr>
                <w:rFonts w:ascii="Arial" w:cs="Arial" w:eastAsia="Arial" w:hAnsi="Arial"/>
                <w:sz w:val="9"/>
                <w:szCs w:val="9"/>
                <w:b w:val="1"/>
                <w:bCs w:val="1"/>
                <w:color w:val="005A64"/>
              </w:rPr>
              <w:t>December 31, 2023</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3"/>
        </w:trPr>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9"/>
                <w:szCs w:val="9"/>
                <w:b w:val="1"/>
                <w:bCs w:val="1"/>
                <w:color w:val="005A64"/>
              </w:rPr>
              <w:t>Carrying amount</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9"/>
                <w:szCs w:val="9"/>
                <w:b w:val="1"/>
                <w:bCs w:val="1"/>
                <w:color w:val="005A64"/>
              </w:rPr>
              <w:t>Fair value</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380" w:type="dxa"/>
            <w:vAlign w:val="bottom"/>
            <w:gridSpan w:val="2"/>
            <w:vMerge w:val="restart"/>
          </w:tcPr>
          <w:p>
            <w:pPr>
              <w:ind w:left="20"/>
              <w:spacing w:after="0"/>
              <w:rPr>
                <w:sz w:val="20"/>
                <w:szCs w:val="20"/>
                <w:color w:val="auto"/>
              </w:rPr>
            </w:pPr>
            <w:r>
              <w:rPr>
                <w:rFonts w:ascii="Arial" w:cs="Arial" w:eastAsia="Arial" w:hAnsi="Arial"/>
                <w:sz w:val="9"/>
                <w:szCs w:val="9"/>
                <w:i w:val="1"/>
                <w:iCs w:val="1"/>
                <w:color w:val="005A64"/>
              </w:rPr>
              <w:t>(in millions €)</w:t>
            </w:r>
          </w:p>
        </w:tc>
        <w:tc>
          <w:tcPr>
            <w:tcW w:w="540" w:type="dxa"/>
            <w:vAlign w:val="bottom"/>
            <w:tcBorders>
              <w:bottom w:val="single" w:sz="8" w:color="005A64"/>
            </w:tcBorders>
          </w:tcPr>
          <w:p>
            <w:pPr>
              <w:spacing w:after="0"/>
              <w:rPr>
                <w:sz w:val="4"/>
                <w:szCs w:val="4"/>
                <w:color w:val="auto"/>
              </w:rPr>
            </w:pPr>
          </w:p>
        </w:tc>
        <w:tc>
          <w:tcPr>
            <w:tcW w:w="80" w:type="dxa"/>
            <w:vAlign w:val="bottom"/>
            <w:tcBorders>
              <w:bottom w:val="single" w:sz="8" w:color="005A64"/>
            </w:tcBorders>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80" w:type="dxa"/>
            <w:vAlign w:val="bottom"/>
            <w:tcBorders>
              <w:bottom w:val="single" w:sz="8" w:color="005A64"/>
            </w:tcBorders>
          </w:tcPr>
          <w:p>
            <w:pPr>
              <w:spacing w:after="0"/>
              <w:rPr>
                <w:sz w:val="4"/>
                <w:szCs w:val="4"/>
                <w:color w:val="auto"/>
              </w:rPr>
            </w:pPr>
          </w:p>
        </w:tc>
        <w:tc>
          <w:tcPr>
            <w:tcW w:w="54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80" w:type="dxa"/>
            <w:vAlign w:val="bottom"/>
            <w:tcBorders>
              <w:bottom w:val="single" w:sz="8" w:color="005A64"/>
            </w:tcBorders>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80" w:type="dxa"/>
            <w:vAlign w:val="bottom"/>
            <w:tcBorders>
              <w:bottom w:val="single" w:sz="8" w:color="005A64"/>
            </w:tcBorders>
          </w:tcPr>
          <w:p>
            <w:pPr>
              <w:spacing w:after="0"/>
              <w:rPr>
                <w:sz w:val="4"/>
                <w:szCs w:val="4"/>
                <w:color w:val="auto"/>
              </w:rPr>
            </w:pPr>
          </w:p>
        </w:tc>
        <w:tc>
          <w:tcPr>
            <w:tcW w:w="58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vMerge w:val="restart"/>
          </w:tcPr>
          <w:p>
            <w:pPr>
              <w:ind w:left="20"/>
              <w:spacing w:after="0"/>
              <w:rPr>
                <w:sz w:val="20"/>
                <w:szCs w:val="20"/>
                <w:color w:val="auto"/>
              </w:rPr>
            </w:pPr>
            <w:r>
              <w:rPr>
                <w:rFonts w:ascii="Arial" w:cs="Arial" w:eastAsia="Arial" w:hAnsi="Arial"/>
                <w:sz w:val="9"/>
                <w:szCs w:val="9"/>
                <w:b w:val="1"/>
                <w:bCs w:val="1"/>
                <w:color w:val="005A64"/>
              </w:rPr>
              <w:t>Total</w:t>
            </w:r>
          </w:p>
        </w:tc>
        <w:tc>
          <w:tcPr>
            <w:tcW w:w="0" w:type="dxa"/>
            <w:vAlign w:val="bottom"/>
          </w:tcPr>
          <w:p>
            <w:pPr>
              <w:spacing w:after="0"/>
              <w:rPr>
                <w:sz w:val="1"/>
                <w:szCs w:val="1"/>
                <w:color w:val="auto"/>
              </w:rPr>
            </w:pPr>
          </w:p>
        </w:tc>
      </w:tr>
      <w:tr>
        <w:trPr>
          <w:trHeight w:val="82"/>
        </w:trPr>
        <w:tc>
          <w:tcPr>
            <w:tcW w:w="2380" w:type="dxa"/>
            <w:vAlign w:val="bottom"/>
            <w:gridSpan w:val="2"/>
            <w:vMerge w:val="continue"/>
          </w:tcPr>
          <w:p>
            <w:pPr>
              <w:spacing w:after="0"/>
              <w:rPr>
                <w:sz w:val="7"/>
                <w:szCs w:val="7"/>
                <w:color w:val="auto"/>
              </w:rPr>
            </w:pPr>
          </w:p>
        </w:tc>
        <w:tc>
          <w:tcPr>
            <w:tcW w:w="540" w:type="dxa"/>
            <w:vAlign w:val="bottom"/>
          </w:tcPr>
          <w:p>
            <w:pPr>
              <w:spacing w:after="0" w:line="82" w:lineRule="exact"/>
              <w:rPr>
                <w:sz w:val="20"/>
                <w:szCs w:val="20"/>
                <w:color w:val="auto"/>
              </w:rPr>
            </w:pPr>
            <w:r>
              <w:rPr>
                <w:rFonts w:ascii="Arial" w:cs="Arial" w:eastAsia="Arial" w:hAnsi="Arial"/>
                <w:sz w:val="9"/>
                <w:szCs w:val="9"/>
                <w:b w:val="1"/>
                <w:bCs w:val="1"/>
                <w:color w:val="005A64"/>
              </w:rPr>
              <w:t>Current</w:t>
            </w:r>
          </w:p>
        </w:tc>
        <w:tc>
          <w:tcPr>
            <w:tcW w:w="80" w:type="dxa"/>
            <w:vAlign w:val="bottom"/>
          </w:tcPr>
          <w:p>
            <w:pPr>
              <w:spacing w:after="0"/>
              <w:rPr>
                <w:sz w:val="7"/>
                <w:szCs w:val="7"/>
                <w:color w:val="auto"/>
              </w:rPr>
            </w:pPr>
          </w:p>
        </w:tc>
        <w:tc>
          <w:tcPr>
            <w:tcW w:w="560" w:type="dxa"/>
            <w:vAlign w:val="bottom"/>
          </w:tcPr>
          <w:p>
            <w:pPr>
              <w:ind w:left="20"/>
              <w:spacing w:after="0" w:line="82" w:lineRule="exact"/>
              <w:rPr>
                <w:sz w:val="20"/>
                <w:szCs w:val="20"/>
                <w:color w:val="auto"/>
              </w:rPr>
            </w:pPr>
            <w:r>
              <w:rPr>
                <w:rFonts w:ascii="Arial" w:cs="Arial" w:eastAsia="Arial" w:hAnsi="Arial"/>
                <w:sz w:val="9"/>
                <w:szCs w:val="9"/>
                <w:b w:val="1"/>
                <w:bCs w:val="1"/>
                <w:color w:val="005A64"/>
              </w:rPr>
              <w:t>Non-</w:t>
            </w:r>
          </w:p>
        </w:tc>
        <w:tc>
          <w:tcPr>
            <w:tcW w:w="80" w:type="dxa"/>
            <w:vAlign w:val="bottom"/>
          </w:tcPr>
          <w:p>
            <w:pPr>
              <w:spacing w:after="0"/>
              <w:rPr>
                <w:sz w:val="7"/>
                <w:szCs w:val="7"/>
                <w:color w:val="auto"/>
              </w:rPr>
            </w:pPr>
          </w:p>
        </w:tc>
        <w:tc>
          <w:tcPr>
            <w:tcW w:w="540" w:type="dxa"/>
            <w:vAlign w:val="bottom"/>
          </w:tcPr>
          <w:p>
            <w:pPr>
              <w:spacing w:after="0" w:line="82" w:lineRule="exact"/>
              <w:rPr>
                <w:sz w:val="20"/>
                <w:szCs w:val="20"/>
                <w:color w:val="auto"/>
              </w:rPr>
            </w:pPr>
            <w:r>
              <w:rPr>
                <w:rFonts w:ascii="Arial" w:cs="Arial" w:eastAsia="Arial" w:hAnsi="Arial"/>
                <w:sz w:val="9"/>
                <w:szCs w:val="9"/>
                <w:b w:val="1"/>
                <w:bCs w:val="1"/>
                <w:color w:val="005A64"/>
              </w:rPr>
              <w:t>Total</w:t>
            </w:r>
          </w:p>
        </w:tc>
        <w:tc>
          <w:tcPr>
            <w:tcW w:w="40" w:type="dxa"/>
            <w:vAlign w:val="bottom"/>
          </w:tcPr>
          <w:p>
            <w:pPr>
              <w:spacing w:after="0"/>
              <w:rPr>
                <w:sz w:val="7"/>
                <w:szCs w:val="7"/>
                <w:color w:val="auto"/>
              </w:rPr>
            </w:pPr>
          </w:p>
        </w:tc>
        <w:tc>
          <w:tcPr>
            <w:tcW w:w="600" w:type="dxa"/>
            <w:vAlign w:val="bottom"/>
          </w:tcPr>
          <w:p>
            <w:pPr>
              <w:spacing w:after="0" w:line="82" w:lineRule="exact"/>
              <w:rPr>
                <w:sz w:val="20"/>
                <w:szCs w:val="20"/>
                <w:color w:val="auto"/>
              </w:rPr>
            </w:pPr>
            <w:r>
              <w:rPr>
                <w:rFonts w:ascii="Arial" w:cs="Arial" w:eastAsia="Arial" w:hAnsi="Arial"/>
                <w:sz w:val="9"/>
                <w:szCs w:val="9"/>
                <w:b w:val="1"/>
                <w:bCs w:val="1"/>
                <w:color w:val="005A64"/>
              </w:rPr>
              <w:t>Level 1</w:t>
            </w:r>
          </w:p>
        </w:tc>
        <w:tc>
          <w:tcPr>
            <w:tcW w:w="80" w:type="dxa"/>
            <w:vAlign w:val="bottom"/>
          </w:tcPr>
          <w:p>
            <w:pPr>
              <w:spacing w:after="0"/>
              <w:rPr>
                <w:sz w:val="7"/>
                <w:szCs w:val="7"/>
                <w:color w:val="auto"/>
              </w:rPr>
            </w:pPr>
          </w:p>
        </w:tc>
        <w:tc>
          <w:tcPr>
            <w:tcW w:w="600" w:type="dxa"/>
            <w:vAlign w:val="bottom"/>
          </w:tcPr>
          <w:p>
            <w:pPr>
              <w:spacing w:after="0" w:line="82" w:lineRule="exact"/>
              <w:rPr>
                <w:sz w:val="20"/>
                <w:szCs w:val="20"/>
                <w:color w:val="auto"/>
              </w:rPr>
            </w:pPr>
            <w:r>
              <w:rPr>
                <w:rFonts w:ascii="Arial" w:cs="Arial" w:eastAsia="Arial" w:hAnsi="Arial"/>
                <w:sz w:val="9"/>
                <w:szCs w:val="9"/>
                <w:b w:val="1"/>
                <w:bCs w:val="1"/>
                <w:color w:val="005A64"/>
              </w:rPr>
              <w:t>Level 2</w:t>
            </w:r>
          </w:p>
        </w:tc>
        <w:tc>
          <w:tcPr>
            <w:tcW w:w="80" w:type="dxa"/>
            <w:vAlign w:val="bottom"/>
          </w:tcPr>
          <w:p>
            <w:pPr>
              <w:spacing w:after="0"/>
              <w:rPr>
                <w:sz w:val="7"/>
                <w:szCs w:val="7"/>
                <w:color w:val="auto"/>
              </w:rPr>
            </w:pPr>
          </w:p>
        </w:tc>
        <w:tc>
          <w:tcPr>
            <w:tcW w:w="580" w:type="dxa"/>
            <w:vAlign w:val="bottom"/>
          </w:tcPr>
          <w:p>
            <w:pPr>
              <w:spacing w:after="0" w:line="82" w:lineRule="exact"/>
              <w:rPr>
                <w:sz w:val="20"/>
                <w:szCs w:val="20"/>
                <w:color w:val="auto"/>
              </w:rPr>
            </w:pPr>
            <w:r>
              <w:rPr>
                <w:rFonts w:ascii="Arial" w:cs="Arial" w:eastAsia="Arial" w:hAnsi="Arial"/>
                <w:sz w:val="9"/>
                <w:szCs w:val="9"/>
                <w:b w:val="1"/>
                <w:bCs w:val="1"/>
                <w:color w:val="005A64"/>
              </w:rPr>
              <w:t>Level 3</w:t>
            </w:r>
          </w:p>
        </w:tc>
        <w:tc>
          <w:tcPr>
            <w:tcW w:w="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9"/>
                <w:szCs w:val="9"/>
                <w:b w:val="1"/>
                <w:bCs w:val="1"/>
                <w:color w:val="005A64"/>
              </w:rPr>
              <w:t>current</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9"/>
                <w:szCs w:val="9"/>
                <w:b w:val="1"/>
                <w:bCs w:val="1"/>
                <w:color w:val="005A64"/>
              </w:rPr>
              <w:t>(Fair value)</w:t>
            </w:r>
          </w:p>
        </w:tc>
        <w:tc>
          <w:tcPr>
            <w:tcW w:w="8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9"/>
                <w:szCs w:val="9"/>
                <w:b w:val="1"/>
                <w:bCs w:val="1"/>
                <w:color w:val="005A64"/>
              </w:rPr>
              <w:t>(Fair value)</w:t>
            </w:r>
          </w:p>
        </w:tc>
        <w:tc>
          <w:tcPr>
            <w:tcW w:w="80" w:type="dxa"/>
            <w:vAlign w:val="bottom"/>
          </w:tcPr>
          <w:p>
            <w:pPr>
              <w:spacing w:after="0"/>
              <w:rPr>
                <w:sz w:val="10"/>
                <w:szCs w:val="10"/>
                <w:color w:val="auto"/>
              </w:rPr>
            </w:pPr>
          </w:p>
        </w:tc>
        <w:tc>
          <w:tcPr>
            <w:tcW w:w="580" w:type="dxa"/>
            <w:vAlign w:val="bottom"/>
          </w:tcPr>
          <w:p>
            <w:pPr>
              <w:spacing w:after="0"/>
              <w:rPr>
                <w:sz w:val="20"/>
                <w:szCs w:val="20"/>
                <w:color w:val="auto"/>
              </w:rPr>
            </w:pPr>
            <w:r>
              <w:rPr>
                <w:rFonts w:ascii="Arial" w:cs="Arial" w:eastAsia="Arial" w:hAnsi="Arial"/>
                <w:sz w:val="9"/>
                <w:szCs w:val="9"/>
                <w:b w:val="1"/>
                <w:bCs w:val="1"/>
                <w:color w:val="005A64"/>
              </w:rPr>
              <w:t>(Fair value)</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234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2380" w:type="dxa"/>
            <w:vAlign w:val="bottom"/>
            <w:gridSpan w:val="2"/>
          </w:tcPr>
          <w:p>
            <w:pPr>
              <w:ind w:left="20"/>
              <w:spacing w:after="0" w:line="82" w:lineRule="exact"/>
              <w:rPr>
                <w:sz w:val="20"/>
                <w:szCs w:val="20"/>
                <w:color w:val="auto"/>
              </w:rPr>
            </w:pPr>
            <w:r>
              <w:rPr>
                <w:rFonts w:ascii="Arial" w:cs="Arial" w:eastAsia="Arial" w:hAnsi="Arial"/>
                <w:sz w:val="9"/>
                <w:szCs w:val="9"/>
                <w:b w:val="1"/>
                <w:bCs w:val="1"/>
                <w:color w:val="3C9673"/>
              </w:rPr>
              <w:t>Financial assets subsequently measured at fair</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380" w:type="dxa"/>
            <w:vAlign w:val="bottom"/>
            <w:gridSpan w:val="2"/>
          </w:tcPr>
          <w:p>
            <w:pPr>
              <w:ind w:left="20"/>
              <w:spacing w:after="0"/>
              <w:rPr>
                <w:sz w:val="20"/>
                <w:szCs w:val="20"/>
                <w:color w:val="auto"/>
              </w:rPr>
            </w:pPr>
            <w:r>
              <w:rPr>
                <w:rFonts w:ascii="Arial" w:cs="Arial" w:eastAsia="Arial" w:hAnsi="Arial"/>
                <w:sz w:val="9"/>
                <w:szCs w:val="9"/>
                <w:b w:val="1"/>
                <w:bCs w:val="1"/>
                <w:color w:val="3C9673"/>
              </w:rPr>
              <w:t>value through profit or loss</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380" w:type="dxa"/>
            <w:vAlign w:val="bottom"/>
            <w:gridSpan w:val="2"/>
          </w:tcPr>
          <w:p>
            <w:pPr>
              <w:ind w:left="20"/>
              <w:spacing w:after="0"/>
              <w:rPr>
                <w:sz w:val="20"/>
                <w:szCs w:val="20"/>
                <w:color w:val="auto"/>
              </w:rPr>
            </w:pPr>
            <w:r>
              <w:rPr>
                <w:rFonts w:ascii="Arial" w:cs="Arial" w:eastAsia="Arial" w:hAnsi="Arial"/>
                <w:sz w:val="9"/>
                <w:szCs w:val="9"/>
                <w:color w:val="005A64"/>
              </w:rPr>
              <w:t>Security investments disclosed as cash and cash</w:t>
            </w:r>
          </w:p>
        </w:tc>
        <w:tc>
          <w:tcPr>
            <w:tcW w:w="540" w:type="dxa"/>
            <w:vAlign w:val="bottom"/>
          </w:tcPr>
          <w:p>
            <w:pPr>
              <w:spacing w:after="0"/>
              <w:rPr>
                <w:sz w:val="20"/>
                <w:szCs w:val="20"/>
                <w:color w:val="auto"/>
              </w:rPr>
            </w:pPr>
            <w:r>
              <w:rPr>
                <w:rFonts w:ascii="Arial" w:cs="Arial" w:eastAsia="Arial" w:hAnsi="Arial"/>
                <w:sz w:val="9"/>
                <w:szCs w:val="9"/>
                <w:color w:val="005A64"/>
              </w:rPr>
              <w:t>7,446.1</w:t>
            </w:r>
          </w:p>
        </w:tc>
        <w:tc>
          <w:tcPr>
            <w:tcW w:w="80" w:type="dxa"/>
            <w:vAlign w:val="bottom"/>
          </w:tcPr>
          <w:p>
            <w:pPr>
              <w:spacing w:after="0"/>
              <w:rPr>
                <w:sz w:val="12"/>
                <w:szCs w:val="12"/>
                <w:color w:val="auto"/>
              </w:rPr>
            </w:pPr>
          </w:p>
        </w:tc>
        <w:tc>
          <w:tcPr>
            <w:tcW w:w="560" w:type="dxa"/>
            <w:vAlign w:val="bottom"/>
          </w:tcPr>
          <w:p>
            <w:pPr>
              <w:ind w:left="20"/>
              <w:spacing w:after="0"/>
              <w:rPr>
                <w:sz w:val="20"/>
                <w:szCs w:val="20"/>
                <w:color w:val="auto"/>
              </w:rPr>
            </w:pPr>
            <w:r>
              <w:rPr>
                <w:rFonts w:ascii="Arial" w:cs="Arial" w:eastAsia="Arial" w:hAnsi="Arial"/>
                <w:sz w:val="9"/>
                <w:szCs w:val="9"/>
                <w:color w:val="005A64"/>
              </w:rPr>
              <w:t>—</w:t>
            </w:r>
          </w:p>
        </w:tc>
        <w:tc>
          <w:tcPr>
            <w:tcW w:w="620" w:type="dxa"/>
            <w:vAlign w:val="bottom"/>
            <w:gridSpan w:val="2"/>
          </w:tcPr>
          <w:p>
            <w:pPr>
              <w:ind w:left="80"/>
              <w:spacing w:after="0"/>
              <w:rPr>
                <w:sz w:val="20"/>
                <w:szCs w:val="20"/>
                <w:color w:val="auto"/>
              </w:rPr>
            </w:pPr>
            <w:r>
              <w:rPr>
                <w:rFonts w:ascii="Arial" w:cs="Arial" w:eastAsia="Arial" w:hAnsi="Arial"/>
                <w:sz w:val="9"/>
                <w:szCs w:val="9"/>
                <w:color w:val="005A64"/>
              </w:rPr>
              <w:t>7,446.1</w:t>
            </w:r>
          </w:p>
        </w:tc>
        <w:tc>
          <w:tcPr>
            <w:tcW w:w="640" w:type="dxa"/>
            <w:vAlign w:val="bottom"/>
            <w:gridSpan w:val="2"/>
          </w:tcPr>
          <w:p>
            <w:pPr>
              <w:ind w:left="40"/>
              <w:spacing w:after="0"/>
              <w:rPr>
                <w:sz w:val="20"/>
                <w:szCs w:val="20"/>
                <w:color w:val="auto"/>
              </w:rPr>
            </w:pPr>
            <w:r>
              <w:rPr>
                <w:rFonts w:ascii="Arial" w:cs="Arial" w:eastAsia="Arial" w:hAnsi="Arial"/>
                <w:sz w:val="9"/>
                <w:szCs w:val="9"/>
                <w:color w:val="005A64"/>
              </w:rPr>
              <w:t>7,446.1</w:t>
            </w:r>
          </w:p>
        </w:tc>
        <w:tc>
          <w:tcPr>
            <w:tcW w:w="80" w:type="dxa"/>
            <w:vAlign w:val="bottom"/>
          </w:tcPr>
          <w:p>
            <w:pPr>
              <w:spacing w:after="0"/>
              <w:rPr>
                <w:sz w:val="12"/>
                <w:szCs w:val="12"/>
                <w:color w:val="auto"/>
              </w:rPr>
            </w:pPr>
          </w:p>
        </w:tc>
        <w:tc>
          <w:tcPr>
            <w:tcW w:w="600" w:type="dxa"/>
            <w:vAlign w:val="bottom"/>
          </w:tcPr>
          <w:p>
            <w:pPr>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9"/>
                <w:szCs w:val="9"/>
                <w:color w:val="005A64"/>
              </w:rPr>
              <w:t>—</w:t>
            </w:r>
          </w:p>
        </w:tc>
        <w:tc>
          <w:tcPr>
            <w:tcW w:w="600" w:type="dxa"/>
            <w:vAlign w:val="bottom"/>
            <w:gridSpan w:val="2"/>
          </w:tcPr>
          <w:p>
            <w:pPr>
              <w:ind w:left="60"/>
              <w:spacing w:after="0"/>
              <w:rPr>
                <w:sz w:val="20"/>
                <w:szCs w:val="20"/>
                <w:color w:val="auto"/>
              </w:rPr>
            </w:pPr>
            <w:r>
              <w:rPr>
                <w:rFonts w:ascii="Arial" w:cs="Arial" w:eastAsia="Arial" w:hAnsi="Arial"/>
                <w:sz w:val="9"/>
                <w:szCs w:val="9"/>
                <w:color w:val="005A64"/>
              </w:rPr>
              <w:t>7,446.1</w:t>
            </w:r>
          </w:p>
        </w:tc>
        <w:tc>
          <w:tcPr>
            <w:tcW w:w="0" w:type="dxa"/>
            <w:vAlign w:val="bottom"/>
          </w:tcPr>
          <w:p>
            <w:pPr>
              <w:spacing w:after="0"/>
              <w:rPr>
                <w:sz w:val="1"/>
                <w:szCs w:val="1"/>
                <w:color w:val="auto"/>
              </w:rPr>
            </w:pPr>
          </w:p>
        </w:tc>
      </w:tr>
      <w:tr>
        <w:trPr>
          <w:trHeight w:val="118"/>
        </w:trPr>
        <w:tc>
          <w:tcPr>
            <w:tcW w:w="2380" w:type="dxa"/>
            <w:vAlign w:val="bottom"/>
            <w:gridSpan w:val="2"/>
          </w:tcPr>
          <w:p>
            <w:pPr>
              <w:ind w:left="20"/>
              <w:spacing w:after="0"/>
              <w:rPr>
                <w:sz w:val="20"/>
                <w:szCs w:val="20"/>
                <w:color w:val="auto"/>
              </w:rPr>
            </w:pPr>
            <w:r>
              <w:rPr>
                <w:rFonts w:ascii="Arial" w:cs="Arial" w:eastAsia="Arial" w:hAnsi="Arial"/>
                <w:sz w:val="9"/>
                <w:szCs w:val="9"/>
                <w:color w:val="005A64"/>
              </w:rPr>
              <w:t>equivalents</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380" w:type="dxa"/>
            <w:vAlign w:val="bottom"/>
            <w:gridSpan w:val="2"/>
          </w:tcPr>
          <w:p>
            <w:pPr>
              <w:ind w:left="20"/>
              <w:spacing w:after="0"/>
              <w:rPr>
                <w:sz w:val="20"/>
                <w:szCs w:val="20"/>
                <w:color w:val="auto"/>
              </w:rPr>
            </w:pPr>
            <w:r>
              <w:rPr>
                <w:rFonts w:ascii="Arial" w:cs="Arial" w:eastAsia="Arial" w:hAnsi="Arial"/>
                <w:sz w:val="9"/>
                <w:szCs w:val="9"/>
                <w:b w:val="1"/>
                <w:bCs w:val="1"/>
                <w:color w:val="3C9673"/>
              </w:rPr>
              <w:t>Financial assets subsequently measured at fair</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380" w:type="dxa"/>
            <w:vAlign w:val="bottom"/>
            <w:gridSpan w:val="2"/>
          </w:tcPr>
          <w:p>
            <w:pPr>
              <w:ind w:left="20"/>
              <w:spacing w:after="0"/>
              <w:rPr>
                <w:sz w:val="20"/>
                <w:szCs w:val="20"/>
                <w:color w:val="auto"/>
              </w:rPr>
            </w:pPr>
            <w:r>
              <w:rPr>
                <w:rFonts w:ascii="Arial" w:cs="Arial" w:eastAsia="Arial" w:hAnsi="Arial"/>
                <w:sz w:val="9"/>
                <w:szCs w:val="9"/>
                <w:b w:val="1"/>
                <w:bCs w:val="1"/>
                <w:color w:val="3C9673"/>
              </w:rPr>
              <w:t>value through OCI</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380" w:type="dxa"/>
            <w:vAlign w:val="bottom"/>
            <w:gridSpan w:val="2"/>
          </w:tcPr>
          <w:p>
            <w:pPr>
              <w:ind w:left="20"/>
              <w:spacing w:after="0"/>
              <w:rPr>
                <w:sz w:val="20"/>
                <w:szCs w:val="20"/>
                <w:color w:val="auto"/>
              </w:rPr>
            </w:pPr>
            <w:r>
              <w:rPr>
                <w:rFonts w:ascii="Arial" w:cs="Arial" w:eastAsia="Arial" w:hAnsi="Arial"/>
                <w:sz w:val="9"/>
                <w:szCs w:val="9"/>
                <w:color w:val="005A64"/>
              </w:rPr>
              <w:t>Non-listed equity investments</w:t>
            </w:r>
          </w:p>
        </w:tc>
        <w:tc>
          <w:tcPr>
            <w:tcW w:w="540" w:type="dxa"/>
            <w:vAlign w:val="bottom"/>
          </w:tcPr>
          <w:p>
            <w:pPr>
              <w:spacing w:after="0"/>
              <w:rPr>
                <w:sz w:val="20"/>
                <w:szCs w:val="20"/>
                <w:color w:val="auto"/>
              </w:rPr>
            </w:pPr>
            <w:r>
              <w:rPr>
                <w:rFonts w:ascii="Arial" w:cs="Arial" w:eastAsia="Arial" w:hAnsi="Arial"/>
                <w:sz w:val="9"/>
                <w:szCs w:val="9"/>
                <w:color w:val="005A64"/>
              </w:rPr>
              <w:t>—</w:t>
            </w:r>
          </w:p>
        </w:tc>
        <w:tc>
          <w:tcPr>
            <w:tcW w:w="640" w:type="dxa"/>
            <w:vAlign w:val="bottom"/>
            <w:gridSpan w:val="2"/>
          </w:tcPr>
          <w:p>
            <w:pPr>
              <w:ind w:left="100"/>
              <w:spacing w:after="0"/>
              <w:rPr>
                <w:sz w:val="20"/>
                <w:szCs w:val="20"/>
                <w:color w:val="auto"/>
              </w:rPr>
            </w:pPr>
            <w:r>
              <w:rPr>
                <w:rFonts w:ascii="Arial" w:cs="Arial" w:eastAsia="Arial" w:hAnsi="Arial"/>
                <w:sz w:val="9"/>
                <w:szCs w:val="9"/>
                <w:color w:val="005A64"/>
              </w:rPr>
              <w:t>27.1</w:t>
            </w:r>
          </w:p>
        </w:tc>
        <w:tc>
          <w:tcPr>
            <w:tcW w:w="620" w:type="dxa"/>
            <w:vAlign w:val="bottom"/>
            <w:gridSpan w:val="2"/>
          </w:tcPr>
          <w:p>
            <w:pPr>
              <w:ind w:left="80"/>
              <w:spacing w:after="0"/>
              <w:rPr>
                <w:sz w:val="20"/>
                <w:szCs w:val="20"/>
                <w:color w:val="auto"/>
              </w:rPr>
            </w:pPr>
            <w:r>
              <w:rPr>
                <w:rFonts w:ascii="Arial" w:cs="Arial" w:eastAsia="Arial" w:hAnsi="Arial"/>
                <w:sz w:val="9"/>
                <w:szCs w:val="9"/>
                <w:color w:val="005A64"/>
              </w:rPr>
              <w:t>27.1</w:t>
            </w:r>
          </w:p>
        </w:tc>
        <w:tc>
          <w:tcPr>
            <w:tcW w:w="4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9"/>
                <w:szCs w:val="9"/>
                <w:color w:val="005A64"/>
              </w:rPr>
              <w:t>—</w:t>
            </w:r>
          </w:p>
        </w:tc>
        <w:tc>
          <w:tcPr>
            <w:tcW w:w="660" w:type="dxa"/>
            <w:vAlign w:val="bottom"/>
            <w:gridSpan w:val="2"/>
          </w:tcPr>
          <w:p>
            <w:pPr>
              <w:ind w:left="80"/>
              <w:spacing w:after="0"/>
              <w:rPr>
                <w:sz w:val="20"/>
                <w:szCs w:val="20"/>
                <w:color w:val="auto"/>
              </w:rPr>
            </w:pPr>
            <w:r>
              <w:rPr>
                <w:rFonts w:ascii="Arial" w:cs="Arial" w:eastAsia="Arial" w:hAnsi="Arial"/>
                <w:sz w:val="9"/>
                <w:szCs w:val="9"/>
                <w:color w:val="005A64"/>
              </w:rPr>
              <w:t>27.1</w:t>
            </w:r>
          </w:p>
        </w:tc>
        <w:tc>
          <w:tcPr>
            <w:tcW w:w="600" w:type="dxa"/>
            <w:vAlign w:val="bottom"/>
            <w:gridSpan w:val="2"/>
          </w:tcPr>
          <w:p>
            <w:pPr>
              <w:ind w:left="60"/>
              <w:spacing w:after="0"/>
              <w:rPr>
                <w:sz w:val="20"/>
                <w:szCs w:val="20"/>
                <w:color w:val="auto"/>
              </w:rPr>
            </w:pPr>
            <w:r>
              <w:rPr>
                <w:rFonts w:ascii="Arial" w:cs="Arial" w:eastAsia="Arial" w:hAnsi="Arial"/>
                <w:sz w:val="9"/>
                <w:szCs w:val="9"/>
                <w:color w:val="005A64"/>
              </w:rPr>
              <w:t>27.1</w:t>
            </w:r>
          </w:p>
        </w:tc>
        <w:tc>
          <w:tcPr>
            <w:tcW w:w="0" w:type="dxa"/>
            <w:vAlign w:val="bottom"/>
          </w:tcPr>
          <w:p>
            <w:pPr>
              <w:spacing w:after="0"/>
              <w:rPr>
                <w:sz w:val="1"/>
                <w:szCs w:val="1"/>
                <w:color w:val="auto"/>
              </w:rPr>
            </w:pPr>
          </w:p>
        </w:tc>
      </w:tr>
      <w:tr>
        <w:trPr>
          <w:trHeight w:val="172"/>
        </w:trPr>
        <w:tc>
          <w:tcPr>
            <w:tcW w:w="2380" w:type="dxa"/>
            <w:vAlign w:val="bottom"/>
            <w:gridSpan w:val="2"/>
          </w:tcPr>
          <w:p>
            <w:pPr>
              <w:ind w:left="20"/>
              <w:spacing w:after="0"/>
              <w:rPr>
                <w:sz w:val="20"/>
                <w:szCs w:val="20"/>
                <w:color w:val="auto"/>
              </w:rPr>
            </w:pPr>
            <w:r>
              <w:rPr>
                <w:rFonts w:ascii="Arial" w:cs="Arial" w:eastAsia="Arial" w:hAnsi="Arial"/>
                <w:sz w:val="9"/>
                <w:szCs w:val="9"/>
                <w:color w:val="005A64"/>
              </w:rPr>
              <w:t>Listed equity investments</w:t>
            </w:r>
          </w:p>
        </w:tc>
        <w:tc>
          <w:tcPr>
            <w:tcW w:w="540" w:type="dxa"/>
            <w:vAlign w:val="bottom"/>
          </w:tcPr>
          <w:p>
            <w:pPr>
              <w:spacing w:after="0"/>
              <w:rPr>
                <w:sz w:val="20"/>
                <w:szCs w:val="20"/>
                <w:color w:val="auto"/>
              </w:rPr>
            </w:pPr>
            <w:r>
              <w:rPr>
                <w:rFonts w:ascii="Arial" w:cs="Arial" w:eastAsia="Arial" w:hAnsi="Arial"/>
                <w:sz w:val="9"/>
                <w:szCs w:val="9"/>
                <w:color w:val="005A64"/>
              </w:rPr>
              <w:t>—</w:t>
            </w:r>
          </w:p>
        </w:tc>
        <w:tc>
          <w:tcPr>
            <w:tcW w:w="640" w:type="dxa"/>
            <w:vAlign w:val="bottom"/>
            <w:gridSpan w:val="2"/>
          </w:tcPr>
          <w:p>
            <w:pPr>
              <w:ind w:left="100"/>
              <w:spacing w:after="0"/>
              <w:rPr>
                <w:sz w:val="20"/>
                <w:szCs w:val="20"/>
                <w:color w:val="auto"/>
              </w:rPr>
            </w:pPr>
            <w:r>
              <w:rPr>
                <w:rFonts w:ascii="Arial" w:cs="Arial" w:eastAsia="Arial" w:hAnsi="Arial"/>
                <w:sz w:val="9"/>
                <w:szCs w:val="9"/>
                <w:color w:val="005A64"/>
              </w:rPr>
              <w:t>26.0</w:t>
            </w:r>
          </w:p>
        </w:tc>
        <w:tc>
          <w:tcPr>
            <w:tcW w:w="620" w:type="dxa"/>
            <w:vAlign w:val="bottom"/>
            <w:gridSpan w:val="2"/>
          </w:tcPr>
          <w:p>
            <w:pPr>
              <w:ind w:left="80"/>
              <w:spacing w:after="0"/>
              <w:rPr>
                <w:sz w:val="20"/>
                <w:szCs w:val="20"/>
                <w:color w:val="auto"/>
              </w:rPr>
            </w:pPr>
            <w:r>
              <w:rPr>
                <w:rFonts w:ascii="Arial" w:cs="Arial" w:eastAsia="Arial" w:hAnsi="Arial"/>
                <w:sz w:val="9"/>
                <w:szCs w:val="9"/>
                <w:color w:val="005A64"/>
              </w:rPr>
              <w:t>26.0</w:t>
            </w:r>
          </w:p>
        </w:tc>
        <w:tc>
          <w:tcPr>
            <w:tcW w:w="640" w:type="dxa"/>
            <w:vAlign w:val="bottom"/>
            <w:gridSpan w:val="2"/>
          </w:tcPr>
          <w:p>
            <w:pPr>
              <w:ind w:left="40"/>
              <w:spacing w:after="0"/>
              <w:rPr>
                <w:sz w:val="20"/>
                <w:szCs w:val="20"/>
                <w:color w:val="auto"/>
              </w:rPr>
            </w:pPr>
            <w:r>
              <w:rPr>
                <w:rFonts w:ascii="Arial" w:cs="Arial" w:eastAsia="Arial" w:hAnsi="Arial"/>
                <w:sz w:val="9"/>
                <w:szCs w:val="9"/>
                <w:color w:val="005A64"/>
              </w:rPr>
              <w:t>26.0</w:t>
            </w: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9"/>
                <w:szCs w:val="9"/>
                <w:color w:val="005A64"/>
              </w:rPr>
              <w:t>—</w:t>
            </w:r>
          </w:p>
        </w:tc>
        <w:tc>
          <w:tcPr>
            <w:tcW w:w="600" w:type="dxa"/>
            <w:vAlign w:val="bottom"/>
            <w:gridSpan w:val="2"/>
          </w:tcPr>
          <w:p>
            <w:pPr>
              <w:ind w:left="60"/>
              <w:spacing w:after="0"/>
              <w:rPr>
                <w:sz w:val="20"/>
                <w:szCs w:val="20"/>
                <w:color w:val="auto"/>
              </w:rPr>
            </w:pPr>
            <w:r>
              <w:rPr>
                <w:rFonts w:ascii="Arial" w:cs="Arial" w:eastAsia="Arial" w:hAnsi="Arial"/>
                <w:sz w:val="9"/>
                <w:szCs w:val="9"/>
                <w:color w:val="005A64"/>
              </w:rPr>
              <w:t>26.0</w:t>
            </w:r>
          </w:p>
        </w:tc>
        <w:tc>
          <w:tcPr>
            <w:tcW w:w="0" w:type="dxa"/>
            <w:vAlign w:val="bottom"/>
          </w:tcPr>
          <w:p>
            <w:pPr>
              <w:spacing w:after="0"/>
              <w:rPr>
                <w:sz w:val="1"/>
                <w:szCs w:val="1"/>
                <w:color w:val="auto"/>
              </w:rPr>
            </w:pPr>
          </w:p>
        </w:tc>
      </w:tr>
      <w:tr>
        <w:trPr>
          <w:trHeight w:val="154"/>
        </w:trPr>
        <w:tc>
          <w:tcPr>
            <w:tcW w:w="2380" w:type="dxa"/>
            <w:vAlign w:val="bottom"/>
            <w:gridSpan w:val="2"/>
          </w:tcPr>
          <w:p>
            <w:pPr>
              <w:ind w:left="20"/>
              <w:spacing w:after="0"/>
              <w:rPr>
                <w:sz w:val="20"/>
                <w:szCs w:val="20"/>
                <w:color w:val="auto"/>
              </w:rPr>
            </w:pPr>
            <w:r>
              <w:rPr>
                <w:rFonts w:ascii="Arial" w:cs="Arial" w:eastAsia="Arial" w:hAnsi="Arial"/>
                <w:sz w:val="9"/>
                <w:szCs w:val="9"/>
                <w:b w:val="1"/>
                <w:bCs w:val="1"/>
                <w:color w:val="3C9673"/>
              </w:rPr>
              <w:t>Financial assets subsequently measured at</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380" w:type="dxa"/>
            <w:vAlign w:val="bottom"/>
            <w:gridSpan w:val="2"/>
          </w:tcPr>
          <w:p>
            <w:pPr>
              <w:ind w:left="20"/>
              <w:spacing w:after="0"/>
              <w:rPr>
                <w:sz w:val="20"/>
                <w:szCs w:val="20"/>
                <w:color w:val="auto"/>
              </w:rPr>
            </w:pPr>
            <w:r>
              <w:rPr>
                <w:rFonts w:ascii="Arial" w:cs="Arial" w:eastAsia="Arial" w:hAnsi="Arial"/>
                <w:sz w:val="9"/>
                <w:szCs w:val="9"/>
                <w:b w:val="1"/>
                <w:bCs w:val="1"/>
                <w:color w:val="3C9673"/>
              </w:rPr>
              <w:t>amortized costs</w:t>
            </w:r>
            <w:r>
              <w:rPr>
                <w:rFonts w:ascii="Arial" w:cs="Arial" w:eastAsia="Arial" w:hAnsi="Arial"/>
                <w:sz w:val="12"/>
                <w:szCs w:val="12"/>
                <w:b w:val="1"/>
                <w:bCs w:val="1"/>
                <w:color w:val="3C9673"/>
                <w:vertAlign w:val="superscript"/>
              </w:rPr>
              <w:t>(1)</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2380" w:type="dxa"/>
            <w:vAlign w:val="bottom"/>
            <w:gridSpan w:val="2"/>
          </w:tcPr>
          <w:p>
            <w:pPr>
              <w:ind w:left="20"/>
              <w:spacing w:after="0" w:line="99" w:lineRule="exact"/>
              <w:rPr>
                <w:sz w:val="20"/>
                <w:szCs w:val="20"/>
                <w:color w:val="auto"/>
              </w:rPr>
            </w:pPr>
            <w:r>
              <w:rPr>
                <w:rFonts w:ascii="Arial" w:cs="Arial" w:eastAsia="Arial" w:hAnsi="Arial"/>
                <w:sz w:val="9"/>
                <w:szCs w:val="9"/>
                <w:color w:val="005A64"/>
              </w:rPr>
              <w:t>Security investments disclosed as other financial</w:t>
            </w:r>
          </w:p>
        </w:tc>
        <w:tc>
          <w:tcPr>
            <w:tcW w:w="540" w:type="dxa"/>
            <w:vAlign w:val="bottom"/>
          </w:tcPr>
          <w:p>
            <w:pPr>
              <w:spacing w:after="0" w:line="99" w:lineRule="exact"/>
              <w:rPr>
                <w:sz w:val="20"/>
                <w:szCs w:val="20"/>
                <w:color w:val="auto"/>
              </w:rPr>
            </w:pPr>
            <w:r>
              <w:rPr>
                <w:rFonts w:ascii="Arial" w:cs="Arial" w:eastAsia="Arial" w:hAnsi="Arial"/>
                <w:sz w:val="9"/>
                <w:szCs w:val="9"/>
                <w:color w:val="005A64"/>
              </w:rPr>
              <w:t>4,885.1</w:t>
            </w:r>
          </w:p>
        </w:tc>
        <w:tc>
          <w:tcPr>
            <w:tcW w:w="640" w:type="dxa"/>
            <w:vAlign w:val="bottom"/>
            <w:gridSpan w:val="2"/>
          </w:tcPr>
          <w:p>
            <w:pPr>
              <w:ind w:left="100"/>
              <w:spacing w:after="0" w:line="99" w:lineRule="exact"/>
              <w:rPr>
                <w:sz w:val="20"/>
                <w:szCs w:val="20"/>
                <w:color w:val="auto"/>
              </w:rPr>
            </w:pPr>
            <w:r>
              <w:rPr>
                <w:rFonts w:ascii="Arial" w:cs="Arial" w:eastAsia="Arial" w:hAnsi="Arial"/>
                <w:sz w:val="9"/>
                <w:szCs w:val="9"/>
                <w:color w:val="005A64"/>
              </w:rPr>
              <w:t>1,104.6</w:t>
            </w:r>
          </w:p>
        </w:tc>
        <w:tc>
          <w:tcPr>
            <w:tcW w:w="620" w:type="dxa"/>
            <w:vAlign w:val="bottom"/>
            <w:gridSpan w:val="2"/>
          </w:tcPr>
          <w:p>
            <w:pPr>
              <w:ind w:left="80"/>
              <w:spacing w:after="0" w:line="99" w:lineRule="exact"/>
              <w:rPr>
                <w:sz w:val="20"/>
                <w:szCs w:val="20"/>
                <w:color w:val="auto"/>
              </w:rPr>
            </w:pPr>
            <w:r>
              <w:rPr>
                <w:rFonts w:ascii="Arial" w:cs="Arial" w:eastAsia="Arial" w:hAnsi="Arial"/>
                <w:sz w:val="9"/>
                <w:szCs w:val="9"/>
                <w:color w:val="005A64"/>
              </w:rPr>
              <w:t>5,989.7</w:t>
            </w:r>
          </w:p>
        </w:tc>
        <w:tc>
          <w:tcPr>
            <w:tcW w:w="40" w:type="dxa"/>
            <w:vAlign w:val="bottom"/>
          </w:tcPr>
          <w:p>
            <w:pPr>
              <w:spacing w:after="0"/>
              <w:rPr>
                <w:sz w:val="8"/>
                <w:szCs w:val="8"/>
                <w:color w:val="auto"/>
              </w:rPr>
            </w:pPr>
          </w:p>
        </w:tc>
        <w:tc>
          <w:tcPr>
            <w:tcW w:w="600" w:type="dxa"/>
            <w:vAlign w:val="bottom"/>
          </w:tcPr>
          <w:p>
            <w:pPr>
              <w:spacing w:after="0" w:line="99" w:lineRule="exact"/>
              <w:rPr>
                <w:sz w:val="20"/>
                <w:szCs w:val="20"/>
                <w:color w:val="auto"/>
              </w:rPr>
            </w:pPr>
            <w:r>
              <w:rPr>
                <w:rFonts w:ascii="Arial" w:cs="Arial" w:eastAsia="Arial" w:hAnsi="Arial"/>
                <w:sz w:val="9"/>
                <w:szCs w:val="9"/>
                <w:color w:val="005A64"/>
              </w:rPr>
              <w:t>—</w:t>
            </w:r>
          </w:p>
        </w:tc>
        <w:tc>
          <w:tcPr>
            <w:tcW w:w="80" w:type="dxa"/>
            <w:vAlign w:val="bottom"/>
          </w:tcPr>
          <w:p>
            <w:pPr>
              <w:spacing w:after="0"/>
              <w:rPr>
                <w:sz w:val="8"/>
                <w:szCs w:val="8"/>
                <w:color w:val="auto"/>
              </w:rPr>
            </w:pPr>
          </w:p>
        </w:tc>
        <w:tc>
          <w:tcPr>
            <w:tcW w:w="600" w:type="dxa"/>
            <w:vAlign w:val="bottom"/>
          </w:tcPr>
          <w:p>
            <w:pPr>
              <w:spacing w:after="0" w:line="99" w:lineRule="exact"/>
              <w:rPr>
                <w:sz w:val="20"/>
                <w:szCs w:val="20"/>
                <w:color w:val="auto"/>
              </w:rPr>
            </w:pPr>
            <w:r>
              <w:rPr>
                <w:rFonts w:ascii="Arial" w:cs="Arial" w:eastAsia="Arial" w:hAnsi="Arial"/>
                <w:sz w:val="9"/>
                <w:szCs w:val="9"/>
                <w:color w:val="005A64"/>
              </w:rPr>
              <w:t>—</w:t>
            </w:r>
          </w:p>
        </w:tc>
        <w:tc>
          <w:tcPr>
            <w:tcW w:w="80" w:type="dxa"/>
            <w:vAlign w:val="bottom"/>
          </w:tcPr>
          <w:p>
            <w:pPr>
              <w:spacing w:after="0"/>
              <w:rPr>
                <w:sz w:val="8"/>
                <w:szCs w:val="8"/>
                <w:color w:val="auto"/>
              </w:rPr>
            </w:pPr>
          </w:p>
        </w:tc>
        <w:tc>
          <w:tcPr>
            <w:tcW w:w="580" w:type="dxa"/>
            <w:vAlign w:val="bottom"/>
          </w:tcPr>
          <w:p>
            <w:pPr>
              <w:spacing w:after="0" w:line="99" w:lineRule="exact"/>
              <w:rPr>
                <w:sz w:val="20"/>
                <w:szCs w:val="20"/>
                <w:color w:val="auto"/>
              </w:rPr>
            </w:pPr>
            <w:r>
              <w:rPr>
                <w:rFonts w:ascii="Arial" w:cs="Arial" w:eastAsia="Arial" w:hAnsi="Arial"/>
                <w:sz w:val="9"/>
                <w:szCs w:val="9"/>
                <w:color w:val="005A64"/>
              </w:rPr>
              <w:t>—</w:t>
            </w:r>
          </w:p>
        </w:tc>
        <w:tc>
          <w:tcPr>
            <w:tcW w:w="600" w:type="dxa"/>
            <w:vAlign w:val="bottom"/>
            <w:gridSpan w:val="2"/>
          </w:tcPr>
          <w:p>
            <w:pPr>
              <w:ind w:left="60"/>
              <w:spacing w:after="0" w:line="99" w:lineRule="exact"/>
              <w:rPr>
                <w:sz w:val="20"/>
                <w:szCs w:val="20"/>
                <w:color w:val="auto"/>
              </w:rPr>
            </w:pPr>
            <w:r>
              <w:rPr>
                <w:rFonts w:ascii="Arial" w:cs="Arial" w:eastAsia="Arial" w:hAnsi="Arial"/>
                <w:sz w:val="9"/>
                <w:szCs w:val="9"/>
                <w:color w:val="005A64"/>
              </w:rPr>
              <w:t>5,989.7</w:t>
            </w:r>
          </w:p>
        </w:tc>
        <w:tc>
          <w:tcPr>
            <w:tcW w:w="0" w:type="dxa"/>
            <w:vAlign w:val="bottom"/>
          </w:tcPr>
          <w:p>
            <w:pPr>
              <w:spacing w:after="0"/>
              <w:rPr>
                <w:sz w:val="1"/>
                <w:szCs w:val="1"/>
                <w:color w:val="auto"/>
              </w:rPr>
            </w:pPr>
          </w:p>
        </w:tc>
      </w:tr>
      <w:tr>
        <w:trPr>
          <w:trHeight w:val="118"/>
        </w:trPr>
        <w:tc>
          <w:tcPr>
            <w:tcW w:w="2380" w:type="dxa"/>
            <w:vAlign w:val="bottom"/>
            <w:gridSpan w:val="2"/>
          </w:tcPr>
          <w:p>
            <w:pPr>
              <w:ind w:left="20"/>
              <w:spacing w:after="0"/>
              <w:rPr>
                <w:sz w:val="20"/>
                <w:szCs w:val="20"/>
                <w:color w:val="auto"/>
              </w:rPr>
            </w:pPr>
            <w:r>
              <w:rPr>
                <w:rFonts w:ascii="Arial" w:cs="Arial" w:eastAsia="Arial" w:hAnsi="Arial"/>
                <w:sz w:val="9"/>
                <w:szCs w:val="9"/>
                <w:color w:val="005A64"/>
              </w:rPr>
              <w:t>assets</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380" w:type="dxa"/>
            <w:vAlign w:val="bottom"/>
            <w:gridSpan w:val="2"/>
          </w:tcPr>
          <w:p>
            <w:pPr>
              <w:ind w:left="20"/>
              <w:spacing w:after="0"/>
              <w:rPr>
                <w:sz w:val="20"/>
                <w:szCs w:val="20"/>
                <w:color w:val="auto"/>
              </w:rPr>
            </w:pPr>
            <w:r>
              <w:rPr>
                <w:rFonts w:ascii="Arial" w:cs="Arial" w:eastAsia="Arial" w:hAnsi="Arial"/>
                <w:sz w:val="9"/>
                <w:szCs w:val="9"/>
                <w:color w:val="005A64"/>
              </w:rPr>
              <w:t>Security investments disclosed as cash and cash</w:t>
            </w:r>
          </w:p>
        </w:tc>
        <w:tc>
          <w:tcPr>
            <w:tcW w:w="540" w:type="dxa"/>
            <w:vAlign w:val="bottom"/>
          </w:tcPr>
          <w:p>
            <w:pPr>
              <w:spacing w:after="0"/>
              <w:rPr>
                <w:sz w:val="20"/>
                <w:szCs w:val="20"/>
                <w:color w:val="auto"/>
              </w:rPr>
            </w:pPr>
            <w:r>
              <w:rPr>
                <w:rFonts w:ascii="Arial" w:cs="Arial" w:eastAsia="Arial" w:hAnsi="Arial"/>
                <w:sz w:val="9"/>
                <w:szCs w:val="9"/>
                <w:color w:val="005A64"/>
              </w:rPr>
              <w:t>3,764.5</w:t>
            </w:r>
          </w:p>
        </w:tc>
        <w:tc>
          <w:tcPr>
            <w:tcW w:w="8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9"/>
                <w:szCs w:val="9"/>
                <w:color w:val="005A64"/>
              </w:rPr>
              <w:t>—</w:t>
            </w:r>
          </w:p>
        </w:tc>
        <w:tc>
          <w:tcPr>
            <w:tcW w:w="620" w:type="dxa"/>
            <w:vAlign w:val="bottom"/>
            <w:gridSpan w:val="2"/>
          </w:tcPr>
          <w:p>
            <w:pPr>
              <w:ind w:left="80"/>
              <w:spacing w:after="0"/>
              <w:rPr>
                <w:sz w:val="20"/>
                <w:szCs w:val="20"/>
                <w:color w:val="auto"/>
              </w:rPr>
            </w:pPr>
            <w:r>
              <w:rPr>
                <w:rFonts w:ascii="Arial" w:cs="Arial" w:eastAsia="Arial" w:hAnsi="Arial"/>
                <w:sz w:val="9"/>
                <w:szCs w:val="9"/>
                <w:color w:val="005A64"/>
              </w:rPr>
              <w:t>3,764.5</w:t>
            </w:r>
          </w:p>
        </w:tc>
        <w:tc>
          <w:tcPr>
            <w:tcW w:w="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9"/>
                <w:szCs w:val="9"/>
                <w:color w:val="005A64"/>
              </w:rPr>
              <w:t>—</w:t>
            </w:r>
          </w:p>
        </w:tc>
        <w:tc>
          <w:tcPr>
            <w:tcW w:w="600" w:type="dxa"/>
            <w:vAlign w:val="bottom"/>
            <w:gridSpan w:val="2"/>
          </w:tcPr>
          <w:p>
            <w:pPr>
              <w:ind w:left="60"/>
              <w:spacing w:after="0"/>
              <w:rPr>
                <w:sz w:val="20"/>
                <w:szCs w:val="20"/>
                <w:color w:val="auto"/>
              </w:rPr>
            </w:pPr>
            <w:r>
              <w:rPr>
                <w:rFonts w:ascii="Arial" w:cs="Arial" w:eastAsia="Arial" w:hAnsi="Arial"/>
                <w:sz w:val="9"/>
                <w:szCs w:val="9"/>
                <w:color w:val="005A64"/>
              </w:rPr>
              <w:t>3,764.5</w:t>
            </w:r>
          </w:p>
        </w:tc>
        <w:tc>
          <w:tcPr>
            <w:tcW w:w="0" w:type="dxa"/>
            <w:vAlign w:val="bottom"/>
          </w:tcPr>
          <w:p>
            <w:pPr>
              <w:spacing w:after="0"/>
              <w:rPr>
                <w:sz w:val="1"/>
                <w:szCs w:val="1"/>
                <w:color w:val="auto"/>
              </w:rPr>
            </w:pPr>
          </w:p>
        </w:tc>
      </w:tr>
      <w:tr>
        <w:trPr>
          <w:trHeight w:val="118"/>
        </w:trPr>
        <w:tc>
          <w:tcPr>
            <w:tcW w:w="2380" w:type="dxa"/>
            <w:vAlign w:val="bottom"/>
            <w:gridSpan w:val="2"/>
          </w:tcPr>
          <w:p>
            <w:pPr>
              <w:ind w:left="20"/>
              <w:spacing w:after="0"/>
              <w:rPr>
                <w:sz w:val="20"/>
                <w:szCs w:val="20"/>
                <w:color w:val="auto"/>
              </w:rPr>
            </w:pPr>
            <w:r>
              <w:rPr>
                <w:rFonts w:ascii="Arial" w:cs="Arial" w:eastAsia="Arial" w:hAnsi="Arial"/>
                <w:sz w:val="9"/>
                <w:szCs w:val="9"/>
                <w:color w:val="005A64"/>
              </w:rPr>
              <w:t>equivalents</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380" w:type="dxa"/>
            <w:vAlign w:val="bottom"/>
            <w:gridSpan w:val="2"/>
          </w:tcPr>
          <w:p>
            <w:pPr>
              <w:ind w:left="20"/>
              <w:spacing w:after="0"/>
              <w:rPr>
                <w:sz w:val="20"/>
                <w:szCs w:val="20"/>
                <w:color w:val="auto"/>
              </w:rPr>
            </w:pPr>
            <w:r>
              <w:rPr>
                <w:rFonts w:ascii="Arial" w:cs="Arial" w:eastAsia="Arial" w:hAnsi="Arial"/>
                <w:sz w:val="9"/>
                <w:szCs w:val="9"/>
                <w:color w:val="005A64"/>
              </w:rPr>
              <w:t>Cash at banks and on hand</w:t>
            </w:r>
          </w:p>
        </w:tc>
        <w:tc>
          <w:tcPr>
            <w:tcW w:w="540" w:type="dxa"/>
            <w:vAlign w:val="bottom"/>
          </w:tcPr>
          <w:p>
            <w:pPr>
              <w:spacing w:after="0"/>
              <w:rPr>
                <w:sz w:val="20"/>
                <w:szCs w:val="20"/>
                <w:color w:val="auto"/>
              </w:rPr>
            </w:pPr>
            <w:r>
              <w:rPr>
                <w:rFonts w:ascii="Arial" w:cs="Arial" w:eastAsia="Arial" w:hAnsi="Arial"/>
                <w:sz w:val="9"/>
                <w:szCs w:val="9"/>
                <w:color w:val="005A64"/>
              </w:rPr>
              <w:t>453.1</w:t>
            </w:r>
          </w:p>
        </w:tc>
        <w:tc>
          <w:tcPr>
            <w:tcW w:w="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9"/>
                <w:szCs w:val="9"/>
                <w:color w:val="005A64"/>
              </w:rPr>
              <w:t>—</w:t>
            </w:r>
          </w:p>
        </w:tc>
        <w:tc>
          <w:tcPr>
            <w:tcW w:w="620" w:type="dxa"/>
            <w:vAlign w:val="bottom"/>
            <w:gridSpan w:val="2"/>
          </w:tcPr>
          <w:p>
            <w:pPr>
              <w:ind w:left="80"/>
              <w:spacing w:after="0"/>
              <w:rPr>
                <w:sz w:val="20"/>
                <w:szCs w:val="20"/>
                <w:color w:val="auto"/>
              </w:rPr>
            </w:pPr>
            <w:r>
              <w:rPr>
                <w:rFonts w:ascii="Arial" w:cs="Arial" w:eastAsia="Arial" w:hAnsi="Arial"/>
                <w:sz w:val="9"/>
                <w:szCs w:val="9"/>
                <w:color w:val="005A64"/>
              </w:rPr>
              <w:t>453.1</w:t>
            </w:r>
          </w:p>
        </w:tc>
        <w:tc>
          <w:tcPr>
            <w:tcW w:w="4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9"/>
                <w:szCs w:val="9"/>
                <w:color w:val="005A64"/>
              </w:rPr>
              <w:t>—</w:t>
            </w:r>
          </w:p>
        </w:tc>
        <w:tc>
          <w:tcPr>
            <w:tcW w:w="600" w:type="dxa"/>
            <w:vAlign w:val="bottom"/>
            <w:gridSpan w:val="2"/>
          </w:tcPr>
          <w:p>
            <w:pPr>
              <w:ind w:left="60"/>
              <w:spacing w:after="0"/>
              <w:rPr>
                <w:sz w:val="20"/>
                <w:szCs w:val="20"/>
                <w:color w:val="auto"/>
              </w:rPr>
            </w:pPr>
            <w:r>
              <w:rPr>
                <w:rFonts w:ascii="Arial" w:cs="Arial" w:eastAsia="Arial" w:hAnsi="Arial"/>
                <w:sz w:val="9"/>
                <w:szCs w:val="9"/>
                <w:color w:val="005A64"/>
              </w:rPr>
              <w:t>453.1</w:t>
            </w:r>
          </w:p>
        </w:tc>
        <w:tc>
          <w:tcPr>
            <w:tcW w:w="0" w:type="dxa"/>
            <w:vAlign w:val="bottom"/>
          </w:tcPr>
          <w:p>
            <w:pPr>
              <w:spacing w:after="0"/>
              <w:rPr>
                <w:sz w:val="1"/>
                <w:szCs w:val="1"/>
                <w:color w:val="auto"/>
              </w:rPr>
            </w:pPr>
          </w:p>
        </w:tc>
      </w:tr>
      <w:tr>
        <w:trPr>
          <w:trHeight w:val="172"/>
        </w:trPr>
        <w:tc>
          <w:tcPr>
            <w:tcW w:w="2380" w:type="dxa"/>
            <w:vAlign w:val="bottom"/>
            <w:gridSpan w:val="2"/>
          </w:tcPr>
          <w:p>
            <w:pPr>
              <w:ind w:left="20"/>
              <w:spacing w:after="0"/>
              <w:rPr>
                <w:sz w:val="20"/>
                <w:szCs w:val="20"/>
                <w:color w:val="auto"/>
              </w:rPr>
            </w:pPr>
            <w:r>
              <w:rPr>
                <w:rFonts w:ascii="Arial" w:cs="Arial" w:eastAsia="Arial" w:hAnsi="Arial"/>
                <w:sz w:val="9"/>
                <w:szCs w:val="9"/>
                <w:color w:val="005A64"/>
              </w:rPr>
              <w:t>Trade and other receivables</w:t>
            </w:r>
          </w:p>
        </w:tc>
        <w:tc>
          <w:tcPr>
            <w:tcW w:w="540" w:type="dxa"/>
            <w:vAlign w:val="bottom"/>
          </w:tcPr>
          <w:p>
            <w:pPr>
              <w:spacing w:after="0"/>
              <w:rPr>
                <w:sz w:val="20"/>
                <w:szCs w:val="20"/>
                <w:color w:val="auto"/>
              </w:rPr>
            </w:pPr>
            <w:r>
              <w:rPr>
                <w:rFonts w:ascii="Arial" w:cs="Arial" w:eastAsia="Arial" w:hAnsi="Arial"/>
                <w:sz w:val="9"/>
                <w:szCs w:val="9"/>
                <w:color w:val="005A64"/>
              </w:rPr>
              <w:t>2,155.7</w:t>
            </w:r>
          </w:p>
        </w:tc>
        <w:tc>
          <w:tcPr>
            <w:tcW w:w="8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9"/>
                <w:szCs w:val="9"/>
                <w:color w:val="005A64"/>
              </w:rPr>
              <w:t>—</w:t>
            </w:r>
          </w:p>
        </w:tc>
        <w:tc>
          <w:tcPr>
            <w:tcW w:w="620" w:type="dxa"/>
            <w:vAlign w:val="bottom"/>
            <w:gridSpan w:val="2"/>
          </w:tcPr>
          <w:p>
            <w:pPr>
              <w:ind w:left="80"/>
              <w:spacing w:after="0"/>
              <w:rPr>
                <w:sz w:val="20"/>
                <w:szCs w:val="20"/>
                <w:color w:val="auto"/>
              </w:rPr>
            </w:pPr>
            <w:r>
              <w:rPr>
                <w:rFonts w:ascii="Arial" w:cs="Arial" w:eastAsia="Arial" w:hAnsi="Arial"/>
                <w:sz w:val="9"/>
                <w:szCs w:val="9"/>
                <w:color w:val="005A64"/>
              </w:rPr>
              <w:t>2,155.7</w:t>
            </w:r>
          </w:p>
        </w:tc>
        <w:tc>
          <w:tcPr>
            <w:tcW w:w="4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9"/>
                <w:szCs w:val="9"/>
                <w:color w:val="005A64"/>
              </w:rPr>
              <w:t>—</w:t>
            </w:r>
          </w:p>
        </w:tc>
        <w:tc>
          <w:tcPr>
            <w:tcW w:w="600" w:type="dxa"/>
            <w:vAlign w:val="bottom"/>
            <w:gridSpan w:val="2"/>
          </w:tcPr>
          <w:p>
            <w:pPr>
              <w:ind w:left="60"/>
              <w:spacing w:after="0"/>
              <w:rPr>
                <w:sz w:val="20"/>
                <w:szCs w:val="20"/>
                <w:color w:val="auto"/>
              </w:rPr>
            </w:pPr>
            <w:r>
              <w:rPr>
                <w:rFonts w:ascii="Arial" w:cs="Arial" w:eastAsia="Arial" w:hAnsi="Arial"/>
                <w:sz w:val="9"/>
                <w:szCs w:val="9"/>
                <w:color w:val="005A64"/>
              </w:rPr>
              <w:t>2,155.7</w:t>
            </w:r>
          </w:p>
        </w:tc>
        <w:tc>
          <w:tcPr>
            <w:tcW w:w="0" w:type="dxa"/>
            <w:vAlign w:val="bottom"/>
          </w:tcPr>
          <w:p>
            <w:pPr>
              <w:spacing w:after="0"/>
              <w:rPr>
                <w:sz w:val="1"/>
                <w:szCs w:val="1"/>
                <w:color w:val="auto"/>
              </w:rPr>
            </w:pPr>
          </w:p>
        </w:tc>
      </w:tr>
      <w:tr>
        <w:trPr>
          <w:trHeight w:val="172"/>
        </w:trPr>
        <w:tc>
          <w:tcPr>
            <w:tcW w:w="2380" w:type="dxa"/>
            <w:vAlign w:val="bottom"/>
            <w:gridSpan w:val="2"/>
          </w:tcPr>
          <w:p>
            <w:pPr>
              <w:ind w:left="20"/>
              <w:spacing w:after="0"/>
              <w:rPr>
                <w:sz w:val="20"/>
                <w:szCs w:val="20"/>
                <w:color w:val="auto"/>
              </w:rPr>
            </w:pPr>
            <w:r>
              <w:rPr>
                <w:rFonts w:ascii="Arial" w:cs="Arial" w:eastAsia="Arial" w:hAnsi="Arial"/>
                <w:sz w:val="9"/>
                <w:szCs w:val="9"/>
                <w:color w:val="005A64"/>
              </w:rPr>
              <w:t>Other financial assets</w:t>
            </w:r>
          </w:p>
        </w:tc>
        <w:tc>
          <w:tcPr>
            <w:tcW w:w="540" w:type="dxa"/>
            <w:vAlign w:val="bottom"/>
          </w:tcPr>
          <w:p>
            <w:pPr>
              <w:spacing w:after="0"/>
              <w:rPr>
                <w:sz w:val="20"/>
                <w:szCs w:val="20"/>
                <w:color w:val="auto"/>
              </w:rPr>
            </w:pPr>
            <w:r>
              <w:rPr>
                <w:rFonts w:ascii="Arial" w:cs="Arial" w:eastAsia="Arial" w:hAnsi="Arial"/>
                <w:sz w:val="9"/>
                <w:szCs w:val="9"/>
                <w:color w:val="005A64"/>
              </w:rPr>
              <w:t>0.2</w:t>
            </w:r>
          </w:p>
        </w:tc>
        <w:tc>
          <w:tcPr>
            <w:tcW w:w="640" w:type="dxa"/>
            <w:vAlign w:val="bottom"/>
            <w:gridSpan w:val="2"/>
          </w:tcPr>
          <w:p>
            <w:pPr>
              <w:ind w:left="100"/>
              <w:spacing w:after="0"/>
              <w:rPr>
                <w:sz w:val="20"/>
                <w:szCs w:val="20"/>
                <w:color w:val="auto"/>
              </w:rPr>
            </w:pPr>
            <w:r>
              <w:rPr>
                <w:rFonts w:ascii="Arial" w:cs="Arial" w:eastAsia="Arial" w:hAnsi="Arial"/>
                <w:sz w:val="9"/>
                <w:szCs w:val="9"/>
                <w:color w:val="005A64"/>
              </w:rPr>
              <w:t>18.4</w:t>
            </w:r>
          </w:p>
        </w:tc>
        <w:tc>
          <w:tcPr>
            <w:tcW w:w="620" w:type="dxa"/>
            <w:vAlign w:val="bottom"/>
            <w:gridSpan w:val="2"/>
          </w:tcPr>
          <w:p>
            <w:pPr>
              <w:ind w:left="80"/>
              <w:spacing w:after="0"/>
              <w:rPr>
                <w:sz w:val="20"/>
                <w:szCs w:val="20"/>
                <w:color w:val="auto"/>
              </w:rPr>
            </w:pPr>
            <w:r>
              <w:rPr>
                <w:rFonts w:ascii="Arial" w:cs="Arial" w:eastAsia="Arial" w:hAnsi="Arial"/>
                <w:sz w:val="9"/>
                <w:szCs w:val="9"/>
                <w:color w:val="005A64"/>
              </w:rPr>
              <w:t>18.6</w:t>
            </w:r>
          </w:p>
        </w:tc>
        <w:tc>
          <w:tcPr>
            <w:tcW w:w="4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9"/>
                <w:szCs w:val="9"/>
                <w:color w:val="005A64"/>
              </w:rPr>
              <w:t>—</w:t>
            </w:r>
          </w:p>
        </w:tc>
        <w:tc>
          <w:tcPr>
            <w:tcW w:w="600" w:type="dxa"/>
            <w:vAlign w:val="bottom"/>
            <w:gridSpan w:val="2"/>
          </w:tcPr>
          <w:p>
            <w:pPr>
              <w:ind w:left="60"/>
              <w:spacing w:after="0"/>
              <w:rPr>
                <w:sz w:val="20"/>
                <w:szCs w:val="20"/>
                <w:color w:val="auto"/>
              </w:rPr>
            </w:pPr>
            <w:r>
              <w:rPr>
                <w:rFonts w:ascii="Arial" w:cs="Arial" w:eastAsia="Arial" w:hAnsi="Arial"/>
                <w:sz w:val="9"/>
                <w:szCs w:val="9"/>
                <w:color w:val="005A64"/>
              </w:rPr>
              <w:t>18.6</w:t>
            </w:r>
          </w:p>
        </w:tc>
        <w:tc>
          <w:tcPr>
            <w:tcW w:w="0" w:type="dxa"/>
            <w:vAlign w:val="bottom"/>
          </w:tcPr>
          <w:p>
            <w:pPr>
              <w:spacing w:after="0"/>
              <w:rPr>
                <w:sz w:val="1"/>
                <w:szCs w:val="1"/>
                <w:color w:val="auto"/>
              </w:rPr>
            </w:pPr>
          </w:p>
        </w:tc>
      </w:tr>
      <w:tr>
        <w:trPr>
          <w:trHeight w:val="144"/>
        </w:trPr>
        <w:tc>
          <w:tcPr>
            <w:tcW w:w="2380" w:type="dxa"/>
            <w:vAlign w:val="bottom"/>
            <w:gridSpan w:val="2"/>
          </w:tcPr>
          <w:p>
            <w:pPr>
              <w:ind w:left="20"/>
              <w:spacing w:after="0"/>
              <w:rPr>
                <w:sz w:val="20"/>
                <w:szCs w:val="20"/>
                <w:color w:val="auto"/>
              </w:rPr>
            </w:pPr>
            <w:r>
              <w:rPr>
                <w:rFonts w:ascii="Arial" w:cs="Arial" w:eastAsia="Arial" w:hAnsi="Arial"/>
                <w:sz w:val="9"/>
                <w:szCs w:val="9"/>
                <w:b w:val="1"/>
                <w:bCs w:val="1"/>
                <w:color w:val="3C9673"/>
              </w:rPr>
              <w:t>Financial liabilities subsequently measured at fair</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380" w:type="dxa"/>
            <w:vAlign w:val="bottom"/>
            <w:gridSpan w:val="2"/>
          </w:tcPr>
          <w:p>
            <w:pPr>
              <w:ind w:left="20"/>
              <w:spacing w:after="0"/>
              <w:rPr>
                <w:sz w:val="20"/>
                <w:szCs w:val="20"/>
                <w:color w:val="auto"/>
              </w:rPr>
            </w:pPr>
            <w:r>
              <w:rPr>
                <w:rFonts w:ascii="Arial" w:cs="Arial" w:eastAsia="Arial" w:hAnsi="Arial"/>
                <w:sz w:val="9"/>
                <w:szCs w:val="9"/>
                <w:b w:val="1"/>
                <w:bCs w:val="1"/>
                <w:color w:val="3C9673"/>
              </w:rPr>
              <w:t>value</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380" w:type="dxa"/>
            <w:vAlign w:val="bottom"/>
            <w:gridSpan w:val="2"/>
          </w:tcPr>
          <w:p>
            <w:pPr>
              <w:ind w:left="20"/>
              <w:spacing w:after="0"/>
              <w:rPr>
                <w:sz w:val="20"/>
                <w:szCs w:val="20"/>
                <w:color w:val="auto"/>
              </w:rPr>
            </w:pPr>
            <w:r>
              <w:rPr>
                <w:rFonts w:ascii="Arial" w:cs="Arial" w:eastAsia="Arial" w:hAnsi="Arial"/>
                <w:sz w:val="9"/>
                <w:szCs w:val="9"/>
                <w:color w:val="005A64"/>
              </w:rPr>
              <w:t>Foreign exchange forward contracts</w:t>
            </w:r>
          </w:p>
        </w:tc>
        <w:tc>
          <w:tcPr>
            <w:tcW w:w="540" w:type="dxa"/>
            <w:vAlign w:val="bottom"/>
          </w:tcPr>
          <w:p>
            <w:pPr>
              <w:spacing w:after="0"/>
              <w:rPr>
                <w:sz w:val="20"/>
                <w:szCs w:val="20"/>
                <w:color w:val="auto"/>
              </w:rPr>
            </w:pPr>
            <w:r>
              <w:rPr>
                <w:rFonts w:ascii="Arial" w:cs="Arial" w:eastAsia="Arial" w:hAnsi="Arial"/>
                <w:sz w:val="9"/>
                <w:szCs w:val="9"/>
                <w:color w:val="005A64"/>
              </w:rPr>
              <w:t>0.4</w:t>
            </w:r>
          </w:p>
        </w:tc>
        <w:tc>
          <w:tcPr>
            <w:tcW w:w="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9"/>
                <w:szCs w:val="9"/>
                <w:color w:val="005A64"/>
              </w:rPr>
              <w:t>—</w:t>
            </w:r>
          </w:p>
        </w:tc>
        <w:tc>
          <w:tcPr>
            <w:tcW w:w="620" w:type="dxa"/>
            <w:vAlign w:val="bottom"/>
            <w:gridSpan w:val="2"/>
          </w:tcPr>
          <w:p>
            <w:pPr>
              <w:ind w:left="80"/>
              <w:spacing w:after="0"/>
              <w:rPr>
                <w:sz w:val="20"/>
                <w:szCs w:val="20"/>
                <w:color w:val="auto"/>
              </w:rPr>
            </w:pPr>
            <w:r>
              <w:rPr>
                <w:rFonts w:ascii="Arial" w:cs="Arial" w:eastAsia="Arial" w:hAnsi="Arial"/>
                <w:sz w:val="9"/>
                <w:szCs w:val="9"/>
                <w:color w:val="005A64"/>
              </w:rPr>
              <w:t>0.4</w:t>
            </w:r>
          </w:p>
        </w:tc>
        <w:tc>
          <w:tcPr>
            <w:tcW w:w="4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9"/>
                <w:szCs w:val="9"/>
                <w:color w:val="005A64"/>
              </w:rPr>
              <w:t>—</w:t>
            </w:r>
          </w:p>
        </w:tc>
        <w:tc>
          <w:tcPr>
            <w:tcW w:w="680" w:type="dxa"/>
            <w:vAlign w:val="bottom"/>
            <w:gridSpan w:val="2"/>
          </w:tcPr>
          <w:p>
            <w:pPr>
              <w:ind w:left="80"/>
              <w:spacing w:after="0"/>
              <w:rPr>
                <w:sz w:val="20"/>
                <w:szCs w:val="20"/>
                <w:color w:val="auto"/>
              </w:rPr>
            </w:pPr>
            <w:r>
              <w:rPr>
                <w:rFonts w:ascii="Arial" w:cs="Arial" w:eastAsia="Arial" w:hAnsi="Arial"/>
                <w:sz w:val="9"/>
                <w:szCs w:val="9"/>
                <w:color w:val="005A64"/>
              </w:rPr>
              <w:t>0.4</w:t>
            </w:r>
          </w:p>
        </w:tc>
        <w:tc>
          <w:tcPr>
            <w:tcW w:w="8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9"/>
                <w:szCs w:val="9"/>
                <w:color w:val="005A64"/>
              </w:rPr>
              <w:t>—</w:t>
            </w:r>
          </w:p>
        </w:tc>
        <w:tc>
          <w:tcPr>
            <w:tcW w:w="600" w:type="dxa"/>
            <w:vAlign w:val="bottom"/>
            <w:gridSpan w:val="2"/>
          </w:tcPr>
          <w:p>
            <w:pPr>
              <w:ind w:left="60"/>
              <w:spacing w:after="0"/>
              <w:rPr>
                <w:sz w:val="20"/>
                <w:szCs w:val="20"/>
                <w:color w:val="auto"/>
              </w:rPr>
            </w:pPr>
            <w:r>
              <w:rPr>
                <w:rFonts w:ascii="Arial" w:cs="Arial" w:eastAsia="Arial" w:hAnsi="Arial"/>
                <w:sz w:val="9"/>
                <w:szCs w:val="9"/>
                <w:color w:val="005A64"/>
              </w:rPr>
              <w:t>0.4</w:t>
            </w:r>
          </w:p>
        </w:tc>
        <w:tc>
          <w:tcPr>
            <w:tcW w:w="0" w:type="dxa"/>
            <w:vAlign w:val="bottom"/>
          </w:tcPr>
          <w:p>
            <w:pPr>
              <w:spacing w:after="0"/>
              <w:rPr>
                <w:sz w:val="1"/>
                <w:szCs w:val="1"/>
                <w:color w:val="auto"/>
              </w:rPr>
            </w:pPr>
          </w:p>
        </w:tc>
      </w:tr>
      <w:tr>
        <w:trPr>
          <w:trHeight w:val="172"/>
        </w:trPr>
        <w:tc>
          <w:tcPr>
            <w:tcW w:w="2380" w:type="dxa"/>
            <w:vAlign w:val="bottom"/>
            <w:gridSpan w:val="2"/>
          </w:tcPr>
          <w:p>
            <w:pPr>
              <w:ind w:left="20"/>
              <w:spacing w:after="0"/>
              <w:rPr>
                <w:sz w:val="20"/>
                <w:szCs w:val="20"/>
                <w:color w:val="auto"/>
              </w:rPr>
            </w:pPr>
            <w:r>
              <w:rPr>
                <w:rFonts w:ascii="Arial" w:cs="Arial" w:eastAsia="Arial" w:hAnsi="Arial"/>
                <w:sz w:val="9"/>
                <w:szCs w:val="9"/>
                <w:color w:val="005A64"/>
              </w:rPr>
              <w:t>Contingent consideration</w:t>
            </w:r>
          </w:p>
        </w:tc>
        <w:tc>
          <w:tcPr>
            <w:tcW w:w="540" w:type="dxa"/>
            <w:vAlign w:val="bottom"/>
          </w:tcPr>
          <w:p>
            <w:pPr>
              <w:spacing w:after="0"/>
              <w:rPr>
                <w:sz w:val="20"/>
                <w:szCs w:val="20"/>
                <w:color w:val="auto"/>
              </w:rPr>
            </w:pPr>
            <w:r>
              <w:rPr>
                <w:rFonts w:ascii="Arial" w:cs="Arial" w:eastAsia="Arial" w:hAnsi="Arial"/>
                <w:sz w:val="9"/>
                <w:szCs w:val="9"/>
                <w:color w:val="005A64"/>
              </w:rPr>
              <w:t>—</w:t>
            </w:r>
          </w:p>
        </w:tc>
        <w:tc>
          <w:tcPr>
            <w:tcW w:w="640" w:type="dxa"/>
            <w:vAlign w:val="bottom"/>
            <w:gridSpan w:val="2"/>
          </w:tcPr>
          <w:p>
            <w:pPr>
              <w:ind w:left="100"/>
              <w:spacing w:after="0"/>
              <w:rPr>
                <w:sz w:val="20"/>
                <w:szCs w:val="20"/>
                <w:color w:val="auto"/>
              </w:rPr>
            </w:pPr>
            <w:r>
              <w:rPr>
                <w:rFonts w:ascii="Arial" w:cs="Arial" w:eastAsia="Arial" w:hAnsi="Arial"/>
                <w:sz w:val="9"/>
                <w:szCs w:val="9"/>
                <w:color w:val="005A64"/>
              </w:rPr>
              <w:t>38.8</w:t>
            </w:r>
          </w:p>
        </w:tc>
        <w:tc>
          <w:tcPr>
            <w:tcW w:w="620" w:type="dxa"/>
            <w:vAlign w:val="bottom"/>
            <w:gridSpan w:val="2"/>
          </w:tcPr>
          <w:p>
            <w:pPr>
              <w:ind w:left="80"/>
              <w:spacing w:after="0"/>
              <w:rPr>
                <w:sz w:val="20"/>
                <w:szCs w:val="20"/>
                <w:color w:val="auto"/>
              </w:rPr>
            </w:pPr>
            <w:r>
              <w:rPr>
                <w:rFonts w:ascii="Arial" w:cs="Arial" w:eastAsia="Arial" w:hAnsi="Arial"/>
                <w:sz w:val="9"/>
                <w:szCs w:val="9"/>
                <w:color w:val="005A64"/>
              </w:rPr>
              <w:t>38.8</w:t>
            </w:r>
          </w:p>
        </w:tc>
        <w:tc>
          <w:tcPr>
            <w:tcW w:w="4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9"/>
                <w:szCs w:val="9"/>
                <w:color w:val="005A64"/>
              </w:rPr>
              <w:t>—</w:t>
            </w:r>
          </w:p>
        </w:tc>
        <w:tc>
          <w:tcPr>
            <w:tcW w:w="660" w:type="dxa"/>
            <w:vAlign w:val="bottom"/>
            <w:gridSpan w:val="2"/>
          </w:tcPr>
          <w:p>
            <w:pPr>
              <w:ind w:left="80"/>
              <w:spacing w:after="0"/>
              <w:rPr>
                <w:sz w:val="20"/>
                <w:szCs w:val="20"/>
                <w:color w:val="auto"/>
              </w:rPr>
            </w:pPr>
            <w:r>
              <w:rPr>
                <w:rFonts w:ascii="Arial" w:cs="Arial" w:eastAsia="Arial" w:hAnsi="Arial"/>
                <w:sz w:val="9"/>
                <w:szCs w:val="9"/>
                <w:color w:val="005A64"/>
              </w:rPr>
              <w:t>38.8</w:t>
            </w:r>
          </w:p>
        </w:tc>
        <w:tc>
          <w:tcPr>
            <w:tcW w:w="600" w:type="dxa"/>
            <w:vAlign w:val="bottom"/>
            <w:gridSpan w:val="2"/>
          </w:tcPr>
          <w:p>
            <w:pPr>
              <w:ind w:left="60"/>
              <w:spacing w:after="0"/>
              <w:rPr>
                <w:sz w:val="20"/>
                <w:szCs w:val="20"/>
                <w:color w:val="auto"/>
              </w:rPr>
            </w:pPr>
            <w:r>
              <w:rPr>
                <w:rFonts w:ascii="Arial" w:cs="Arial" w:eastAsia="Arial" w:hAnsi="Arial"/>
                <w:sz w:val="9"/>
                <w:szCs w:val="9"/>
                <w:color w:val="005A64"/>
              </w:rPr>
              <w:t>38.8</w:t>
            </w:r>
          </w:p>
        </w:tc>
        <w:tc>
          <w:tcPr>
            <w:tcW w:w="0" w:type="dxa"/>
            <w:vAlign w:val="bottom"/>
          </w:tcPr>
          <w:p>
            <w:pPr>
              <w:spacing w:after="0"/>
              <w:rPr>
                <w:sz w:val="1"/>
                <w:szCs w:val="1"/>
                <w:color w:val="auto"/>
              </w:rPr>
            </w:pPr>
          </w:p>
        </w:tc>
      </w:tr>
      <w:tr>
        <w:trPr>
          <w:trHeight w:val="154"/>
        </w:trPr>
        <w:tc>
          <w:tcPr>
            <w:tcW w:w="2380" w:type="dxa"/>
            <w:vAlign w:val="bottom"/>
            <w:gridSpan w:val="2"/>
          </w:tcPr>
          <w:p>
            <w:pPr>
              <w:ind w:left="20"/>
              <w:spacing w:after="0"/>
              <w:rPr>
                <w:sz w:val="20"/>
                <w:szCs w:val="20"/>
                <w:color w:val="auto"/>
              </w:rPr>
            </w:pPr>
            <w:r>
              <w:rPr>
                <w:rFonts w:ascii="Arial" w:cs="Arial" w:eastAsia="Arial" w:hAnsi="Arial"/>
                <w:sz w:val="9"/>
                <w:szCs w:val="9"/>
                <w:b w:val="1"/>
                <w:bCs w:val="1"/>
                <w:color w:val="3C9673"/>
              </w:rPr>
              <w:t>Financial liabilities subsequently measured at</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380" w:type="dxa"/>
            <w:vAlign w:val="bottom"/>
            <w:gridSpan w:val="2"/>
          </w:tcPr>
          <w:p>
            <w:pPr>
              <w:ind w:left="20"/>
              <w:spacing w:after="0"/>
              <w:rPr>
                <w:sz w:val="20"/>
                <w:szCs w:val="20"/>
                <w:color w:val="auto"/>
              </w:rPr>
            </w:pPr>
            <w:r>
              <w:rPr>
                <w:rFonts w:ascii="Arial" w:cs="Arial" w:eastAsia="Arial" w:hAnsi="Arial"/>
                <w:sz w:val="9"/>
                <w:szCs w:val="9"/>
                <w:b w:val="1"/>
                <w:bCs w:val="1"/>
                <w:color w:val="3C9673"/>
              </w:rPr>
              <w:t>amortized costs</w:t>
            </w:r>
            <w:r>
              <w:rPr>
                <w:rFonts w:ascii="Arial" w:cs="Arial" w:eastAsia="Arial" w:hAnsi="Arial"/>
                <w:sz w:val="12"/>
                <w:szCs w:val="12"/>
                <w:b w:val="1"/>
                <w:bCs w:val="1"/>
                <w:color w:val="3C9673"/>
                <w:vertAlign w:val="superscript"/>
              </w:rPr>
              <w:t>(1)</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ind w:left="20"/>
              <w:spacing w:after="0"/>
              <w:rPr>
                <w:sz w:val="20"/>
                <w:szCs w:val="20"/>
                <w:color w:val="auto"/>
              </w:rPr>
            </w:pPr>
            <w:r>
              <w:rPr>
                <w:rFonts w:ascii="Arial" w:cs="Arial" w:eastAsia="Arial" w:hAnsi="Arial"/>
                <w:sz w:val="9"/>
                <w:szCs w:val="9"/>
                <w:color w:val="005A64"/>
              </w:rPr>
              <w:t>Loans and borrowings</w:t>
            </w:r>
          </w:p>
        </w:tc>
        <w:tc>
          <w:tcPr>
            <w:tcW w:w="540" w:type="dxa"/>
            <w:vAlign w:val="bottom"/>
          </w:tcPr>
          <w:p>
            <w:pPr>
              <w:spacing w:after="0"/>
              <w:rPr>
                <w:sz w:val="20"/>
                <w:szCs w:val="20"/>
                <w:color w:val="auto"/>
              </w:rPr>
            </w:pPr>
            <w:r>
              <w:rPr>
                <w:rFonts w:ascii="Arial" w:cs="Arial" w:eastAsia="Arial" w:hAnsi="Arial"/>
                <w:sz w:val="9"/>
                <w:szCs w:val="9"/>
                <w:color w:val="005A64"/>
              </w:rPr>
              <w:t>—</w:t>
            </w:r>
          </w:p>
        </w:tc>
        <w:tc>
          <w:tcPr>
            <w:tcW w:w="640" w:type="dxa"/>
            <w:vAlign w:val="bottom"/>
            <w:gridSpan w:val="2"/>
          </w:tcPr>
          <w:p>
            <w:pPr>
              <w:ind w:left="100"/>
              <w:spacing w:after="0"/>
              <w:rPr>
                <w:sz w:val="20"/>
                <w:szCs w:val="20"/>
                <w:color w:val="auto"/>
              </w:rPr>
            </w:pPr>
            <w:r>
              <w:rPr>
                <w:rFonts w:ascii="Arial" w:cs="Arial" w:eastAsia="Arial" w:hAnsi="Arial"/>
                <w:sz w:val="9"/>
                <w:szCs w:val="9"/>
                <w:color w:val="005A64"/>
              </w:rPr>
              <w:t>2.3</w:t>
            </w:r>
          </w:p>
        </w:tc>
        <w:tc>
          <w:tcPr>
            <w:tcW w:w="620" w:type="dxa"/>
            <w:vAlign w:val="bottom"/>
            <w:gridSpan w:val="2"/>
          </w:tcPr>
          <w:p>
            <w:pPr>
              <w:ind w:left="80"/>
              <w:spacing w:after="0"/>
              <w:rPr>
                <w:sz w:val="20"/>
                <w:szCs w:val="20"/>
                <w:color w:val="auto"/>
              </w:rPr>
            </w:pPr>
            <w:r>
              <w:rPr>
                <w:rFonts w:ascii="Arial" w:cs="Arial" w:eastAsia="Arial" w:hAnsi="Arial"/>
                <w:sz w:val="9"/>
                <w:szCs w:val="9"/>
                <w:color w:val="005A64"/>
              </w:rPr>
              <w:t>2.3</w:t>
            </w:r>
          </w:p>
        </w:tc>
        <w:tc>
          <w:tcPr>
            <w:tcW w:w="4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0"/>
                <w:szCs w:val="10"/>
                <w:color w:val="auto"/>
              </w:rPr>
            </w:pPr>
          </w:p>
        </w:tc>
        <w:tc>
          <w:tcPr>
            <w:tcW w:w="580" w:type="dxa"/>
            <w:vAlign w:val="bottom"/>
          </w:tcPr>
          <w:p>
            <w:pPr>
              <w:spacing w:after="0"/>
              <w:rPr>
                <w:sz w:val="20"/>
                <w:szCs w:val="20"/>
                <w:color w:val="auto"/>
              </w:rPr>
            </w:pPr>
            <w:r>
              <w:rPr>
                <w:rFonts w:ascii="Arial" w:cs="Arial" w:eastAsia="Arial" w:hAnsi="Arial"/>
                <w:sz w:val="9"/>
                <w:szCs w:val="9"/>
                <w:color w:val="005A64"/>
              </w:rPr>
              <w:t>—</w:t>
            </w:r>
          </w:p>
        </w:tc>
        <w:tc>
          <w:tcPr>
            <w:tcW w:w="600" w:type="dxa"/>
            <w:vAlign w:val="bottom"/>
            <w:gridSpan w:val="2"/>
          </w:tcPr>
          <w:p>
            <w:pPr>
              <w:ind w:left="60"/>
              <w:spacing w:after="0"/>
              <w:rPr>
                <w:sz w:val="20"/>
                <w:szCs w:val="20"/>
                <w:color w:val="auto"/>
              </w:rPr>
            </w:pPr>
            <w:r>
              <w:rPr>
                <w:rFonts w:ascii="Arial" w:cs="Arial" w:eastAsia="Arial" w:hAnsi="Arial"/>
                <w:sz w:val="9"/>
                <w:szCs w:val="9"/>
                <w:color w:val="005A64"/>
              </w:rPr>
              <w:t>2.3</w:t>
            </w:r>
          </w:p>
        </w:tc>
        <w:tc>
          <w:tcPr>
            <w:tcW w:w="0" w:type="dxa"/>
            <w:vAlign w:val="bottom"/>
          </w:tcPr>
          <w:p>
            <w:pPr>
              <w:spacing w:after="0"/>
              <w:rPr>
                <w:sz w:val="1"/>
                <w:szCs w:val="1"/>
                <w:color w:val="auto"/>
              </w:rPr>
            </w:pPr>
          </w:p>
        </w:tc>
      </w:tr>
      <w:tr>
        <w:trPr>
          <w:trHeight w:val="172"/>
        </w:trPr>
        <w:tc>
          <w:tcPr>
            <w:tcW w:w="2380" w:type="dxa"/>
            <w:vAlign w:val="bottom"/>
            <w:gridSpan w:val="2"/>
          </w:tcPr>
          <w:p>
            <w:pPr>
              <w:ind w:left="20"/>
              <w:spacing w:after="0"/>
              <w:rPr>
                <w:sz w:val="20"/>
                <w:szCs w:val="20"/>
                <w:color w:val="auto"/>
              </w:rPr>
            </w:pPr>
            <w:r>
              <w:rPr>
                <w:rFonts w:ascii="Arial" w:cs="Arial" w:eastAsia="Arial" w:hAnsi="Arial"/>
                <w:sz w:val="9"/>
                <w:szCs w:val="9"/>
                <w:color w:val="005A64"/>
              </w:rPr>
              <w:t>Trade payables and other payables</w:t>
            </w:r>
          </w:p>
        </w:tc>
        <w:tc>
          <w:tcPr>
            <w:tcW w:w="540" w:type="dxa"/>
            <w:vAlign w:val="bottom"/>
          </w:tcPr>
          <w:p>
            <w:pPr>
              <w:spacing w:after="0"/>
              <w:rPr>
                <w:sz w:val="20"/>
                <w:szCs w:val="20"/>
                <w:color w:val="auto"/>
              </w:rPr>
            </w:pPr>
            <w:r>
              <w:rPr>
                <w:rFonts w:ascii="Arial" w:cs="Arial" w:eastAsia="Arial" w:hAnsi="Arial"/>
                <w:sz w:val="9"/>
                <w:szCs w:val="9"/>
                <w:color w:val="005A64"/>
              </w:rPr>
              <w:t>354.0</w:t>
            </w:r>
          </w:p>
        </w:tc>
        <w:tc>
          <w:tcPr>
            <w:tcW w:w="8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9"/>
                <w:szCs w:val="9"/>
                <w:color w:val="005A64"/>
              </w:rPr>
              <w:t>—</w:t>
            </w:r>
          </w:p>
        </w:tc>
        <w:tc>
          <w:tcPr>
            <w:tcW w:w="620" w:type="dxa"/>
            <w:vAlign w:val="bottom"/>
            <w:gridSpan w:val="2"/>
          </w:tcPr>
          <w:p>
            <w:pPr>
              <w:ind w:left="80"/>
              <w:spacing w:after="0"/>
              <w:rPr>
                <w:sz w:val="20"/>
                <w:szCs w:val="20"/>
                <w:color w:val="auto"/>
              </w:rPr>
            </w:pPr>
            <w:r>
              <w:rPr>
                <w:rFonts w:ascii="Arial" w:cs="Arial" w:eastAsia="Arial" w:hAnsi="Arial"/>
                <w:sz w:val="9"/>
                <w:szCs w:val="9"/>
                <w:color w:val="005A64"/>
              </w:rPr>
              <w:t>354.0</w:t>
            </w:r>
          </w:p>
        </w:tc>
        <w:tc>
          <w:tcPr>
            <w:tcW w:w="4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9"/>
                <w:szCs w:val="9"/>
                <w:color w:val="005A64"/>
              </w:rPr>
              <w:t>—</w:t>
            </w:r>
          </w:p>
        </w:tc>
        <w:tc>
          <w:tcPr>
            <w:tcW w:w="600" w:type="dxa"/>
            <w:vAlign w:val="bottom"/>
            <w:gridSpan w:val="2"/>
          </w:tcPr>
          <w:p>
            <w:pPr>
              <w:ind w:left="60"/>
              <w:spacing w:after="0"/>
              <w:rPr>
                <w:sz w:val="20"/>
                <w:szCs w:val="20"/>
                <w:color w:val="auto"/>
              </w:rPr>
            </w:pPr>
            <w:r>
              <w:rPr>
                <w:rFonts w:ascii="Arial" w:cs="Arial" w:eastAsia="Arial" w:hAnsi="Arial"/>
                <w:sz w:val="9"/>
                <w:szCs w:val="9"/>
                <w:color w:val="005A64"/>
              </w:rPr>
              <w:t>354.0</w:t>
            </w:r>
          </w:p>
        </w:tc>
        <w:tc>
          <w:tcPr>
            <w:tcW w:w="0" w:type="dxa"/>
            <w:vAlign w:val="bottom"/>
          </w:tcPr>
          <w:p>
            <w:pPr>
              <w:spacing w:after="0"/>
              <w:rPr>
                <w:sz w:val="1"/>
                <w:szCs w:val="1"/>
                <w:color w:val="auto"/>
              </w:rPr>
            </w:pPr>
          </w:p>
        </w:tc>
      </w:tr>
      <w:tr>
        <w:trPr>
          <w:trHeight w:val="172"/>
        </w:trPr>
        <w:tc>
          <w:tcPr>
            <w:tcW w:w="2380" w:type="dxa"/>
            <w:vAlign w:val="bottom"/>
            <w:gridSpan w:val="2"/>
          </w:tcPr>
          <w:p>
            <w:pPr>
              <w:ind w:left="20"/>
              <w:spacing w:after="0"/>
              <w:rPr>
                <w:sz w:val="20"/>
                <w:szCs w:val="20"/>
                <w:color w:val="auto"/>
              </w:rPr>
            </w:pPr>
            <w:r>
              <w:rPr>
                <w:rFonts w:ascii="Arial" w:cs="Arial" w:eastAsia="Arial" w:hAnsi="Arial"/>
                <w:sz w:val="9"/>
                <w:szCs w:val="9"/>
                <w:color w:val="005A64"/>
              </w:rPr>
              <w:t>Other financial liabilities</w:t>
            </w:r>
          </w:p>
        </w:tc>
        <w:tc>
          <w:tcPr>
            <w:tcW w:w="540" w:type="dxa"/>
            <w:vAlign w:val="bottom"/>
          </w:tcPr>
          <w:p>
            <w:pPr>
              <w:spacing w:after="0"/>
              <w:rPr>
                <w:sz w:val="20"/>
                <w:szCs w:val="20"/>
                <w:color w:val="auto"/>
              </w:rPr>
            </w:pPr>
            <w:r>
              <w:rPr>
                <w:rFonts w:ascii="Arial" w:cs="Arial" w:eastAsia="Arial" w:hAnsi="Arial"/>
                <w:sz w:val="9"/>
                <w:szCs w:val="9"/>
                <w:color w:val="005A64"/>
              </w:rPr>
              <w:t>414.9</w:t>
            </w:r>
          </w:p>
        </w:tc>
        <w:tc>
          <w:tcPr>
            <w:tcW w:w="8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9"/>
                <w:szCs w:val="9"/>
                <w:color w:val="005A64"/>
              </w:rPr>
              <w:t>—</w:t>
            </w:r>
          </w:p>
        </w:tc>
        <w:tc>
          <w:tcPr>
            <w:tcW w:w="620" w:type="dxa"/>
            <w:vAlign w:val="bottom"/>
            <w:gridSpan w:val="2"/>
          </w:tcPr>
          <w:p>
            <w:pPr>
              <w:ind w:left="80"/>
              <w:spacing w:after="0"/>
              <w:rPr>
                <w:sz w:val="20"/>
                <w:szCs w:val="20"/>
                <w:color w:val="auto"/>
              </w:rPr>
            </w:pPr>
            <w:r>
              <w:rPr>
                <w:rFonts w:ascii="Arial" w:cs="Arial" w:eastAsia="Arial" w:hAnsi="Arial"/>
                <w:sz w:val="9"/>
                <w:szCs w:val="9"/>
                <w:color w:val="005A64"/>
              </w:rPr>
              <w:t>414.9</w:t>
            </w:r>
          </w:p>
        </w:tc>
        <w:tc>
          <w:tcPr>
            <w:tcW w:w="4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9"/>
                <w:szCs w:val="9"/>
                <w:color w:val="005A64"/>
              </w:rPr>
              <w:t>—</w:t>
            </w:r>
          </w:p>
        </w:tc>
        <w:tc>
          <w:tcPr>
            <w:tcW w:w="600" w:type="dxa"/>
            <w:vAlign w:val="bottom"/>
            <w:gridSpan w:val="2"/>
          </w:tcPr>
          <w:p>
            <w:pPr>
              <w:ind w:left="60"/>
              <w:spacing w:after="0"/>
              <w:rPr>
                <w:sz w:val="20"/>
                <w:szCs w:val="20"/>
                <w:color w:val="auto"/>
              </w:rPr>
            </w:pPr>
            <w:r>
              <w:rPr>
                <w:rFonts w:ascii="Arial" w:cs="Arial" w:eastAsia="Arial" w:hAnsi="Arial"/>
                <w:sz w:val="9"/>
                <w:szCs w:val="9"/>
                <w:color w:val="005A64"/>
              </w:rPr>
              <w:t>414.9</w:t>
            </w:r>
          </w:p>
        </w:tc>
        <w:tc>
          <w:tcPr>
            <w:tcW w:w="0" w:type="dxa"/>
            <w:vAlign w:val="bottom"/>
          </w:tcPr>
          <w:p>
            <w:pPr>
              <w:spacing w:after="0"/>
              <w:rPr>
                <w:sz w:val="1"/>
                <w:szCs w:val="1"/>
                <w:color w:val="auto"/>
              </w:rPr>
            </w:pPr>
          </w:p>
        </w:tc>
      </w:tr>
      <w:tr>
        <w:trPr>
          <w:trHeight w:val="144"/>
        </w:trPr>
        <w:tc>
          <w:tcPr>
            <w:tcW w:w="2380" w:type="dxa"/>
            <w:vAlign w:val="bottom"/>
            <w:gridSpan w:val="2"/>
          </w:tcPr>
          <w:p>
            <w:pPr>
              <w:ind w:left="20"/>
              <w:spacing w:after="0"/>
              <w:rPr>
                <w:sz w:val="20"/>
                <w:szCs w:val="20"/>
                <w:color w:val="auto"/>
              </w:rPr>
            </w:pPr>
            <w:r>
              <w:rPr>
                <w:rFonts w:ascii="Arial" w:cs="Arial" w:eastAsia="Arial" w:hAnsi="Arial"/>
                <w:sz w:val="9"/>
                <w:szCs w:val="9"/>
                <w:b w:val="1"/>
                <w:bCs w:val="1"/>
                <w:color w:val="3C9673"/>
              </w:rPr>
              <w:t>Financial liabilities subsequently not measured</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380" w:type="dxa"/>
            <w:vAlign w:val="bottom"/>
            <w:gridSpan w:val="2"/>
          </w:tcPr>
          <w:p>
            <w:pPr>
              <w:ind w:left="20"/>
              <w:spacing w:after="0"/>
              <w:rPr>
                <w:sz w:val="20"/>
                <w:szCs w:val="20"/>
                <w:color w:val="auto"/>
              </w:rPr>
            </w:pPr>
            <w:r>
              <w:rPr>
                <w:rFonts w:ascii="Arial" w:cs="Arial" w:eastAsia="Arial" w:hAnsi="Arial"/>
                <w:sz w:val="9"/>
                <w:szCs w:val="9"/>
                <w:b w:val="1"/>
                <w:bCs w:val="1"/>
                <w:color w:val="3C9673"/>
              </w:rPr>
              <w:t>according to IFRS 9</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380" w:type="dxa"/>
            <w:vAlign w:val="bottom"/>
            <w:gridSpan w:val="2"/>
          </w:tcPr>
          <w:p>
            <w:pPr>
              <w:ind w:left="20"/>
              <w:spacing w:after="0"/>
              <w:rPr>
                <w:sz w:val="20"/>
                <w:szCs w:val="20"/>
                <w:color w:val="auto"/>
              </w:rPr>
            </w:pPr>
            <w:r>
              <w:rPr>
                <w:rFonts w:ascii="Arial" w:cs="Arial" w:eastAsia="Arial" w:hAnsi="Arial"/>
                <w:sz w:val="9"/>
                <w:szCs w:val="9"/>
                <w:color w:val="005A64"/>
              </w:rPr>
              <w:t>Lease liabilities</w:t>
            </w:r>
          </w:p>
        </w:tc>
        <w:tc>
          <w:tcPr>
            <w:tcW w:w="540" w:type="dxa"/>
            <w:vAlign w:val="bottom"/>
          </w:tcPr>
          <w:p>
            <w:pPr>
              <w:spacing w:after="0"/>
              <w:rPr>
                <w:sz w:val="20"/>
                <w:szCs w:val="20"/>
                <w:color w:val="auto"/>
              </w:rPr>
            </w:pPr>
            <w:r>
              <w:rPr>
                <w:rFonts w:ascii="Arial" w:cs="Arial" w:eastAsia="Arial" w:hAnsi="Arial"/>
                <w:sz w:val="9"/>
                <w:szCs w:val="9"/>
                <w:color w:val="005A64"/>
              </w:rPr>
              <w:t>28.1</w:t>
            </w:r>
          </w:p>
        </w:tc>
        <w:tc>
          <w:tcPr>
            <w:tcW w:w="640" w:type="dxa"/>
            <w:vAlign w:val="bottom"/>
            <w:gridSpan w:val="2"/>
          </w:tcPr>
          <w:p>
            <w:pPr>
              <w:ind w:left="100"/>
              <w:spacing w:after="0"/>
              <w:rPr>
                <w:sz w:val="20"/>
                <w:szCs w:val="20"/>
                <w:color w:val="auto"/>
              </w:rPr>
            </w:pPr>
            <w:r>
              <w:rPr>
                <w:rFonts w:ascii="Arial" w:cs="Arial" w:eastAsia="Arial" w:hAnsi="Arial"/>
                <w:sz w:val="9"/>
                <w:szCs w:val="9"/>
                <w:color w:val="005A64"/>
              </w:rPr>
              <w:t>188.6</w:t>
            </w:r>
          </w:p>
        </w:tc>
        <w:tc>
          <w:tcPr>
            <w:tcW w:w="620" w:type="dxa"/>
            <w:vAlign w:val="bottom"/>
            <w:gridSpan w:val="2"/>
          </w:tcPr>
          <w:p>
            <w:pPr>
              <w:ind w:left="80"/>
              <w:spacing w:after="0"/>
              <w:rPr>
                <w:sz w:val="20"/>
                <w:szCs w:val="20"/>
                <w:color w:val="auto"/>
              </w:rPr>
            </w:pPr>
            <w:r>
              <w:rPr>
                <w:rFonts w:ascii="Arial" w:cs="Arial" w:eastAsia="Arial" w:hAnsi="Arial"/>
                <w:sz w:val="9"/>
                <w:szCs w:val="9"/>
                <w:color w:val="005A64"/>
              </w:rPr>
              <w:t>216.7</w:t>
            </w:r>
          </w:p>
        </w:tc>
        <w:tc>
          <w:tcPr>
            <w:tcW w:w="4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9"/>
                <w:szCs w:val="9"/>
                <w:color w:val="005A64"/>
              </w:rPr>
              <w:t>—</w:t>
            </w:r>
          </w:p>
        </w:tc>
        <w:tc>
          <w:tcPr>
            <w:tcW w:w="8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9"/>
                <w:szCs w:val="9"/>
                <w:color w:val="005A64"/>
              </w:rPr>
              <w:t>—</w:t>
            </w:r>
          </w:p>
        </w:tc>
        <w:tc>
          <w:tcPr>
            <w:tcW w:w="600" w:type="dxa"/>
            <w:vAlign w:val="bottom"/>
            <w:gridSpan w:val="2"/>
          </w:tcPr>
          <w:p>
            <w:pPr>
              <w:ind w:left="60"/>
              <w:spacing w:after="0"/>
              <w:rPr>
                <w:sz w:val="20"/>
                <w:szCs w:val="20"/>
                <w:color w:val="auto"/>
              </w:rPr>
            </w:pPr>
            <w:r>
              <w:rPr>
                <w:rFonts w:ascii="Arial" w:cs="Arial" w:eastAsia="Arial" w:hAnsi="Arial"/>
                <w:sz w:val="9"/>
                <w:szCs w:val="9"/>
                <w:color w:val="005A64"/>
              </w:rPr>
              <w:t>216.7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33655</wp:posOffset>
            </wp:positionV>
            <wp:extent cx="4287520" cy="63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5">
                      <a:extLst>
                        <a:ext uri="{28A0092B-C50C-407E-A947-70E740481C1C}"/>
                      </a:extLst>
                    </a:blip>
                    <a:srcRect/>
                    <a:stretch>
                      <a:fillRect/>
                    </a:stretch>
                  </pic:blipFill>
                  <pic:spPr bwMode="auto">
                    <a:xfrm>
                      <a:off x="0" y="0"/>
                      <a:ext cx="4287520" cy="6350"/>
                    </a:xfrm>
                    <a:prstGeom prst="rect">
                      <a:avLst/>
                    </a:prstGeom>
                    <a:noFill/>
                  </pic:spPr>
                </pic:pic>
              </a:graphicData>
            </a:graphic>
          </wp:anchor>
        </w:drawing>
      </w:r>
    </w:p>
    <w:p>
      <w:pPr>
        <w:spacing w:after="0" w:line="73" w:lineRule="exact"/>
        <w:rPr>
          <w:sz w:val="20"/>
          <w:szCs w:val="20"/>
          <w:color w:val="auto"/>
        </w:rPr>
      </w:pPr>
    </w:p>
    <w:p>
      <w:pPr>
        <w:ind w:left="380" w:right="2420" w:firstLine="3"/>
        <w:spacing w:after="0" w:line="190" w:lineRule="auto"/>
        <w:tabs>
          <w:tab w:leader="none" w:pos="582" w:val="left"/>
        </w:tabs>
        <w:numPr>
          <w:ilvl w:val="0"/>
          <w:numId w:val="53"/>
        </w:numPr>
        <w:rPr>
          <w:rFonts w:ascii="Arial" w:cs="Arial" w:eastAsia="Arial" w:hAnsi="Arial"/>
          <w:sz w:val="16"/>
          <w:szCs w:val="16"/>
          <w:color w:val="005A64"/>
          <w:vertAlign w:val="superscript"/>
        </w:rPr>
      </w:pPr>
      <w:r>
        <w:rPr>
          <w:rFonts w:ascii="Arial" w:cs="Arial" w:eastAsia="Arial" w:hAnsi="Arial"/>
          <w:sz w:val="12"/>
          <w:szCs w:val="12"/>
          <w:color w:val="005A64"/>
        </w:rPr>
        <w:t>Fair values for financial assets and liabilities at amortized costs are not disclosed as the book values represent a reasonable approximation.</w:t>
      </w:r>
    </w:p>
    <w:p>
      <w:pPr>
        <w:ind w:left="380"/>
        <w:spacing w:after="0" w:line="210" w:lineRule="auto"/>
        <w:rPr>
          <w:rFonts w:ascii="Arial" w:cs="Arial" w:eastAsia="Arial" w:hAnsi="Arial"/>
          <w:sz w:val="16"/>
          <w:szCs w:val="16"/>
          <w:color w:val="005A64"/>
          <w:vertAlign w:val="superscript"/>
        </w:rPr>
      </w:pPr>
      <w:r>
        <w:rPr>
          <w:rFonts w:ascii="Arial" w:cs="Arial" w:eastAsia="Arial" w:hAnsi="Arial"/>
          <w:sz w:val="13"/>
          <w:szCs w:val="13"/>
          <w:color w:val="005A64"/>
        </w:rPr>
        <w:t>Trade and other receivables</w:t>
      </w:r>
    </w:p>
    <w:p>
      <w:pPr>
        <w:ind w:left="380" w:right="2100"/>
        <w:spacing w:after="0" w:line="210" w:lineRule="auto"/>
        <w:rPr>
          <w:rFonts w:ascii="Arial" w:cs="Arial" w:eastAsia="Arial" w:hAnsi="Arial"/>
          <w:sz w:val="16"/>
          <w:szCs w:val="16"/>
          <w:color w:val="005A64"/>
          <w:vertAlign w:val="superscript"/>
        </w:rPr>
      </w:pPr>
      <w:r>
        <w:rPr>
          <w:rFonts w:ascii="Arial" w:cs="Arial" w:eastAsia="Arial" w:hAnsi="Arial"/>
          <w:sz w:val="13"/>
          <w:szCs w:val="13"/>
          <w:color w:val="auto"/>
        </w:rPr>
        <w:t>Trade and other receivables significantly decreased compared to the previous year and predominantly comprise trade receivables from our COVID-19 collaboration with Pfizer as well as our direct product sales to customers in our territory. The contractual settlement of the gross profit share has a temporal offset of more than one calendar quarter. As Pfizer’s financial quarter for subsidiaries outside the United States differs from ours, it creates an additional time lag between the recognition of revenues and the payment receipt. Consequently, as of December 31, 2024, our trade receivables included, in addition to the profit share for the fourth quarter of 2024, trade receivables which related to the gross profit share for the third quarter of 2024.</w:t>
      </w:r>
    </w:p>
    <w:p>
      <w:pPr>
        <w:spacing w:after="0" w:line="4" w:lineRule="exact"/>
        <w:rPr>
          <w:rFonts w:ascii="Arial" w:cs="Arial" w:eastAsia="Arial" w:hAnsi="Arial"/>
          <w:sz w:val="16"/>
          <w:szCs w:val="16"/>
          <w:color w:val="005A64"/>
          <w:vertAlign w:val="superscript"/>
        </w:rPr>
      </w:pPr>
    </w:p>
    <w:p>
      <w:pPr>
        <w:ind w:left="380"/>
        <w:spacing w:after="0" w:line="210" w:lineRule="auto"/>
        <w:rPr>
          <w:rFonts w:ascii="Arial" w:cs="Arial" w:eastAsia="Arial" w:hAnsi="Arial"/>
          <w:sz w:val="16"/>
          <w:szCs w:val="16"/>
          <w:color w:val="005A64"/>
          <w:vertAlign w:val="superscript"/>
        </w:rPr>
      </w:pPr>
      <w:r>
        <w:rPr>
          <w:rFonts w:ascii="Arial" w:cs="Arial" w:eastAsia="Arial" w:hAnsi="Arial"/>
          <w:sz w:val="13"/>
          <w:szCs w:val="13"/>
          <w:color w:val="005A64"/>
        </w:rPr>
        <w:t>Reimbursement asset</w:t>
      </w:r>
    </w:p>
    <w:p>
      <w:pPr>
        <w:ind w:left="380" w:right="2180"/>
        <w:spacing w:after="0" w:line="210" w:lineRule="auto"/>
        <w:rPr>
          <w:rFonts w:ascii="Arial" w:cs="Arial" w:eastAsia="Arial" w:hAnsi="Arial"/>
          <w:sz w:val="16"/>
          <w:szCs w:val="16"/>
          <w:color w:val="005A64"/>
          <w:vertAlign w:val="superscript"/>
        </w:rPr>
      </w:pPr>
      <w:r>
        <w:rPr>
          <w:rFonts w:ascii="Arial" w:cs="Arial" w:eastAsia="Arial" w:hAnsi="Arial"/>
          <w:sz w:val="13"/>
          <w:szCs w:val="13"/>
          <w:color w:val="auto"/>
        </w:rPr>
        <w:t>For the year ended December 31, 2024, we recognized a reimbursement asset in the amount of €514.5 million, derived from the settlement as described below under other financial liabilities.</w:t>
      </w:r>
    </w:p>
    <w:p>
      <w:pPr>
        <w:spacing w:after="0" w:line="1" w:lineRule="exact"/>
        <w:rPr>
          <w:rFonts w:ascii="Arial" w:cs="Arial" w:eastAsia="Arial" w:hAnsi="Arial"/>
          <w:sz w:val="16"/>
          <w:szCs w:val="16"/>
          <w:color w:val="005A64"/>
          <w:vertAlign w:val="superscript"/>
        </w:rPr>
      </w:pPr>
    </w:p>
    <w:p>
      <w:pPr>
        <w:ind w:left="380" w:right="2120"/>
        <w:spacing w:after="0" w:line="210" w:lineRule="auto"/>
        <w:rPr>
          <w:rFonts w:ascii="Arial" w:cs="Arial" w:eastAsia="Arial" w:hAnsi="Arial"/>
          <w:sz w:val="16"/>
          <w:szCs w:val="16"/>
          <w:color w:val="005A64"/>
          <w:vertAlign w:val="superscript"/>
        </w:rPr>
      </w:pPr>
      <w:r>
        <w:rPr>
          <w:rFonts w:ascii="Arial" w:cs="Arial" w:eastAsia="Arial" w:hAnsi="Arial"/>
          <w:sz w:val="13"/>
          <w:szCs w:val="13"/>
          <w:color w:val="auto"/>
        </w:rPr>
        <w:t>In connection with the Settlement Agreement with the National Institutes of Health, or the NIH, Pfizer has agreed to reimburse us for $364.5 million (as of December 31, 2024, amounted to €350.9 million) of the claimed royalties paid to the NIH for 2020-2023 sales under the Settlement Agreement.</w:t>
      </w:r>
    </w:p>
    <w:p>
      <w:pPr>
        <w:spacing w:after="0" w:line="1" w:lineRule="exact"/>
        <w:rPr>
          <w:rFonts w:ascii="Arial" w:cs="Arial" w:eastAsia="Arial" w:hAnsi="Arial"/>
          <w:sz w:val="16"/>
          <w:szCs w:val="16"/>
          <w:color w:val="005A64"/>
          <w:vertAlign w:val="superscript"/>
        </w:rPr>
      </w:pPr>
    </w:p>
    <w:p>
      <w:pPr>
        <w:ind w:left="380" w:right="2140"/>
        <w:spacing w:after="0" w:line="234" w:lineRule="auto"/>
        <w:rPr>
          <w:rFonts w:ascii="Arial" w:cs="Arial" w:eastAsia="Arial" w:hAnsi="Arial"/>
          <w:sz w:val="16"/>
          <w:szCs w:val="16"/>
          <w:color w:val="005A64"/>
          <w:vertAlign w:val="superscript"/>
        </w:rPr>
      </w:pPr>
      <w:r>
        <w:rPr>
          <w:rFonts w:ascii="Arial" w:cs="Arial" w:eastAsia="Arial" w:hAnsi="Arial"/>
          <w:sz w:val="13"/>
          <w:szCs w:val="13"/>
          <w:color w:val="auto"/>
        </w:rPr>
        <w:t>In connection with the Term Sheet and the proposed Settlement Agreement with the University of Pennsylvania, or UPenn, Pfizer has agreed to reimburse us for up to $170.0 million (as of December 31, 2024, amounts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F-51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240"/>
        <w:spacing w:after="0" w:line="220" w:lineRule="auto"/>
        <w:rPr>
          <w:sz w:val="20"/>
          <w:szCs w:val="20"/>
          <w:color w:val="auto"/>
        </w:rPr>
      </w:pPr>
      <w:r>
        <w:rPr>
          <w:rFonts w:ascii="Arial" w:cs="Arial" w:eastAsia="Arial" w:hAnsi="Arial"/>
          <w:sz w:val="13"/>
          <w:szCs w:val="13"/>
          <w:color w:val="auto"/>
        </w:rPr>
        <w:t xml:space="preserve">€163.6 million) </w:t>
      </w:r>
      <w:r>
        <w:rPr>
          <w:rFonts w:ascii="Arial" w:cs="Arial" w:eastAsia="Arial" w:hAnsi="Arial"/>
          <w:sz w:val="13"/>
          <w:szCs w:val="13"/>
          <w:color w:val="auto"/>
          <w:highlight w:val="white"/>
        </w:rPr>
        <w:t>of the claimed royalties payable to UPenn for 2020-2023 sales in connection with the proposed</w:t>
      </w:r>
      <w:r>
        <w:rPr>
          <w:rFonts w:ascii="Arial" w:cs="Arial" w:eastAsia="Arial" w:hAnsi="Arial"/>
          <w:sz w:val="13"/>
          <w:szCs w:val="13"/>
          <w:color w:val="auto"/>
        </w:rPr>
        <w:t xml:space="preserve"> </w:t>
      </w:r>
      <w:r>
        <w:rPr>
          <w:rFonts w:ascii="Arial" w:cs="Arial" w:eastAsia="Arial" w:hAnsi="Arial"/>
          <w:sz w:val="13"/>
          <w:szCs w:val="13"/>
          <w:color w:val="auto"/>
          <w:highlight w:val="white"/>
        </w:rPr>
        <w:t>Settlement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color w:val="005A64"/>
          <w:highlight w:val="white"/>
        </w:rPr>
        <w:t>Other financial liabilities</w:t>
      </w:r>
    </w:p>
    <w:p>
      <w:pPr>
        <w:jc w:val="both"/>
        <w:ind w:left="380" w:right="2220"/>
        <w:spacing w:after="0" w:line="210" w:lineRule="auto"/>
        <w:rPr>
          <w:sz w:val="20"/>
          <w:szCs w:val="20"/>
          <w:color w:val="auto"/>
        </w:rPr>
      </w:pPr>
      <w:r>
        <w:rPr>
          <w:rFonts w:ascii="Arial" w:cs="Arial" w:eastAsia="Arial" w:hAnsi="Arial"/>
          <w:sz w:val="13"/>
          <w:szCs w:val="13"/>
          <w:color w:val="auto"/>
          <w:highlight w:val="white"/>
        </w:rPr>
        <w:t xml:space="preserve">During the </w:t>
      </w:r>
      <w:r>
        <w:rPr>
          <w:rFonts w:ascii="Arial" w:cs="Arial" w:eastAsia="Arial" w:hAnsi="Arial"/>
          <w:sz w:val="13"/>
          <w:szCs w:val="13"/>
          <w:color w:val="auto"/>
        </w:rPr>
        <w:t>year ended December 31, 2024, the other financial liabilities increased compared to the year ended</w:t>
      </w:r>
      <w:r>
        <w:rPr>
          <w:rFonts w:ascii="Arial" w:cs="Arial" w:eastAsia="Arial" w:hAnsi="Arial"/>
          <w:sz w:val="13"/>
          <w:szCs w:val="13"/>
          <w:color w:val="auto"/>
          <w:highlight w:val="white"/>
        </w:rPr>
        <w:t xml:space="preserve"> </w:t>
      </w:r>
      <w:r>
        <w:rPr>
          <w:rFonts w:ascii="Arial" w:cs="Arial" w:eastAsia="Arial" w:hAnsi="Arial"/>
          <w:sz w:val="13"/>
          <w:szCs w:val="13"/>
          <w:color w:val="auto"/>
        </w:rPr>
        <w:t>December 31, 2023, which is essentially related to the settlement of the contractual disputes with the NIH and UPenn in the amount of €1,146.9 million.</w:t>
      </w:r>
    </w:p>
    <w:p>
      <w:pPr>
        <w:spacing w:after="0" w:line="2" w:lineRule="exact"/>
        <w:rPr>
          <w:sz w:val="20"/>
          <w:szCs w:val="20"/>
          <w:color w:val="auto"/>
        </w:rPr>
      </w:pPr>
    </w:p>
    <w:p>
      <w:pPr>
        <w:ind w:left="380" w:right="2260"/>
        <w:spacing w:after="0" w:line="210" w:lineRule="auto"/>
        <w:rPr>
          <w:sz w:val="20"/>
          <w:szCs w:val="20"/>
          <w:color w:val="auto"/>
        </w:rPr>
      </w:pPr>
      <w:r>
        <w:rPr>
          <w:rFonts w:ascii="Arial" w:cs="Arial" w:eastAsia="Arial" w:hAnsi="Arial"/>
          <w:sz w:val="13"/>
          <w:szCs w:val="13"/>
          <w:color w:val="auto"/>
        </w:rPr>
        <w:t>On December 20, 2024, we entered into a Settlement Agreement with the NIH. Under the terms of the Settlement Agreement, we will, among other things, pay $791.5 million (as of December 31, 2024, amounts to €761.9 million) to the NIH.</w:t>
      </w:r>
    </w:p>
    <w:p>
      <w:pPr>
        <w:spacing w:after="0" w:line="2"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On December 23, 2024, we entered into a binding Term Sheet with UPenn to provide terms on which we retain license rights under certain UPenn patent rights in order to allow it to continue to pursue development and commercialization of Licensed Products. Under the terms of the Term Sheet, we and UPenn intend to enter into a Settlement Agreement, pursuant to which we would, among other things, pay $400.0 million (as of December 31, 2024, amounts to €385.0 million) as royalties for calendar years 2020-2023 to UPenn as well as $52.0 million as a contribution to a research and development investment fund to be jointly managed by us and UPenn.</w:t>
      </w:r>
    </w:p>
    <w:p>
      <w:pPr>
        <w:ind w:left="380"/>
        <w:spacing w:after="0" w:line="217" w:lineRule="auto"/>
        <w:rPr>
          <w:sz w:val="20"/>
          <w:szCs w:val="20"/>
          <w:color w:val="auto"/>
        </w:rPr>
      </w:pPr>
      <w:r>
        <w:rPr>
          <w:rFonts w:ascii="Arial" w:cs="Arial" w:eastAsia="Arial" w:hAnsi="Arial"/>
          <w:sz w:val="13"/>
          <w:szCs w:val="13"/>
          <w:color w:val="005A64"/>
        </w:rPr>
        <w:t>Equity investments designated at Fair Value through OCI</w:t>
      </w:r>
    </w:p>
    <w:p>
      <w:pPr>
        <w:ind w:left="380" w:right="2160"/>
        <w:spacing w:after="0" w:line="234" w:lineRule="auto"/>
        <w:rPr>
          <w:sz w:val="20"/>
          <w:szCs w:val="20"/>
          <w:color w:val="auto"/>
        </w:rPr>
      </w:pPr>
      <w:r>
        <w:rPr>
          <w:rFonts w:ascii="Arial" w:cs="Arial" w:eastAsia="Arial" w:hAnsi="Arial"/>
          <w:sz w:val="13"/>
          <w:szCs w:val="13"/>
          <w:color w:val="auto"/>
        </w:rPr>
        <w:t>Financial investments in equity securities measured at fair value through other comprehensive income comprise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-12700</wp:posOffset>
            </wp:positionV>
            <wp:extent cx="4293870" cy="127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7">
                      <a:extLst>
                        <a:ext uri="{28A0092B-C50C-407E-A947-70E740481C1C}"/>
                      </a:extLst>
                    </a:blip>
                    <a:srcRect/>
                    <a:stretch>
                      <a:fillRect/>
                    </a:stretch>
                  </pic:blipFill>
                  <pic:spPr bwMode="auto">
                    <a:xfrm>
                      <a:off x="0" y="0"/>
                      <a:ext cx="4293870" cy="12700"/>
                    </a:xfrm>
                    <a:prstGeom prst="rect">
                      <a:avLst/>
                    </a:prstGeom>
                    <a:noFill/>
                  </pic:spPr>
                </pic:pic>
              </a:graphicData>
            </a:graphic>
          </wp:anchor>
        </w:drawing>
      </w:r>
    </w:p>
    <w:p>
      <w:pPr>
        <w:spacing w:after="0" w:line="23"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4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2"/>
                <w:szCs w:val="12"/>
                <w:b w:val="1"/>
                <w:bCs w:val="1"/>
                <w:color w:val="005A64"/>
              </w:rPr>
              <w:t>Years ended</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2"/>
                <w:szCs w:val="12"/>
                <w:b w:val="1"/>
                <w:bCs w:val="1"/>
                <w:color w:val="005A64"/>
              </w:rPr>
              <w:t>December 31,</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200" w:type="dxa"/>
            <w:vAlign w:val="bottom"/>
            <w:gridSpan w:val="2"/>
            <w:vMerge w:val="restart"/>
          </w:tcPr>
          <w:p>
            <w:pPr>
              <w:ind w:left="20"/>
              <w:spacing w:after="0"/>
              <w:rPr>
                <w:sz w:val="20"/>
                <w:szCs w:val="20"/>
                <w:color w:val="auto"/>
              </w:rPr>
            </w:pPr>
            <w:r>
              <w:rPr>
                <w:rFonts w:ascii="Arial" w:cs="Arial" w:eastAsia="Arial" w:hAnsi="Arial"/>
                <w:sz w:val="12"/>
                <w:szCs w:val="12"/>
                <w:i w:val="1"/>
                <w:iCs w:val="1"/>
                <w:color w:val="005A64"/>
              </w:rPr>
              <w:t>(in millions €)</w:t>
            </w:r>
          </w:p>
        </w:tc>
        <w:tc>
          <w:tcPr>
            <w:tcW w:w="40" w:type="dxa"/>
            <w:vAlign w:val="bottom"/>
            <w:tcBorders>
              <w:bottom w:val="single" w:sz="8" w:color="BECE33"/>
            </w:tcBorders>
          </w:tcPr>
          <w:p>
            <w:pPr>
              <w:spacing w:after="0"/>
              <w:rPr>
                <w:sz w:val="11"/>
                <w:szCs w:val="11"/>
                <w:color w:val="auto"/>
              </w:rPr>
            </w:pPr>
          </w:p>
        </w:tc>
        <w:tc>
          <w:tcPr>
            <w:tcW w:w="780" w:type="dxa"/>
            <w:vAlign w:val="bottom"/>
            <w:tcBorders>
              <w:bottom w:val="single" w:sz="8" w:color="BECE33"/>
            </w:tcBorders>
          </w:tcPr>
          <w:p>
            <w:pPr>
              <w:spacing w:after="0"/>
              <w:rPr>
                <w:sz w:val="11"/>
                <w:szCs w:val="11"/>
                <w:color w:val="auto"/>
              </w:rPr>
            </w:pPr>
          </w:p>
        </w:tc>
        <w:tc>
          <w:tcPr>
            <w:tcW w:w="60" w:type="dxa"/>
            <w:vAlign w:val="bottom"/>
            <w:tcBorders>
              <w:bottom w:val="single" w:sz="8" w:color="BECE33"/>
            </w:tcBorders>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005A64"/>
              </w:rPr>
              <w:t>2023</w:t>
            </w:r>
          </w:p>
        </w:tc>
        <w:tc>
          <w:tcPr>
            <w:tcW w:w="8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005A64"/>
              </w:rPr>
              <w:t>2022</w:t>
            </w:r>
          </w:p>
        </w:tc>
        <w:tc>
          <w:tcPr>
            <w:tcW w:w="0" w:type="dxa"/>
            <w:vAlign w:val="bottom"/>
          </w:tcPr>
          <w:p>
            <w:pPr>
              <w:spacing w:after="0"/>
              <w:rPr>
                <w:sz w:val="1"/>
                <w:szCs w:val="1"/>
                <w:color w:val="auto"/>
              </w:rPr>
            </w:pPr>
          </w:p>
        </w:tc>
      </w:tr>
      <w:tr>
        <w:trPr>
          <w:trHeight w:val="156"/>
        </w:trPr>
        <w:tc>
          <w:tcPr>
            <w:tcW w:w="4200" w:type="dxa"/>
            <w:vAlign w:val="bottom"/>
            <w:gridSpan w:val="2"/>
            <w:vMerge w:val="continue"/>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18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80" w:type="dxa"/>
            <w:vAlign w:val="bottom"/>
            <w:vMerge w:val="restart"/>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4180" w:type="dxa"/>
            <w:vAlign w:val="bottom"/>
          </w:tcPr>
          <w:p>
            <w:pPr>
              <w:ind w:left="20"/>
              <w:spacing w:after="0" w:line="102" w:lineRule="exact"/>
              <w:rPr>
                <w:sz w:val="20"/>
                <w:szCs w:val="20"/>
                <w:color w:val="auto"/>
              </w:rPr>
            </w:pPr>
            <w:r>
              <w:rPr>
                <w:rFonts w:ascii="Arial" w:cs="Arial" w:eastAsia="Arial" w:hAnsi="Arial"/>
                <w:sz w:val="11"/>
                <w:szCs w:val="11"/>
                <w:color w:val="005A64"/>
              </w:rPr>
              <w:t>Net gain / (loss) on equity instruments designated at fair value through other</w:t>
            </w:r>
          </w:p>
        </w:tc>
        <w:tc>
          <w:tcPr>
            <w:tcW w:w="2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780" w:type="dxa"/>
            <w:vAlign w:val="bottom"/>
          </w:tcPr>
          <w:p>
            <w:pPr>
              <w:spacing w:after="0" w:line="102" w:lineRule="exact"/>
              <w:rPr>
                <w:sz w:val="20"/>
                <w:szCs w:val="20"/>
                <w:color w:val="auto"/>
              </w:rPr>
            </w:pPr>
            <w:r>
              <w:rPr>
                <w:rFonts w:ascii="Arial" w:cs="Arial" w:eastAsia="Arial" w:hAnsi="Arial"/>
                <w:sz w:val="11"/>
                <w:szCs w:val="11"/>
                <w:color w:val="005A64"/>
              </w:rPr>
              <w:t>(146.6)</w:t>
            </w:r>
          </w:p>
        </w:tc>
        <w:tc>
          <w:tcPr>
            <w:tcW w:w="6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800" w:type="dxa"/>
            <w:vAlign w:val="bottom"/>
          </w:tcPr>
          <w:p>
            <w:pPr>
              <w:ind w:left="20"/>
              <w:spacing w:after="0" w:line="102" w:lineRule="exact"/>
              <w:rPr>
                <w:sz w:val="20"/>
                <w:szCs w:val="20"/>
                <w:color w:val="auto"/>
              </w:rPr>
            </w:pPr>
            <w:r>
              <w:rPr>
                <w:rFonts w:ascii="Arial" w:cs="Arial" w:eastAsia="Arial" w:hAnsi="Arial"/>
                <w:sz w:val="11"/>
                <w:szCs w:val="11"/>
                <w:color w:val="005A64"/>
              </w:rPr>
              <w:t>3.7</w:t>
            </w:r>
          </w:p>
        </w:tc>
        <w:tc>
          <w:tcPr>
            <w:tcW w:w="80" w:type="dxa"/>
            <w:vAlign w:val="bottom"/>
            <w:vMerge w:val="continue"/>
          </w:tcPr>
          <w:p>
            <w:pPr>
              <w:spacing w:after="0"/>
              <w:rPr>
                <w:sz w:val="8"/>
                <w:szCs w:val="8"/>
                <w:color w:val="auto"/>
              </w:rPr>
            </w:pPr>
          </w:p>
        </w:tc>
        <w:tc>
          <w:tcPr>
            <w:tcW w:w="780" w:type="dxa"/>
            <w:vAlign w:val="bottom"/>
          </w:tcPr>
          <w:p>
            <w:pPr>
              <w:spacing w:after="0" w:line="102" w:lineRule="exact"/>
              <w:rPr>
                <w:sz w:val="20"/>
                <w:szCs w:val="20"/>
                <w:color w:val="auto"/>
              </w:rPr>
            </w:pPr>
            <w:r>
              <w:rPr>
                <w:rFonts w:ascii="Arial" w:cs="Arial" w:eastAsia="Arial" w:hAnsi="Arial"/>
                <w:sz w:val="11"/>
                <w:szCs w:val="11"/>
                <w:color w:val="005A64"/>
              </w:rPr>
              <w:t>10.5</w:t>
            </w:r>
          </w:p>
        </w:tc>
        <w:tc>
          <w:tcPr>
            <w:tcW w:w="0" w:type="dxa"/>
            <w:vAlign w:val="bottom"/>
          </w:tcPr>
          <w:p>
            <w:pPr>
              <w:spacing w:after="0"/>
              <w:rPr>
                <w:sz w:val="1"/>
                <w:szCs w:val="1"/>
                <w:color w:val="auto"/>
              </w:rPr>
            </w:pPr>
          </w:p>
        </w:tc>
      </w:tr>
      <w:tr>
        <w:trPr>
          <w:trHeight w:val="160"/>
        </w:trPr>
        <w:tc>
          <w:tcPr>
            <w:tcW w:w="4200" w:type="dxa"/>
            <w:vAlign w:val="bottom"/>
            <w:gridSpan w:val="2"/>
          </w:tcPr>
          <w:p>
            <w:pPr>
              <w:ind w:left="20"/>
              <w:spacing w:after="0"/>
              <w:rPr>
                <w:sz w:val="20"/>
                <w:szCs w:val="20"/>
                <w:color w:val="auto"/>
              </w:rPr>
            </w:pPr>
            <w:r>
              <w:rPr>
                <w:rFonts w:ascii="Arial" w:cs="Arial" w:eastAsia="Arial" w:hAnsi="Arial"/>
                <w:sz w:val="12"/>
                <w:szCs w:val="12"/>
                <w:color w:val="005A64"/>
              </w:rPr>
              <w:t>comprehensive income</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20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005A64"/>
              </w:rPr>
              <w:t>(146.6)</w:t>
            </w:r>
          </w:p>
        </w:tc>
        <w:tc>
          <w:tcPr>
            <w:tcW w:w="6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005A64"/>
              </w:rPr>
              <w:t>3.7</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005A64"/>
              </w:rPr>
              <w:t>10.5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-438150</wp:posOffset>
            </wp:positionV>
            <wp:extent cx="551815" cy="47498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8">
                      <a:extLst>
                        <a:ext uri="{28A0092B-C50C-407E-A947-70E740481C1C}"/>
                      </a:extLst>
                    </a:blip>
                    <a:srcRect/>
                    <a:stretch>
                      <a:fillRect/>
                    </a:stretch>
                  </pic:blipFill>
                  <pic:spPr bwMode="auto">
                    <a:xfrm>
                      <a:off x="0" y="0"/>
                      <a:ext cx="551815" cy="474980"/>
                    </a:xfrm>
                    <a:prstGeom prst="rect">
                      <a:avLst/>
                    </a:prstGeom>
                    <a:noFill/>
                  </pic:spPr>
                </pic:pic>
              </a:graphicData>
            </a:graphic>
          </wp:anchor>
        </w:drawing>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During the year ended December 31, 2024, the non-listed and listed equity investments increased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4293870" cy="63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9">
                      <a:extLst>
                        <a:ext uri="{28A0092B-C50C-407E-A947-70E740481C1C}"/>
                      </a:extLst>
                    </a:blip>
                    <a:srcRect/>
                    <a:stretch>
                      <a:fillRect/>
                    </a:stretch>
                  </pic:blipFill>
                  <pic:spPr bwMode="auto">
                    <a:xfrm>
                      <a:off x="0" y="0"/>
                      <a:ext cx="4293870" cy="6350"/>
                    </a:xfrm>
                    <a:prstGeom prst="rect">
                      <a:avLst/>
                    </a:prstGeom>
                    <a:noFill/>
                  </pic:spPr>
                </pic:pic>
              </a:graphicData>
            </a:graphic>
          </wp:anchor>
        </w:drawing>
      </w:r>
    </w:p>
    <w:p>
      <w:pPr>
        <w:ind w:left="380" w:right="2220"/>
        <w:spacing w:after="0" w:line="226" w:lineRule="auto"/>
        <w:rPr>
          <w:sz w:val="20"/>
          <w:szCs w:val="20"/>
          <w:color w:val="auto"/>
        </w:rPr>
      </w:pPr>
      <w:r>
        <w:rPr>
          <w:rFonts w:ascii="Arial" w:cs="Arial" w:eastAsia="Arial" w:hAnsi="Arial"/>
          <w:sz w:val="13"/>
          <w:szCs w:val="13"/>
          <w:color w:val="auto"/>
        </w:rPr>
        <w:t>€41.1 million compared to year- end 2023 mainly due to our investment in Autolus Therapeutics plc in February 2024 and offsetting subsequent fair value changes amounting to €146.6 million during the year ended December 31, 2024.</w:t>
      </w:r>
    </w:p>
    <w:p>
      <w:pPr>
        <w:sectPr>
          <w:pgSz w:w="11900" w:h="16840" w:orient="portrait"/>
          <w:cols w:equalWidth="0" w:num="1">
            <w:col w:w="9020"/>
          </w:cols>
          <w:pgMar w:left="1440" w:top="755" w:right="1440" w:bottom="0" w:gutter="0" w:footer="0" w:header="0"/>
        </w:sectPr>
      </w:pPr>
    </w:p>
    <w:bookmarkStart w:id="215" w:name="page216"/>
    <w:bookmarkEnd w:id="2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F-52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005A64"/>
        </w:rPr>
        <w:t>Measurement of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2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60"/>
        <w:spacing w:after="0" w:line="234" w:lineRule="auto"/>
        <w:rPr>
          <w:sz w:val="20"/>
          <w:szCs w:val="20"/>
          <w:color w:val="auto"/>
        </w:rPr>
      </w:pPr>
      <w:r>
        <w:rPr>
          <w:rFonts w:ascii="Arial" w:cs="Arial" w:eastAsia="Arial" w:hAnsi="Arial"/>
          <w:sz w:val="13"/>
          <w:szCs w:val="13"/>
          <w:color w:val="auto"/>
        </w:rPr>
        <w:t>The following table shows the valuation techniques used in measuring fair values for financial instruments in our consolidated statements of financial position, as well as the significant unobservable inputs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-12700</wp:posOffset>
            </wp:positionV>
            <wp:extent cx="4262120" cy="127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21">
                      <a:extLst>
                        <a:ext uri="{28A0092B-C50C-407E-A947-70E740481C1C}"/>
                      </a:extLst>
                    </a:blip>
                    <a:srcRect/>
                    <a:stretch>
                      <a:fillRect/>
                    </a:stretch>
                  </pic:blipFill>
                  <pic:spPr bwMode="auto">
                    <a:xfrm>
                      <a:off x="0" y="0"/>
                      <a:ext cx="4262120" cy="12700"/>
                    </a:xfrm>
                    <a:prstGeom prst="rect">
                      <a:avLst/>
                    </a:prstGeom>
                    <a:noFill/>
                  </pic:spPr>
                </pic:pic>
              </a:graphicData>
            </a:graphic>
          </wp:anchor>
        </w:drawing>
      </w:r>
    </w:p>
    <w:p>
      <w:pPr>
        <w:spacing w:after="0" w:line="90" w:lineRule="exact"/>
        <w:rPr>
          <w:sz w:val="20"/>
          <w:szCs w:val="20"/>
          <w:color w:val="auto"/>
        </w:rPr>
      </w:pPr>
    </w:p>
    <w:tbl>
      <w:tblPr>
        <w:tblLayout w:type="fixed"/>
        <w:tblInd w:w="380" w:type="dxa"/>
        <w:tblCellMar>
          <w:top w:w="0" w:type="dxa"/>
          <w:left w:w="0" w:type="dxa"/>
          <w:bottom w:w="0" w:type="dxa"/>
          <w:right w:w="0" w:type="dxa"/>
        </w:tblCellMar>
      </w:tblPr>
      <w:tr>
        <w:trPr>
          <w:trHeight w:val="166"/>
        </w:trPr>
        <w:tc>
          <w:tcPr>
            <w:tcW w:w="1660" w:type="dxa"/>
            <w:vAlign w:val="bottom"/>
          </w:tcPr>
          <w:p>
            <w:pPr>
              <w:ind w:left="20"/>
              <w:spacing w:after="0"/>
              <w:rPr>
                <w:sz w:val="20"/>
                <w:szCs w:val="20"/>
                <w:color w:val="auto"/>
              </w:rPr>
            </w:pPr>
            <w:r>
              <w:rPr>
                <w:rFonts w:ascii="Arial" w:cs="Arial" w:eastAsia="Arial" w:hAnsi="Arial"/>
                <w:sz w:val="12"/>
                <w:szCs w:val="12"/>
                <w:b w:val="1"/>
                <w:bCs w:val="1"/>
                <w:color w:val="005A64"/>
              </w:rPr>
              <w:t>Type</w:t>
            </w:r>
          </w:p>
        </w:tc>
        <w:tc>
          <w:tcPr>
            <w:tcW w:w="6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2"/>
                <w:szCs w:val="12"/>
                <w:b w:val="1"/>
                <w:bCs w:val="1"/>
                <w:color w:val="005A64"/>
              </w:rPr>
              <w:t>Valuation technique</w:t>
            </w:r>
          </w:p>
        </w:tc>
        <w:tc>
          <w:tcPr>
            <w:tcW w:w="6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Arial" w:cs="Arial" w:eastAsia="Arial" w:hAnsi="Arial"/>
                <w:sz w:val="12"/>
                <w:szCs w:val="12"/>
                <w:b w:val="1"/>
                <w:bCs w:val="1"/>
                <w:color w:val="005A64"/>
              </w:rPr>
              <w:t>Significant unobservable inputs</w:t>
            </w:r>
          </w:p>
        </w:tc>
      </w:tr>
      <w:tr>
        <w:trPr>
          <w:trHeight w:val="47"/>
        </w:trPr>
        <w:tc>
          <w:tcPr>
            <w:tcW w:w="166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246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2480" w:type="dxa"/>
            <w:vAlign w:val="bottom"/>
            <w:tcBorders>
              <w:bottom w:val="single" w:sz="8" w:color="005A64"/>
            </w:tcBorders>
          </w:tcPr>
          <w:p>
            <w:pPr>
              <w:spacing w:after="0"/>
              <w:rPr>
                <w:sz w:val="4"/>
                <w:szCs w:val="4"/>
                <w:color w:val="auto"/>
              </w:rPr>
            </w:pPr>
          </w:p>
        </w:tc>
      </w:tr>
      <w:tr>
        <w:trPr>
          <w:trHeight w:val="132"/>
        </w:trPr>
        <w:tc>
          <w:tcPr>
            <w:tcW w:w="1660" w:type="dxa"/>
            <w:vAlign w:val="bottom"/>
          </w:tcPr>
          <w:p>
            <w:pPr>
              <w:ind w:left="20"/>
              <w:spacing w:after="0" w:line="132" w:lineRule="exact"/>
              <w:rPr>
                <w:sz w:val="20"/>
                <w:szCs w:val="20"/>
                <w:color w:val="auto"/>
              </w:rPr>
            </w:pPr>
            <w:r>
              <w:rPr>
                <w:rFonts w:ascii="Arial" w:cs="Arial" w:eastAsia="Arial" w:hAnsi="Arial"/>
                <w:sz w:val="12"/>
                <w:szCs w:val="12"/>
                <w:color w:val="005A64"/>
              </w:rPr>
              <w:t>Forward exchange contracts</w:t>
            </w:r>
          </w:p>
        </w:tc>
        <w:tc>
          <w:tcPr>
            <w:tcW w:w="60" w:type="dxa"/>
            <w:vAlign w:val="bottom"/>
          </w:tcPr>
          <w:p>
            <w:pPr>
              <w:spacing w:after="0"/>
              <w:rPr>
                <w:sz w:val="11"/>
                <w:szCs w:val="11"/>
                <w:color w:val="auto"/>
              </w:rPr>
            </w:pPr>
          </w:p>
        </w:tc>
        <w:tc>
          <w:tcPr>
            <w:tcW w:w="2460" w:type="dxa"/>
            <w:vAlign w:val="bottom"/>
          </w:tcPr>
          <w:p>
            <w:pPr>
              <w:spacing w:after="0" w:line="132" w:lineRule="exact"/>
              <w:rPr>
                <w:sz w:val="20"/>
                <w:szCs w:val="20"/>
                <w:color w:val="auto"/>
              </w:rPr>
            </w:pPr>
            <w:r>
              <w:rPr>
                <w:rFonts w:ascii="Arial" w:cs="Arial" w:eastAsia="Arial" w:hAnsi="Arial"/>
                <w:sz w:val="12"/>
                <w:szCs w:val="12"/>
                <w:color w:val="005A64"/>
              </w:rPr>
              <w:t>Discounted cash flow using par method.</w:t>
            </w:r>
          </w:p>
        </w:tc>
        <w:tc>
          <w:tcPr>
            <w:tcW w:w="60" w:type="dxa"/>
            <w:vAlign w:val="bottom"/>
          </w:tcPr>
          <w:p>
            <w:pPr>
              <w:spacing w:after="0"/>
              <w:rPr>
                <w:sz w:val="11"/>
                <w:szCs w:val="11"/>
                <w:color w:val="auto"/>
              </w:rPr>
            </w:pPr>
          </w:p>
        </w:tc>
        <w:tc>
          <w:tcPr>
            <w:tcW w:w="2480" w:type="dxa"/>
            <w:vAlign w:val="bottom"/>
          </w:tcPr>
          <w:p>
            <w:pPr>
              <w:spacing w:after="0" w:line="132" w:lineRule="exact"/>
              <w:rPr>
                <w:sz w:val="20"/>
                <w:szCs w:val="20"/>
                <w:color w:val="auto"/>
              </w:rPr>
            </w:pPr>
            <w:r>
              <w:rPr>
                <w:rFonts w:ascii="Arial" w:cs="Arial" w:eastAsia="Arial" w:hAnsi="Arial"/>
                <w:sz w:val="12"/>
                <w:szCs w:val="12"/>
                <w:color w:val="005A64"/>
              </w:rPr>
              <w:t>n/a</w:t>
            </w:r>
          </w:p>
        </w:tc>
      </w:tr>
      <w:tr>
        <w:trPr>
          <w:trHeight w:val="121"/>
        </w:trPr>
        <w:tc>
          <w:tcPr>
            <w:tcW w:w="1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tcPr>
          <w:p>
            <w:pPr>
              <w:spacing w:after="0" w:line="121" w:lineRule="exact"/>
              <w:rPr>
                <w:sz w:val="20"/>
                <w:szCs w:val="20"/>
                <w:color w:val="auto"/>
              </w:rPr>
            </w:pPr>
            <w:r>
              <w:rPr>
                <w:rFonts w:ascii="Arial" w:cs="Arial" w:eastAsia="Arial" w:hAnsi="Arial"/>
                <w:sz w:val="12"/>
                <w:szCs w:val="12"/>
                <w:color w:val="005A64"/>
              </w:rPr>
              <w:t>Expected future cash flows based on foreign</w:t>
            </w:r>
          </w:p>
        </w:tc>
        <w:tc>
          <w:tcPr>
            <w:tcW w:w="60" w:type="dxa"/>
            <w:vAlign w:val="bottom"/>
          </w:tcPr>
          <w:p>
            <w:pPr>
              <w:spacing w:after="0"/>
              <w:rPr>
                <w:sz w:val="10"/>
                <w:szCs w:val="10"/>
                <w:color w:val="auto"/>
              </w:rPr>
            </w:pPr>
          </w:p>
        </w:tc>
        <w:tc>
          <w:tcPr>
            <w:tcW w:w="2480" w:type="dxa"/>
            <w:vAlign w:val="bottom"/>
          </w:tcPr>
          <w:p>
            <w:pPr>
              <w:spacing w:after="0"/>
              <w:rPr>
                <w:sz w:val="10"/>
                <w:szCs w:val="10"/>
                <w:color w:val="auto"/>
              </w:rPr>
            </w:pPr>
          </w:p>
        </w:tc>
      </w:tr>
      <w:tr>
        <w:trPr>
          <w:trHeight w:val="121"/>
        </w:trPr>
        <w:tc>
          <w:tcPr>
            <w:tcW w:w="1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tcPr>
          <w:p>
            <w:pPr>
              <w:spacing w:after="0" w:line="121" w:lineRule="exact"/>
              <w:rPr>
                <w:sz w:val="20"/>
                <w:szCs w:val="20"/>
                <w:color w:val="auto"/>
              </w:rPr>
            </w:pPr>
            <w:r>
              <w:rPr>
                <w:rFonts w:ascii="Arial" w:cs="Arial" w:eastAsia="Arial" w:hAnsi="Arial"/>
                <w:sz w:val="12"/>
                <w:szCs w:val="12"/>
                <w:color w:val="005A64"/>
              </w:rPr>
              <w:t>exchange forwards discounted over the</w:t>
            </w:r>
          </w:p>
        </w:tc>
        <w:tc>
          <w:tcPr>
            <w:tcW w:w="60" w:type="dxa"/>
            <w:vAlign w:val="bottom"/>
          </w:tcPr>
          <w:p>
            <w:pPr>
              <w:spacing w:after="0"/>
              <w:rPr>
                <w:sz w:val="10"/>
                <w:szCs w:val="10"/>
                <w:color w:val="auto"/>
              </w:rPr>
            </w:pPr>
          </w:p>
        </w:tc>
        <w:tc>
          <w:tcPr>
            <w:tcW w:w="2480" w:type="dxa"/>
            <w:vAlign w:val="bottom"/>
          </w:tcPr>
          <w:p>
            <w:pPr>
              <w:spacing w:after="0"/>
              <w:rPr>
                <w:sz w:val="10"/>
                <w:szCs w:val="10"/>
                <w:color w:val="auto"/>
              </w:rPr>
            </w:pPr>
          </w:p>
        </w:tc>
      </w:tr>
      <w:tr>
        <w:trPr>
          <w:trHeight w:val="121"/>
        </w:trPr>
        <w:tc>
          <w:tcPr>
            <w:tcW w:w="1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tcPr>
          <w:p>
            <w:pPr>
              <w:spacing w:after="0" w:line="121" w:lineRule="exact"/>
              <w:rPr>
                <w:sz w:val="20"/>
                <w:szCs w:val="20"/>
                <w:color w:val="auto"/>
              </w:rPr>
            </w:pPr>
            <w:r>
              <w:rPr>
                <w:rFonts w:ascii="Arial" w:cs="Arial" w:eastAsia="Arial" w:hAnsi="Arial"/>
                <w:sz w:val="12"/>
                <w:szCs w:val="12"/>
                <w:color w:val="005A64"/>
              </w:rPr>
              <w:t>respective remaining term of the contracts</w:t>
            </w:r>
          </w:p>
        </w:tc>
        <w:tc>
          <w:tcPr>
            <w:tcW w:w="60" w:type="dxa"/>
            <w:vAlign w:val="bottom"/>
          </w:tcPr>
          <w:p>
            <w:pPr>
              <w:spacing w:after="0"/>
              <w:rPr>
                <w:sz w:val="10"/>
                <w:szCs w:val="10"/>
                <w:color w:val="auto"/>
              </w:rPr>
            </w:pPr>
          </w:p>
        </w:tc>
        <w:tc>
          <w:tcPr>
            <w:tcW w:w="2480" w:type="dxa"/>
            <w:vAlign w:val="bottom"/>
          </w:tcPr>
          <w:p>
            <w:pPr>
              <w:spacing w:after="0"/>
              <w:rPr>
                <w:sz w:val="10"/>
                <w:szCs w:val="10"/>
                <w:color w:val="auto"/>
              </w:rPr>
            </w:pPr>
          </w:p>
        </w:tc>
      </w:tr>
      <w:tr>
        <w:trPr>
          <w:trHeight w:val="121"/>
        </w:trPr>
        <w:tc>
          <w:tcPr>
            <w:tcW w:w="1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tcPr>
          <w:p>
            <w:pPr>
              <w:spacing w:after="0" w:line="121" w:lineRule="exact"/>
              <w:rPr>
                <w:sz w:val="20"/>
                <w:szCs w:val="20"/>
                <w:color w:val="auto"/>
              </w:rPr>
            </w:pPr>
            <w:r>
              <w:rPr>
                <w:rFonts w:ascii="Arial" w:cs="Arial" w:eastAsia="Arial" w:hAnsi="Arial"/>
                <w:sz w:val="12"/>
                <w:szCs w:val="12"/>
                <w:color w:val="005A64"/>
              </w:rPr>
              <w:t>using the respective deposit interest rates</w:t>
            </w:r>
          </w:p>
        </w:tc>
        <w:tc>
          <w:tcPr>
            <w:tcW w:w="60" w:type="dxa"/>
            <w:vAlign w:val="bottom"/>
          </w:tcPr>
          <w:p>
            <w:pPr>
              <w:spacing w:after="0"/>
              <w:rPr>
                <w:sz w:val="10"/>
                <w:szCs w:val="10"/>
                <w:color w:val="auto"/>
              </w:rPr>
            </w:pPr>
          </w:p>
        </w:tc>
        <w:tc>
          <w:tcPr>
            <w:tcW w:w="2480" w:type="dxa"/>
            <w:vAlign w:val="bottom"/>
          </w:tcPr>
          <w:p>
            <w:pPr>
              <w:spacing w:after="0"/>
              <w:rPr>
                <w:sz w:val="10"/>
                <w:szCs w:val="10"/>
                <w:color w:val="auto"/>
              </w:rPr>
            </w:pPr>
          </w:p>
        </w:tc>
      </w:tr>
      <w:tr>
        <w:trPr>
          <w:trHeight w:val="160"/>
        </w:trPr>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60" w:type="dxa"/>
            <w:vAlign w:val="bottom"/>
          </w:tcPr>
          <w:p>
            <w:pPr>
              <w:spacing w:after="0"/>
              <w:rPr>
                <w:sz w:val="20"/>
                <w:szCs w:val="20"/>
                <w:color w:val="auto"/>
              </w:rPr>
            </w:pPr>
            <w:r>
              <w:rPr>
                <w:rFonts w:ascii="Arial" w:cs="Arial" w:eastAsia="Arial" w:hAnsi="Arial"/>
                <w:sz w:val="12"/>
                <w:szCs w:val="12"/>
                <w:color w:val="005A64"/>
              </w:rPr>
              <w:t>and spot rates.</w:t>
            </w:r>
          </w:p>
        </w:tc>
        <w:tc>
          <w:tcPr>
            <w:tcW w:w="6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255"/>
        </w:trPr>
        <w:tc>
          <w:tcPr>
            <w:tcW w:w="1660" w:type="dxa"/>
            <w:vAlign w:val="bottom"/>
          </w:tcPr>
          <w:p>
            <w:pPr>
              <w:ind w:left="20"/>
              <w:spacing w:after="0"/>
              <w:rPr>
                <w:sz w:val="20"/>
                <w:szCs w:val="20"/>
                <w:color w:val="auto"/>
              </w:rPr>
            </w:pPr>
            <w:r>
              <w:rPr>
                <w:rFonts w:ascii="Arial" w:cs="Arial" w:eastAsia="Arial" w:hAnsi="Arial"/>
                <w:sz w:val="12"/>
                <w:szCs w:val="12"/>
                <w:color w:val="005A64"/>
              </w:rPr>
              <w:t>Non-listed equity</w:t>
            </w:r>
          </w:p>
        </w:tc>
        <w:tc>
          <w:tcPr>
            <w:tcW w:w="60" w:type="dxa"/>
            <w:vAlign w:val="bottom"/>
          </w:tcPr>
          <w:p>
            <w:pPr>
              <w:spacing w:after="0"/>
              <w:rPr>
                <w:sz w:val="22"/>
                <w:szCs w:val="22"/>
                <w:color w:val="auto"/>
              </w:rPr>
            </w:pPr>
          </w:p>
        </w:tc>
        <w:tc>
          <w:tcPr>
            <w:tcW w:w="2460" w:type="dxa"/>
            <w:vAlign w:val="bottom"/>
          </w:tcPr>
          <w:p>
            <w:pPr>
              <w:spacing w:after="0"/>
              <w:rPr>
                <w:sz w:val="20"/>
                <w:szCs w:val="20"/>
                <w:color w:val="auto"/>
              </w:rPr>
            </w:pPr>
            <w:r>
              <w:rPr>
                <w:rFonts w:ascii="Arial" w:cs="Arial" w:eastAsia="Arial" w:hAnsi="Arial"/>
                <w:sz w:val="12"/>
                <w:szCs w:val="12"/>
                <w:color w:val="005A64"/>
              </w:rPr>
              <w:t>Quantitative and qualitative factors such as</w:t>
            </w:r>
          </w:p>
        </w:tc>
        <w:tc>
          <w:tcPr>
            <w:tcW w:w="60" w:type="dxa"/>
            <w:vAlign w:val="bottom"/>
          </w:tcPr>
          <w:p>
            <w:pPr>
              <w:spacing w:after="0"/>
              <w:rPr>
                <w:sz w:val="22"/>
                <w:szCs w:val="22"/>
                <w:color w:val="auto"/>
              </w:rPr>
            </w:pPr>
          </w:p>
        </w:tc>
        <w:tc>
          <w:tcPr>
            <w:tcW w:w="2480" w:type="dxa"/>
            <w:vAlign w:val="bottom"/>
          </w:tcPr>
          <w:p>
            <w:pPr>
              <w:spacing w:after="0"/>
              <w:rPr>
                <w:sz w:val="20"/>
                <w:szCs w:val="20"/>
                <w:color w:val="auto"/>
              </w:rPr>
            </w:pPr>
            <w:r>
              <w:rPr>
                <w:rFonts w:ascii="Arial" w:cs="Arial" w:eastAsia="Arial" w:hAnsi="Arial"/>
                <w:sz w:val="12"/>
                <w:szCs w:val="12"/>
                <w:color w:val="005A64"/>
              </w:rPr>
              <w:t>–Actual and forecasted results</w:t>
            </w:r>
          </w:p>
        </w:tc>
      </w:tr>
      <w:tr>
        <w:trPr>
          <w:trHeight w:val="121"/>
        </w:trPr>
        <w:tc>
          <w:tcPr>
            <w:tcW w:w="1660" w:type="dxa"/>
            <w:vAlign w:val="bottom"/>
          </w:tcPr>
          <w:p>
            <w:pPr>
              <w:ind w:left="20"/>
              <w:spacing w:after="0" w:line="121" w:lineRule="exact"/>
              <w:rPr>
                <w:sz w:val="20"/>
                <w:szCs w:val="20"/>
                <w:color w:val="auto"/>
              </w:rPr>
            </w:pPr>
            <w:r>
              <w:rPr>
                <w:rFonts w:ascii="Arial" w:cs="Arial" w:eastAsia="Arial" w:hAnsi="Arial"/>
                <w:sz w:val="12"/>
                <w:szCs w:val="12"/>
                <w:color w:val="005A64"/>
              </w:rPr>
              <w:t>investments</w:t>
            </w:r>
          </w:p>
        </w:tc>
        <w:tc>
          <w:tcPr>
            <w:tcW w:w="60" w:type="dxa"/>
            <w:vAlign w:val="bottom"/>
          </w:tcPr>
          <w:p>
            <w:pPr>
              <w:spacing w:after="0"/>
              <w:rPr>
                <w:sz w:val="10"/>
                <w:szCs w:val="10"/>
                <w:color w:val="auto"/>
              </w:rPr>
            </w:pPr>
          </w:p>
        </w:tc>
        <w:tc>
          <w:tcPr>
            <w:tcW w:w="2460" w:type="dxa"/>
            <w:vAlign w:val="bottom"/>
          </w:tcPr>
          <w:p>
            <w:pPr>
              <w:spacing w:after="0" w:line="121" w:lineRule="exact"/>
              <w:rPr>
                <w:sz w:val="20"/>
                <w:szCs w:val="20"/>
                <w:color w:val="auto"/>
              </w:rPr>
            </w:pPr>
            <w:r>
              <w:rPr>
                <w:rFonts w:ascii="Arial" w:cs="Arial" w:eastAsia="Arial" w:hAnsi="Arial"/>
                <w:sz w:val="12"/>
                <w:szCs w:val="12"/>
                <w:color w:val="005A64"/>
              </w:rPr>
              <w:t>actual and forecasted results, cash position</w:t>
            </w:r>
          </w:p>
        </w:tc>
        <w:tc>
          <w:tcPr>
            <w:tcW w:w="60" w:type="dxa"/>
            <w:vAlign w:val="bottom"/>
          </w:tcPr>
          <w:p>
            <w:pPr>
              <w:spacing w:after="0"/>
              <w:rPr>
                <w:sz w:val="10"/>
                <w:szCs w:val="10"/>
                <w:color w:val="auto"/>
              </w:rPr>
            </w:pPr>
          </w:p>
        </w:tc>
        <w:tc>
          <w:tcPr>
            <w:tcW w:w="2480" w:type="dxa"/>
            <w:vAlign w:val="bottom"/>
          </w:tcPr>
          <w:p>
            <w:pPr>
              <w:spacing w:after="0" w:line="121" w:lineRule="exact"/>
              <w:rPr>
                <w:sz w:val="20"/>
                <w:szCs w:val="20"/>
                <w:color w:val="auto"/>
              </w:rPr>
            </w:pPr>
            <w:r>
              <w:rPr>
                <w:rFonts w:ascii="Arial" w:cs="Arial" w:eastAsia="Arial" w:hAnsi="Arial"/>
                <w:sz w:val="12"/>
                <w:szCs w:val="12"/>
                <w:color w:val="005A64"/>
              </w:rPr>
              <w:t>–Net Asset Value</w:t>
            </w:r>
          </w:p>
        </w:tc>
      </w:tr>
      <w:tr>
        <w:trPr>
          <w:trHeight w:val="121"/>
        </w:trPr>
        <w:tc>
          <w:tcPr>
            <w:tcW w:w="1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tcPr>
          <w:p>
            <w:pPr>
              <w:spacing w:after="0" w:line="121" w:lineRule="exact"/>
              <w:rPr>
                <w:sz w:val="20"/>
                <w:szCs w:val="20"/>
                <w:color w:val="auto"/>
              </w:rPr>
            </w:pPr>
            <w:r>
              <w:rPr>
                <w:rFonts w:ascii="Arial" w:cs="Arial" w:eastAsia="Arial" w:hAnsi="Arial"/>
                <w:sz w:val="12"/>
                <w:szCs w:val="12"/>
                <w:color w:val="005A64"/>
              </w:rPr>
              <w:t>and financing round valuations.</w:t>
            </w:r>
          </w:p>
        </w:tc>
        <w:tc>
          <w:tcPr>
            <w:tcW w:w="60" w:type="dxa"/>
            <w:vAlign w:val="bottom"/>
          </w:tcPr>
          <w:p>
            <w:pPr>
              <w:spacing w:after="0"/>
              <w:rPr>
                <w:sz w:val="10"/>
                <w:szCs w:val="10"/>
                <w:color w:val="auto"/>
              </w:rPr>
            </w:pPr>
          </w:p>
        </w:tc>
        <w:tc>
          <w:tcPr>
            <w:tcW w:w="2480" w:type="dxa"/>
            <w:vAlign w:val="bottom"/>
          </w:tcPr>
          <w:p>
            <w:pPr>
              <w:spacing w:after="0" w:line="121" w:lineRule="exact"/>
              <w:rPr>
                <w:sz w:val="20"/>
                <w:szCs w:val="20"/>
                <w:color w:val="auto"/>
              </w:rPr>
            </w:pPr>
            <w:r>
              <w:rPr>
                <w:rFonts w:ascii="Arial" w:cs="Arial" w:eastAsia="Arial" w:hAnsi="Arial"/>
                <w:sz w:val="12"/>
                <w:szCs w:val="12"/>
                <w:color w:val="005A64"/>
              </w:rPr>
              <w:t>–Cash position</w:t>
            </w:r>
          </w:p>
        </w:tc>
      </w:tr>
      <w:tr>
        <w:trPr>
          <w:trHeight w:val="121"/>
        </w:trPr>
        <w:tc>
          <w:tcPr>
            <w:tcW w:w="1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80" w:type="dxa"/>
            <w:vAlign w:val="bottom"/>
          </w:tcPr>
          <w:p>
            <w:pPr>
              <w:spacing w:after="0" w:line="121" w:lineRule="exact"/>
              <w:rPr>
                <w:sz w:val="20"/>
                <w:szCs w:val="20"/>
                <w:color w:val="auto"/>
              </w:rPr>
            </w:pPr>
            <w:r>
              <w:rPr>
                <w:rFonts w:ascii="Arial" w:cs="Arial" w:eastAsia="Arial" w:hAnsi="Arial"/>
                <w:sz w:val="12"/>
                <w:szCs w:val="12"/>
                <w:color w:val="005A64"/>
              </w:rPr>
              <w:t>–Nature and pricing indication of latest</w:t>
            </w:r>
          </w:p>
        </w:tc>
      </w:tr>
      <w:tr>
        <w:trPr>
          <w:trHeight w:val="160"/>
        </w:trPr>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80" w:type="dxa"/>
            <w:vAlign w:val="bottom"/>
          </w:tcPr>
          <w:p>
            <w:pPr>
              <w:spacing w:after="0"/>
              <w:rPr>
                <w:sz w:val="20"/>
                <w:szCs w:val="20"/>
                <w:color w:val="auto"/>
              </w:rPr>
            </w:pPr>
            <w:r>
              <w:rPr>
                <w:rFonts w:ascii="Arial" w:cs="Arial" w:eastAsia="Arial" w:hAnsi="Arial"/>
                <w:sz w:val="12"/>
                <w:szCs w:val="12"/>
                <w:color w:val="005A64"/>
              </w:rPr>
              <w:t>financing round</w:t>
            </w:r>
          </w:p>
        </w:tc>
      </w:tr>
      <w:tr>
        <w:trPr>
          <w:trHeight w:val="234"/>
        </w:trPr>
        <w:tc>
          <w:tcPr>
            <w:tcW w:w="1660" w:type="dxa"/>
            <w:vAlign w:val="bottom"/>
          </w:tcPr>
          <w:p>
            <w:pPr>
              <w:ind w:left="20"/>
              <w:spacing w:after="0"/>
              <w:rPr>
                <w:sz w:val="20"/>
                <w:szCs w:val="20"/>
                <w:color w:val="auto"/>
              </w:rPr>
            </w:pPr>
            <w:r>
              <w:rPr>
                <w:rFonts w:ascii="Arial" w:cs="Arial" w:eastAsia="Arial" w:hAnsi="Arial"/>
                <w:sz w:val="12"/>
                <w:szCs w:val="12"/>
                <w:color w:val="005A64"/>
              </w:rPr>
              <w:t>Listed equity investments</w:t>
            </w:r>
          </w:p>
        </w:tc>
        <w:tc>
          <w:tcPr>
            <w:tcW w:w="6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12"/>
                <w:szCs w:val="12"/>
                <w:color w:val="005A64"/>
              </w:rPr>
              <w:t>Stock prices of the listed companies and</w:t>
            </w:r>
          </w:p>
        </w:tc>
        <w:tc>
          <w:tcPr>
            <w:tcW w:w="6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2"/>
                <w:szCs w:val="12"/>
                <w:color w:val="005A64"/>
              </w:rPr>
              <w:t>n/a</w:t>
            </w:r>
          </w:p>
        </w:tc>
      </w:tr>
      <w:tr>
        <w:trPr>
          <w:trHeight w:val="121"/>
        </w:trPr>
        <w:tc>
          <w:tcPr>
            <w:tcW w:w="1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tcPr>
          <w:p>
            <w:pPr>
              <w:spacing w:after="0" w:line="121" w:lineRule="exact"/>
              <w:rPr>
                <w:sz w:val="20"/>
                <w:szCs w:val="20"/>
                <w:color w:val="auto"/>
              </w:rPr>
            </w:pPr>
            <w:r>
              <w:rPr>
                <w:rFonts w:ascii="Arial" w:cs="Arial" w:eastAsia="Arial" w:hAnsi="Arial"/>
                <w:sz w:val="12"/>
                <w:szCs w:val="12"/>
                <w:color w:val="005A64"/>
              </w:rPr>
              <w:t>applicable exchange rates, if the listing is in</w:t>
            </w:r>
          </w:p>
        </w:tc>
        <w:tc>
          <w:tcPr>
            <w:tcW w:w="60" w:type="dxa"/>
            <w:vAlign w:val="bottom"/>
          </w:tcPr>
          <w:p>
            <w:pPr>
              <w:spacing w:after="0"/>
              <w:rPr>
                <w:sz w:val="10"/>
                <w:szCs w:val="10"/>
                <w:color w:val="auto"/>
              </w:rPr>
            </w:pPr>
          </w:p>
        </w:tc>
        <w:tc>
          <w:tcPr>
            <w:tcW w:w="2480" w:type="dxa"/>
            <w:vAlign w:val="bottom"/>
          </w:tcPr>
          <w:p>
            <w:pPr>
              <w:spacing w:after="0"/>
              <w:rPr>
                <w:sz w:val="10"/>
                <w:szCs w:val="10"/>
                <w:color w:val="auto"/>
              </w:rPr>
            </w:pPr>
          </w:p>
        </w:tc>
      </w:tr>
      <w:tr>
        <w:trPr>
          <w:trHeight w:val="160"/>
        </w:trPr>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60" w:type="dxa"/>
            <w:vAlign w:val="bottom"/>
          </w:tcPr>
          <w:p>
            <w:pPr>
              <w:spacing w:after="0"/>
              <w:rPr>
                <w:sz w:val="20"/>
                <w:szCs w:val="20"/>
                <w:color w:val="auto"/>
              </w:rPr>
            </w:pPr>
            <w:r>
              <w:rPr>
                <w:rFonts w:ascii="Arial" w:cs="Arial" w:eastAsia="Arial" w:hAnsi="Arial"/>
                <w:sz w:val="12"/>
                <w:szCs w:val="12"/>
                <w:color w:val="005A64"/>
              </w:rPr>
              <w:t>a foreign currency.</w:t>
            </w:r>
          </w:p>
        </w:tc>
        <w:tc>
          <w:tcPr>
            <w:tcW w:w="6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232"/>
        </w:trPr>
        <w:tc>
          <w:tcPr>
            <w:tcW w:w="1660" w:type="dxa"/>
            <w:vAlign w:val="bottom"/>
          </w:tcPr>
          <w:p>
            <w:pPr>
              <w:ind w:left="20"/>
              <w:spacing w:after="0"/>
              <w:rPr>
                <w:sz w:val="20"/>
                <w:szCs w:val="20"/>
                <w:color w:val="auto"/>
              </w:rPr>
            </w:pPr>
            <w:r>
              <w:rPr>
                <w:rFonts w:ascii="Arial" w:cs="Arial" w:eastAsia="Arial" w:hAnsi="Arial"/>
                <w:sz w:val="12"/>
                <w:szCs w:val="12"/>
                <w:color w:val="005A64"/>
              </w:rPr>
              <w:t>Money market funds</w:t>
            </w:r>
          </w:p>
        </w:tc>
        <w:tc>
          <w:tcPr>
            <w:tcW w:w="6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12"/>
                <w:szCs w:val="12"/>
                <w:color w:val="005A64"/>
              </w:rPr>
              <w:t>Quoted prices on an active market.</w:t>
            </w:r>
          </w:p>
        </w:tc>
        <w:tc>
          <w:tcPr>
            <w:tcW w:w="6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2"/>
                <w:szCs w:val="12"/>
                <w:color w:val="005A64"/>
              </w:rPr>
              <w:t>n/a</w:t>
            </w:r>
          </w:p>
        </w:tc>
      </w:tr>
      <w:tr>
        <w:trPr>
          <w:trHeight w:val="164"/>
        </w:trPr>
        <w:tc>
          <w:tcPr>
            <w:tcW w:w="1660" w:type="dxa"/>
            <w:vAlign w:val="bottom"/>
          </w:tcPr>
          <w:p>
            <w:pPr>
              <w:ind w:left="20"/>
              <w:spacing w:after="0"/>
              <w:rPr>
                <w:sz w:val="20"/>
                <w:szCs w:val="20"/>
                <w:color w:val="auto"/>
              </w:rPr>
            </w:pPr>
            <w:r>
              <w:rPr>
                <w:rFonts w:ascii="Arial" w:cs="Arial" w:eastAsia="Arial" w:hAnsi="Arial"/>
                <w:sz w:val="12"/>
                <w:szCs w:val="12"/>
                <w:color w:val="005A64"/>
              </w:rPr>
              <w:t>Contingent consideration</w:t>
            </w:r>
          </w:p>
        </w:tc>
        <w:tc>
          <w:tcPr>
            <w:tcW w:w="6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2"/>
                <w:szCs w:val="12"/>
                <w:color w:val="005A64"/>
              </w:rPr>
              <w:t>Present value of expected future payments</w:t>
            </w:r>
          </w:p>
        </w:tc>
        <w:tc>
          <w:tcPr>
            <w:tcW w:w="6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Arial" w:cs="Arial" w:eastAsia="Arial" w:hAnsi="Arial"/>
                <w:sz w:val="12"/>
                <w:szCs w:val="12"/>
                <w:color w:val="005A64"/>
              </w:rPr>
              <w:t>–Expected future payments</w:t>
            </w:r>
          </w:p>
        </w:tc>
      </w:tr>
      <w:tr>
        <w:trPr>
          <w:trHeight w:val="121"/>
        </w:trPr>
        <w:tc>
          <w:tcPr>
            <w:tcW w:w="1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tcPr>
          <w:p>
            <w:pPr>
              <w:spacing w:after="0" w:line="121" w:lineRule="exact"/>
              <w:rPr>
                <w:sz w:val="20"/>
                <w:szCs w:val="20"/>
                <w:color w:val="auto"/>
              </w:rPr>
            </w:pPr>
            <w:r>
              <w:rPr>
                <w:rFonts w:ascii="Arial" w:cs="Arial" w:eastAsia="Arial" w:hAnsi="Arial"/>
                <w:sz w:val="12"/>
                <w:szCs w:val="12"/>
                <w:color w:val="005A64"/>
              </w:rPr>
              <w:t>and reflecting changes in expected</w:t>
            </w:r>
          </w:p>
        </w:tc>
        <w:tc>
          <w:tcPr>
            <w:tcW w:w="60" w:type="dxa"/>
            <w:vAlign w:val="bottom"/>
          </w:tcPr>
          <w:p>
            <w:pPr>
              <w:spacing w:after="0"/>
              <w:rPr>
                <w:sz w:val="10"/>
                <w:szCs w:val="10"/>
                <w:color w:val="auto"/>
              </w:rPr>
            </w:pPr>
          </w:p>
        </w:tc>
        <w:tc>
          <w:tcPr>
            <w:tcW w:w="2480" w:type="dxa"/>
            <w:vAlign w:val="bottom"/>
          </w:tcPr>
          <w:p>
            <w:pPr>
              <w:spacing w:after="0" w:line="121" w:lineRule="exact"/>
              <w:rPr>
                <w:sz w:val="20"/>
                <w:szCs w:val="20"/>
                <w:color w:val="auto"/>
              </w:rPr>
            </w:pPr>
            <w:r>
              <w:rPr>
                <w:rFonts w:ascii="Arial" w:cs="Arial" w:eastAsia="Arial" w:hAnsi="Arial"/>
                <w:sz w:val="12"/>
                <w:szCs w:val="12"/>
                <w:color w:val="005A64"/>
              </w:rPr>
              <w:t>–Applied cost of capital</w:t>
            </w:r>
          </w:p>
        </w:tc>
      </w:tr>
      <w:tr>
        <w:trPr>
          <w:trHeight w:val="121"/>
        </w:trPr>
        <w:tc>
          <w:tcPr>
            <w:tcW w:w="1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tcPr>
          <w:p>
            <w:pPr>
              <w:spacing w:after="0" w:line="121" w:lineRule="exact"/>
              <w:rPr>
                <w:sz w:val="20"/>
                <w:szCs w:val="20"/>
                <w:color w:val="auto"/>
              </w:rPr>
            </w:pPr>
            <w:r>
              <w:rPr>
                <w:rFonts w:ascii="Arial" w:cs="Arial" w:eastAsia="Arial" w:hAnsi="Arial"/>
                <w:sz w:val="12"/>
                <w:szCs w:val="12"/>
                <w:color w:val="005A64"/>
              </w:rPr>
              <w:t>achievement of underlying performance</w:t>
            </w:r>
          </w:p>
        </w:tc>
        <w:tc>
          <w:tcPr>
            <w:tcW w:w="60" w:type="dxa"/>
            <w:vAlign w:val="bottom"/>
          </w:tcPr>
          <w:p>
            <w:pPr>
              <w:spacing w:after="0"/>
              <w:rPr>
                <w:sz w:val="10"/>
                <w:szCs w:val="10"/>
                <w:color w:val="auto"/>
              </w:rPr>
            </w:pPr>
          </w:p>
        </w:tc>
        <w:tc>
          <w:tcPr>
            <w:tcW w:w="2480" w:type="dxa"/>
            <w:vAlign w:val="bottom"/>
          </w:tcPr>
          <w:p>
            <w:pPr>
              <w:spacing w:after="0"/>
              <w:rPr>
                <w:sz w:val="10"/>
                <w:szCs w:val="10"/>
                <w:color w:val="auto"/>
              </w:rPr>
            </w:pPr>
          </w:p>
        </w:tc>
      </w:tr>
      <w:tr>
        <w:trPr>
          <w:trHeight w:val="160"/>
        </w:trPr>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60" w:type="dxa"/>
            <w:vAlign w:val="bottom"/>
          </w:tcPr>
          <w:p>
            <w:pPr>
              <w:spacing w:after="0"/>
              <w:rPr>
                <w:sz w:val="20"/>
                <w:szCs w:val="20"/>
                <w:color w:val="auto"/>
              </w:rPr>
            </w:pPr>
            <w:r>
              <w:rPr>
                <w:rFonts w:ascii="Arial" w:cs="Arial" w:eastAsia="Arial" w:hAnsi="Arial"/>
                <w:sz w:val="12"/>
                <w:szCs w:val="12"/>
                <w:color w:val="005A64"/>
              </w:rPr>
              <w:t>parameters and compounding effects.</w:t>
            </w:r>
          </w:p>
        </w:tc>
        <w:tc>
          <w:tcPr>
            <w:tcW w:w="6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204"/>
        </w:trPr>
        <w:tc>
          <w:tcPr>
            <w:tcW w:w="1660" w:type="dxa"/>
            <w:vAlign w:val="bottom"/>
          </w:tcPr>
          <w:p>
            <w:pPr>
              <w:ind w:left="20"/>
              <w:spacing w:after="0"/>
              <w:rPr>
                <w:sz w:val="20"/>
                <w:szCs w:val="20"/>
                <w:color w:val="auto"/>
              </w:rPr>
            </w:pPr>
            <w:r>
              <w:rPr>
                <w:rFonts w:ascii="Arial" w:cs="Arial" w:eastAsia="Arial" w:hAnsi="Arial"/>
                <w:sz w:val="12"/>
                <w:szCs w:val="12"/>
                <w:color w:val="005A64"/>
              </w:rPr>
              <w:t>Royalty assets</w:t>
            </w:r>
          </w:p>
        </w:tc>
        <w:tc>
          <w:tcPr>
            <w:tcW w:w="6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Arial" w:cs="Arial" w:eastAsia="Arial" w:hAnsi="Arial"/>
                <w:sz w:val="12"/>
                <w:szCs w:val="12"/>
                <w:color w:val="005A64"/>
              </w:rPr>
              <w:t>Present value of expected future cash flows.</w:t>
            </w:r>
          </w:p>
        </w:tc>
        <w:tc>
          <w:tcPr>
            <w:tcW w:w="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Arial" w:cs="Arial" w:eastAsia="Arial" w:hAnsi="Arial"/>
                <w:sz w:val="12"/>
                <w:szCs w:val="12"/>
                <w:color w:val="005A64"/>
              </w:rPr>
              <w:t>–Expected future cash flows</w:t>
            </w:r>
          </w:p>
        </w:tc>
      </w:tr>
      <w:tr>
        <w:trPr>
          <w:trHeight w:val="160"/>
        </w:trPr>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80" w:type="dxa"/>
            <w:vAlign w:val="bottom"/>
          </w:tcPr>
          <w:p>
            <w:pPr>
              <w:spacing w:after="0"/>
              <w:rPr>
                <w:sz w:val="20"/>
                <w:szCs w:val="20"/>
                <w:color w:val="auto"/>
              </w:rPr>
            </w:pPr>
            <w:r>
              <w:rPr>
                <w:rFonts w:ascii="Arial" w:cs="Arial" w:eastAsia="Arial" w:hAnsi="Arial"/>
                <w:sz w:val="12"/>
                <w:szCs w:val="12"/>
                <w:color w:val="005A64"/>
              </w:rPr>
              <w:t>–Applied cost of capital</w:t>
            </w:r>
          </w:p>
        </w:tc>
      </w:tr>
    </w:tbl>
    <w:p>
      <w:pPr>
        <w:spacing w:after="0" w:line="37"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005A64"/>
        </w:rPr>
        <w:t>12.3 Recurring Fair Values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4262120" cy="63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2">
                      <a:extLst>
                        <a:ext uri="{28A0092B-C50C-407E-A947-70E740481C1C}"/>
                      </a:extLst>
                    </a:blip>
                    <a:srcRect/>
                    <a:stretch>
                      <a:fillRect/>
                    </a:stretch>
                  </pic:blipFill>
                  <pic:spPr bwMode="auto">
                    <a:xfrm>
                      <a:off x="0" y="0"/>
                      <a:ext cx="4262120" cy="6350"/>
                    </a:xfrm>
                    <a:prstGeom prst="rect">
                      <a:avLst/>
                    </a:prstGeom>
                    <a:noFill/>
                  </pic:spPr>
                </pic:pic>
              </a:graphicData>
            </a:graphic>
          </wp:anchor>
        </w:drawing>
      </w:r>
    </w:p>
    <w:p>
      <w:pPr>
        <w:ind w:left="380" w:right="2160"/>
        <w:spacing w:after="0" w:line="226" w:lineRule="auto"/>
        <w:rPr>
          <w:sz w:val="20"/>
          <w:szCs w:val="20"/>
          <w:color w:val="auto"/>
        </w:rPr>
      </w:pPr>
      <w:r>
        <w:rPr>
          <w:rFonts w:ascii="Arial" w:cs="Arial" w:eastAsia="Arial" w:hAnsi="Arial"/>
          <w:sz w:val="13"/>
          <w:szCs w:val="13"/>
          <w:color w:val="auto"/>
        </w:rPr>
        <w:t>The following table shows the recurring fair value measurement of the royalty assets included in other financial assets as well as contingent considerations and the effect of the measurements on our consolidated statements of profit or loss for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-12065</wp:posOffset>
            </wp:positionV>
            <wp:extent cx="4242435" cy="127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3">
                      <a:extLst>
                        <a:ext uri="{28A0092B-C50C-407E-A947-70E740481C1C}"/>
                      </a:extLst>
                    </a:blip>
                    <a:srcRect/>
                    <a:stretch>
                      <a:fillRect/>
                    </a:stretch>
                  </pic:blipFill>
                  <pic:spPr bwMode="auto">
                    <a:xfrm>
                      <a:off x="0" y="0"/>
                      <a:ext cx="4242435" cy="12700"/>
                    </a:xfrm>
                    <a:prstGeom prst="rect">
                      <a:avLst/>
                    </a:prstGeom>
                    <a:noFill/>
                  </pic:spPr>
                </pic:pic>
              </a:graphicData>
            </a:graphic>
          </wp:anchor>
        </w:drawing>
      </w:r>
    </w:p>
    <w:p>
      <w:pPr>
        <w:spacing w:after="0" w:line="91" w:lineRule="exact"/>
        <w:rPr>
          <w:sz w:val="20"/>
          <w:szCs w:val="20"/>
          <w:color w:val="auto"/>
        </w:rPr>
      </w:pPr>
    </w:p>
    <w:tbl>
      <w:tblPr>
        <w:tblLayout w:type="fixed"/>
        <w:tblInd w:w="380" w:type="dxa"/>
        <w:tblCellMar>
          <w:top w:w="0" w:type="dxa"/>
          <w:left w:w="0" w:type="dxa"/>
          <w:bottom w:w="0" w:type="dxa"/>
          <w:right w:w="0" w:type="dxa"/>
        </w:tblCellMar>
      </w:tblPr>
      <w:tr>
        <w:trPr>
          <w:trHeight w:val="166"/>
        </w:trPr>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2"/>
                <w:szCs w:val="12"/>
                <w:b w:val="1"/>
                <w:bCs w:val="1"/>
                <w:color w:val="005A64"/>
              </w:rPr>
              <w:t>Financial assets</w:t>
            </w:r>
          </w:p>
        </w:tc>
        <w:tc>
          <w:tcPr>
            <w:tcW w:w="60" w:type="dxa"/>
            <w:vAlign w:val="bottom"/>
          </w:tcPr>
          <w:p>
            <w:pPr>
              <w:spacing w:after="0"/>
              <w:rPr>
                <w:sz w:val="14"/>
                <w:szCs w:val="14"/>
                <w:color w:val="auto"/>
              </w:rPr>
            </w:pPr>
          </w:p>
        </w:tc>
        <w:tc>
          <w:tcPr>
            <w:tcW w:w="1420" w:type="dxa"/>
            <w:vAlign w:val="bottom"/>
          </w:tcPr>
          <w:p>
            <w:pPr>
              <w:ind w:left="20"/>
              <w:spacing w:after="0"/>
              <w:rPr>
                <w:sz w:val="20"/>
                <w:szCs w:val="20"/>
                <w:color w:val="auto"/>
              </w:rPr>
            </w:pPr>
            <w:r>
              <w:rPr>
                <w:rFonts w:ascii="Arial" w:cs="Arial" w:eastAsia="Arial" w:hAnsi="Arial"/>
                <w:sz w:val="12"/>
                <w:szCs w:val="12"/>
                <w:b w:val="1"/>
                <w:bCs w:val="1"/>
                <w:color w:val="005A64"/>
              </w:rPr>
              <w:t>Financial liabilities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800" w:type="dxa"/>
            <w:vAlign w:val="bottom"/>
            <w:gridSpan w:val="3"/>
            <w:vMerge w:val="restart"/>
          </w:tcPr>
          <w:p>
            <w:pPr>
              <w:ind w:left="20"/>
              <w:spacing w:after="0"/>
              <w:rPr>
                <w:sz w:val="20"/>
                <w:szCs w:val="20"/>
                <w:color w:val="auto"/>
              </w:rPr>
            </w:pPr>
            <w:r>
              <w:rPr>
                <w:rFonts w:ascii="Arial" w:cs="Arial" w:eastAsia="Arial" w:hAnsi="Arial"/>
                <w:sz w:val="12"/>
                <w:szCs w:val="12"/>
                <w:i w:val="1"/>
                <w:iCs w:val="1"/>
                <w:color w:val="005A64"/>
              </w:rPr>
              <w:t>(in millions €)</w:t>
            </w:r>
          </w:p>
        </w:tc>
        <w:tc>
          <w:tcPr>
            <w:tcW w:w="1400" w:type="dxa"/>
            <w:vAlign w:val="bottom"/>
            <w:tcBorders>
              <w:bottom w:val="single" w:sz="8" w:color="005A64"/>
            </w:tcBorders>
          </w:tcPr>
          <w:p>
            <w:pPr>
              <w:spacing w:after="0"/>
              <w:rPr>
                <w:sz w:val="15"/>
                <w:szCs w:val="15"/>
                <w:color w:val="auto"/>
              </w:rPr>
            </w:pPr>
          </w:p>
        </w:tc>
        <w:tc>
          <w:tcPr>
            <w:tcW w:w="60" w:type="dxa"/>
            <w:vAlign w:val="bottom"/>
            <w:vMerge w:val="restart"/>
          </w:tcPr>
          <w:p>
            <w:pPr>
              <w:spacing w:after="0"/>
              <w:rPr>
                <w:sz w:val="15"/>
                <w:szCs w:val="15"/>
                <w:color w:val="auto"/>
              </w:rPr>
            </w:pPr>
          </w:p>
        </w:tc>
        <w:tc>
          <w:tcPr>
            <w:tcW w:w="1420" w:type="dxa"/>
            <w:vAlign w:val="bottom"/>
            <w:tcBorders>
              <w:bottom w:val="single" w:sz="8" w:color="005A64"/>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3800" w:type="dxa"/>
            <w:vAlign w:val="bottom"/>
            <w:gridSpan w:val="3"/>
            <w:vMerge w:val="continue"/>
          </w:tcPr>
          <w:p>
            <w:pPr>
              <w:spacing w:after="0"/>
              <w:rPr>
                <w:sz w:val="8"/>
                <w:szCs w:val="8"/>
                <w:color w:val="auto"/>
              </w:rPr>
            </w:pPr>
          </w:p>
        </w:tc>
        <w:tc>
          <w:tcPr>
            <w:tcW w:w="1400" w:type="dxa"/>
            <w:vAlign w:val="bottom"/>
          </w:tcPr>
          <w:p>
            <w:pPr>
              <w:spacing w:after="0" w:line="102" w:lineRule="exact"/>
              <w:rPr>
                <w:sz w:val="20"/>
                <w:szCs w:val="20"/>
                <w:color w:val="auto"/>
              </w:rPr>
            </w:pPr>
            <w:r>
              <w:rPr>
                <w:rFonts w:ascii="Arial" w:cs="Arial" w:eastAsia="Arial" w:hAnsi="Arial"/>
                <w:sz w:val="11"/>
                <w:szCs w:val="11"/>
                <w:b w:val="1"/>
                <w:bCs w:val="1"/>
                <w:color w:val="005A64"/>
              </w:rPr>
              <w:t>Other financial assets</w:t>
            </w:r>
          </w:p>
        </w:tc>
        <w:tc>
          <w:tcPr>
            <w:tcW w:w="60" w:type="dxa"/>
            <w:vAlign w:val="bottom"/>
            <w:vMerge w:val="continue"/>
          </w:tcPr>
          <w:p>
            <w:pPr>
              <w:spacing w:after="0"/>
              <w:rPr>
                <w:sz w:val="8"/>
                <w:szCs w:val="8"/>
                <w:color w:val="auto"/>
              </w:rPr>
            </w:pPr>
          </w:p>
        </w:tc>
        <w:tc>
          <w:tcPr>
            <w:tcW w:w="1420" w:type="dxa"/>
            <w:vAlign w:val="bottom"/>
          </w:tcPr>
          <w:p>
            <w:pPr>
              <w:ind w:left="20"/>
              <w:spacing w:after="0" w:line="102" w:lineRule="exact"/>
              <w:rPr>
                <w:sz w:val="20"/>
                <w:szCs w:val="20"/>
                <w:color w:val="auto"/>
              </w:rPr>
            </w:pPr>
            <w:r>
              <w:rPr>
                <w:rFonts w:ascii="Arial" w:cs="Arial" w:eastAsia="Arial" w:hAnsi="Arial"/>
                <w:sz w:val="11"/>
                <w:szCs w:val="11"/>
                <w:b w:val="1"/>
                <w:bCs w:val="1"/>
                <w:color w:val="005A64"/>
              </w:rPr>
              <w:t>Contingent</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ind w:left="20"/>
              <w:spacing w:after="0"/>
              <w:rPr>
                <w:sz w:val="20"/>
                <w:szCs w:val="20"/>
                <w:color w:val="auto"/>
              </w:rPr>
            </w:pPr>
            <w:r>
              <w:rPr>
                <w:rFonts w:ascii="Arial" w:cs="Arial" w:eastAsia="Arial" w:hAnsi="Arial"/>
                <w:sz w:val="12"/>
                <w:szCs w:val="12"/>
                <w:b w:val="1"/>
                <w:bCs w:val="1"/>
                <w:color w:val="005A64"/>
              </w:rPr>
              <w:t>consideration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374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1400" w:type="dxa"/>
            <w:vAlign w:val="bottom"/>
            <w:tcBorders>
              <w:bottom w:val="single" w:sz="8" w:color="005A64"/>
            </w:tcBorders>
          </w:tcPr>
          <w:p>
            <w:pPr>
              <w:spacing w:after="0"/>
              <w:rPr>
                <w:sz w:val="4"/>
                <w:szCs w:val="4"/>
                <w:color w:val="auto"/>
              </w:rPr>
            </w:pPr>
          </w:p>
        </w:tc>
        <w:tc>
          <w:tcPr>
            <w:tcW w:w="60" w:type="dxa"/>
            <w:vAlign w:val="bottom"/>
            <w:vMerge w:val="restart"/>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20"/>
              <w:spacing w:after="0"/>
              <w:rPr>
                <w:sz w:val="20"/>
                <w:szCs w:val="20"/>
                <w:color w:val="auto"/>
              </w:rPr>
            </w:pPr>
            <w:r>
              <w:rPr>
                <w:rFonts w:ascii="Arial" w:cs="Arial" w:eastAsia="Arial" w:hAnsi="Arial"/>
                <w:sz w:val="12"/>
                <w:szCs w:val="12"/>
                <w:b w:val="1"/>
                <w:bCs w:val="1"/>
                <w:color w:val="005A64"/>
              </w:rPr>
              <w:t>As of January 1, 2023</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2"/>
                <w:szCs w:val="12"/>
                <w:b w:val="1"/>
                <w:bCs w:val="1"/>
                <w:color w:val="005A64"/>
              </w:rPr>
              <w:t>—</w:t>
            </w:r>
          </w:p>
        </w:tc>
        <w:tc>
          <w:tcPr>
            <w:tcW w:w="60" w:type="dxa"/>
            <w:vAlign w:val="bottom"/>
            <w:vMerge w:val="continue"/>
          </w:tcPr>
          <w:p>
            <w:pPr>
              <w:spacing w:after="0"/>
              <w:rPr>
                <w:sz w:val="13"/>
                <w:szCs w:val="13"/>
                <w:color w:val="auto"/>
              </w:rPr>
            </w:pPr>
          </w:p>
        </w:tc>
        <w:tc>
          <w:tcPr>
            <w:tcW w:w="1420" w:type="dxa"/>
            <w:vAlign w:val="bottom"/>
          </w:tcPr>
          <w:p>
            <w:pPr>
              <w:ind w:left="20"/>
              <w:spacing w:after="0"/>
              <w:rPr>
                <w:sz w:val="20"/>
                <w:szCs w:val="20"/>
                <w:color w:val="auto"/>
              </w:rPr>
            </w:pPr>
            <w:r>
              <w:rPr>
                <w:rFonts w:ascii="Arial" w:cs="Arial" w:eastAsia="Arial" w:hAnsi="Arial"/>
                <w:sz w:val="12"/>
                <w:szCs w:val="12"/>
                <w:b w:val="1"/>
                <w:bCs w:val="1"/>
                <w:color w:val="005A64"/>
              </w:rPr>
              <w:t>(6.1)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74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400" w:type="dxa"/>
            <w:vAlign w:val="bottom"/>
            <w:tcBorders>
              <w:bottom w:val="single" w:sz="8" w:color="005A64"/>
            </w:tcBorders>
          </w:tcPr>
          <w:p>
            <w:pPr>
              <w:spacing w:after="0"/>
              <w:rPr>
                <w:sz w:val="2"/>
                <w:szCs w:val="2"/>
                <w:color w:val="auto"/>
              </w:rPr>
            </w:pPr>
          </w:p>
        </w:tc>
        <w:tc>
          <w:tcPr>
            <w:tcW w:w="60" w:type="dxa"/>
            <w:vAlign w:val="bottom"/>
            <w:vMerge w:val="restart"/>
          </w:tcPr>
          <w:p>
            <w:pPr>
              <w:spacing w:after="0"/>
              <w:rPr>
                <w:sz w:val="2"/>
                <w:szCs w:val="2"/>
                <w:color w:val="auto"/>
              </w:rPr>
            </w:pPr>
          </w:p>
        </w:tc>
        <w:tc>
          <w:tcPr>
            <w:tcW w:w="1420" w:type="dxa"/>
            <w:vAlign w:val="bottom"/>
            <w:tcBorders>
              <w:bottom w:val="single" w:sz="8" w:color="005A64"/>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740" w:type="dxa"/>
            <w:vAlign w:val="bottom"/>
          </w:tcPr>
          <w:p>
            <w:pPr>
              <w:ind w:left="20"/>
              <w:spacing w:after="0"/>
              <w:rPr>
                <w:sz w:val="20"/>
                <w:szCs w:val="20"/>
                <w:color w:val="auto"/>
              </w:rPr>
            </w:pPr>
            <w:r>
              <w:rPr>
                <w:rFonts w:ascii="Arial" w:cs="Arial" w:eastAsia="Arial" w:hAnsi="Arial"/>
                <w:sz w:val="12"/>
                <w:szCs w:val="12"/>
                <w:color w:val="005A64"/>
              </w:rPr>
              <w:t>Additions</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2"/>
                <w:szCs w:val="12"/>
                <w:color w:val="005A64"/>
              </w:rPr>
              <w:t>—</w:t>
            </w:r>
          </w:p>
        </w:tc>
        <w:tc>
          <w:tcPr>
            <w:tcW w:w="60" w:type="dxa"/>
            <w:vAlign w:val="bottom"/>
            <w:vMerge w:val="continue"/>
          </w:tcPr>
          <w:p>
            <w:pPr>
              <w:spacing w:after="0"/>
              <w:rPr>
                <w:sz w:val="13"/>
                <w:szCs w:val="13"/>
                <w:color w:val="auto"/>
              </w:rPr>
            </w:pPr>
          </w:p>
        </w:tc>
        <w:tc>
          <w:tcPr>
            <w:tcW w:w="1420" w:type="dxa"/>
            <w:vAlign w:val="bottom"/>
          </w:tcPr>
          <w:p>
            <w:pPr>
              <w:ind w:left="20"/>
              <w:spacing w:after="0"/>
              <w:rPr>
                <w:sz w:val="20"/>
                <w:szCs w:val="20"/>
                <w:color w:val="auto"/>
              </w:rPr>
            </w:pPr>
            <w:r>
              <w:rPr>
                <w:rFonts w:ascii="Arial" w:cs="Arial" w:eastAsia="Arial" w:hAnsi="Arial"/>
                <w:sz w:val="12"/>
                <w:szCs w:val="12"/>
                <w:color w:val="005A64"/>
              </w:rPr>
              <w:t>(31.8)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800" w:type="dxa"/>
            <w:vAlign w:val="bottom"/>
            <w:gridSpan w:val="3"/>
          </w:tcPr>
          <w:p>
            <w:pPr>
              <w:ind w:left="20"/>
              <w:spacing w:after="0"/>
              <w:rPr>
                <w:sz w:val="20"/>
                <w:szCs w:val="20"/>
                <w:color w:val="auto"/>
              </w:rPr>
            </w:pPr>
            <w:r>
              <w:rPr>
                <w:rFonts w:ascii="Arial" w:cs="Arial" w:eastAsia="Arial" w:hAnsi="Arial"/>
                <w:sz w:val="12"/>
                <w:szCs w:val="12"/>
                <w:b w:val="1"/>
                <w:bCs w:val="1"/>
                <w:color w:val="3C9673"/>
              </w:rPr>
              <w:t>Net effect on profit or loss - Finance income / (expense)</w:t>
            </w: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00" w:type="dxa"/>
            <w:vAlign w:val="bottom"/>
            <w:gridSpan w:val="3"/>
          </w:tcPr>
          <w:p>
            <w:pPr>
              <w:ind w:left="20"/>
              <w:spacing w:after="0"/>
              <w:rPr>
                <w:sz w:val="20"/>
                <w:szCs w:val="20"/>
                <w:color w:val="auto"/>
              </w:rPr>
            </w:pPr>
            <w:r>
              <w:rPr>
                <w:rFonts w:ascii="Arial" w:cs="Arial" w:eastAsia="Arial" w:hAnsi="Arial"/>
                <w:sz w:val="12"/>
                <w:szCs w:val="12"/>
                <w:color w:val="005A64"/>
              </w:rPr>
              <w:t>Net change in fair value</w:t>
            </w:r>
          </w:p>
        </w:tc>
        <w:tc>
          <w:tcPr>
            <w:tcW w:w="1400" w:type="dxa"/>
            <w:vAlign w:val="bottom"/>
          </w:tcPr>
          <w:p>
            <w:pPr>
              <w:spacing w:after="0"/>
              <w:rPr>
                <w:sz w:val="20"/>
                <w:szCs w:val="20"/>
                <w:color w:val="auto"/>
              </w:rPr>
            </w:pPr>
            <w:r>
              <w:rPr>
                <w:rFonts w:ascii="Arial" w:cs="Arial" w:eastAsia="Arial" w:hAnsi="Arial"/>
                <w:sz w:val="12"/>
                <w:szCs w:val="12"/>
                <w:color w:val="005A64"/>
              </w:rPr>
              <w:t>—</w:t>
            </w:r>
          </w:p>
        </w:tc>
        <w:tc>
          <w:tcPr>
            <w:tcW w:w="1480" w:type="dxa"/>
            <w:vAlign w:val="bottom"/>
            <w:gridSpan w:val="2"/>
          </w:tcPr>
          <w:p>
            <w:pPr>
              <w:ind w:left="80"/>
              <w:spacing w:after="0"/>
              <w:rPr>
                <w:sz w:val="20"/>
                <w:szCs w:val="20"/>
                <w:color w:val="auto"/>
              </w:rPr>
            </w:pPr>
            <w:r>
              <w:rPr>
                <w:rFonts w:ascii="Arial" w:cs="Arial" w:eastAsia="Arial" w:hAnsi="Arial"/>
                <w:sz w:val="12"/>
                <w:szCs w:val="12"/>
                <w:color w:val="005A64"/>
              </w:rPr>
              <w:t>(0.9)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00" w:type="dxa"/>
            <w:vAlign w:val="bottom"/>
            <w:gridSpan w:val="3"/>
          </w:tcPr>
          <w:p>
            <w:pPr>
              <w:ind w:left="20"/>
              <w:spacing w:after="0"/>
              <w:rPr>
                <w:sz w:val="20"/>
                <w:szCs w:val="20"/>
                <w:color w:val="auto"/>
              </w:rPr>
            </w:pPr>
            <w:r>
              <w:rPr>
                <w:rFonts w:ascii="Arial" w:cs="Arial" w:eastAsia="Arial" w:hAnsi="Arial"/>
                <w:sz w:val="12"/>
                <w:szCs w:val="12"/>
                <w:b w:val="1"/>
                <w:bCs w:val="1"/>
                <w:color w:val="005A64"/>
              </w:rPr>
              <w:t>As of December 31, 2023</w:t>
            </w:r>
          </w:p>
        </w:tc>
        <w:tc>
          <w:tcPr>
            <w:tcW w:w="1400" w:type="dxa"/>
            <w:vAlign w:val="bottom"/>
          </w:tcPr>
          <w:p>
            <w:pPr>
              <w:spacing w:after="0"/>
              <w:rPr>
                <w:sz w:val="20"/>
                <w:szCs w:val="20"/>
                <w:color w:val="auto"/>
              </w:rPr>
            </w:pPr>
            <w:r>
              <w:rPr>
                <w:rFonts w:ascii="Arial" w:cs="Arial" w:eastAsia="Arial" w:hAnsi="Arial"/>
                <w:sz w:val="12"/>
                <w:szCs w:val="12"/>
                <w:b w:val="1"/>
                <w:bCs w:val="1"/>
                <w:color w:val="005A64"/>
              </w:rPr>
              <w:t>—</w:t>
            </w: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005A64"/>
              </w:rPr>
              <w:t>(38.8)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74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1400" w:type="dxa"/>
            <w:vAlign w:val="bottom"/>
            <w:tcBorders>
              <w:bottom w:val="single" w:sz="8" w:color="005A64"/>
            </w:tcBorders>
          </w:tcPr>
          <w:p>
            <w:pPr>
              <w:spacing w:after="0"/>
              <w:rPr>
                <w:sz w:val="4"/>
                <w:szCs w:val="4"/>
                <w:color w:val="auto"/>
              </w:rPr>
            </w:pPr>
          </w:p>
        </w:tc>
        <w:tc>
          <w:tcPr>
            <w:tcW w:w="60" w:type="dxa"/>
            <w:vAlign w:val="bottom"/>
            <w:vMerge w:val="restart"/>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20"/>
              <w:spacing w:after="0"/>
              <w:rPr>
                <w:sz w:val="20"/>
                <w:szCs w:val="20"/>
                <w:color w:val="auto"/>
              </w:rPr>
            </w:pPr>
            <w:r>
              <w:rPr>
                <w:rFonts w:ascii="Arial" w:cs="Arial" w:eastAsia="Arial" w:hAnsi="Arial"/>
                <w:sz w:val="12"/>
                <w:szCs w:val="12"/>
                <w:b w:val="1"/>
                <w:bCs w:val="1"/>
                <w:color w:val="005A64"/>
              </w:rPr>
              <w:t>As of January 1, 2024</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2"/>
                <w:szCs w:val="12"/>
                <w:b w:val="1"/>
                <w:bCs w:val="1"/>
                <w:color w:val="005A64"/>
              </w:rPr>
              <w:t>—</w:t>
            </w:r>
          </w:p>
        </w:tc>
        <w:tc>
          <w:tcPr>
            <w:tcW w:w="60" w:type="dxa"/>
            <w:vAlign w:val="bottom"/>
            <w:vMerge w:val="continue"/>
          </w:tcPr>
          <w:p>
            <w:pPr>
              <w:spacing w:after="0"/>
              <w:rPr>
                <w:sz w:val="13"/>
                <w:szCs w:val="13"/>
                <w:color w:val="auto"/>
              </w:rPr>
            </w:pPr>
          </w:p>
        </w:tc>
        <w:tc>
          <w:tcPr>
            <w:tcW w:w="1420" w:type="dxa"/>
            <w:vAlign w:val="bottom"/>
          </w:tcPr>
          <w:p>
            <w:pPr>
              <w:ind w:left="20"/>
              <w:spacing w:after="0"/>
              <w:rPr>
                <w:sz w:val="20"/>
                <w:szCs w:val="20"/>
                <w:color w:val="auto"/>
              </w:rPr>
            </w:pPr>
            <w:r>
              <w:rPr>
                <w:rFonts w:ascii="Arial" w:cs="Arial" w:eastAsia="Arial" w:hAnsi="Arial"/>
                <w:sz w:val="12"/>
                <w:szCs w:val="12"/>
                <w:b w:val="1"/>
                <w:bCs w:val="1"/>
                <w:color w:val="005A64"/>
              </w:rPr>
              <w:t>(38.8)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74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BECE33"/>
            </w:tcBorders>
          </w:tcPr>
          <w:p>
            <w:pPr>
              <w:spacing w:after="0"/>
              <w:rPr>
                <w:sz w:val="2"/>
                <w:szCs w:val="2"/>
                <w:color w:val="auto"/>
              </w:rPr>
            </w:pPr>
          </w:p>
        </w:tc>
        <w:tc>
          <w:tcPr>
            <w:tcW w:w="1400" w:type="dxa"/>
            <w:vAlign w:val="bottom"/>
            <w:tcBorders>
              <w:bottom w:val="single" w:sz="8" w:color="BECE33"/>
            </w:tcBorders>
          </w:tcPr>
          <w:p>
            <w:pPr>
              <w:spacing w:after="0"/>
              <w:rPr>
                <w:sz w:val="2"/>
                <w:szCs w:val="2"/>
                <w:color w:val="auto"/>
              </w:rPr>
            </w:pPr>
          </w:p>
        </w:tc>
        <w:tc>
          <w:tcPr>
            <w:tcW w:w="60" w:type="dxa"/>
            <w:vAlign w:val="bottom"/>
            <w:tcBorders>
              <w:bottom w:val="single" w:sz="8" w:color="BECE33"/>
            </w:tcBorders>
          </w:tcPr>
          <w:p>
            <w:pPr>
              <w:spacing w:after="0"/>
              <w:rPr>
                <w:sz w:val="2"/>
                <w:szCs w:val="2"/>
                <w:color w:val="auto"/>
              </w:rPr>
            </w:pPr>
          </w:p>
        </w:tc>
        <w:tc>
          <w:tcPr>
            <w:tcW w:w="1420" w:type="dxa"/>
            <w:vAlign w:val="bottom"/>
            <w:tcBorders>
              <w:bottom w:val="single" w:sz="8" w:color="BECE33"/>
            </w:tcBorders>
          </w:tcPr>
          <w:p>
            <w:pPr>
              <w:spacing w:after="0"/>
              <w:rPr>
                <w:sz w:val="2"/>
                <w:szCs w:val="2"/>
                <w:color w:val="auto"/>
              </w:rPr>
            </w:pPr>
          </w:p>
        </w:tc>
        <w:tc>
          <w:tcPr>
            <w:tcW w:w="60" w:type="dxa"/>
            <w:vAlign w:val="bottom"/>
            <w:tcBorders>
              <w:bottom w:val="single" w:sz="8" w:color="BECE33"/>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740" w:type="dxa"/>
            <w:vAlign w:val="bottom"/>
          </w:tcPr>
          <w:p>
            <w:pPr>
              <w:ind w:left="20"/>
              <w:spacing w:after="0"/>
              <w:rPr>
                <w:sz w:val="20"/>
                <w:szCs w:val="20"/>
                <w:color w:val="auto"/>
              </w:rPr>
            </w:pPr>
            <w:r>
              <w:rPr>
                <w:rFonts w:ascii="Arial" w:cs="Arial" w:eastAsia="Arial" w:hAnsi="Arial"/>
                <w:sz w:val="12"/>
                <w:szCs w:val="12"/>
                <w:color w:val="005A64"/>
              </w:rPr>
              <w:t>Additions</w:t>
            </w:r>
          </w:p>
        </w:tc>
        <w:tc>
          <w:tcPr>
            <w:tcW w:w="20" w:type="dxa"/>
            <w:vAlign w:val="bottom"/>
            <w:vMerge w:val="continue"/>
          </w:tcPr>
          <w:p>
            <w:pPr>
              <w:spacing w:after="0"/>
              <w:rPr>
                <w:sz w:val="13"/>
                <w:szCs w:val="13"/>
                <w:color w:val="auto"/>
              </w:rPr>
            </w:pPr>
          </w:p>
        </w:tc>
        <w:tc>
          <w:tcPr>
            <w:tcW w:w="40" w:type="dxa"/>
            <w:vAlign w:val="bottom"/>
            <w:tcBorders>
              <w:left w:val="single" w:sz="8" w:color="BECE33"/>
            </w:tcBorders>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2"/>
                <w:szCs w:val="12"/>
                <w:color w:val="005A64"/>
              </w:rPr>
              <w:t>43.4</w:t>
            </w:r>
          </w:p>
        </w:tc>
        <w:tc>
          <w:tcPr>
            <w:tcW w:w="60" w:type="dxa"/>
            <w:vAlign w:val="bottom"/>
          </w:tcPr>
          <w:p>
            <w:pPr>
              <w:spacing w:after="0"/>
              <w:rPr>
                <w:sz w:val="13"/>
                <w:szCs w:val="13"/>
                <w:color w:val="auto"/>
              </w:rPr>
            </w:pPr>
          </w:p>
        </w:tc>
        <w:tc>
          <w:tcPr>
            <w:tcW w:w="1420" w:type="dxa"/>
            <w:vAlign w:val="bottom"/>
          </w:tcPr>
          <w:p>
            <w:pPr>
              <w:ind w:left="20"/>
              <w:spacing w:after="0"/>
              <w:rPr>
                <w:sz w:val="20"/>
                <w:szCs w:val="20"/>
                <w:color w:val="auto"/>
              </w:rPr>
            </w:pPr>
            <w:r>
              <w:rPr>
                <w:rFonts w:ascii="Arial" w:cs="Arial" w:eastAsia="Arial" w:hAnsi="Arial"/>
                <w:sz w:val="12"/>
                <w:szCs w:val="12"/>
                <w:color w:val="005A64"/>
              </w:rPr>
              <w:t>—</w:t>
            </w:r>
          </w:p>
        </w:tc>
        <w:tc>
          <w:tcPr>
            <w:tcW w:w="60" w:type="dxa"/>
            <w:vAlign w:val="bottom"/>
            <w:tcBorders>
              <w:right w:val="single" w:sz="8" w:color="BECE33"/>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760" w:type="dxa"/>
            <w:vAlign w:val="bottom"/>
            <w:gridSpan w:val="2"/>
          </w:tcPr>
          <w:p>
            <w:pPr>
              <w:ind w:left="20"/>
              <w:spacing w:after="0"/>
              <w:rPr>
                <w:sz w:val="20"/>
                <w:szCs w:val="20"/>
                <w:color w:val="auto"/>
              </w:rPr>
            </w:pPr>
            <w:r>
              <w:rPr>
                <w:rFonts w:ascii="Arial" w:cs="Arial" w:eastAsia="Arial" w:hAnsi="Arial"/>
                <w:sz w:val="12"/>
                <w:szCs w:val="12"/>
                <w:color w:val="005A64"/>
              </w:rPr>
              <w:t>Disposals</w:t>
            </w:r>
          </w:p>
        </w:tc>
        <w:tc>
          <w:tcPr>
            <w:tcW w:w="40" w:type="dxa"/>
            <w:vAlign w:val="bottom"/>
            <w:tcBorders>
              <w:left w:val="single" w:sz="8" w:color="BECE33"/>
            </w:tcBorders>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5"/>
                <w:szCs w:val="15"/>
                <w:color w:val="auto"/>
              </w:rPr>
            </w:pPr>
          </w:p>
        </w:tc>
        <w:tc>
          <w:tcPr>
            <w:tcW w:w="1420" w:type="dxa"/>
            <w:vAlign w:val="bottom"/>
          </w:tcPr>
          <w:p>
            <w:pPr>
              <w:ind w:left="20"/>
              <w:spacing w:after="0"/>
              <w:rPr>
                <w:sz w:val="20"/>
                <w:szCs w:val="20"/>
                <w:color w:val="auto"/>
              </w:rPr>
            </w:pPr>
            <w:r>
              <w:rPr>
                <w:rFonts w:ascii="Arial" w:cs="Arial" w:eastAsia="Arial" w:hAnsi="Arial"/>
                <w:sz w:val="12"/>
                <w:szCs w:val="12"/>
                <w:color w:val="005A64"/>
              </w:rPr>
              <w:t>—</w:t>
            </w:r>
          </w:p>
        </w:tc>
        <w:tc>
          <w:tcPr>
            <w:tcW w:w="60" w:type="dxa"/>
            <w:vAlign w:val="bottom"/>
            <w:tcBorders>
              <w:right w:val="single" w:sz="8" w:color="BECE33"/>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760" w:type="dxa"/>
            <w:vAlign w:val="bottom"/>
            <w:gridSpan w:val="2"/>
          </w:tcPr>
          <w:p>
            <w:pPr>
              <w:ind w:left="20"/>
              <w:spacing w:after="0"/>
              <w:rPr>
                <w:sz w:val="20"/>
                <w:szCs w:val="20"/>
                <w:color w:val="auto"/>
              </w:rPr>
            </w:pPr>
            <w:r>
              <w:rPr>
                <w:rFonts w:ascii="Arial" w:cs="Arial" w:eastAsia="Arial" w:hAnsi="Arial"/>
                <w:sz w:val="12"/>
                <w:szCs w:val="12"/>
                <w:b w:val="1"/>
                <w:bCs w:val="1"/>
                <w:color w:val="3C9673"/>
              </w:rPr>
              <w:t>Net effect on profit or loss - Finance income / (expense)</w:t>
            </w:r>
          </w:p>
        </w:tc>
        <w:tc>
          <w:tcPr>
            <w:tcW w:w="40" w:type="dxa"/>
            <w:vAlign w:val="bottom"/>
            <w:tcBorders>
              <w:left w:val="single" w:sz="8" w:color="BECE33"/>
            </w:tcBorders>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Borders>
              <w:right w:val="single" w:sz="8" w:color="BECE33"/>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60" w:type="dxa"/>
            <w:vAlign w:val="bottom"/>
            <w:gridSpan w:val="2"/>
          </w:tcPr>
          <w:p>
            <w:pPr>
              <w:ind w:left="20"/>
              <w:spacing w:after="0"/>
              <w:rPr>
                <w:sz w:val="20"/>
                <w:szCs w:val="20"/>
                <w:color w:val="auto"/>
              </w:rPr>
            </w:pPr>
            <w:r>
              <w:rPr>
                <w:rFonts w:ascii="Arial" w:cs="Arial" w:eastAsia="Arial" w:hAnsi="Arial"/>
                <w:sz w:val="12"/>
                <w:szCs w:val="12"/>
                <w:color w:val="005A64"/>
              </w:rPr>
              <w:t>Net change in fair value</w:t>
            </w:r>
          </w:p>
        </w:tc>
        <w:tc>
          <w:tcPr>
            <w:tcW w:w="40" w:type="dxa"/>
            <w:vAlign w:val="bottom"/>
            <w:tcBorders>
              <w:left w:val="single" w:sz="8" w:color="BECE33"/>
            </w:tcBorders>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2"/>
                <w:szCs w:val="12"/>
                <w:color w:val="005A64"/>
              </w:rPr>
              <w:t>(3.8)</w:t>
            </w:r>
          </w:p>
        </w:tc>
        <w:tc>
          <w:tcPr>
            <w:tcW w:w="1480" w:type="dxa"/>
            <w:vAlign w:val="bottom"/>
            <w:gridSpan w:val="2"/>
          </w:tcPr>
          <w:p>
            <w:pPr>
              <w:ind w:left="80"/>
              <w:spacing w:after="0"/>
              <w:rPr>
                <w:sz w:val="20"/>
                <w:szCs w:val="20"/>
                <w:color w:val="auto"/>
              </w:rPr>
            </w:pPr>
            <w:r>
              <w:rPr>
                <w:rFonts w:ascii="Arial" w:cs="Arial" w:eastAsia="Arial" w:hAnsi="Arial"/>
                <w:sz w:val="12"/>
                <w:szCs w:val="12"/>
                <w:color w:val="005A64"/>
              </w:rPr>
              <w:t>(9.0)</w:t>
            </w:r>
          </w:p>
        </w:tc>
        <w:tc>
          <w:tcPr>
            <w:tcW w:w="6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760" w:type="dxa"/>
            <w:vAlign w:val="bottom"/>
            <w:gridSpan w:val="2"/>
          </w:tcPr>
          <w:p>
            <w:pPr>
              <w:ind w:left="20"/>
              <w:spacing w:after="0"/>
              <w:rPr>
                <w:sz w:val="20"/>
                <w:szCs w:val="20"/>
                <w:color w:val="auto"/>
              </w:rPr>
            </w:pPr>
            <w:r>
              <w:rPr>
                <w:rFonts w:ascii="Arial" w:cs="Arial" w:eastAsia="Arial" w:hAnsi="Arial"/>
                <w:sz w:val="12"/>
                <w:szCs w:val="12"/>
                <w:b w:val="1"/>
                <w:bCs w:val="1"/>
                <w:color w:val="005A64"/>
              </w:rPr>
              <w:t>As of December 31, 2024</w:t>
            </w:r>
          </w:p>
        </w:tc>
        <w:tc>
          <w:tcPr>
            <w:tcW w:w="40" w:type="dxa"/>
            <w:vAlign w:val="bottom"/>
            <w:tcBorders>
              <w:left w:val="single" w:sz="8" w:color="BECE33"/>
            </w:tcBorders>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2"/>
                <w:szCs w:val="12"/>
                <w:b w:val="1"/>
                <w:bCs w:val="1"/>
                <w:color w:val="005A64"/>
              </w:rPr>
              <w:t>39.6</w:t>
            </w: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005A64"/>
              </w:rPr>
              <w:t>(47.8)</w:t>
            </w:r>
          </w:p>
        </w:tc>
        <w:tc>
          <w:tcPr>
            <w:tcW w:w="60" w:type="dxa"/>
            <w:vAlign w:val="bottom"/>
            <w:tcBorders>
              <w:right w:val="single" w:sz="8" w:color="BECE33"/>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740" w:type="dxa"/>
            <w:vAlign w:val="bottom"/>
            <w:tcBorders>
              <w:bottom w:val="single" w:sz="8" w:color="005A64"/>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left w:val="single" w:sz="8" w:color="BECE33"/>
              <w:bottom w:val="single" w:sz="8" w:color="BECE33"/>
            </w:tcBorders>
          </w:tcPr>
          <w:p>
            <w:pPr>
              <w:spacing w:after="0"/>
              <w:rPr>
                <w:sz w:val="4"/>
                <w:szCs w:val="4"/>
                <w:color w:val="auto"/>
              </w:rPr>
            </w:pPr>
          </w:p>
        </w:tc>
        <w:tc>
          <w:tcPr>
            <w:tcW w:w="140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42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1440" w:right="1440" w:bottom="1440" w:gutter="0" w:footer="0" w:header="0"/>
        </w:sectPr>
      </w:pPr>
    </w:p>
    <w:bookmarkStart w:id="216" w:name="page217"/>
    <w:bookmarkEnd w:id="216"/>
    <w:p>
      <w:pPr>
        <w:spacing w:after="0" w:line="24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F-53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line="220" w:lineRule="auto"/>
        <w:rPr>
          <w:sz w:val="20"/>
          <w:szCs w:val="20"/>
          <w:color w:val="auto"/>
        </w:rPr>
      </w:pPr>
      <w:r>
        <w:rPr>
          <w:rFonts w:ascii="Arial" w:cs="Arial" w:eastAsia="Arial" w:hAnsi="Arial"/>
          <w:sz w:val="13"/>
          <w:szCs w:val="13"/>
          <w:color w:val="auto"/>
        </w:rPr>
        <w:t>The sensitivity of the fair values of contingent considerations in fair value level 3 to the significant, unobservable, variable input factors, with all other factors remaining constant, is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4">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005A64"/>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83185</wp:posOffset>
            </wp:positionV>
            <wp:extent cx="654685" cy="5651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5">
                      <a:extLst>
                        <a:ext uri="{28A0092B-C50C-407E-A947-70E740481C1C}"/>
                      </a:extLst>
                    </a:blip>
                    <a:srcRect/>
                    <a:stretch>
                      <a:fillRect/>
                    </a:stretch>
                  </pic:blipFill>
                  <pic:spPr bwMode="auto">
                    <a:xfrm>
                      <a:off x="0" y="0"/>
                      <a:ext cx="654685" cy="56515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-5715</wp:posOffset>
            </wp:positionV>
            <wp:extent cx="4262120" cy="127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6">
                      <a:extLst>
                        <a:ext uri="{28A0092B-C50C-407E-A947-70E740481C1C}"/>
                      </a:extLst>
                    </a:blip>
                    <a:srcRect/>
                    <a:stretch>
                      <a:fillRect/>
                    </a:stretch>
                  </pic:blipFill>
                  <pic:spPr bwMode="auto">
                    <a:xfrm>
                      <a:off x="0" y="0"/>
                      <a:ext cx="4262120" cy="12700"/>
                    </a:xfrm>
                    <a:prstGeom prst="rect">
                      <a:avLst/>
                    </a:prstGeom>
                    <a:noFill/>
                  </pic:spPr>
                </pic:pic>
              </a:graphicData>
            </a:graphic>
          </wp:anchor>
        </w:drawing>
      </w:r>
    </w:p>
    <w:p>
      <w:pPr>
        <w:spacing w:after="0" w:line="91" w:lineRule="exact"/>
        <w:rPr>
          <w:sz w:val="20"/>
          <w:szCs w:val="20"/>
          <w:color w:val="auto"/>
        </w:rPr>
      </w:pPr>
    </w:p>
    <w:tbl>
      <w:tblPr>
        <w:tblLayout w:type="fixed"/>
        <w:tblInd w:w="380" w:type="dxa"/>
        <w:tblCellMar>
          <w:top w:w="0" w:type="dxa"/>
          <w:left w:w="0" w:type="dxa"/>
          <w:bottom w:w="0" w:type="dxa"/>
          <w:right w:w="0" w:type="dxa"/>
        </w:tblCellMar>
      </w:tblPr>
      <w:tr>
        <w:trPr>
          <w:trHeight w:val="121"/>
        </w:trPr>
        <w:tc>
          <w:tcPr>
            <w:tcW w:w="2360" w:type="dxa"/>
            <w:vAlign w:val="bottom"/>
            <w:gridSpan w:val="2"/>
          </w:tcPr>
          <w:p>
            <w:pPr>
              <w:ind w:left="20"/>
              <w:spacing w:after="0" w:line="121" w:lineRule="exact"/>
              <w:rPr>
                <w:sz w:val="20"/>
                <w:szCs w:val="20"/>
                <w:color w:val="auto"/>
              </w:rPr>
            </w:pPr>
            <w:r>
              <w:rPr>
                <w:rFonts w:ascii="Arial" w:cs="Arial" w:eastAsia="Arial" w:hAnsi="Arial"/>
                <w:sz w:val="12"/>
                <w:szCs w:val="12"/>
                <w:b w:val="1"/>
                <w:bCs w:val="1"/>
                <w:color w:val="005A64"/>
              </w:rPr>
              <w:t>Input factor</w:t>
            </w:r>
          </w:p>
        </w:tc>
        <w:tc>
          <w:tcPr>
            <w:tcW w:w="40" w:type="dxa"/>
            <w:vAlign w:val="bottom"/>
            <w:tcBorders>
              <w:top w:val="single" w:sz="8" w:color="BECD32"/>
            </w:tcBorders>
          </w:tcPr>
          <w:p>
            <w:pPr>
              <w:spacing w:after="0"/>
              <w:rPr>
                <w:sz w:val="10"/>
                <w:szCs w:val="10"/>
                <w:color w:val="auto"/>
              </w:rPr>
            </w:pPr>
          </w:p>
        </w:tc>
        <w:tc>
          <w:tcPr>
            <w:tcW w:w="1000" w:type="dxa"/>
            <w:vAlign w:val="bottom"/>
            <w:tcBorders>
              <w:top w:val="single" w:sz="8" w:color="BECD32"/>
            </w:tcBorders>
            <w:gridSpan w:val="2"/>
          </w:tcPr>
          <w:p>
            <w:pPr>
              <w:spacing w:after="0" w:line="121" w:lineRule="exact"/>
              <w:rPr>
                <w:sz w:val="20"/>
                <w:szCs w:val="20"/>
                <w:color w:val="auto"/>
              </w:rPr>
            </w:pPr>
            <w:r>
              <w:rPr>
                <w:rFonts w:ascii="Arial" w:cs="Arial" w:eastAsia="Arial" w:hAnsi="Arial"/>
                <w:sz w:val="12"/>
                <w:szCs w:val="12"/>
                <w:b w:val="1"/>
                <w:bCs w:val="1"/>
                <w:color w:val="005A64"/>
              </w:rPr>
              <w:t>Change in</w:t>
            </w:r>
          </w:p>
        </w:tc>
        <w:tc>
          <w:tcPr>
            <w:tcW w:w="20" w:type="dxa"/>
            <w:vAlign w:val="bottom"/>
          </w:tcPr>
          <w:p>
            <w:pPr>
              <w:spacing w:after="0"/>
              <w:rPr>
                <w:sz w:val="10"/>
                <w:szCs w:val="10"/>
                <w:color w:val="auto"/>
              </w:rPr>
            </w:pPr>
          </w:p>
        </w:tc>
        <w:tc>
          <w:tcPr>
            <w:tcW w:w="1620" w:type="dxa"/>
            <w:vAlign w:val="bottom"/>
          </w:tcPr>
          <w:p>
            <w:pPr>
              <w:ind w:left="20"/>
              <w:spacing w:after="0" w:line="121" w:lineRule="exact"/>
              <w:rPr>
                <w:sz w:val="20"/>
                <w:szCs w:val="20"/>
                <w:color w:val="auto"/>
              </w:rPr>
            </w:pPr>
            <w:r>
              <w:rPr>
                <w:rFonts w:ascii="Arial" w:cs="Arial" w:eastAsia="Arial" w:hAnsi="Arial"/>
                <w:sz w:val="12"/>
                <w:szCs w:val="12"/>
                <w:b w:val="1"/>
                <w:bCs w:val="1"/>
                <w:color w:val="005A64"/>
              </w:rPr>
              <w:t>Change in fair value with</w:t>
            </w:r>
          </w:p>
        </w:tc>
        <w:tc>
          <w:tcPr>
            <w:tcW w:w="60" w:type="dxa"/>
            <w:vAlign w:val="bottom"/>
          </w:tcPr>
          <w:p>
            <w:pPr>
              <w:spacing w:after="0"/>
              <w:rPr>
                <w:sz w:val="10"/>
                <w:szCs w:val="10"/>
                <w:color w:val="auto"/>
              </w:rPr>
            </w:pPr>
          </w:p>
        </w:tc>
        <w:tc>
          <w:tcPr>
            <w:tcW w:w="1620" w:type="dxa"/>
            <w:vAlign w:val="bottom"/>
          </w:tcPr>
          <w:p>
            <w:pPr>
              <w:spacing w:after="0" w:line="121" w:lineRule="exact"/>
              <w:rPr>
                <w:sz w:val="20"/>
                <w:szCs w:val="20"/>
                <w:color w:val="auto"/>
              </w:rPr>
            </w:pPr>
            <w:r>
              <w:rPr>
                <w:rFonts w:ascii="Arial" w:cs="Arial" w:eastAsia="Arial" w:hAnsi="Arial"/>
                <w:sz w:val="12"/>
                <w:szCs w:val="12"/>
                <w:b w:val="1"/>
                <w:bCs w:val="1"/>
                <w:color w:val="005A64"/>
              </w:rPr>
              <w:t>Change in fair value with</w:t>
            </w: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2"/>
          </w:tcPr>
          <w:p>
            <w:pPr>
              <w:spacing w:after="0" w:line="121" w:lineRule="exact"/>
              <w:rPr>
                <w:sz w:val="20"/>
                <w:szCs w:val="20"/>
                <w:color w:val="auto"/>
              </w:rPr>
            </w:pPr>
            <w:r>
              <w:rPr>
                <w:rFonts w:ascii="Arial" w:cs="Arial" w:eastAsia="Arial" w:hAnsi="Arial"/>
                <w:sz w:val="12"/>
                <w:szCs w:val="12"/>
                <w:b w:val="1"/>
                <w:bCs w:val="1"/>
                <w:color w:val="005A64"/>
              </w:rPr>
              <w:t>assumptions</w:t>
            </w:r>
          </w:p>
        </w:tc>
        <w:tc>
          <w:tcPr>
            <w:tcW w:w="20" w:type="dxa"/>
            <w:vAlign w:val="bottom"/>
          </w:tcPr>
          <w:p>
            <w:pPr>
              <w:spacing w:after="0"/>
              <w:rPr>
                <w:sz w:val="10"/>
                <w:szCs w:val="10"/>
                <w:color w:val="auto"/>
              </w:rPr>
            </w:pPr>
          </w:p>
        </w:tc>
        <w:tc>
          <w:tcPr>
            <w:tcW w:w="1620" w:type="dxa"/>
            <w:vAlign w:val="bottom"/>
          </w:tcPr>
          <w:p>
            <w:pPr>
              <w:ind w:left="20"/>
              <w:spacing w:after="0" w:line="121" w:lineRule="exact"/>
              <w:rPr>
                <w:sz w:val="20"/>
                <w:szCs w:val="20"/>
                <w:color w:val="auto"/>
              </w:rPr>
            </w:pPr>
            <w:r>
              <w:rPr>
                <w:rFonts w:ascii="Arial" w:cs="Arial" w:eastAsia="Arial" w:hAnsi="Arial"/>
                <w:sz w:val="12"/>
                <w:szCs w:val="12"/>
                <w:b w:val="1"/>
                <w:bCs w:val="1"/>
                <w:color w:val="005A64"/>
              </w:rPr>
              <w:t>increasing input factor</w:t>
            </w:r>
          </w:p>
        </w:tc>
        <w:tc>
          <w:tcPr>
            <w:tcW w:w="60" w:type="dxa"/>
            <w:vAlign w:val="bottom"/>
          </w:tcPr>
          <w:p>
            <w:pPr>
              <w:spacing w:after="0"/>
              <w:rPr>
                <w:sz w:val="10"/>
                <w:szCs w:val="10"/>
                <w:color w:val="auto"/>
              </w:rPr>
            </w:pPr>
          </w:p>
        </w:tc>
        <w:tc>
          <w:tcPr>
            <w:tcW w:w="1620" w:type="dxa"/>
            <w:vAlign w:val="bottom"/>
          </w:tcPr>
          <w:p>
            <w:pPr>
              <w:spacing w:after="0" w:line="121" w:lineRule="exact"/>
              <w:rPr>
                <w:sz w:val="20"/>
                <w:szCs w:val="20"/>
                <w:color w:val="auto"/>
              </w:rPr>
            </w:pPr>
            <w:r>
              <w:rPr>
                <w:rFonts w:ascii="Arial" w:cs="Arial" w:eastAsia="Arial" w:hAnsi="Arial"/>
                <w:sz w:val="12"/>
                <w:szCs w:val="12"/>
                <w:b w:val="1"/>
                <w:bCs w:val="1"/>
                <w:color w:val="005A64"/>
              </w:rPr>
              <w:t>decreasing input factor</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Arial" w:cs="Arial" w:eastAsia="Arial" w:hAnsi="Arial"/>
                <w:sz w:val="12"/>
                <w:szCs w:val="12"/>
                <w:b w:val="1"/>
                <w:bCs w:val="1"/>
                <w:color w:val="005A64"/>
              </w:rPr>
              <w:t>(in millions €)</w:t>
            </w:r>
          </w:p>
        </w:tc>
        <w:tc>
          <w:tcPr>
            <w:tcW w:w="6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2"/>
                <w:szCs w:val="12"/>
                <w:b w:val="1"/>
                <w:bCs w:val="1"/>
                <w:color w:val="005A64"/>
              </w:rPr>
              <w:t>(in millions €)</w:t>
            </w:r>
          </w:p>
        </w:tc>
        <w:tc>
          <w:tcPr>
            <w:tcW w:w="0" w:type="dxa"/>
            <w:vAlign w:val="bottom"/>
          </w:tcPr>
          <w:p>
            <w:pPr>
              <w:spacing w:after="0"/>
              <w:rPr>
                <w:sz w:val="1"/>
                <w:szCs w:val="1"/>
                <w:color w:val="auto"/>
              </w:rPr>
            </w:pPr>
          </w:p>
        </w:tc>
      </w:tr>
      <w:tr>
        <w:trPr>
          <w:trHeight w:val="67"/>
        </w:trPr>
        <w:tc>
          <w:tcPr>
            <w:tcW w:w="2340" w:type="dxa"/>
            <w:vAlign w:val="bottom"/>
            <w:tcBorders>
              <w:bottom w:val="single" w:sz="8" w:color="005A64"/>
            </w:tcBorders>
          </w:tcPr>
          <w:p>
            <w:pPr>
              <w:spacing w:after="0"/>
              <w:rPr>
                <w:sz w:val="5"/>
                <w:szCs w:val="5"/>
                <w:color w:val="auto"/>
              </w:rPr>
            </w:pPr>
          </w:p>
        </w:tc>
        <w:tc>
          <w:tcPr>
            <w:tcW w:w="2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960" w:type="dxa"/>
            <w:vAlign w:val="bottom"/>
            <w:tcBorders>
              <w:bottom w:val="single" w:sz="8" w:color="005A64"/>
            </w:tcBorders>
          </w:tcPr>
          <w:p>
            <w:pPr>
              <w:spacing w:after="0"/>
              <w:rPr>
                <w:sz w:val="5"/>
                <w:szCs w:val="5"/>
                <w:color w:val="auto"/>
              </w:rPr>
            </w:pPr>
          </w:p>
        </w:tc>
        <w:tc>
          <w:tcPr>
            <w:tcW w:w="4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620" w:type="dxa"/>
            <w:vAlign w:val="bottom"/>
            <w:tcBorders>
              <w:bottom w:val="single" w:sz="8" w:color="005A64"/>
            </w:tcBorders>
          </w:tcPr>
          <w:p>
            <w:pPr>
              <w:spacing w:after="0"/>
              <w:rPr>
                <w:sz w:val="5"/>
                <w:szCs w:val="5"/>
                <w:color w:val="auto"/>
              </w:rPr>
            </w:pPr>
          </w:p>
        </w:tc>
        <w:tc>
          <w:tcPr>
            <w:tcW w:w="60" w:type="dxa"/>
            <w:vAlign w:val="bottom"/>
            <w:vMerge w:val="restart"/>
          </w:tcPr>
          <w:p>
            <w:pPr>
              <w:spacing w:after="0"/>
              <w:rPr>
                <w:sz w:val="5"/>
                <w:szCs w:val="5"/>
                <w:color w:val="auto"/>
              </w:rPr>
            </w:pPr>
          </w:p>
        </w:tc>
        <w:tc>
          <w:tcPr>
            <w:tcW w:w="1620" w:type="dxa"/>
            <w:vAlign w:val="bottom"/>
            <w:tcBorders>
              <w:bottom w:val="single" w:sz="8" w:color="005A64"/>
            </w:tcBorders>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340" w:type="dxa"/>
            <w:vAlign w:val="bottom"/>
          </w:tcPr>
          <w:p>
            <w:pPr>
              <w:ind w:left="20"/>
              <w:spacing w:after="0"/>
              <w:rPr>
                <w:sz w:val="20"/>
                <w:szCs w:val="20"/>
                <w:color w:val="auto"/>
              </w:rPr>
            </w:pPr>
            <w:r>
              <w:rPr>
                <w:rFonts w:ascii="Arial" w:cs="Arial" w:eastAsia="Arial" w:hAnsi="Arial"/>
                <w:sz w:val="12"/>
                <w:szCs w:val="12"/>
                <w:color w:val="005A64"/>
              </w:rPr>
              <w:t>Cash flow projections</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10%</w:t>
            </w: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20" w:type="dxa"/>
            <w:vAlign w:val="bottom"/>
          </w:tcPr>
          <w:p>
            <w:pPr>
              <w:ind w:left="20"/>
              <w:spacing w:after="0"/>
              <w:rPr>
                <w:sz w:val="20"/>
                <w:szCs w:val="20"/>
                <w:color w:val="auto"/>
              </w:rPr>
            </w:pPr>
            <w:r>
              <w:rPr>
                <w:rFonts w:ascii="Arial" w:cs="Arial" w:eastAsia="Arial" w:hAnsi="Arial"/>
                <w:sz w:val="12"/>
                <w:szCs w:val="12"/>
                <w:color w:val="005A64"/>
              </w:rPr>
              <w:t>4.4</w:t>
            </w:r>
          </w:p>
        </w:tc>
        <w:tc>
          <w:tcPr>
            <w:tcW w:w="60" w:type="dxa"/>
            <w:vAlign w:val="bottom"/>
            <w:vMerge w:val="continue"/>
          </w:tcPr>
          <w:p>
            <w:pPr>
              <w:spacing w:after="0"/>
              <w:rPr>
                <w:sz w:val="13"/>
                <w:szCs w:val="13"/>
                <w:color w:val="auto"/>
              </w:rPr>
            </w:pPr>
          </w:p>
        </w:tc>
        <w:tc>
          <w:tcPr>
            <w:tcW w:w="1620" w:type="dxa"/>
            <w:vAlign w:val="bottom"/>
          </w:tcPr>
          <w:p>
            <w:pPr>
              <w:spacing w:after="0"/>
              <w:rPr>
                <w:sz w:val="20"/>
                <w:szCs w:val="20"/>
                <w:color w:val="auto"/>
              </w:rPr>
            </w:pPr>
            <w:r>
              <w:rPr>
                <w:rFonts w:ascii="Arial" w:cs="Arial" w:eastAsia="Arial" w:hAnsi="Arial"/>
                <w:sz w:val="12"/>
                <w:szCs w:val="12"/>
                <w:color w:val="005A64"/>
              </w:rPr>
              <w:t>(4.4)</w:t>
            </w:r>
          </w:p>
        </w:tc>
        <w:tc>
          <w:tcPr>
            <w:tcW w:w="0" w:type="dxa"/>
            <w:vAlign w:val="bottom"/>
          </w:tcPr>
          <w:p>
            <w:pPr>
              <w:spacing w:after="0"/>
              <w:rPr>
                <w:sz w:val="1"/>
                <w:szCs w:val="1"/>
                <w:color w:val="auto"/>
              </w:rPr>
            </w:pPr>
          </w:p>
        </w:tc>
      </w:tr>
      <w:tr>
        <w:trPr>
          <w:trHeight w:val="181"/>
        </w:trPr>
        <w:tc>
          <w:tcPr>
            <w:tcW w:w="2360" w:type="dxa"/>
            <w:vAlign w:val="bottom"/>
            <w:gridSpan w:val="2"/>
          </w:tcPr>
          <w:p>
            <w:pPr>
              <w:ind w:left="20"/>
              <w:spacing w:after="0"/>
              <w:rPr>
                <w:sz w:val="20"/>
                <w:szCs w:val="20"/>
                <w:color w:val="auto"/>
              </w:rPr>
            </w:pPr>
            <w:r>
              <w:rPr>
                <w:rFonts w:ascii="Arial" w:cs="Arial" w:eastAsia="Arial" w:hAnsi="Arial"/>
                <w:sz w:val="12"/>
                <w:szCs w:val="12"/>
                <w:color w:val="005A64"/>
              </w:rPr>
              <w:t>Discount rate</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w:t>
            </w:r>
          </w:p>
        </w:tc>
        <w:tc>
          <w:tcPr>
            <w:tcW w:w="40" w:type="dxa"/>
            <w:vAlign w:val="bottom"/>
          </w:tcPr>
          <w:p>
            <w:pPr>
              <w:spacing w:after="0"/>
              <w:rPr>
                <w:sz w:val="15"/>
                <w:szCs w:val="15"/>
                <w:color w:val="auto"/>
              </w:rPr>
            </w:pPr>
          </w:p>
        </w:tc>
        <w:tc>
          <w:tcPr>
            <w:tcW w:w="1640" w:type="dxa"/>
            <w:vAlign w:val="bottom"/>
            <w:gridSpan w:val="2"/>
          </w:tcPr>
          <w:p>
            <w:pPr>
              <w:ind w:left="40"/>
              <w:spacing w:after="0"/>
              <w:rPr>
                <w:sz w:val="20"/>
                <w:szCs w:val="20"/>
                <w:color w:val="auto"/>
              </w:rPr>
            </w:pPr>
            <w:r>
              <w:rPr>
                <w:rFonts w:ascii="Arial" w:cs="Arial" w:eastAsia="Arial" w:hAnsi="Arial"/>
                <w:sz w:val="12"/>
                <w:szCs w:val="12"/>
                <w:color w:val="005A64"/>
              </w:rPr>
              <w:t>(0.6)</w:t>
            </w:r>
          </w:p>
        </w:tc>
        <w:tc>
          <w:tcPr>
            <w:tcW w:w="1680" w:type="dxa"/>
            <w:vAlign w:val="bottom"/>
            <w:gridSpan w:val="2"/>
          </w:tcPr>
          <w:p>
            <w:pPr>
              <w:ind w:left="60"/>
              <w:spacing w:after="0"/>
              <w:rPr>
                <w:sz w:val="20"/>
                <w:szCs w:val="20"/>
                <w:color w:val="auto"/>
              </w:rPr>
            </w:pPr>
            <w:r>
              <w:rPr>
                <w:rFonts w:ascii="Arial" w:cs="Arial" w:eastAsia="Arial" w:hAnsi="Arial"/>
                <w:sz w:val="12"/>
                <w:szCs w:val="12"/>
                <w:color w:val="005A64"/>
              </w:rPr>
              <w:t>0.6</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380" w:right="2340"/>
        <w:spacing w:after="0" w:line="233" w:lineRule="auto"/>
        <w:rPr>
          <w:sz w:val="20"/>
          <w:szCs w:val="20"/>
          <w:color w:val="auto"/>
        </w:rPr>
      </w:pPr>
      <w:r>
        <w:rPr>
          <w:rFonts w:ascii="Arial" w:cs="Arial" w:eastAsia="Arial" w:hAnsi="Arial"/>
          <w:sz w:val="13"/>
          <w:szCs w:val="13"/>
          <w:color w:val="auto"/>
        </w:rPr>
        <w:t xml:space="preserve">The sensitivity of the fair values of royalty assets included in other financial assets to the significant, unobservable, variable input factors, with all other factors remaining constant, is shown in the following table: </w:t>
      </w:r>
      <w:r>
        <w:rPr>
          <w:rFonts w:ascii="Arial" w:cs="Arial" w:eastAsia="Arial" w:hAnsi="Arial"/>
          <w:sz w:val="13"/>
          <w:szCs w:val="13"/>
          <w:color w:val="005A64"/>
        </w:rPr>
        <w:t>Royalty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-269875</wp:posOffset>
            </wp:positionV>
            <wp:extent cx="4262120" cy="63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7">
                      <a:extLst>
                        <a:ext uri="{28A0092B-C50C-407E-A947-70E740481C1C}"/>
                      </a:extLst>
                    </a:blip>
                    <a:srcRect/>
                    <a:stretch>
                      <a:fillRect/>
                    </a:stretch>
                  </pic:blipFill>
                  <pic:spPr bwMode="auto">
                    <a:xfrm>
                      <a:off x="0" y="0"/>
                      <a:ext cx="4262120" cy="635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76200</wp:posOffset>
            </wp:positionV>
            <wp:extent cx="654685" cy="5651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8">
                      <a:extLst>
                        <a:ext uri="{28A0092B-C50C-407E-A947-70E740481C1C}"/>
                      </a:extLst>
                    </a:blip>
                    <a:srcRect/>
                    <a:stretch>
                      <a:fillRect/>
                    </a:stretch>
                  </pic:blipFill>
                  <pic:spPr bwMode="auto">
                    <a:xfrm>
                      <a:off x="0" y="0"/>
                      <a:ext cx="654685" cy="56515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-12700</wp:posOffset>
            </wp:positionV>
            <wp:extent cx="4262120" cy="127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9">
                      <a:extLst>
                        <a:ext uri="{28A0092B-C50C-407E-A947-70E740481C1C}"/>
                      </a:extLst>
                    </a:blip>
                    <a:srcRect/>
                    <a:stretch>
                      <a:fillRect/>
                    </a:stretch>
                  </pic:blipFill>
                  <pic:spPr bwMode="auto">
                    <a:xfrm>
                      <a:off x="0" y="0"/>
                      <a:ext cx="4262120" cy="12700"/>
                    </a:xfrm>
                    <a:prstGeom prst="rect">
                      <a:avLst/>
                    </a:prstGeom>
                    <a:noFill/>
                  </pic:spPr>
                </pic:pic>
              </a:graphicData>
            </a:graphic>
          </wp:anchor>
        </w:drawing>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21"/>
        </w:trPr>
        <w:tc>
          <w:tcPr>
            <w:tcW w:w="2360" w:type="dxa"/>
            <w:vAlign w:val="bottom"/>
            <w:gridSpan w:val="2"/>
          </w:tcPr>
          <w:p>
            <w:pPr>
              <w:ind w:left="20"/>
              <w:spacing w:after="0" w:line="121" w:lineRule="exact"/>
              <w:rPr>
                <w:sz w:val="20"/>
                <w:szCs w:val="20"/>
                <w:color w:val="auto"/>
              </w:rPr>
            </w:pPr>
            <w:r>
              <w:rPr>
                <w:rFonts w:ascii="Arial" w:cs="Arial" w:eastAsia="Arial" w:hAnsi="Arial"/>
                <w:sz w:val="12"/>
                <w:szCs w:val="12"/>
                <w:b w:val="1"/>
                <w:bCs w:val="1"/>
                <w:color w:val="005A64"/>
              </w:rPr>
              <w:t>Input factor</w:t>
            </w:r>
          </w:p>
        </w:tc>
        <w:tc>
          <w:tcPr>
            <w:tcW w:w="40" w:type="dxa"/>
            <w:vAlign w:val="bottom"/>
            <w:tcBorders>
              <w:top w:val="single" w:sz="8" w:color="BECD32"/>
            </w:tcBorders>
          </w:tcPr>
          <w:p>
            <w:pPr>
              <w:spacing w:after="0"/>
              <w:rPr>
                <w:sz w:val="10"/>
                <w:szCs w:val="10"/>
                <w:color w:val="auto"/>
              </w:rPr>
            </w:pPr>
          </w:p>
        </w:tc>
        <w:tc>
          <w:tcPr>
            <w:tcW w:w="1000" w:type="dxa"/>
            <w:vAlign w:val="bottom"/>
            <w:tcBorders>
              <w:top w:val="single" w:sz="8" w:color="BECD32"/>
            </w:tcBorders>
            <w:gridSpan w:val="2"/>
          </w:tcPr>
          <w:p>
            <w:pPr>
              <w:spacing w:after="0" w:line="121" w:lineRule="exact"/>
              <w:rPr>
                <w:sz w:val="20"/>
                <w:szCs w:val="20"/>
                <w:color w:val="auto"/>
              </w:rPr>
            </w:pPr>
            <w:r>
              <w:rPr>
                <w:rFonts w:ascii="Arial" w:cs="Arial" w:eastAsia="Arial" w:hAnsi="Arial"/>
                <w:sz w:val="12"/>
                <w:szCs w:val="12"/>
                <w:b w:val="1"/>
                <w:bCs w:val="1"/>
                <w:color w:val="005A64"/>
              </w:rPr>
              <w:t>Change in</w:t>
            </w:r>
          </w:p>
        </w:tc>
        <w:tc>
          <w:tcPr>
            <w:tcW w:w="20" w:type="dxa"/>
            <w:vAlign w:val="bottom"/>
          </w:tcPr>
          <w:p>
            <w:pPr>
              <w:spacing w:after="0"/>
              <w:rPr>
                <w:sz w:val="10"/>
                <w:szCs w:val="10"/>
                <w:color w:val="auto"/>
              </w:rPr>
            </w:pPr>
          </w:p>
        </w:tc>
        <w:tc>
          <w:tcPr>
            <w:tcW w:w="1620" w:type="dxa"/>
            <w:vAlign w:val="bottom"/>
          </w:tcPr>
          <w:p>
            <w:pPr>
              <w:ind w:left="20"/>
              <w:spacing w:after="0" w:line="121" w:lineRule="exact"/>
              <w:rPr>
                <w:sz w:val="20"/>
                <w:szCs w:val="20"/>
                <w:color w:val="auto"/>
              </w:rPr>
            </w:pPr>
            <w:r>
              <w:rPr>
                <w:rFonts w:ascii="Arial" w:cs="Arial" w:eastAsia="Arial" w:hAnsi="Arial"/>
                <w:sz w:val="12"/>
                <w:szCs w:val="12"/>
                <w:b w:val="1"/>
                <w:bCs w:val="1"/>
                <w:color w:val="005A64"/>
              </w:rPr>
              <w:t>Change in fair value with</w:t>
            </w:r>
          </w:p>
        </w:tc>
        <w:tc>
          <w:tcPr>
            <w:tcW w:w="60" w:type="dxa"/>
            <w:vAlign w:val="bottom"/>
          </w:tcPr>
          <w:p>
            <w:pPr>
              <w:spacing w:after="0"/>
              <w:rPr>
                <w:sz w:val="10"/>
                <w:szCs w:val="10"/>
                <w:color w:val="auto"/>
              </w:rPr>
            </w:pPr>
          </w:p>
        </w:tc>
        <w:tc>
          <w:tcPr>
            <w:tcW w:w="1620" w:type="dxa"/>
            <w:vAlign w:val="bottom"/>
          </w:tcPr>
          <w:p>
            <w:pPr>
              <w:spacing w:after="0" w:line="121" w:lineRule="exact"/>
              <w:rPr>
                <w:sz w:val="20"/>
                <w:szCs w:val="20"/>
                <w:color w:val="auto"/>
              </w:rPr>
            </w:pPr>
            <w:r>
              <w:rPr>
                <w:rFonts w:ascii="Arial" w:cs="Arial" w:eastAsia="Arial" w:hAnsi="Arial"/>
                <w:sz w:val="12"/>
                <w:szCs w:val="12"/>
                <w:b w:val="1"/>
                <w:bCs w:val="1"/>
                <w:color w:val="005A64"/>
              </w:rPr>
              <w:t>Change in fair value with</w:t>
            </w: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2"/>
          </w:tcPr>
          <w:p>
            <w:pPr>
              <w:spacing w:after="0" w:line="121" w:lineRule="exact"/>
              <w:rPr>
                <w:sz w:val="20"/>
                <w:szCs w:val="20"/>
                <w:color w:val="auto"/>
              </w:rPr>
            </w:pPr>
            <w:r>
              <w:rPr>
                <w:rFonts w:ascii="Arial" w:cs="Arial" w:eastAsia="Arial" w:hAnsi="Arial"/>
                <w:sz w:val="12"/>
                <w:szCs w:val="12"/>
                <w:b w:val="1"/>
                <w:bCs w:val="1"/>
                <w:color w:val="005A64"/>
              </w:rPr>
              <w:t>assumptions</w:t>
            </w:r>
          </w:p>
        </w:tc>
        <w:tc>
          <w:tcPr>
            <w:tcW w:w="20" w:type="dxa"/>
            <w:vAlign w:val="bottom"/>
          </w:tcPr>
          <w:p>
            <w:pPr>
              <w:spacing w:after="0"/>
              <w:rPr>
                <w:sz w:val="10"/>
                <w:szCs w:val="10"/>
                <w:color w:val="auto"/>
              </w:rPr>
            </w:pPr>
          </w:p>
        </w:tc>
        <w:tc>
          <w:tcPr>
            <w:tcW w:w="1620" w:type="dxa"/>
            <w:vAlign w:val="bottom"/>
          </w:tcPr>
          <w:p>
            <w:pPr>
              <w:ind w:left="20"/>
              <w:spacing w:after="0" w:line="121" w:lineRule="exact"/>
              <w:rPr>
                <w:sz w:val="20"/>
                <w:szCs w:val="20"/>
                <w:color w:val="auto"/>
              </w:rPr>
            </w:pPr>
            <w:r>
              <w:rPr>
                <w:rFonts w:ascii="Arial" w:cs="Arial" w:eastAsia="Arial" w:hAnsi="Arial"/>
                <w:sz w:val="12"/>
                <w:szCs w:val="12"/>
                <w:b w:val="1"/>
                <w:bCs w:val="1"/>
                <w:color w:val="005A64"/>
              </w:rPr>
              <w:t>increasing input factor</w:t>
            </w:r>
          </w:p>
        </w:tc>
        <w:tc>
          <w:tcPr>
            <w:tcW w:w="60" w:type="dxa"/>
            <w:vAlign w:val="bottom"/>
          </w:tcPr>
          <w:p>
            <w:pPr>
              <w:spacing w:after="0"/>
              <w:rPr>
                <w:sz w:val="10"/>
                <w:szCs w:val="10"/>
                <w:color w:val="auto"/>
              </w:rPr>
            </w:pPr>
          </w:p>
        </w:tc>
        <w:tc>
          <w:tcPr>
            <w:tcW w:w="1620" w:type="dxa"/>
            <w:vAlign w:val="bottom"/>
          </w:tcPr>
          <w:p>
            <w:pPr>
              <w:spacing w:after="0" w:line="121" w:lineRule="exact"/>
              <w:rPr>
                <w:sz w:val="20"/>
                <w:szCs w:val="20"/>
                <w:color w:val="auto"/>
              </w:rPr>
            </w:pPr>
            <w:r>
              <w:rPr>
                <w:rFonts w:ascii="Arial" w:cs="Arial" w:eastAsia="Arial" w:hAnsi="Arial"/>
                <w:sz w:val="12"/>
                <w:szCs w:val="12"/>
                <w:b w:val="1"/>
                <w:bCs w:val="1"/>
                <w:color w:val="005A64"/>
              </w:rPr>
              <w:t>decreasing input factor</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Arial" w:cs="Arial" w:eastAsia="Arial" w:hAnsi="Arial"/>
                <w:sz w:val="12"/>
                <w:szCs w:val="12"/>
                <w:b w:val="1"/>
                <w:bCs w:val="1"/>
                <w:color w:val="005A64"/>
              </w:rPr>
              <w:t>(in millions €)</w:t>
            </w:r>
          </w:p>
        </w:tc>
        <w:tc>
          <w:tcPr>
            <w:tcW w:w="6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2"/>
                <w:szCs w:val="12"/>
                <w:b w:val="1"/>
                <w:bCs w:val="1"/>
                <w:color w:val="005A64"/>
              </w:rPr>
              <w:t>(in millions €)</w:t>
            </w:r>
          </w:p>
        </w:tc>
        <w:tc>
          <w:tcPr>
            <w:tcW w:w="0" w:type="dxa"/>
            <w:vAlign w:val="bottom"/>
          </w:tcPr>
          <w:p>
            <w:pPr>
              <w:spacing w:after="0"/>
              <w:rPr>
                <w:sz w:val="1"/>
                <w:szCs w:val="1"/>
                <w:color w:val="auto"/>
              </w:rPr>
            </w:pPr>
          </w:p>
        </w:tc>
      </w:tr>
      <w:tr>
        <w:trPr>
          <w:trHeight w:val="67"/>
        </w:trPr>
        <w:tc>
          <w:tcPr>
            <w:tcW w:w="2340" w:type="dxa"/>
            <w:vAlign w:val="bottom"/>
            <w:tcBorders>
              <w:bottom w:val="single" w:sz="8" w:color="005A64"/>
            </w:tcBorders>
          </w:tcPr>
          <w:p>
            <w:pPr>
              <w:spacing w:after="0"/>
              <w:rPr>
                <w:sz w:val="5"/>
                <w:szCs w:val="5"/>
                <w:color w:val="auto"/>
              </w:rPr>
            </w:pPr>
          </w:p>
        </w:tc>
        <w:tc>
          <w:tcPr>
            <w:tcW w:w="2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960" w:type="dxa"/>
            <w:vAlign w:val="bottom"/>
            <w:tcBorders>
              <w:bottom w:val="single" w:sz="8" w:color="005A64"/>
            </w:tcBorders>
          </w:tcPr>
          <w:p>
            <w:pPr>
              <w:spacing w:after="0"/>
              <w:rPr>
                <w:sz w:val="5"/>
                <w:szCs w:val="5"/>
                <w:color w:val="auto"/>
              </w:rPr>
            </w:pPr>
          </w:p>
        </w:tc>
        <w:tc>
          <w:tcPr>
            <w:tcW w:w="4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620" w:type="dxa"/>
            <w:vAlign w:val="bottom"/>
            <w:tcBorders>
              <w:bottom w:val="single" w:sz="8" w:color="005A64"/>
            </w:tcBorders>
          </w:tcPr>
          <w:p>
            <w:pPr>
              <w:spacing w:after="0"/>
              <w:rPr>
                <w:sz w:val="5"/>
                <w:szCs w:val="5"/>
                <w:color w:val="auto"/>
              </w:rPr>
            </w:pPr>
          </w:p>
        </w:tc>
        <w:tc>
          <w:tcPr>
            <w:tcW w:w="60" w:type="dxa"/>
            <w:vAlign w:val="bottom"/>
            <w:vMerge w:val="restart"/>
          </w:tcPr>
          <w:p>
            <w:pPr>
              <w:spacing w:after="0"/>
              <w:rPr>
                <w:sz w:val="5"/>
                <w:szCs w:val="5"/>
                <w:color w:val="auto"/>
              </w:rPr>
            </w:pPr>
          </w:p>
        </w:tc>
        <w:tc>
          <w:tcPr>
            <w:tcW w:w="1620" w:type="dxa"/>
            <w:vAlign w:val="bottom"/>
            <w:tcBorders>
              <w:bottom w:val="single" w:sz="8" w:color="005A64"/>
            </w:tcBorders>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340" w:type="dxa"/>
            <w:vAlign w:val="bottom"/>
          </w:tcPr>
          <w:p>
            <w:pPr>
              <w:ind w:left="20"/>
              <w:spacing w:after="0"/>
              <w:rPr>
                <w:sz w:val="20"/>
                <w:szCs w:val="20"/>
                <w:color w:val="auto"/>
              </w:rPr>
            </w:pPr>
            <w:r>
              <w:rPr>
                <w:rFonts w:ascii="Arial" w:cs="Arial" w:eastAsia="Arial" w:hAnsi="Arial"/>
                <w:sz w:val="12"/>
                <w:szCs w:val="12"/>
                <w:color w:val="005A64"/>
              </w:rPr>
              <w:t>Cash flow projections</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2"/>
                <w:szCs w:val="12"/>
                <w:color w:val="005A64"/>
              </w:rPr>
              <w:t>10%</w:t>
            </w: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20" w:type="dxa"/>
            <w:vAlign w:val="bottom"/>
          </w:tcPr>
          <w:p>
            <w:pPr>
              <w:ind w:left="20"/>
              <w:spacing w:after="0"/>
              <w:rPr>
                <w:sz w:val="20"/>
                <w:szCs w:val="20"/>
                <w:color w:val="auto"/>
              </w:rPr>
            </w:pPr>
            <w:r>
              <w:rPr>
                <w:rFonts w:ascii="Arial" w:cs="Arial" w:eastAsia="Arial" w:hAnsi="Arial"/>
                <w:sz w:val="12"/>
                <w:szCs w:val="12"/>
                <w:color w:val="005A64"/>
              </w:rPr>
              <w:t>4.1</w:t>
            </w:r>
          </w:p>
        </w:tc>
        <w:tc>
          <w:tcPr>
            <w:tcW w:w="60" w:type="dxa"/>
            <w:vAlign w:val="bottom"/>
            <w:vMerge w:val="continue"/>
          </w:tcPr>
          <w:p>
            <w:pPr>
              <w:spacing w:after="0"/>
              <w:rPr>
                <w:sz w:val="13"/>
                <w:szCs w:val="13"/>
                <w:color w:val="auto"/>
              </w:rPr>
            </w:pPr>
          </w:p>
        </w:tc>
        <w:tc>
          <w:tcPr>
            <w:tcW w:w="1620" w:type="dxa"/>
            <w:vAlign w:val="bottom"/>
          </w:tcPr>
          <w:p>
            <w:pPr>
              <w:spacing w:after="0"/>
              <w:rPr>
                <w:sz w:val="20"/>
                <w:szCs w:val="20"/>
                <w:color w:val="auto"/>
              </w:rPr>
            </w:pPr>
            <w:r>
              <w:rPr>
                <w:rFonts w:ascii="Arial" w:cs="Arial" w:eastAsia="Arial" w:hAnsi="Arial"/>
                <w:sz w:val="12"/>
                <w:szCs w:val="12"/>
                <w:color w:val="005A64"/>
              </w:rPr>
              <w:t>(4.1)</w:t>
            </w:r>
          </w:p>
        </w:tc>
        <w:tc>
          <w:tcPr>
            <w:tcW w:w="0" w:type="dxa"/>
            <w:vAlign w:val="bottom"/>
          </w:tcPr>
          <w:p>
            <w:pPr>
              <w:spacing w:after="0"/>
              <w:rPr>
                <w:sz w:val="1"/>
                <w:szCs w:val="1"/>
                <w:color w:val="auto"/>
              </w:rPr>
            </w:pPr>
          </w:p>
        </w:tc>
      </w:tr>
      <w:tr>
        <w:trPr>
          <w:trHeight w:val="181"/>
        </w:trPr>
        <w:tc>
          <w:tcPr>
            <w:tcW w:w="2360" w:type="dxa"/>
            <w:vAlign w:val="bottom"/>
            <w:gridSpan w:val="2"/>
          </w:tcPr>
          <w:p>
            <w:pPr>
              <w:ind w:left="20"/>
              <w:spacing w:after="0"/>
              <w:rPr>
                <w:sz w:val="20"/>
                <w:szCs w:val="20"/>
                <w:color w:val="auto"/>
              </w:rPr>
            </w:pPr>
            <w:r>
              <w:rPr>
                <w:rFonts w:ascii="Arial" w:cs="Arial" w:eastAsia="Arial" w:hAnsi="Arial"/>
                <w:sz w:val="12"/>
                <w:szCs w:val="12"/>
                <w:color w:val="005A64"/>
              </w:rPr>
              <w:t>Discount rate</w:t>
            </w: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w:t>
            </w:r>
          </w:p>
        </w:tc>
        <w:tc>
          <w:tcPr>
            <w:tcW w:w="40" w:type="dxa"/>
            <w:vAlign w:val="bottom"/>
          </w:tcPr>
          <w:p>
            <w:pPr>
              <w:spacing w:after="0"/>
              <w:rPr>
                <w:sz w:val="15"/>
                <w:szCs w:val="15"/>
                <w:color w:val="auto"/>
              </w:rPr>
            </w:pPr>
          </w:p>
        </w:tc>
        <w:tc>
          <w:tcPr>
            <w:tcW w:w="1640" w:type="dxa"/>
            <w:vAlign w:val="bottom"/>
            <w:gridSpan w:val="2"/>
          </w:tcPr>
          <w:p>
            <w:pPr>
              <w:ind w:left="40"/>
              <w:spacing w:after="0"/>
              <w:rPr>
                <w:sz w:val="20"/>
                <w:szCs w:val="20"/>
                <w:color w:val="auto"/>
              </w:rPr>
            </w:pPr>
            <w:r>
              <w:rPr>
                <w:rFonts w:ascii="Arial" w:cs="Arial" w:eastAsia="Arial" w:hAnsi="Arial"/>
                <w:sz w:val="12"/>
                <w:szCs w:val="12"/>
                <w:color w:val="005A64"/>
              </w:rPr>
              <w:t>(3.1)</w:t>
            </w:r>
          </w:p>
        </w:tc>
        <w:tc>
          <w:tcPr>
            <w:tcW w:w="1680" w:type="dxa"/>
            <w:vAlign w:val="bottom"/>
            <w:gridSpan w:val="2"/>
          </w:tcPr>
          <w:p>
            <w:pPr>
              <w:ind w:left="60"/>
              <w:spacing w:after="0"/>
              <w:rPr>
                <w:sz w:val="20"/>
                <w:szCs w:val="20"/>
                <w:color w:val="auto"/>
              </w:rPr>
            </w:pPr>
            <w:r>
              <w:rPr>
                <w:rFonts w:ascii="Arial" w:cs="Arial" w:eastAsia="Arial" w:hAnsi="Arial"/>
                <w:sz w:val="12"/>
                <w:szCs w:val="12"/>
                <w:color w:val="005A64"/>
              </w:rPr>
              <w:t>3.5</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380" w:right="2200"/>
        <w:spacing w:after="0" w:line="217" w:lineRule="auto"/>
        <w:rPr>
          <w:sz w:val="20"/>
          <w:szCs w:val="20"/>
          <w:color w:val="auto"/>
        </w:rPr>
      </w:pPr>
      <w:r>
        <w:rPr>
          <w:rFonts w:ascii="Arial" w:cs="Arial" w:eastAsia="Arial" w:hAnsi="Arial"/>
          <w:sz w:val="13"/>
          <w:szCs w:val="13"/>
          <w:color w:val="auto"/>
        </w:rPr>
        <w:t>The estimated fair value of non- listed equity investments would, for example, increase (decrease) if the price of the latest financing round of the respective investment were to increase (decrease) and the overall company value were higher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4262120" cy="63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30">
                      <a:extLst>
                        <a:ext uri="{28A0092B-C50C-407E-A947-70E740481C1C}"/>
                      </a:extLst>
                    </a:blip>
                    <a:srcRect/>
                    <a:stretch>
                      <a:fillRect/>
                    </a:stretch>
                  </pic:blipFill>
                  <pic:spPr bwMode="auto">
                    <a:xfrm>
                      <a:off x="0" y="0"/>
                      <a:ext cx="426212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b w:val="1"/>
          <w:bCs w:val="1"/>
          <w:color w:val="005A64"/>
        </w:rPr>
        <w:t>12.4 Financial Instruments Risk Management Objectives and Policies</w:t>
      </w:r>
    </w:p>
    <w:p>
      <w:pPr>
        <w:ind w:left="380" w:right="2120"/>
        <w:spacing w:after="0" w:line="210" w:lineRule="auto"/>
        <w:rPr>
          <w:sz w:val="20"/>
          <w:szCs w:val="20"/>
          <w:color w:val="auto"/>
        </w:rPr>
      </w:pPr>
      <w:r>
        <w:rPr>
          <w:rFonts w:ascii="Arial" w:cs="Arial" w:eastAsia="Arial" w:hAnsi="Arial"/>
          <w:sz w:val="13"/>
          <w:szCs w:val="13"/>
          <w:color w:val="auto"/>
        </w:rPr>
        <w:t>Our financial liabilities mainly comprise obligations derived from other financial liabilities such as obligation from transactions with licensors, trade and other payables, lease liabilities, contingent consideration, liabilities from exchanges forward contracts. The main purpose of these financial liabilities is to enable our operations. Our principal financial assets include mainly cash, security investments, trade receivables and reimbursement assets that derive directly from our operations.</w:t>
      </w:r>
    </w:p>
    <w:p>
      <w:pPr>
        <w:spacing w:after="0" w:line="3"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We are exposed to market risk, credit risk and liquidity risk. Our Management Board oversees the management of these risks.</w:t>
      </w:r>
    </w:p>
    <w:p>
      <w:pPr>
        <w:spacing w:after="0" w:line="1"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The treasury committee provides assurance to our Management Board that our financial risk activities are governed by appropriate policies and procedures and that financial risks are identified, measured and managed in accordance with our policies and risk objectives. The Management Board reviews and agrees policies for managing each of these risks, which are summarized below.</w:t>
      </w:r>
    </w:p>
    <w:p>
      <w:pPr>
        <w:ind w:left="380"/>
        <w:spacing w:after="0" w:line="214" w:lineRule="auto"/>
        <w:rPr>
          <w:sz w:val="20"/>
          <w:szCs w:val="20"/>
          <w:color w:val="auto"/>
        </w:rPr>
      </w:pPr>
      <w:r>
        <w:rPr>
          <w:rFonts w:ascii="Arial" w:cs="Arial" w:eastAsia="Arial" w:hAnsi="Arial"/>
          <w:sz w:val="13"/>
          <w:szCs w:val="13"/>
          <w:b w:val="1"/>
          <w:bCs w:val="1"/>
          <w:color w:val="005A64"/>
        </w:rPr>
        <w:t>12.5 Market Risks</w:t>
      </w:r>
    </w:p>
    <w:p>
      <w:pPr>
        <w:ind w:left="380" w:right="2100"/>
        <w:spacing w:after="0"/>
        <w:rPr>
          <w:sz w:val="20"/>
          <w:szCs w:val="20"/>
          <w:color w:val="auto"/>
        </w:rPr>
      </w:pPr>
      <w:r>
        <w:rPr>
          <w:rFonts w:ascii="Arial" w:cs="Arial" w:eastAsia="Arial" w:hAnsi="Arial"/>
          <w:sz w:val="13"/>
          <w:szCs w:val="13"/>
          <w:color w:val="auto"/>
        </w:rPr>
        <w:t>Market risks address the risks that the fair value or future cash flows of a financial instrument will fluctuate due to changes in market prices. Market risks comprise three types of risk: interest risks, foreign currency risks and other price risks. Financial instruments affected by market risks include financial assets such as security investments, trade and other receivables, cash and cash equivalents as well as financial liabilities such as trade payables and other financial liabilities. We do not consider interest risks as well as other price risks as material risks to us.</w:t>
      </w:r>
    </w:p>
    <w:p>
      <w:pPr>
        <w:spacing w:after="0" w:line="41" w:lineRule="exact"/>
        <w:rPr>
          <w:sz w:val="20"/>
          <w:szCs w:val="20"/>
          <w:color w:val="auto"/>
        </w:rPr>
      </w:pPr>
    </w:p>
    <w:p>
      <w:pPr>
        <w:ind w:left="380" w:right="2640"/>
        <w:spacing w:after="0" w:line="234" w:lineRule="auto"/>
        <w:rPr>
          <w:sz w:val="20"/>
          <w:szCs w:val="20"/>
          <w:color w:val="auto"/>
        </w:rPr>
      </w:pPr>
      <w:r>
        <w:rPr>
          <w:rFonts w:ascii="Arial" w:cs="Arial" w:eastAsia="Arial" w:hAnsi="Arial"/>
          <w:sz w:val="13"/>
          <w:szCs w:val="13"/>
          <w:color w:val="auto"/>
        </w:rPr>
        <w:t>There were no material changes in the way the risks were managed and valued during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F-54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005A64"/>
        </w:rPr>
        <w:t>Foreign Currency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31">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080"/>
        <w:spacing w:after="0" w:line="210" w:lineRule="auto"/>
        <w:rPr>
          <w:sz w:val="20"/>
          <w:szCs w:val="20"/>
          <w:color w:val="auto"/>
        </w:rPr>
      </w:pPr>
      <w:r>
        <w:rPr>
          <w:rFonts w:ascii="Arial" w:cs="Arial" w:eastAsia="Arial" w:hAnsi="Arial"/>
          <w:sz w:val="13"/>
          <w:szCs w:val="13"/>
          <w:color w:val="auto"/>
        </w:rPr>
        <w:t>Foreign currency risks address the risks that the fair value or future cash flows of an exposure will fluctuate because of changes in foreign exchange rates. We are subject to currency risks, as our income and expenditures are denominated in Euro and the U.S. dollar. As such, we are exposed to exchange rate fluctuations between these currencies. Cash inflows denominated in U.S. dollar mainly result from generating proceeds under our collaboration agreements. Our commercial revenues are primarily collaboration revenues from earnings based on our partners’ gross profit, which is shared under the respective collaboration agreements and represents payments we receive in U.S. dollar. Cash outflows dominated in U.S. dollar mainly result from amounts spent on research and development activities and license obligations as well as expanding our global footprint further. With the aim of preserving capital, surplus liquidity is mainly invested in domestic currency investments as exchange rate fluctuations can reduce the value of our financial positions. We limit the effects of the identified risks by means of a coordinated and consistently implemented risk strategy. Besides applying natural hedging relationships where possible, foreign exchange forward contracts are concluded, as a matter of principle, as instruments to mitigate foreign currency exchange risk associated with foreign currency-denominated payments. However, the foreign exchange forward contracts which we entered into were not designated as hedging instruments under IFRS.</w:t>
      </w:r>
    </w:p>
    <w:p>
      <w:pPr>
        <w:spacing w:after="0" w:line="9" w:lineRule="exact"/>
        <w:rPr>
          <w:sz w:val="20"/>
          <w:szCs w:val="20"/>
          <w:color w:val="auto"/>
        </w:rPr>
      </w:pPr>
    </w:p>
    <w:p>
      <w:pPr>
        <w:ind w:left="380" w:right="2180"/>
        <w:spacing w:after="0" w:line="234" w:lineRule="auto"/>
        <w:rPr>
          <w:sz w:val="20"/>
          <w:szCs w:val="20"/>
          <w:color w:val="auto"/>
        </w:rPr>
      </w:pPr>
      <w:r>
        <w:rPr>
          <w:rFonts w:ascii="Arial" w:cs="Arial" w:eastAsia="Arial" w:hAnsi="Arial"/>
          <w:sz w:val="13"/>
          <w:szCs w:val="13"/>
          <w:color w:val="auto"/>
        </w:rPr>
        <w:t>The carrying amount of the monetary assets and liabilities denominated in U.S. dollar at the dates indicated are as follows:</w:t>
      </w:r>
    </w:p>
    <w:p>
      <w:pPr>
        <w:sectPr>
          <w:pgSz w:w="11900" w:h="16840" w:orient="portrait"/>
          <w:cols w:equalWidth="0" w:num="1">
            <w:col w:w="9020"/>
          </w:cols>
          <w:pgMar w:left="1440" w:top="1440" w:right="1440" w:bottom="977" w:gutter="0" w:footer="0" w:header="0"/>
        </w:sectPr>
      </w:pPr>
    </w:p>
    <w:bookmarkStart w:id="217" w:name="page218"/>
    <w:bookmarkEnd w:id="2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3796030</wp:posOffset>
            </wp:positionH>
            <wp:positionV relativeFrom="page">
              <wp:posOffset>1196340</wp:posOffset>
            </wp:positionV>
            <wp:extent cx="828040" cy="6483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2">
                      <a:extLst>
                        <a:ext uri="{28A0092B-C50C-407E-A947-70E740481C1C}"/>
                      </a:extLst>
                    </a:blip>
                    <a:srcRect/>
                    <a:stretch>
                      <a:fillRect/>
                    </a:stretch>
                  </pic:blipFill>
                  <pic:spPr bwMode="auto">
                    <a:xfrm>
                      <a:off x="0" y="0"/>
                      <a:ext cx="828040" cy="648335"/>
                    </a:xfrm>
                    <a:prstGeom prst="rect">
                      <a:avLst/>
                    </a:prstGeom>
                    <a:noFill/>
                  </pic:spPr>
                </pic:pic>
              </a:graphicData>
            </a:graphic>
          </wp:anchor>
        </w:drawing>
        <w:drawing>
          <wp:anchor simplePos="0" relativeHeight="251657728" behindDoc="1" locked="0" layoutInCell="0" allowOverlap="1">
            <wp:simplePos x="0" y="0"/>
            <wp:positionH relativeFrom="page">
              <wp:posOffset>1157605</wp:posOffset>
            </wp:positionH>
            <wp:positionV relativeFrom="page">
              <wp:posOffset>1106805</wp:posOffset>
            </wp:positionV>
            <wp:extent cx="4268470" cy="127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3">
                      <a:extLst>
                        <a:ext uri="{28A0092B-C50C-407E-A947-70E740481C1C}"/>
                      </a:extLst>
                    </a:blip>
                    <a:srcRect/>
                    <a:stretch>
                      <a:fillRect/>
                    </a:stretch>
                  </pic:blipFill>
                  <pic:spPr bwMode="auto">
                    <a:xfrm>
                      <a:off x="0" y="0"/>
                      <a:ext cx="4268470" cy="12700"/>
                    </a:xfrm>
                    <a:prstGeom prst="rect">
                      <a:avLst/>
                    </a:prstGeom>
                    <a:noFill/>
                  </pic:spPr>
                </pic:pic>
              </a:graphicData>
            </a:graphic>
          </wp:anchor>
        </w:drawing>
      </w:r>
    </w:p>
    <w:p>
      <w:pPr>
        <w:spacing w:after="0" w:line="224"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4160" w:type="dxa"/>
            <w:vAlign w:val="bottom"/>
            <w:gridSpan w:val="2"/>
          </w:tcPr>
          <w:p>
            <w:pPr>
              <w:ind w:left="20"/>
              <w:spacing w:after="0"/>
              <w:rPr>
                <w:sz w:val="20"/>
                <w:szCs w:val="20"/>
                <w:color w:val="auto"/>
              </w:rPr>
            </w:pPr>
            <w:r>
              <w:rPr>
                <w:rFonts w:ascii="Arial" w:cs="Arial" w:eastAsia="Arial" w:hAnsi="Arial"/>
                <w:sz w:val="12"/>
                <w:szCs w:val="12"/>
                <w:i w:val="1"/>
                <w:iCs w:val="1"/>
                <w:color w:val="005A64"/>
              </w:rPr>
              <w:t>(in millions €)</w:t>
            </w:r>
          </w:p>
        </w:tc>
        <w:tc>
          <w:tcPr>
            <w:tcW w:w="20" w:type="dxa"/>
            <w:vAlign w:val="bottom"/>
            <w:tcBorders>
              <w:top w:val="single" w:sz="8" w:color="BECE33"/>
            </w:tcBorders>
          </w:tcPr>
          <w:p>
            <w:pPr>
              <w:spacing w:after="0"/>
              <w:rPr>
                <w:sz w:val="16"/>
                <w:szCs w:val="16"/>
                <w:color w:val="auto"/>
              </w:rPr>
            </w:pPr>
          </w:p>
        </w:tc>
        <w:tc>
          <w:tcPr>
            <w:tcW w:w="1280" w:type="dxa"/>
            <w:vAlign w:val="bottom"/>
            <w:tcBorders>
              <w:top w:val="single" w:sz="8" w:color="BECE33"/>
            </w:tcBorders>
            <w:gridSpan w:val="2"/>
          </w:tcPr>
          <w:p>
            <w:pPr>
              <w:ind w:left="20"/>
              <w:spacing w:after="0"/>
              <w:rPr>
                <w:sz w:val="20"/>
                <w:szCs w:val="20"/>
                <w:color w:val="auto"/>
              </w:rPr>
            </w:pPr>
            <w:r>
              <w:rPr>
                <w:rFonts w:ascii="Arial" w:cs="Arial" w:eastAsia="Arial" w:hAnsi="Arial"/>
                <w:sz w:val="12"/>
                <w:szCs w:val="12"/>
                <w:b w:val="1"/>
                <w:bCs w:val="1"/>
                <w:color w:val="005A64"/>
              </w:rPr>
              <w:t>December 31, 2024</w:t>
            </w:r>
          </w:p>
        </w:tc>
        <w:tc>
          <w:tcPr>
            <w:tcW w:w="20" w:type="dxa"/>
            <w:vAlign w:val="bottom"/>
          </w:tcPr>
          <w:p>
            <w:pPr>
              <w:spacing w:after="0"/>
              <w:rPr>
                <w:sz w:val="16"/>
                <w:szCs w:val="16"/>
                <w:color w:val="auto"/>
              </w:rPr>
            </w:pPr>
          </w:p>
        </w:tc>
        <w:tc>
          <w:tcPr>
            <w:tcW w:w="1240" w:type="dxa"/>
            <w:vAlign w:val="bottom"/>
          </w:tcPr>
          <w:p>
            <w:pPr>
              <w:ind w:left="20"/>
              <w:spacing w:after="0"/>
              <w:rPr>
                <w:sz w:val="20"/>
                <w:szCs w:val="20"/>
                <w:color w:val="auto"/>
              </w:rPr>
            </w:pPr>
            <w:r>
              <w:rPr>
                <w:rFonts w:ascii="Arial" w:cs="Arial" w:eastAsia="Arial" w:hAnsi="Arial"/>
                <w:sz w:val="12"/>
                <w:szCs w:val="12"/>
                <w:b w:val="1"/>
                <w:bCs w:val="1"/>
                <w:color w:val="005A64"/>
              </w:rPr>
              <w:t>December 31, 2023</w:t>
            </w:r>
          </w:p>
        </w:tc>
      </w:tr>
      <w:tr>
        <w:trPr>
          <w:trHeight w:val="160"/>
        </w:trPr>
        <w:tc>
          <w:tcPr>
            <w:tcW w:w="4140" w:type="dxa"/>
            <w:vAlign w:val="bottom"/>
            <w:tcBorders>
              <w:top w:val="single" w:sz="8" w:color="005A64"/>
            </w:tcBorders>
          </w:tcPr>
          <w:p>
            <w:pPr>
              <w:ind w:left="20"/>
              <w:spacing w:after="0"/>
              <w:rPr>
                <w:sz w:val="20"/>
                <w:szCs w:val="20"/>
                <w:color w:val="auto"/>
              </w:rPr>
            </w:pPr>
            <w:r>
              <w:rPr>
                <w:rFonts w:ascii="Arial" w:cs="Arial" w:eastAsia="Arial" w:hAnsi="Arial"/>
                <w:sz w:val="12"/>
                <w:szCs w:val="12"/>
                <w:color w:val="005A64"/>
              </w:rPr>
              <w:t>Cash and cash equivalents in U.S. dollar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Borders>
              <w:top w:val="single" w:sz="8" w:color="005A64"/>
            </w:tcBorders>
          </w:tcPr>
          <w:p>
            <w:pPr>
              <w:ind w:left="20"/>
              <w:spacing w:after="0"/>
              <w:rPr>
                <w:sz w:val="20"/>
                <w:szCs w:val="20"/>
                <w:color w:val="auto"/>
              </w:rPr>
            </w:pPr>
            <w:r>
              <w:rPr>
                <w:rFonts w:ascii="Arial" w:cs="Arial" w:eastAsia="Arial" w:hAnsi="Arial"/>
                <w:sz w:val="12"/>
                <w:szCs w:val="12"/>
                <w:color w:val="005A64"/>
              </w:rPr>
              <w:t>617.6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5A64"/>
            </w:tcBorders>
          </w:tcPr>
          <w:p>
            <w:pPr>
              <w:ind w:left="20"/>
              <w:spacing w:after="0"/>
              <w:rPr>
                <w:sz w:val="20"/>
                <w:szCs w:val="20"/>
                <w:color w:val="auto"/>
              </w:rPr>
            </w:pPr>
            <w:r>
              <w:rPr>
                <w:rFonts w:ascii="Arial" w:cs="Arial" w:eastAsia="Arial" w:hAnsi="Arial"/>
                <w:sz w:val="12"/>
                <w:szCs w:val="12"/>
                <w:color w:val="005A64"/>
              </w:rPr>
              <w:t>122.6</w:t>
            </w:r>
          </w:p>
        </w:tc>
      </w:tr>
      <w:tr>
        <w:trPr>
          <w:trHeight w:val="181"/>
        </w:trPr>
        <w:tc>
          <w:tcPr>
            <w:tcW w:w="4160" w:type="dxa"/>
            <w:vAlign w:val="bottom"/>
            <w:gridSpan w:val="2"/>
          </w:tcPr>
          <w:p>
            <w:pPr>
              <w:ind w:left="20"/>
              <w:spacing w:after="0"/>
              <w:rPr>
                <w:sz w:val="20"/>
                <w:szCs w:val="20"/>
                <w:color w:val="auto"/>
              </w:rPr>
            </w:pPr>
            <w:r>
              <w:rPr>
                <w:rFonts w:ascii="Arial" w:cs="Arial" w:eastAsia="Arial" w:hAnsi="Arial"/>
                <w:sz w:val="12"/>
                <w:szCs w:val="12"/>
                <w:color w:val="005A64"/>
              </w:rPr>
              <w:t>Monetary assets in U.S. dollar</w:t>
            </w:r>
          </w:p>
        </w:tc>
        <w:tc>
          <w:tcPr>
            <w:tcW w:w="1280" w:type="dxa"/>
            <w:vAlign w:val="bottom"/>
            <w:gridSpan w:val="2"/>
          </w:tcPr>
          <w:p>
            <w:pPr>
              <w:ind w:left="40"/>
              <w:spacing w:after="0"/>
              <w:rPr>
                <w:sz w:val="20"/>
                <w:szCs w:val="20"/>
                <w:color w:val="auto"/>
              </w:rPr>
            </w:pPr>
            <w:r>
              <w:rPr>
                <w:rFonts w:ascii="Arial" w:cs="Arial" w:eastAsia="Arial" w:hAnsi="Arial"/>
                <w:sz w:val="12"/>
                <w:szCs w:val="12"/>
                <w:color w:val="005A64"/>
              </w:rPr>
              <w:t>1,484.7</w:t>
            </w:r>
          </w:p>
        </w:tc>
        <w:tc>
          <w:tcPr>
            <w:tcW w:w="2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Arial" w:cs="Arial" w:eastAsia="Arial" w:hAnsi="Arial"/>
                <w:sz w:val="12"/>
                <w:szCs w:val="12"/>
                <w:color w:val="005A64"/>
              </w:rPr>
              <w:t>1,191.9</w:t>
            </w:r>
          </w:p>
        </w:tc>
      </w:tr>
      <w:tr>
        <w:trPr>
          <w:trHeight w:val="202"/>
        </w:trPr>
        <w:tc>
          <w:tcPr>
            <w:tcW w:w="4160" w:type="dxa"/>
            <w:vAlign w:val="bottom"/>
            <w:gridSpan w:val="2"/>
          </w:tcPr>
          <w:p>
            <w:pPr>
              <w:ind w:left="20"/>
              <w:spacing w:after="0"/>
              <w:rPr>
                <w:sz w:val="20"/>
                <w:szCs w:val="20"/>
                <w:color w:val="auto"/>
              </w:rPr>
            </w:pPr>
            <w:r>
              <w:rPr>
                <w:rFonts w:ascii="Arial" w:cs="Arial" w:eastAsia="Arial" w:hAnsi="Arial"/>
                <w:sz w:val="12"/>
                <w:szCs w:val="12"/>
                <w:color w:val="005A64"/>
              </w:rPr>
              <w:t>Monetary liabilities and provisions in U.S. dollar</w:t>
            </w:r>
          </w:p>
        </w:tc>
        <w:tc>
          <w:tcPr>
            <w:tcW w:w="1280" w:type="dxa"/>
            <w:vAlign w:val="bottom"/>
            <w:gridSpan w:val="2"/>
          </w:tcPr>
          <w:p>
            <w:pPr>
              <w:ind w:left="40"/>
              <w:spacing w:after="0"/>
              <w:rPr>
                <w:sz w:val="20"/>
                <w:szCs w:val="20"/>
                <w:color w:val="auto"/>
              </w:rPr>
            </w:pPr>
            <w:r>
              <w:rPr>
                <w:rFonts w:ascii="Arial" w:cs="Arial" w:eastAsia="Arial" w:hAnsi="Arial"/>
                <w:sz w:val="12"/>
                <w:szCs w:val="12"/>
                <w:color w:val="005A64"/>
              </w:rPr>
              <w:t>1,858.1</w:t>
            </w:r>
          </w:p>
        </w:tc>
        <w:tc>
          <w:tcPr>
            <w:tcW w:w="2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Arial" w:cs="Arial" w:eastAsia="Arial" w:hAnsi="Arial"/>
                <w:sz w:val="12"/>
                <w:szCs w:val="12"/>
                <w:color w:val="005A64"/>
              </w:rPr>
              <w:t>567.3</w:t>
            </w:r>
          </w:p>
        </w:tc>
      </w:tr>
      <w:tr>
        <w:trPr>
          <w:trHeight w:val="208"/>
        </w:trPr>
        <w:tc>
          <w:tcPr>
            <w:tcW w:w="416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w:t>
            </w:r>
          </w:p>
        </w:tc>
        <w:tc>
          <w:tcPr>
            <w:tcW w:w="1280" w:type="dxa"/>
            <w:vAlign w:val="bottom"/>
            <w:gridSpan w:val="2"/>
          </w:tcPr>
          <w:p>
            <w:pPr>
              <w:ind w:left="40"/>
              <w:spacing w:after="0"/>
              <w:rPr>
                <w:sz w:val="20"/>
                <w:szCs w:val="20"/>
                <w:color w:val="auto"/>
              </w:rPr>
            </w:pPr>
            <w:r>
              <w:rPr>
                <w:rFonts w:ascii="Arial" w:cs="Arial" w:eastAsia="Arial" w:hAnsi="Arial"/>
                <w:sz w:val="12"/>
                <w:szCs w:val="12"/>
                <w:b w:val="1"/>
                <w:bCs w:val="1"/>
                <w:color w:val="005A64"/>
              </w:rPr>
              <w:t>244.2</w:t>
            </w:r>
          </w:p>
        </w:tc>
        <w:tc>
          <w:tcPr>
            <w:tcW w:w="2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005A64"/>
              </w:rPr>
              <w:t>747.2</w:t>
            </w:r>
          </w:p>
        </w:tc>
      </w:tr>
    </w:tbl>
    <w:p>
      <w:pPr>
        <w:spacing w:after="0" w:line="37" w:lineRule="exact"/>
        <w:rPr>
          <w:sz w:val="20"/>
          <w:szCs w:val="20"/>
          <w:color w:val="auto"/>
        </w:rPr>
      </w:pPr>
    </w:p>
    <w:p>
      <w:pPr>
        <w:ind w:left="380" w:right="2200"/>
        <w:spacing w:after="0" w:line="227" w:lineRule="auto"/>
        <w:rPr>
          <w:sz w:val="20"/>
          <w:szCs w:val="20"/>
          <w:color w:val="auto"/>
        </w:rPr>
      </w:pPr>
      <w:r>
        <w:rPr>
          <w:rFonts w:ascii="Arial" w:cs="Arial" w:eastAsia="Arial" w:hAnsi="Arial"/>
          <w:sz w:val="13"/>
          <w:szCs w:val="13"/>
          <w:color w:val="auto"/>
        </w:rPr>
        <w:t>The following tables demonstrate the sensitivity to a reasonable, possible change in U.S. dollar exchange rates or U.S. dollar forward rates, with all other variables held constant. The impact on our profit before tax is due to changes in the fair value of monetary assets and liabilities. The exposure to foreign currency changes for all other currencies is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-352425</wp:posOffset>
            </wp:positionV>
            <wp:extent cx="4268470" cy="63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4">
                      <a:extLst>
                        <a:ext uri="{28A0092B-C50C-407E-A947-70E740481C1C}"/>
                      </a:extLst>
                    </a:blip>
                    <a:srcRect/>
                    <a:stretch>
                      <a:fillRect/>
                    </a:stretch>
                  </pic:blipFill>
                  <pic:spPr bwMode="auto">
                    <a:xfrm>
                      <a:off x="0" y="0"/>
                      <a:ext cx="4268470" cy="635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-12065</wp:posOffset>
            </wp:positionV>
            <wp:extent cx="4274820" cy="127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35">
                      <a:extLst>
                        <a:ext uri="{28A0092B-C50C-407E-A947-70E740481C1C}"/>
                      </a:extLst>
                    </a:blip>
                    <a:srcRect/>
                    <a:stretch>
                      <a:fillRect/>
                    </a:stretch>
                  </pic:blipFill>
                  <pic:spPr bwMode="auto">
                    <a:xfrm>
                      <a:off x="0" y="0"/>
                      <a:ext cx="4274820" cy="12700"/>
                    </a:xfrm>
                    <a:prstGeom prst="rect">
                      <a:avLst/>
                    </a:prstGeom>
                    <a:noFill/>
                  </pic:spPr>
                </pic:pic>
              </a:graphicData>
            </a:graphic>
          </wp:anchor>
        </w:drawing>
      </w:r>
    </w:p>
    <w:p>
      <w:pPr>
        <w:spacing w:after="0" w:line="91" w:lineRule="exact"/>
        <w:rPr>
          <w:sz w:val="20"/>
          <w:szCs w:val="20"/>
          <w:color w:val="auto"/>
        </w:rPr>
      </w:pPr>
    </w:p>
    <w:tbl>
      <w:tblPr>
        <w:tblLayout w:type="fixed"/>
        <w:tblInd w:w="380" w:type="dxa"/>
        <w:tblCellMar>
          <w:top w:w="0" w:type="dxa"/>
          <w:left w:w="0" w:type="dxa"/>
          <w:bottom w:w="0" w:type="dxa"/>
          <w:right w:w="0" w:type="dxa"/>
        </w:tblCellMar>
      </w:tblPr>
      <w:tr>
        <w:trPr>
          <w:trHeight w:val="166"/>
        </w:trPr>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gridSpan w:val="2"/>
          </w:tcPr>
          <w:p>
            <w:pPr>
              <w:ind w:left="20"/>
              <w:spacing w:after="0"/>
              <w:rPr>
                <w:sz w:val="20"/>
                <w:szCs w:val="20"/>
                <w:color w:val="auto"/>
              </w:rPr>
            </w:pPr>
            <w:r>
              <w:rPr>
                <w:rFonts w:ascii="Arial" w:cs="Arial" w:eastAsia="Arial" w:hAnsi="Arial"/>
                <w:sz w:val="12"/>
                <w:szCs w:val="12"/>
                <w:color w:val="005A64"/>
              </w:rPr>
              <w:t>1 € =</w:t>
            </w:r>
          </w:p>
        </w:tc>
        <w:tc>
          <w:tcPr>
            <w:tcW w:w="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005A64"/>
              </w:rPr>
              <w:t>Closing rate</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005A64"/>
              </w:rPr>
              <w:t>Average rate</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720" w:type="dxa"/>
            <w:vAlign w:val="bottom"/>
            <w:vMerge w:val="restart"/>
          </w:tcPr>
          <w:p>
            <w:pPr>
              <w:ind w:left="20"/>
              <w:spacing w:after="0"/>
              <w:rPr>
                <w:sz w:val="20"/>
                <w:szCs w:val="20"/>
                <w:color w:val="auto"/>
              </w:rPr>
            </w:pPr>
            <w:r>
              <w:rPr>
                <w:rFonts w:ascii="Arial" w:cs="Arial" w:eastAsia="Arial" w:hAnsi="Arial"/>
                <w:sz w:val="12"/>
                <w:szCs w:val="12"/>
                <w:b w:val="1"/>
                <w:bCs w:val="1"/>
                <w:color w:val="005A64"/>
              </w:rPr>
              <w:t>Currency</w:t>
            </w:r>
          </w:p>
        </w:tc>
        <w:tc>
          <w:tcPr>
            <w:tcW w:w="40" w:type="dxa"/>
            <w:vAlign w:val="bottom"/>
            <w:vMerge w:val="restart"/>
          </w:tcPr>
          <w:p>
            <w:pPr>
              <w:spacing w:after="0"/>
              <w:rPr>
                <w:sz w:val="4"/>
                <w:szCs w:val="4"/>
                <w:color w:val="auto"/>
              </w:rPr>
            </w:pPr>
          </w:p>
        </w:tc>
        <w:tc>
          <w:tcPr>
            <w:tcW w:w="1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005A64"/>
              </w:rPr>
              <w:t>Country</w:t>
            </w:r>
          </w:p>
        </w:tc>
        <w:tc>
          <w:tcPr>
            <w:tcW w:w="40" w:type="dxa"/>
            <w:vAlign w:val="bottom"/>
            <w:tcBorders>
              <w:bottom w:val="single" w:sz="8" w:color="BECE33"/>
            </w:tcBorders>
          </w:tcPr>
          <w:p>
            <w:pPr>
              <w:spacing w:after="0"/>
              <w:rPr>
                <w:sz w:val="4"/>
                <w:szCs w:val="4"/>
                <w:color w:val="auto"/>
              </w:rPr>
            </w:pPr>
          </w:p>
        </w:tc>
        <w:tc>
          <w:tcPr>
            <w:tcW w:w="74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740" w:type="dxa"/>
            <w:vAlign w:val="bottom"/>
            <w:tcBorders>
              <w:bottom w:val="single" w:sz="8" w:color="BECE33"/>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74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760" w:type="dxa"/>
            <w:vAlign w:val="bottom"/>
            <w:tcBorders>
              <w:bottom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78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60" w:type="dxa"/>
            <w:vAlign w:val="bottom"/>
            <w:tcBorders>
              <w:right w:val="single" w:sz="8" w:color="BECE33"/>
            </w:tcBorders>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005A64"/>
              </w:rPr>
              <w:t>2023</w:t>
            </w:r>
          </w:p>
        </w:tc>
        <w:tc>
          <w:tcPr>
            <w:tcW w:w="20" w:type="dxa"/>
            <w:vAlign w:val="bottom"/>
            <w:vMerge w:val="continue"/>
          </w:tcPr>
          <w:p>
            <w:pPr>
              <w:spacing w:after="0"/>
              <w:rPr>
                <w:sz w:val="13"/>
                <w:szCs w:val="13"/>
                <w:color w:val="auto"/>
              </w:rPr>
            </w:pPr>
          </w:p>
        </w:tc>
        <w:tc>
          <w:tcPr>
            <w:tcW w:w="78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60" w:type="dxa"/>
            <w:vAlign w:val="bottom"/>
            <w:tcBorders>
              <w:right w:val="single" w:sz="8" w:color="BECE33"/>
            </w:tcBorders>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005A64"/>
              </w:rPr>
              <w:t>2023</w:t>
            </w:r>
          </w:p>
        </w:tc>
        <w:tc>
          <w:tcPr>
            <w:tcW w:w="0" w:type="dxa"/>
            <w:vAlign w:val="bottom"/>
          </w:tcPr>
          <w:p>
            <w:pPr>
              <w:spacing w:after="0"/>
              <w:rPr>
                <w:sz w:val="1"/>
                <w:szCs w:val="1"/>
                <w:color w:val="auto"/>
              </w:rPr>
            </w:pPr>
          </w:p>
        </w:tc>
      </w:tr>
      <w:tr>
        <w:trPr>
          <w:trHeight w:val="26"/>
        </w:trPr>
        <w:tc>
          <w:tcPr>
            <w:tcW w:w="1720" w:type="dxa"/>
            <w:vAlign w:val="bottom"/>
            <w:tcBorders>
              <w:bottom w:val="single" w:sz="8" w:color="005A64"/>
            </w:tcBorders>
          </w:tcPr>
          <w:p>
            <w:pPr>
              <w:spacing w:after="0"/>
              <w:rPr>
                <w:sz w:val="2"/>
                <w:szCs w:val="2"/>
                <w:color w:val="auto"/>
              </w:rPr>
            </w:pPr>
          </w:p>
        </w:tc>
        <w:tc>
          <w:tcPr>
            <w:tcW w:w="40" w:type="dxa"/>
            <w:vAlign w:val="bottom"/>
            <w:vMerge w:val="restart"/>
          </w:tcPr>
          <w:p>
            <w:pPr>
              <w:spacing w:after="0"/>
              <w:rPr>
                <w:sz w:val="2"/>
                <w:szCs w:val="2"/>
                <w:color w:val="auto"/>
              </w:rPr>
            </w:pPr>
          </w:p>
        </w:tc>
        <w:tc>
          <w:tcPr>
            <w:tcW w:w="172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left w:val="single" w:sz="8" w:color="BECE33"/>
            </w:tcBorders>
            <w:vMerge w:val="restart"/>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60" w:type="dxa"/>
            <w:vAlign w:val="bottom"/>
            <w:tcBorders>
              <w:right w:val="single" w:sz="8" w:color="BECE33"/>
            </w:tcBorders>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left w:val="single" w:sz="8" w:color="BECE33"/>
            </w:tcBorders>
            <w:vMerge w:val="restart"/>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60" w:type="dxa"/>
            <w:vAlign w:val="bottom"/>
            <w:tcBorders>
              <w:right w:val="single" w:sz="8" w:color="BECE33"/>
            </w:tcBorders>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720" w:type="dxa"/>
            <w:vAlign w:val="bottom"/>
          </w:tcPr>
          <w:p>
            <w:pPr>
              <w:ind w:left="20"/>
              <w:spacing w:after="0"/>
              <w:rPr>
                <w:sz w:val="20"/>
                <w:szCs w:val="20"/>
                <w:color w:val="auto"/>
              </w:rPr>
            </w:pPr>
            <w:r>
              <w:rPr>
                <w:rFonts w:ascii="Arial" w:cs="Arial" w:eastAsia="Arial" w:hAnsi="Arial"/>
                <w:sz w:val="12"/>
                <w:szCs w:val="12"/>
                <w:color w:val="005A64"/>
              </w:rPr>
              <w:t>U.S. dollar</w:t>
            </w:r>
          </w:p>
        </w:tc>
        <w:tc>
          <w:tcPr>
            <w:tcW w:w="40" w:type="dxa"/>
            <w:vAlign w:val="bottom"/>
            <w:vMerge w:val="continue"/>
          </w:tcPr>
          <w:p>
            <w:pPr>
              <w:spacing w:after="0"/>
              <w:rPr>
                <w:sz w:val="13"/>
                <w:szCs w:val="13"/>
                <w:color w:val="auto"/>
              </w:rPr>
            </w:pPr>
          </w:p>
        </w:tc>
        <w:tc>
          <w:tcPr>
            <w:tcW w:w="1720" w:type="dxa"/>
            <w:vAlign w:val="bottom"/>
          </w:tcPr>
          <w:p>
            <w:pPr>
              <w:ind w:left="20"/>
              <w:spacing w:after="0"/>
              <w:rPr>
                <w:sz w:val="20"/>
                <w:szCs w:val="20"/>
                <w:color w:val="auto"/>
              </w:rPr>
            </w:pPr>
            <w:r>
              <w:rPr>
                <w:rFonts w:ascii="Arial" w:cs="Arial" w:eastAsia="Arial" w:hAnsi="Arial"/>
                <w:sz w:val="12"/>
                <w:szCs w:val="12"/>
                <w:color w:val="005A64"/>
              </w:rPr>
              <w:t>United States</w:t>
            </w:r>
          </w:p>
        </w:tc>
        <w:tc>
          <w:tcPr>
            <w:tcW w:w="20" w:type="dxa"/>
            <w:vAlign w:val="bottom"/>
            <w:vMerge w:val="continue"/>
          </w:tcPr>
          <w:p>
            <w:pPr>
              <w:spacing w:after="0"/>
              <w:rPr>
                <w:sz w:val="13"/>
                <w:szCs w:val="13"/>
                <w:color w:val="auto"/>
              </w:rPr>
            </w:pPr>
          </w:p>
        </w:tc>
        <w:tc>
          <w:tcPr>
            <w:tcW w:w="40" w:type="dxa"/>
            <w:vAlign w:val="bottom"/>
            <w:tcBorders>
              <w:left w:val="single" w:sz="8" w:color="BECE33"/>
            </w:tcBorders>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1.0389</w:t>
            </w:r>
          </w:p>
        </w:tc>
        <w:tc>
          <w:tcPr>
            <w:tcW w:w="60" w:type="dxa"/>
            <w:vAlign w:val="bottom"/>
            <w:tcBorders>
              <w:right w:val="single" w:sz="8" w:color="BECE33"/>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005A64"/>
              </w:rPr>
              <w:t>1.1050</w:t>
            </w:r>
          </w:p>
        </w:tc>
        <w:tc>
          <w:tcPr>
            <w:tcW w:w="20" w:type="dxa"/>
            <w:vAlign w:val="bottom"/>
          </w:tcPr>
          <w:p>
            <w:pPr>
              <w:spacing w:after="0"/>
              <w:rPr>
                <w:sz w:val="13"/>
                <w:szCs w:val="13"/>
                <w:color w:val="auto"/>
              </w:rPr>
            </w:pPr>
          </w:p>
        </w:tc>
        <w:tc>
          <w:tcPr>
            <w:tcW w:w="40" w:type="dxa"/>
            <w:vAlign w:val="bottom"/>
            <w:tcBorders>
              <w:left w:val="single" w:sz="8" w:color="BECE33"/>
            </w:tcBorders>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1.0824</w:t>
            </w:r>
          </w:p>
        </w:tc>
        <w:tc>
          <w:tcPr>
            <w:tcW w:w="60" w:type="dxa"/>
            <w:vAlign w:val="bottom"/>
            <w:tcBorders>
              <w:right w:val="single" w:sz="8" w:color="BECE33"/>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color w:val="005A64"/>
              </w:rPr>
              <w:t>1.0813</w:t>
            </w:r>
          </w:p>
        </w:tc>
        <w:tc>
          <w:tcPr>
            <w:tcW w:w="0" w:type="dxa"/>
            <w:vAlign w:val="bottom"/>
          </w:tcPr>
          <w:p>
            <w:pPr>
              <w:spacing w:after="0"/>
              <w:rPr>
                <w:sz w:val="1"/>
                <w:szCs w:val="1"/>
                <w:color w:val="auto"/>
              </w:rPr>
            </w:pPr>
          </w:p>
        </w:tc>
      </w:tr>
      <w:tr>
        <w:trPr>
          <w:trHeight w:val="43"/>
        </w:trPr>
        <w:tc>
          <w:tcPr>
            <w:tcW w:w="1720" w:type="dxa"/>
            <w:vAlign w:val="bottom"/>
            <w:tcBorders>
              <w:bottom w:val="single" w:sz="8" w:color="005A64"/>
            </w:tcBorders>
          </w:tcPr>
          <w:p>
            <w:pPr>
              <w:spacing w:after="0"/>
              <w:rPr>
                <w:sz w:val="3"/>
                <w:szCs w:val="3"/>
                <w:color w:val="auto"/>
              </w:rPr>
            </w:pPr>
          </w:p>
        </w:tc>
        <w:tc>
          <w:tcPr>
            <w:tcW w:w="40" w:type="dxa"/>
            <w:vAlign w:val="bottom"/>
            <w:tcBorders>
              <w:bottom w:val="single" w:sz="8" w:color="BECE33"/>
            </w:tcBorders>
          </w:tcPr>
          <w:p>
            <w:pPr>
              <w:spacing w:after="0"/>
              <w:rPr>
                <w:sz w:val="3"/>
                <w:szCs w:val="3"/>
                <w:color w:val="auto"/>
              </w:rPr>
            </w:pPr>
          </w:p>
        </w:tc>
        <w:tc>
          <w:tcPr>
            <w:tcW w:w="1720" w:type="dxa"/>
            <w:vAlign w:val="bottom"/>
            <w:tcBorders>
              <w:bottom w:val="single" w:sz="8" w:color="005A64"/>
            </w:tcBorders>
          </w:tcPr>
          <w:p>
            <w:pPr>
              <w:spacing w:after="0"/>
              <w:rPr>
                <w:sz w:val="3"/>
                <w:szCs w:val="3"/>
                <w:color w:val="auto"/>
              </w:rPr>
            </w:pPr>
          </w:p>
        </w:tc>
        <w:tc>
          <w:tcPr>
            <w:tcW w:w="20" w:type="dxa"/>
            <w:vAlign w:val="bottom"/>
            <w:tcBorders>
              <w:bottom w:val="single" w:sz="8" w:color="BECE33"/>
            </w:tcBorders>
          </w:tcPr>
          <w:p>
            <w:pPr>
              <w:spacing w:after="0"/>
              <w:rPr>
                <w:sz w:val="3"/>
                <w:szCs w:val="3"/>
                <w:color w:val="auto"/>
              </w:rPr>
            </w:pPr>
          </w:p>
        </w:tc>
        <w:tc>
          <w:tcPr>
            <w:tcW w:w="40" w:type="dxa"/>
            <w:vAlign w:val="bottom"/>
            <w:tcBorders>
              <w:left w:val="single" w:sz="8" w:color="BECE33"/>
              <w:bottom w:val="single" w:sz="8" w:color="BECE33"/>
            </w:tcBorders>
          </w:tcPr>
          <w:p>
            <w:pPr>
              <w:spacing w:after="0"/>
              <w:rPr>
                <w:sz w:val="3"/>
                <w:szCs w:val="3"/>
                <w:color w:val="auto"/>
              </w:rPr>
            </w:pPr>
          </w:p>
        </w:tc>
        <w:tc>
          <w:tcPr>
            <w:tcW w:w="740" w:type="dxa"/>
            <w:vAlign w:val="bottom"/>
            <w:tcBorders>
              <w:bottom w:val="single" w:sz="8" w:color="BECE33"/>
            </w:tcBorders>
          </w:tcPr>
          <w:p>
            <w:pPr>
              <w:spacing w:after="0"/>
              <w:rPr>
                <w:sz w:val="3"/>
                <w:szCs w:val="3"/>
                <w:color w:val="auto"/>
              </w:rPr>
            </w:pPr>
          </w:p>
        </w:tc>
        <w:tc>
          <w:tcPr>
            <w:tcW w:w="60" w:type="dxa"/>
            <w:vAlign w:val="bottom"/>
            <w:tcBorders>
              <w:bottom w:val="single" w:sz="8" w:color="BECE33"/>
              <w:right w:val="single" w:sz="8" w:color="BECE33"/>
            </w:tcBorders>
          </w:tcPr>
          <w:p>
            <w:pPr>
              <w:spacing w:after="0"/>
              <w:rPr>
                <w:sz w:val="3"/>
                <w:szCs w:val="3"/>
                <w:color w:val="auto"/>
              </w:rPr>
            </w:pPr>
          </w:p>
        </w:tc>
        <w:tc>
          <w:tcPr>
            <w:tcW w:w="20" w:type="dxa"/>
            <w:vAlign w:val="bottom"/>
            <w:tcBorders>
              <w:bottom w:val="single" w:sz="8" w:color="BECE33"/>
            </w:tcBorders>
          </w:tcPr>
          <w:p>
            <w:pPr>
              <w:spacing w:after="0"/>
              <w:rPr>
                <w:sz w:val="3"/>
                <w:szCs w:val="3"/>
                <w:color w:val="auto"/>
              </w:rPr>
            </w:pPr>
          </w:p>
        </w:tc>
        <w:tc>
          <w:tcPr>
            <w:tcW w:w="740" w:type="dxa"/>
            <w:vAlign w:val="bottom"/>
            <w:tcBorders>
              <w:bottom w:val="single" w:sz="8" w:color="005A64"/>
            </w:tcBorders>
          </w:tcPr>
          <w:p>
            <w:pPr>
              <w:spacing w:after="0"/>
              <w:rPr>
                <w:sz w:val="3"/>
                <w:szCs w:val="3"/>
                <w:color w:val="auto"/>
              </w:rPr>
            </w:pPr>
          </w:p>
        </w:tc>
        <w:tc>
          <w:tcPr>
            <w:tcW w:w="20" w:type="dxa"/>
            <w:vAlign w:val="bottom"/>
            <w:tcBorders>
              <w:bottom w:val="single" w:sz="8" w:color="BECE33"/>
            </w:tcBorders>
          </w:tcPr>
          <w:p>
            <w:pPr>
              <w:spacing w:after="0"/>
              <w:rPr>
                <w:sz w:val="3"/>
                <w:szCs w:val="3"/>
                <w:color w:val="auto"/>
              </w:rPr>
            </w:pPr>
          </w:p>
        </w:tc>
        <w:tc>
          <w:tcPr>
            <w:tcW w:w="40" w:type="dxa"/>
            <w:vAlign w:val="bottom"/>
            <w:tcBorders>
              <w:left w:val="single" w:sz="8" w:color="BECE33"/>
              <w:bottom w:val="single" w:sz="8" w:color="BECE33"/>
            </w:tcBorders>
          </w:tcPr>
          <w:p>
            <w:pPr>
              <w:spacing w:after="0"/>
              <w:rPr>
                <w:sz w:val="3"/>
                <w:szCs w:val="3"/>
                <w:color w:val="auto"/>
              </w:rPr>
            </w:pPr>
          </w:p>
        </w:tc>
        <w:tc>
          <w:tcPr>
            <w:tcW w:w="740" w:type="dxa"/>
            <w:vAlign w:val="bottom"/>
            <w:tcBorders>
              <w:bottom w:val="single" w:sz="8" w:color="BECE33"/>
            </w:tcBorders>
          </w:tcPr>
          <w:p>
            <w:pPr>
              <w:spacing w:after="0"/>
              <w:rPr>
                <w:sz w:val="3"/>
                <w:szCs w:val="3"/>
                <w:color w:val="auto"/>
              </w:rPr>
            </w:pPr>
          </w:p>
        </w:tc>
        <w:tc>
          <w:tcPr>
            <w:tcW w:w="60" w:type="dxa"/>
            <w:vAlign w:val="bottom"/>
            <w:tcBorders>
              <w:bottom w:val="single" w:sz="8" w:color="BECE33"/>
              <w:right w:val="single" w:sz="8" w:color="BECE33"/>
            </w:tcBorders>
          </w:tcPr>
          <w:p>
            <w:pPr>
              <w:spacing w:after="0"/>
              <w:rPr>
                <w:sz w:val="3"/>
                <w:szCs w:val="3"/>
                <w:color w:val="auto"/>
              </w:rPr>
            </w:pPr>
          </w:p>
        </w:tc>
        <w:tc>
          <w:tcPr>
            <w:tcW w:w="20" w:type="dxa"/>
            <w:vAlign w:val="bottom"/>
            <w:tcBorders>
              <w:bottom w:val="single" w:sz="8" w:color="BECE33"/>
            </w:tcBorders>
          </w:tcPr>
          <w:p>
            <w:pPr>
              <w:spacing w:after="0"/>
              <w:rPr>
                <w:sz w:val="3"/>
                <w:szCs w:val="3"/>
                <w:color w:val="auto"/>
              </w:rPr>
            </w:pPr>
          </w:p>
        </w:tc>
        <w:tc>
          <w:tcPr>
            <w:tcW w:w="760" w:type="dxa"/>
            <w:vAlign w:val="bottom"/>
            <w:tcBorders>
              <w:bottom w:val="single" w:sz="8" w:color="005A64"/>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tbl>
      <w:tblPr>
        <w:tblLayout w:type="fixed"/>
        <w:tblInd w:w="390" w:type="dxa"/>
        <w:tblCellMar>
          <w:top w:w="0" w:type="dxa"/>
          <w:left w:w="0" w:type="dxa"/>
          <w:bottom w:w="0" w:type="dxa"/>
          <w:right w:w="0" w:type="dxa"/>
        </w:tblCellMar>
      </w:tblPr>
      <w:tr>
        <w:trPr>
          <w:trHeight w:val="138"/>
        </w:trPr>
        <w:tc>
          <w:tcPr>
            <w:tcW w:w="2840" w:type="dxa"/>
            <w:vAlign w:val="bottom"/>
          </w:tcPr>
          <w:p>
            <w:pPr>
              <w:ind w:left="20"/>
              <w:spacing w:after="0"/>
              <w:rPr>
                <w:sz w:val="20"/>
                <w:szCs w:val="20"/>
                <w:color w:val="auto"/>
              </w:rPr>
            </w:pPr>
            <w:r>
              <w:rPr>
                <w:rFonts w:ascii="Arial" w:cs="Arial" w:eastAsia="Arial" w:hAnsi="Arial"/>
                <w:sz w:val="12"/>
                <w:szCs w:val="12"/>
                <w:i w:val="1"/>
                <w:iCs w:val="1"/>
                <w:color w:val="005A64"/>
              </w:rPr>
              <w:t>(in millions €)</w:t>
            </w:r>
          </w:p>
        </w:tc>
        <w:tc>
          <w:tcPr>
            <w:tcW w:w="40" w:type="dxa"/>
            <w:vAlign w:val="bottom"/>
          </w:tcPr>
          <w:p>
            <w:pPr>
              <w:spacing w:after="0"/>
              <w:rPr>
                <w:sz w:val="12"/>
                <w:szCs w:val="12"/>
                <w:color w:val="auto"/>
              </w:rPr>
            </w:pPr>
          </w:p>
        </w:tc>
        <w:tc>
          <w:tcPr>
            <w:tcW w:w="1240" w:type="dxa"/>
            <w:vAlign w:val="bottom"/>
          </w:tcPr>
          <w:p>
            <w:pPr>
              <w:ind w:left="20"/>
              <w:spacing w:after="0"/>
              <w:rPr>
                <w:sz w:val="20"/>
                <w:szCs w:val="20"/>
                <w:color w:val="auto"/>
              </w:rPr>
            </w:pPr>
            <w:r>
              <w:rPr>
                <w:rFonts w:ascii="Arial" w:cs="Arial" w:eastAsia="Arial" w:hAnsi="Arial"/>
                <w:sz w:val="12"/>
                <w:szCs w:val="12"/>
                <w:b w:val="1"/>
                <w:bCs w:val="1"/>
                <w:color w:val="005A64"/>
              </w:rPr>
              <w:t>Change in U.S.</w:t>
            </w:r>
          </w:p>
        </w:tc>
        <w:tc>
          <w:tcPr>
            <w:tcW w:w="40" w:type="dxa"/>
            <w:vAlign w:val="bottom"/>
          </w:tcPr>
          <w:p>
            <w:pPr>
              <w:spacing w:after="0"/>
              <w:rPr>
                <w:sz w:val="12"/>
                <w:szCs w:val="12"/>
                <w:color w:val="auto"/>
              </w:rPr>
            </w:pPr>
          </w:p>
        </w:tc>
        <w:tc>
          <w:tcPr>
            <w:tcW w:w="1240" w:type="dxa"/>
            <w:vAlign w:val="bottom"/>
          </w:tcPr>
          <w:p>
            <w:pPr>
              <w:ind w:left="20"/>
              <w:spacing w:after="0"/>
              <w:rPr>
                <w:sz w:val="20"/>
                <w:szCs w:val="20"/>
                <w:color w:val="auto"/>
              </w:rPr>
            </w:pPr>
            <w:r>
              <w:rPr>
                <w:rFonts w:ascii="Arial" w:cs="Arial" w:eastAsia="Arial" w:hAnsi="Arial"/>
                <w:sz w:val="12"/>
                <w:szCs w:val="12"/>
                <w:b w:val="1"/>
                <w:bCs w:val="1"/>
                <w:color w:val="005A64"/>
              </w:rPr>
              <w:t>Effect on profit /</w:t>
            </w:r>
          </w:p>
        </w:tc>
        <w:tc>
          <w:tcPr>
            <w:tcW w:w="60" w:type="dxa"/>
            <w:vAlign w:val="bottom"/>
          </w:tcPr>
          <w:p>
            <w:pPr>
              <w:spacing w:after="0"/>
              <w:rPr>
                <w:sz w:val="12"/>
                <w:szCs w:val="12"/>
                <w:color w:val="auto"/>
              </w:rPr>
            </w:pPr>
          </w:p>
        </w:tc>
        <w:tc>
          <w:tcPr>
            <w:tcW w:w="1220" w:type="dxa"/>
            <w:vAlign w:val="bottom"/>
          </w:tcPr>
          <w:p>
            <w:pPr>
              <w:spacing w:after="0"/>
              <w:rPr>
                <w:sz w:val="20"/>
                <w:szCs w:val="20"/>
                <w:color w:val="auto"/>
              </w:rPr>
            </w:pPr>
            <w:r>
              <w:rPr>
                <w:rFonts w:ascii="Arial" w:cs="Arial" w:eastAsia="Arial" w:hAnsi="Arial"/>
                <w:sz w:val="12"/>
                <w:szCs w:val="12"/>
                <w:b w:val="1"/>
                <w:bCs w:val="1"/>
                <w:color w:val="005A64"/>
              </w:rPr>
              <w:t>Effect on pre-tax</w:t>
            </w:r>
          </w:p>
        </w:tc>
        <w:tc>
          <w:tcPr>
            <w:tcW w:w="60" w:type="dxa"/>
            <w:vAlign w:val="bottom"/>
          </w:tcPr>
          <w:p>
            <w:pPr>
              <w:spacing w:after="0"/>
              <w:rPr>
                <w:sz w:val="12"/>
                <w:szCs w:val="12"/>
                <w:color w:val="auto"/>
              </w:rPr>
            </w:pPr>
          </w:p>
        </w:tc>
      </w:tr>
      <w:tr>
        <w:trPr>
          <w:trHeight w:val="166"/>
        </w:trPr>
        <w:tc>
          <w:tcPr>
            <w:tcW w:w="2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ind w:left="20"/>
              <w:spacing w:after="0"/>
              <w:rPr>
                <w:sz w:val="20"/>
                <w:szCs w:val="20"/>
                <w:color w:val="auto"/>
              </w:rPr>
            </w:pPr>
            <w:r>
              <w:rPr>
                <w:rFonts w:ascii="Arial" w:cs="Arial" w:eastAsia="Arial" w:hAnsi="Arial"/>
                <w:sz w:val="12"/>
                <w:szCs w:val="12"/>
                <w:b w:val="1"/>
                <w:bCs w:val="1"/>
                <w:color w:val="005A64"/>
              </w:rPr>
              <w:t>dollar rate</w:t>
            </w:r>
          </w:p>
        </w:tc>
        <w:tc>
          <w:tcPr>
            <w:tcW w:w="40" w:type="dxa"/>
            <w:vAlign w:val="bottom"/>
          </w:tcPr>
          <w:p>
            <w:pPr>
              <w:spacing w:after="0"/>
              <w:rPr>
                <w:sz w:val="14"/>
                <w:szCs w:val="14"/>
                <w:color w:val="auto"/>
              </w:rPr>
            </w:pPr>
          </w:p>
        </w:tc>
        <w:tc>
          <w:tcPr>
            <w:tcW w:w="1240" w:type="dxa"/>
            <w:vAlign w:val="bottom"/>
          </w:tcPr>
          <w:p>
            <w:pPr>
              <w:ind w:left="20"/>
              <w:spacing w:after="0"/>
              <w:rPr>
                <w:sz w:val="20"/>
                <w:szCs w:val="20"/>
                <w:color w:val="auto"/>
              </w:rPr>
            </w:pPr>
            <w:r>
              <w:rPr>
                <w:rFonts w:ascii="Arial" w:cs="Arial" w:eastAsia="Arial" w:hAnsi="Arial"/>
                <w:sz w:val="12"/>
                <w:szCs w:val="12"/>
                <w:b w:val="1"/>
                <w:bCs w:val="1"/>
                <w:color w:val="005A64"/>
              </w:rPr>
              <w:t>(loss) before tax</w:t>
            </w:r>
          </w:p>
        </w:tc>
        <w:tc>
          <w:tcPr>
            <w:tcW w:w="6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2"/>
                <w:szCs w:val="12"/>
                <w:b w:val="1"/>
                <w:bCs w:val="1"/>
                <w:color w:val="005A64"/>
              </w:rPr>
              <w:t>equity</w:t>
            </w:r>
          </w:p>
        </w:tc>
        <w:tc>
          <w:tcPr>
            <w:tcW w:w="60" w:type="dxa"/>
            <w:vAlign w:val="bottom"/>
          </w:tcPr>
          <w:p>
            <w:pPr>
              <w:spacing w:after="0"/>
              <w:rPr>
                <w:sz w:val="14"/>
                <w:szCs w:val="14"/>
                <w:color w:val="auto"/>
              </w:rPr>
            </w:pPr>
          </w:p>
        </w:tc>
      </w:tr>
      <w:tr>
        <w:trPr>
          <w:trHeight w:val="57"/>
        </w:trPr>
        <w:tc>
          <w:tcPr>
            <w:tcW w:w="284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122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r>
      <w:tr>
        <w:trPr>
          <w:trHeight w:val="61"/>
        </w:trPr>
        <w:tc>
          <w:tcPr>
            <w:tcW w:w="2840" w:type="dxa"/>
            <w:vAlign w:val="bottom"/>
            <w:tcBorders>
              <w:bottom w:val="single" w:sz="8" w:color="BECE33"/>
            </w:tcBorders>
          </w:tcPr>
          <w:p>
            <w:pPr>
              <w:spacing w:after="0"/>
              <w:rPr>
                <w:sz w:val="5"/>
                <w:szCs w:val="5"/>
                <w:color w:val="auto"/>
              </w:rPr>
            </w:pPr>
          </w:p>
        </w:tc>
        <w:tc>
          <w:tcPr>
            <w:tcW w:w="1280" w:type="dxa"/>
            <w:vAlign w:val="bottom"/>
            <w:tcBorders>
              <w:bottom w:val="single" w:sz="8" w:color="BECE33"/>
            </w:tcBorders>
            <w:gridSpan w:val="2"/>
          </w:tcPr>
          <w:p>
            <w:pPr>
              <w:spacing w:after="0"/>
              <w:rPr>
                <w:sz w:val="5"/>
                <w:szCs w:val="5"/>
                <w:color w:val="auto"/>
              </w:rPr>
            </w:pPr>
          </w:p>
        </w:tc>
        <w:tc>
          <w:tcPr>
            <w:tcW w:w="1280" w:type="dxa"/>
            <w:vAlign w:val="bottom"/>
            <w:tcBorders>
              <w:bottom w:val="single" w:sz="8" w:color="BECE33"/>
            </w:tcBorders>
            <w:gridSpan w:val="2"/>
          </w:tcPr>
          <w:p>
            <w:pPr>
              <w:spacing w:after="0"/>
              <w:rPr>
                <w:sz w:val="5"/>
                <w:szCs w:val="5"/>
                <w:color w:val="auto"/>
              </w:rPr>
            </w:pPr>
          </w:p>
        </w:tc>
        <w:tc>
          <w:tcPr>
            <w:tcW w:w="1280" w:type="dxa"/>
            <w:vAlign w:val="bottom"/>
            <w:tcBorders>
              <w:bottom w:val="single" w:sz="8" w:color="BECE33"/>
            </w:tcBorders>
            <w:gridSpan w:val="2"/>
          </w:tcPr>
          <w:p>
            <w:pPr>
              <w:spacing w:after="0"/>
              <w:rPr>
                <w:sz w:val="5"/>
                <w:szCs w:val="5"/>
                <w:color w:val="auto"/>
              </w:rPr>
            </w:pPr>
          </w:p>
        </w:tc>
        <w:tc>
          <w:tcPr>
            <w:tcW w:w="60" w:type="dxa"/>
            <w:vAlign w:val="bottom"/>
            <w:tcBorders>
              <w:bottom w:val="single" w:sz="8" w:color="BECE33"/>
            </w:tcBorders>
          </w:tcPr>
          <w:p>
            <w:pPr>
              <w:spacing w:after="0"/>
              <w:rPr>
                <w:sz w:val="5"/>
                <w:szCs w:val="5"/>
                <w:color w:val="auto"/>
              </w:rPr>
            </w:pPr>
          </w:p>
        </w:tc>
      </w:tr>
      <w:tr>
        <w:trPr>
          <w:trHeight w:val="150"/>
        </w:trPr>
        <w:tc>
          <w:tcPr>
            <w:tcW w:w="2840" w:type="dxa"/>
            <w:vAlign w:val="bottom"/>
            <w:tcBorders>
              <w:left w:val="single" w:sz="8" w:color="BECE33"/>
            </w:tcBorders>
          </w:tcPr>
          <w:p>
            <w:pPr>
              <w:ind w:left="20"/>
              <w:spacing w:after="0"/>
              <w:rPr>
                <w:sz w:val="20"/>
                <w:szCs w:val="20"/>
                <w:color w:val="auto"/>
              </w:rPr>
            </w:pPr>
            <w:r>
              <w:rPr>
                <w:rFonts w:ascii="Arial" w:cs="Arial" w:eastAsia="Arial" w:hAnsi="Arial"/>
                <w:sz w:val="12"/>
                <w:szCs w:val="12"/>
                <w:color w:val="005A64"/>
              </w:rPr>
              <w:t>2024</w:t>
            </w:r>
          </w:p>
        </w:tc>
        <w:tc>
          <w:tcPr>
            <w:tcW w:w="1280" w:type="dxa"/>
            <w:vAlign w:val="bottom"/>
            <w:gridSpan w:val="2"/>
          </w:tcPr>
          <w:p>
            <w:pPr>
              <w:ind w:left="60"/>
              <w:spacing w:after="0"/>
              <w:rPr>
                <w:sz w:val="20"/>
                <w:szCs w:val="20"/>
                <w:color w:val="auto"/>
              </w:rPr>
            </w:pPr>
            <w:r>
              <w:rPr>
                <w:rFonts w:ascii="Arial" w:cs="Arial" w:eastAsia="Arial" w:hAnsi="Arial"/>
                <w:sz w:val="12"/>
                <w:szCs w:val="12"/>
                <w:color w:val="005A64"/>
              </w:rPr>
              <w:t>+5 %</w:t>
            </w:r>
          </w:p>
        </w:tc>
        <w:tc>
          <w:tcPr>
            <w:tcW w:w="1280" w:type="dxa"/>
            <w:vAlign w:val="bottom"/>
            <w:gridSpan w:val="2"/>
          </w:tcPr>
          <w:p>
            <w:pPr>
              <w:ind w:left="60"/>
              <w:spacing w:after="0"/>
              <w:rPr>
                <w:sz w:val="20"/>
                <w:szCs w:val="20"/>
                <w:color w:val="auto"/>
              </w:rPr>
            </w:pPr>
            <w:r>
              <w:rPr>
                <w:rFonts w:ascii="Arial" w:cs="Arial" w:eastAsia="Arial" w:hAnsi="Arial"/>
                <w:sz w:val="12"/>
                <w:szCs w:val="12"/>
                <w:color w:val="005A64"/>
              </w:rPr>
              <w:t>(11.6)</w:t>
            </w:r>
          </w:p>
        </w:tc>
        <w:tc>
          <w:tcPr>
            <w:tcW w:w="1280" w:type="dxa"/>
            <w:vAlign w:val="bottom"/>
            <w:gridSpan w:val="2"/>
          </w:tcPr>
          <w:p>
            <w:pPr>
              <w:ind w:left="60"/>
              <w:spacing w:after="0"/>
              <w:rPr>
                <w:sz w:val="20"/>
                <w:szCs w:val="20"/>
                <w:color w:val="auto"/>
              </w:rPr>
            </w:pPr>
            <w:r>
              <w:rPr>
                <w:rFonts w:ascii="Arial" w:cs="Arial" w:eastAsia="Arial" w:hAnsi="Arial"/>
                <w:sz w:val="12"/>
                <w:szCs w:val="12"/>
                <w:color w:val="005A64"/>
              </w:rPr>
              <w:t>(11.6)</w:t>
            </w:r>
          </w:p>
        </w:tc>
        <w:tc>
          <w:tcPr>
            <w:tcW w:w="60" w:type="dxa"/>
            <w:vAlign w:val="bottom"/>
            <w:tcBorders>
              <w:right w:val="single" w:sz="8" w:color="BECE33"/>
            </w:tcBorders>
          </w:tcPr>
          <w:p>
            <w:pPr>
              <w:spacing w:after="0"/>
              <w:rPr>
                <w:sz w:val="13"/>
                <w:szCs w:val="13"/>
                <w:color w:val="auto"/>
              </w:rPr>
            </w:pPr>
          </w:p>
        </w:tc>
      </w:tr>
      <w:tr>
        <w:trPr>
          <w:trHeight w:val="181"/>
        </w:trPr>
        <w:tc>
          <w:tcPr>
            <w:tcW w:w="2840" w:type="dxa"/>
            <w:vAlign w:val="bottom"/>
            <w:tcBorders>
              <w:left w:val="single" w:sz="8" w:color="BECE33"/>
            </w:tcBorders>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color w:val="005A64"/>
              </w:rPr>
              <w:t>-5 %</w:t>
            </w:r>
          </w:p>
        </w:tc>
        <w:tc>
          <w:tcPr>
            <w:tcW w:w="1280" w:type="dxa"/>
            <w:vAlign w:val="bottom"/>
            <w:gridSpan w:val="2"/>
          </w:tcPr>
          <w:p>
            <w:pPr>
              <w:ind w:left="60"/>
              <w:spacing w:after="0"/>
              <w:rPr>
                <w:sz w:val="20"/>
                <w:szCs w:val="20"/>
                <w:color w:val="auto"/>
              </w:rPr>
            </w:pPr>
            <w:r>
              <w:rPr>
                <w:rFonts w:ascii="Arial" w:cs="Arial" w:eastAsia="Arial" w:hAnsi="Arial"/>
                <w:sz w:val="12"/>
                <w:szCs w:val="12"/>
                <w:color w:val="005A64"/>
              </w:rPr>
              <w:t>12.9</w:t>
            </w:r>
          </w:p>
        </w:tc>
        <w:tc>
          <w:tcPr>
            <w:tcW w:w="1280" w:type="dxa"/>
            <w:vAlign w:val="bottom"/>
            <w:gridSpan w:val="2"/>
          </w:tcPr>
          <w:p>
            <w:pPr>
              <w:ind w:left="60"/>
              <w:spacing w:after="0"/>
              <w:rPr>
                <w:sz w:val="20"/>
                <w:szCs w:val="20"/>
                <w:color w:val="auto"/>
              </w:rPr>
            </w:pPr>
            <w:r>
              <w:rPr>
                <w:rFonts w:ascii="Arial" w:cs="Arial" w:eastAsia="Arial" w:hAnsi="Arial"/>
                <w:sz w:val="12"/>
                <w:szCs w:val="12"/>
                <w:color w:val="005A64"/>
              </w:rPr>
              <w:t>12.9</w:t>
            </w:r>
          </w:p>
        </w:tc>
        <w:tc>
          <w:tcPr>
            <w:tcW w:w="60" w:type="dxa"/>
            <w:vAlign w:val="bottom"/>
            <w:tcBorders>
              <w:right w:val="single" w:sz="8" w:color="BECE33"/>
            </w:tcBorders>
          </w:tcPr>
          <w:p>
            <w:pPr>
              <w:spacing w:after="0"/>
              <w:rPr>
                <w:sz w:val="15"/>
                <w:szCs w:val="15"/>
                <w:color w:val="auto"/>
              </w:rPr>
            </w:pPr>
          </w:p>
        </w:tc>
      </w:tr>
      <w:tr>
        <w:trPr>
          <w:trHeight w:val="53"/>
        </w:trPr>
        <w:tc>
          <w:tcPr>
            <w:tcW w:w="2840" w:type="dxa"/>
            <w:vAlign w:val="bottom"/>
            <w:tcBorders>
              <w:left w:val="single" w:sz="8" w:color="BECE33"/>
              <w:bottom w:val="single" w:sz="8" w:color="BECE33"/>
            </w:tcBorders>
          </w:tcPr>
          <w:p>
            <w:pPr>
              <w:spacing w:after="0"/>
              <w:rPr>
                <w:sz w:val="4"/>
                <w:szCs w:val="4"/>
                <w:color w:val="auto"/>
              </w:rPr>
            </w:pPr>
          </w:p>
        </w:tc>
        <w:tc>
          <w:tcPr>
            <w:tcW w:w="1280" w:type="dxa"/>
            <w:vAlign w:val="bottom"/>
            <w:tcBorders>
              <w:bottom w:val="single" w:sz="8" w:color="BECE33"/>
            </w:tcBorders>
            <w:gridSpan w:val="2"/>
          </w:tcPr>
          <w:p>
            <w:pPr>
              <w:spacing w:after="0"/>
              <w:rPr>
                <w:sz w:val="4"/>
                <w:szCs w:val="4"/>
                <w:color w:val="auto"/>
              </w:rPr>
            </w:pPr>
          </w:p>
        </w:tc>
        <w:tc>
          <w:tcPr>
            <w:tcW w:w="1280" w:type="dxa"/>
            <w:vAlign w:val="bottom"/>
            <w:tcBorders>
              <w:bottom w:val="single" w:sz="8" w:color="BECE33"/>
            </w:tcBorders>
            <w:gridSpan w:val="2"/>
          </w:tcPr>
          <w:p>
            <w:pPr>
              <w:spacing w:after="0"/>
              <w:rPr>
                <w:sz w:val="4"/>
                <w:szCs w:val="4"/>
                <w:color w:val="auto"/>
              </w:rPr>
            </w:pPr>
          </w:p>
        </w:tc>
        <w:tc>
          <w:tcPr>
            <w:tcW w:w="1280" w:type="dxa"/>
            <w:vAlign w:val="bottom"/>
            <w:tcBorders>
              <w:bottom w:val="single" w:sz="8" w:color="BECE33"/>
            </w:tcBorders>
            <w:gridSpan w:val="2"/>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r>
      <w:tr>
        <w:trPr>
          <w:trHeight w:val="150"/>
        </w:trPr>
        <w:tc>
          <w:tcPr>
            <w:tcW w:w="2840" w:type="dxa"/>
            <w:vAlign w:val="bottom"/>
          </w:tcPr>
          <w:p>
            <w:pPr>
              <w:ind w:left="20"/>
              <w:spacing w:after="0"/>
              <w:rPr>
                <w:sz w:val="20"/>
                <w:szCs w:val="20"/>
                <w:color w:val="auto"/>
              </w:rPr>
            </w:pPr>
            <w:r>
              <w:rPr>
                <w:rFonts w:ascii="Arial" w:cs="Arial" w:eastAsia="Arial" w:hAnsi="Arial"/>
                <w:sz w:val="12"/>
                <w:szCs w:val="12"/>
                <w:color w:val="005A64"/>
              </w:rPr>
              <w:t>2023</w:t>
            </w:r>
          </w:p>
        </w:tc>
        <w:tc>
          <w:tcPr>
            <w:tcW w:w="1280" w:type="dxa"/>
            <w:vAlign w:val="bottom"/>
            <w:gridSpan w:val="2"/>
          </w:tcPr>
          <w:p>
            <w:pPr>
              <w:ind w:left="60"/>
              <w:spacing w:after="0"/>
              <w:rPr>
                <w:sz w:val="20"/>
                <w:szCs w:val="20"/>
                <w:color w:val="auto"/>
              </w:rPr>
            </w:pPr>
            <w:r>
              <w:rPr>
                <w:rFonts w:ascii="Arial" w:cs="Arial" w:eastAsia="Arial" w:hAnsi="Arial"/>
                <w:sz w:val="12"/>
                <w:szCs w:val="12"/>
                <w:color w:val="005A64"/>
              </w:rPr>
              <w:t>+5 %</w:t>
            </w:r>
          </w:p>
        </w:tc>
        <w:tc>
          <w:tcPr>
            <w:tcW w:w="1280" w:type="dxa"/>
            <w:vAlign w:val="bottom"/>
            <w:gridSpan w:val="2"/>
          </w:tcPr>
          <w:p>
            <w:pPr>
              <w:ind w:left="60"/>
              <w:spacing w:after="0"/>
              <w:rPr>
                <w:sz w:val="20"/>
                <w:szCs w:val="20"/>
                <w:color w:val="auto"/>
              </w:rPr>
            </w:pPr>
            <w:r>
              <w:rPr>
                <w:rFonts w:ascii="Arial" w:cs="Arial" w:eastAsia="Arial" w:hAnsi="Arial"/>
                <w:sz w:val="12"/>
                <w:szCs w:val="12"/>
                <w:color w:val="005A64"/>
              </w:rPr>
              <w:t>(35.5)</w:t>
            </w:r>
          </w:p>
        </w:tc>
        <w:tc>
          <w:tcPr>
            <w:tcW w:w="1280" w:type="dxa"/>
            <w:vAlign w:val="bottom"/>
            <w:gridSpan w:val="2"/>
          </w:tcPr>
          <w:p>
            <w:pPr>
              <w:ind w:left="60"/>
              <w:spacing w:after="0"/>
              <w:rPr>
                <w:sz w:val="20"/>
                <w:szCs w:val="20"/>
                <w:color w:val="auto"/>
              </w:rPr>
            </w:pPr>
            <w:r>
              <w:rPr>
                <w:rFonts w:ascii="Arial" w:cs="Arial" w:eastAsia="Arial" w:hAnsi="Arial"/>
                <w:sz w:val="12"/>
                <w:szCs w:val="12"/>
                <w:color w:val="005A64"/>
              </w:rPr>
              <w:t>(35.5)</w:t>
            </w:r>
          </w:p>
        </w:tc>
        <w:tc>
          <w:tcPr>
            <w:tcW w:w="60" w:type="dxa"/>
            <w:vAlign w:val="bottom"/>
          </w:tcPr>
          <w:p>
            <w:pPr>
              <w:spacing w:after="0"/>
              <w:rPr>
                <w:sz w:val="13"/>
                <w:szCs w:val="13"/>
                <w:color w:val="auto"/>
              </w:rPr>
            </w:pPr>
          </w:p>
        </w:tc>
      </w:tr>
      <w:tr>
        <w:trPr>
          <w:trHeight w:val="181"/>
        </w:trPr>
        <w:tc>
          <w:tcPr>
            <w:tcW w:w="284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color w:val="005A64"/>
              </w:rPr>
              <w:t>-5 %</w:t>
            </w:r>
          </w:p>
        </w:tc>
        <w:tc>
          <w:tcPr>
            <w:tcW w:w="1280" w:type="dxa"/>
            <w:vAlign w:val="bottom"/>
            <w:gridSpan w:val="2"/>
          </w:tcPr>
          <w:p>
            <w:pPr>
              <w:ind w:left="60"/>
              <w:spacing w:after="0"/>
              <w:rPr>
                <w:sz w:val="20"/>
                <w:szCs w:val="20"/>
                <w:color w:val="auto"/>
              </w:rPr>
            </w:pPr>
            <w:r>
              <w:rPr>
                <w:rFonts w:ascii="Arial" w:cs="Arial" w:eastAsia="Arial" w:hAnsi="Arial"/>
                <w:sz w:val="12"/>
                <w:szCs w:val="12"/>
                <w:color w:val="005A64"/>
              </w:rPr>
              <w:t>39.2</w:t>
            </w:r>
          </w:p>
        </w:tc>
        <w:tc>
          <w:tcPr>
            <w:tcW w:w="1280" w:type="dxa"/>
            <w:vAlign w:val="bottom"/>
            <w:gridSpan w:val="2"/>
          </w:tcPr>
          <w:p>
            <w:pPr>
              <w:ind w:left="60"/>
              <w:spacing w:after="0"/>
              <w:rPr>
                <w:sz w:val="20"/>
                <w:szCs w:val="20"/>
                <w:color w:val="auto"/>
              </w:rPr>
            </w:pPr>
            <w:r>
              <w:rPr>
                <w:rFonts w:ascii="Arial" w:cs="Arial" w:eastAsia="Arial" w:hAnsi="Arial"/>
                <w:sz w:val="12"/>
                <w:szCs w:val="12"/>
                <w:color w:val="005A64"/>
              </w:rPr>
              <w:t>39.3</w:t>
            </w:r>
          </w:p>
        </w:tc>
        <w:tc>
          <w:tcPr>
            <w:tcW w:w="60" w:type="dxa"/>
            <w:vAlign w:val="bottom"/>
          </w:tcPr>
          <w:p>
            <w:pPr>
              <w:spacing w:after="0"/>
              <w:rPr>
                <w:sz w:val="15"/>
                <w:szCs w:val="15"/>
                <w:color w:val="auto"/>
              </w:rPr>
            </w:pPr>
          </w:p>
        </w:tc>
      </w:tr>
    </w:tbl>
    <w:p>
      <w:pPr>
        <w:spacing w:after="0" w:line="37"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005A64"/>
        </w:rPr>
        <w:t>12.6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4242435" cy="63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6">
                      <a:extLst>
                        <a:ext uri="{28A0092B-C50C-407E-A947-70E740481C1C}"/>
                      </a:extLst>
                    </a:blip>
                    <a:srcRect/>
                    <a:stretch>
                      <a:fillRect/>
                    </a:stretch>
                  </pic:blipFill>
                  <pic:spPr bwMode="auto">
                    <a:xfrm>
                      <a:off x="0" y="0"/>
                      <a:ext cx="4242435" cy="6350"/>
                    </a:xfrm>
                    <a:prstGeom prst="rect">
                      <a:avLst/>
                    </a:prstGeom>
                    <a:noFill/>
                  </pic:spPr>
                </pic:pic>
              </a:graphicData>
            </a:graphic>
          </wp:anchor>
        </w:drawing>
      </w:r>
    </w:p>
    <w:p>
      <w:pPr>
        <w:ind w:left="380" w:right="2340"/>
        <w:spacing w:after="0" w:line="222" w:lineRule="auto"/>
        <w:rPr>
          <w:sz w:val="20"/>
          <w:szCs w:val="20"/>
          <w:color w:val="auto"/>
        </w:rPr>
      </w:pPr>
      <w:r>
        <w:rPr>
          <w:rFonts w:ascii="Arial" w:cs="Arial" w:eastAsia="Arial" w:hAnsi="Arial"/>
          <w:sz w:val="13"/>
          <w:szCs w:val="13"/>
          <w:color w:val="auto"/>
        </w:rPr>
        <w:t>Credit risks address the risks that a counterparty will not meet its obligations under a financial instrument or customer contract, leading to a financial loss. We are exposed to credit risks from our operating activities, including security investments, bank deposits, reverse repos, foreign exchange transactions, trade and other receivables and cash at banks. The maximum exposure to credit risk for the components of the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F-55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60"/>
        <w:spacing w:after="0" w:line="220" w:lineRule="auto"/>
        <w:rPr>
          <w:sz w:val="20"/>
          <w:szCs w:val="20"/>
          <w:color w:val="auto"/>
        </w:rPr>
      </w:pPr>
      <w:r>
        <w:rPr>
          <w:rFonts w:ascii="Arial" w:cs="Arial" w:eastAsia="Arial" w:hAnsi="Arial"/>
          <w:sz w:val="13"/>
          <w:szCs w:val="13"/>
          <w:color w:val="auto"/>
        </w:rPr>
        <w:t>statements of financial position as of December 31, 2024, and December 31, 2023, are the carrying amounts as illustrated in Note 12.1 and Note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3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color w:val="005A64"/>
        </w:rPr>
        <w:t>Security Investments, Bank Deposits, Reverse Repos and Cash at banks</w:t>
      </w:r>
    </w:p>
    <w:p>
      <w:pPr>
        <w:ind w:left="380" w:right="2140"/>
        <w:spacing w:after="0" w:line="210" w:lineRule="auto"/>
        <w:rPr>
          <w:sz w:val="20"/>
          <w:szCs w:val="20"/>
          <w:color w:val="auto"/>
        </w:rPr>
      </w:pPr>
      <w:r>
        <w:rPr>
          <w:rFonts w:ascii="Arial" w:cs="Arial" w:eastAsia="Arial" w:hAnsi="Arial"/>
          <w:sz w:val="13"/>
          <w:szCs w:val="13"/>
          <w:color w:val="auto"/>
        </w:rPr>
        <w:t>Our financial management is dedicated predominantly to the goal of capital preservation. Thus, all our financial activities are focused towards avoiding risks and, where they cannot be avoided, actively managing and minimizing them. Credit risks from balances with security investments, bank deposits, reverse repos and cash at banks are managed by our Treasury department in accordance with our investment and asset management policy.</w:t>
      </w:r>
    </w:p>
    <w:p>
      <w:pPr>
        <w:spacing w:after="0" w:line="3"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Our security investments are solely invested in the highest- quality liquid assets (e.g. core European sovereign, supranational and agency bonds) and bank deposits with a maturity of more than 3 months (held at selected banks, exclusively rated as investment grade). They do not bear any currency risks or material credit risks. The bank deposits are held at selected banks, exclusively rated as investment grade. We limit our investment engagements individually and track each credit risk continuously. For reverse repos, only investment-grade counterparties qualify as our business partners and secured investments are solely collateralized by high-quality liquid assets.</w:t>
      </w:r>
    </w:p>
    <w:p>
      <w:pPr>
        <w:spacing w:after="0" w:line="4"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Accordingly, credit risks from these financial assets are limited. Before entering into new business relationships and during ongoing business relationships, we evaluate our business partners with regard to their individual default risk. Therefore, we do not presume an increased credit risk as of the balance sheet date and determine the impairment loss based on the upcoming twelve months.</w:t>
      </w:r>
    </w:p>
    <w:p>
      <w:pPr>
        <w:ind w:left="380"/>
        <w:spacing w:after="0" w:line="214" w:lineRule="auto"/>
        <w:rPr>
          <w:sz w:val="20"/>
          <w:szCs w:val="20"/>
          <w:color w:val="auto"/>
        </w:rPr>
      </w:pPr>
      <w:r>
        <w:rPr>
          <w:rFonts w:ascii="Arial" w:cs="Arial" w:eastAsia="Arial" w:hAnsi="Arial"/>
          <w:sz w:val="13"/>
          <w:szCs w:val="13"/>
          <w:color w:val="auto"/>
        </w:rPr>
        <w:t>The calculated expected credit losses were not material as of December 31, 2024, and December 31, 2023.</w:t>
      </w:r>
    </w:p>
    <w:p>
      <w:pPr>
        <w:ind w:left="380"/>
        <w:spacing w:after="0" w:line="211" w:lineRule="auto"/>
        <w:rPr>
          <w:sz w:val="20"/>
          <w:szCs w:val="20"/>
          <w:color w:val="auto"/>
        </w:rPr>
      </w:pPr>
      <w:r>
        <w:rPr>
          <w:rFonts w:ascii="Arial" w:cs="Arial" w:eastAsia="Arial" w:hAnsi="Arial"/>
          <w:sz w:val="13"/>
          <w:szCs w:val="13"/>
          <w:color w:val="005A64"/>
        </w:rPr>
        <w:t>Trade and Other Receivables</w:t>
      </w:r>
    </w:p>
    <w:p>
      <w:pPr>
        <w:ind w:left="380" w:right="2260"/>
        <w:spacing w:after="0" w:line="228" w:lineRule="auto"/>
        <w:rPr>
          <w:sz w:val="20"/>
          <w:szCs w:val="20"/>
          <w:color w:val="auto"/>
        </w:rPr>
      </w:pPr>
      <w:r>
        <w:rPr>
          <w:rFonts w:ascii="Arial" w:cs="Arial" w:eastAsia="Arial" w:hAnsi="Arial"/>
          <w:sz w:val="13"/>
          <w:szCs w:val="13"/>
          <w:color w:val="auto"/>
        </w:rPr>
        <w:t>Our exposure to credit risks of trade and other receivables is primarily related to transactions with corporate customers in the biopharma / biotech industry that operate in the United States or Germany, as well as governments which are customers, in connection with fulfilling our commercial obligations in our territories as defined in our contracts with customers. An analysis of the aging of receivables and the creditworthiness of customers is used to evaluate this risk at each reporting date. We follow risk control procedures to assess the credit quality of our customers taking into account their financial position, past experience and other factors. As of December 31, 2024, outstanding trade and other receivables were mainly due from our collaboration partner Pfizer. Besides well-established pharmaceutical companies and governmental institutions, our other customers – to a smaller extent – are medical universities, other public institutions and peers in the biopharma industry. The balances with those customers are not material. Due to this customer portfolio, the credit risk on trade and other receivables is generally very low. We have not incurred material bad debt expense and do not expect that this will change with respect to the trade and other receivables outstanding as of December 31, 2024.</w:t>
      </w:r>
    </w:p>
    <w:p>
      <w:pPr>
        <w:spacing w:after="0" w:line="4"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The expected credit risk on trade and other receivables and contract assets derived from applying the simplified approach in calculating expected credit losses was not material as of December 31, 2024, and December 31, 2023.</w:t>
      </w:r>
    </w:p>
    <w:p>
      <w:pPr>
        <w:ind w:left="380"/>
        <w:spacing w:after="0" w:line="213" w:lineRule="auto"/>
        <w:rPr>
          <w:sz w:val="20"/>
          <w:szCs w:val="20"/>
          <w:color w:val="auto"/>
        </w:rPr>
      </w:pPr>
      <w:r>
        <w:rPr>
          <w:rFonts w:ascii="Arial" w:cs="Arial" w:eastAsia="Arial" w:hAnsi="Arial"/>
          <w:sz w:val="13"/>
          <w:szCs w:val="13"/>
          <w:b w:val="1"/>
          <w:bCs w:val="1"/>
          <w:color w:val="005A64"/>
        </w:rPr>
        <w:t>12.7 Liquidity Risk</w:t>
      </w:r>
    </w:p>
    <w:p>
      <w:pPr>
        <w:spacing w:after="0" w:line="1" w:lineRule="exact"/>
        <w:rPr>
          <w:sz w:val="20"/>
          <w:szCs w:val="20"/>
          <w:color w:val="auto"/>
        </w:rPr>
      </w:pPr>
    </w:p>
    <w:p>
      <w:pPr>
        <w:ind w:left="380" w:right="2100"/>
        <w:spacing w:after="0" w:line="217" w:lineRule="auto"/>
        <w:rPr>
          <w:sz w:val="20"/>
          <w:szCs w:val="20"/>
          <w:color w:val="auto"/>
        </w:rPr>
      </w:pPr>
      <w:r>
        <w:rPr>
          <w:rFonts w:ascii="Arial" w:cs="Arial" w:eastAsia="Arial" w:hAnsi="Arial"/>
          <w:sz w:val="13"/>
          <w:szCs w:val="13"/>
          <w:color w:val="auto"/>
        </w:rPr>
        <w:t>We plan to invest heavily in R&amp;D as we make a strong drive to build out our global development organization and diversify our therapeutic area footprint. Additionally, we plan to enhance capabilities through complementary acquisitions, technologies, infrastructure and manufacturing. Our liquidity management ensures the availability of cash and cash equivalents, short term financial instruments for operational activities and further investments through appropriate budget planning. In addition, a sufficient level of cash and cash equivalents, which are managed centrally, is always maintained to finance the operational activities. We monitor liquidity risks using a liquidity planning tool.</w:t>
      </w:r>
    </w:p>
    <w:p>
      <w:pPr>
        <w:sectPr>
          <w:pgSz w:w="11900" w:h="16840" w:orient="portrait"/>
          <w:cols w:equalWidth="0" w:num="1">
            <w:col w:w="9020"/>
          </w:cols>
          <w:pgMar w:left="1440" w:top="1440" w:right="1440" w:bottom="1440" w:gutter="0" w:footer="0" w:header="0"/>
        </w:sectPr>
      </w:pPr>
    </w:p>
    <w:bookmarkStart w:id="218" w:name="page219"/>
    <w:bookmarkEnd w:id="2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F-56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80"/>
        <w:spacing w:after="0" w:line="214" w:lineRule="auto"/>
        <w:rPr>
          <w:sz w:val="20"/>
          <w:szCs w:val="20"/>
          <w:color w:val="auto"/>
        </w:rPr>
      </w:pPr>
      <w:r>
        <w:rPr>
          <w:rFonts w:ascii="Arial" w:cs="Arial" w:eastAsia="Arial" w:hAnsi="Arial"/>
          <w:sz w:val="13"/>
          <w:szCs w:val="13"/>
          <w:color w:val="auto"/>
        </w:rPr>
        <w:t>Ultimately, the responsibility for liquidity risk management lies with our Management Board, which has established an appropriate approach to managing short-, medium- and long-term financing and liquidity requirements. We manage liquidity risks by holding appropriate reserves based on our COVID-19 sales, as well as by monitoring forecasted and actual cash flows and reconciling the maturity profiles of financial assets and liabilities. Significant reserves currently exist and were generated during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-416560</wp:posOffset>
            </wp:positionV>
            <wp:extent cx="5231130" cy="63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5" w:lineRule="auto"/>
        <w:rPr>
          <w:sz w:val="20"/>
          <w:szCs w:val="20"/>
          <w:color w:val="auto"/>
        </w:rPr>
      </w:pPr>
      <w:r>
        <w:rPr>
          <w:rFonts w:ascii="Arial" w:cs="Arial" w:eastAsia="Arial" w:hAnsi="Arial"/>
          <w:sz w:val="13"/>
          <w:szCs w:val="13"/>
          <w:color w:val="005A64"/>
        </w:rPr>
        <w:t>Risk Concentration</w:t>
      </w:r>
    </w:p>
    <w:p>
      <w:pPr>
        <w:ind w:left="380" w:right="2220"/>
        <w:spacing w:after="0" w:line="210" w:lineRule="auto"/>
        <w:rPr>
          <w:sz w:val="20"/>
          <w:szCs w:val="20"/>
          <w:color w:val="auto"/>
        </w:rPr>
      </w:pPr>
      <w:r>
        <w:rPr>
          <w:rFonts w:ascii="Arial" w:cs="Arial" w:eastAsia="Arial" w:hAnsi="Arial"/>
          <w:sz w:val="13"/>
          <w:szCs w:val="13"/>
          <w:color w:val="auto"/>
        </w:rPr>
        <w:t>Concentrations arise when the number of counterparties is small or when a larger number of counterparties is engaged in similar business activities, or activities in the same geographical region, or has economic features that would cause their ability to meet contractual obligations to be affected similarly by changes in economic, political or other conditions. Concentrations indicate the relative sensitivity of our performance to developments affecting a particular industry. We only have a limited number of customers mainly comprising pharmaceutical companies and governmental institutions.</w:t>
      </w:r>
    </w:p>
    <w:p>
      <w:pPr>
        <w:spacing w:after="0" w:line="4" w:lineRule="exact"/>
        <w:rPr>
          <w:sz w:val="20"/>
          <w:szCs w:val="20"/>
          <w:color w:val="auto"/>
        </w:rPr>
      </w:pPr>
    </w:p>
    <w:p>
      <w:pPr>
        <w:ind w:left="380" w:right="2360"/>
        <w:spacing w:after="0" w:line="234" w:lineRule="auto"/>
        <w:rPr>
          <w:sz w:val="20"/>
          <w:szCs w:val="20"/>
          <w:color w:val="auto"/>
        </w:rPr>
      </w:pPr>
      <w:r>
        <w:rPr>
          <w:rFonts w:ascii="Arial" w:cs="Arial" w:eastAsia="Arial" w:hAnsi="Arial"/>
          <w:sz w:val="13"/>
          <w:szCs w:val="13"/>
          <w:color w:val="auto"/>
        </w:rPr>
        <w:t>The maturity profile of our financial liabilities based on contractual undiscounted payments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-12700</wp:posOffset>
            </wp:positionV>
            <wp:extent cx="4268470" cy="127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9">
                      <a:extLst>
                        <a:ext uri="{28A0092B-C50C-407E-A947-70E740481C1C}"/>
                      </a:extLst>
                    </a:blip>
                    <a:srcRect/>
                    <a:stretch>
                      <a:fillRect/>
                    </a:stretch>
                  </pic:blipFill>
                  <pic:spPr bwMode="auto">
                    <a:xfrm>
                      <a:off x="0" y="0"/>
                      <a:ext cx="4268470" cy="12700"/>
                    </a:xfrm>
                    <a:prstGeom prst="rect">
                      <a:avLst/>
                    </a:prstGeom>
                    <a:noFill/>
                  </pic:spPr>
                </pic:pic>
              </a:graphicData>
            </a:graphic>
          </wp:anchor>
        </w:drawing>
      </w:r>
    </w:p>
    <w:p>
      <w:pPr>
        <w:spacing w:after="0" w:line="39" w:lineRule="exact"/>
        <w:rPr>
          <w:sz w:val="20"/>
          <w:szCs w:val="20"/>
          <w:color w:val="auto"/>
        </w:rPr>
      </w:pPr>
    </w:p>
    <w:tbl>
      <w:tblPr>
        <w:tblLayout w:type="fixed"/>
        <w:tblInd w:w="380" w:type="dxa"/>
        <w:tblCellMar>
          <w:top w:w="0" w:type="dxa"/>
          <w:left w:w="0" w:type="dxa"/>
          <w:bottom w:w="0" w:type="dxa"/>
          <w:right w:w="0" w:type="dxa"/>
        </w:tblCellMar>
      </w:tblPr>
      <w:tr>
        <w:trPr>
          <w:trHeight w:val="166"/>
        </w:trPr>
        <w:tc>
          <w:tcPr>
            <w:tcW w:w="3520" w:type="dxa"/>
            <w:vAlign w:val="bottom"/>
          </w:tcPr>
          <w:p>
            <w:pPr>
              <w:ind w:left="20"/>
              <w:spacing w:after="0"/>
              <w:rPr>
                <w:sz w:val="20"/>
                <w:szCs w:val="20"/>
                <w:color w:val="auto"/>
              </w:rPr>
            </w:pPr>
            <w:r>
              <w:rPr>
                <w:rFonts w:ascii="Arial" w:cs="Arial" w:eastAsia="Arial" w:hAnsi="Arial"/>
                <w:sz w:val="12"/>
                <w:szCs w:val="12"/>
                <w:b w:val="1"/>
                <w:bCs w:val="1"/>
                <w:color w:val="005A64"/>
              </w:rPr>
              <w:t>Year ended December 31, 2024</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20" w:type="dxa"/>
            <w:vAlign w:val="bottom"/>
          </w:tcPr>
          <w:p>
            <w:pPr>
              <w:ind w:left="20"/>
              <w:spacing w:after="0"/>
              <w:rPr>
                <w:sz w:val="20"/>
                <w:szCs w:val="20"/>
                <w:color w:val="auto"/>
              </w:rPr>
            </w:pPr>
            <w:r>
              <w:rPr>
                <w:rFonts w:ascii="Arial" w:cs="Arial" w:eastAsia="Arial" w:hAnsi="Arial"/>
                <w:sz w:val="12"/>
                <w:szCs w:val="12"/>
                <w:i w:val="1"/>
                <w:iCs w:val="1"/>
                <w:color w:val="005A64"/>
              </w:rPr>
              <w:t>(in millions €)</w:t>
            </w:r>
          </w:p>
        </w:tc>
        <w:tc>
          <w:tcPr>
            <w:tcW w:w="4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005A64"/>
              </w:rPr>
              <w:t>Less than</w:t>
            </w:r>
          </w:p>
        </w:tc>
        <w:tc>
          <w:tcPr>
            <w:tcW w:w="6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005A64"/>
              </w:rPr>
              <w:t>1 to 5</w:t>
            </w:r>
          </w:p>
        </w:tc>
        <w:tc>
          <w:tcPr>
            <w:tcW w:w="6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005A64"/>
              </w:rPr>
              <w:t>More than</w:t>
            </w:r>
          </w:p>
        </w:tc>
        <w:tc>
          <w:tcPr>
            <w:tcW w:w="6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005A64"/>
              </w:rPr>
              <w:t>Total</w:t>
            </w:r>
          </w:p>
        </w:tc>
        <w:tc>
          <w:tcPr>
            <w:tcW w:w="0" w:type="dxa"/>
            <w:vAlign w:val="bottom"/>
          </w:tcPr>
          <w:p>
            <w:pPr>
              <w:spacing w:after="0"/>
              <w:rPr>
                <w:sz w:val="1"/>
                <w:szCs w:val="1"/>
                <w:color w:val="auto"/>
              </w:rPr>
            </w:pPr>
          </w:p>
        </w:tc>
      </w:tr>
      <w:tr>
        <w:trPr>
          <w:trHeight w:val="166"/>
        </w:trPr>
        <w:tc>
          <w:tcPr>
            <w:tcW w:w="3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005A64"/>
              </w:rPr>
              <w:t>1 year</w:t>
            </w:r>
          </w:p>
        </w:tc>
        <w:tc>
          <w:tcPr>
            <w:tcW w:w="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005A64"/>
              </w:rPr>
              <w:t>years</w:t>
            </w:r>
          </w:p>
        </w:tc>
        <w:tc>
          <w:tcPr>
            <w:tcW w:w="6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005A64"/>
              </w:rPr>
              <w:t>5 years</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3520" w:type="dxa"/>
            <w:vAlign w:val="bottom"/>
            <w:tcBorders>
              <w:bottom w:val="single" w:sz="8" w:color="005A64"/>
            </w:tcBorders>
          </w:tcPr>
          <w:p>
            <w:pPr>
              <w:spacing w:after="0"/>
              <w:rPr>
                <w:sz w:val="4"/>
                <w:szCs w:val="4"/>
                <w:color w:val="auto"/>
              </w:rPr>
            </w:pPr>
          </w:p>
        </w:tc>
        <w:tc>
          <w:tcPr>
            <w:tcW w:w="40" w:type="dxa"/>
            <w:vAlign w:val="bottom"/>
            <w:vMerge w:val="restart"/>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60" w:type="dxa"/>
            <w:vAlign w:val="bottom"/>
            <w:vMerge w:val="restart"/>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60" w:type="dxa"/>
            <w:vAlign w:val="bottom"/>
            <w:vMerge w:val="restart"/>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60" w:type="dxa"/>
            <w:vAlign w:val="bottom"/>
            <w:vMerge w:val="restart"/>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3520" w:type="dxa"/>
            <w:vAlign w:val="bottom"/>
          </w:tcPr>
          <w:p>
            <w:pPr>
              <w:ind w:left="20"/>
              <w:spacing w:after="0"/>
              <w:rPr>
                <w:sz w:val="20"/>
                <w:szCs w:val="20"/>
                <w:color w:val="auto"/>
              </w:rPr>
            </w:pPr>
            <w:r>
              <w:rPr>
                <w:rFonts w:ascii="Arial" w:cs="Arial" w:eastAsia="Arial" w:hAnsi="Arial"/>
                <w:sz w:val="12"/>
                <w:szCs w:val="12"/>
                <w:color w:val="005A64"/>
              </w:rPr>
              <w:t>Trade and other payables</w:t>
            </w:r>
          </w:p>
        </w:tc>
        <w:tc>
          <w:tcPr>
            <w:tcW w:w="40" w:type="dxa"/>
            <w:vAlign w:val="bottom"/>
            <w:vMerge w:val="continue"/>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005A64"/>
              </w:rPr>
              <w:t>426.7</w:t>
            </w:r>
          </w:p>
        </w:tc>
        <w:tc>
          <w:tcPr>
            <w:tcW w:w="60" w:type="dxa"/>
            <w:vAlign w:val="bottom"/>
            <w:vMerge w:val="continue"/>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005A64"/>
              </w:rPr>
              <w:t>—</w:t>
            </w:r>
          </w:p>
        </w:tc>
        <w:tc>
          <w:tcPr>
            <w:tcW w:w="60" w:type="dxa"/>
            <w:vAlign w:val="bottom"/>
            <w:vMerge w:val="continue"/>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color w:val="005A64"/>
              </w:rPr>
              <w:t>—</w:t>
            </w:r>
          </w:p>
        </w:tc>
        <w:tc>
          <w:tcPr>
            <w:tcW w:w="6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426.7</w:t>
            </w:r>
          </w:p>
        </w:tc>
        <w:tc>
          <w:tcPr>
            <w:tcW w:w="0" w:type="dxa"/>
            <w:vAlign w:val="bottom"/>
          </w:tcPr>
          <w:p>
            <w:pPr>
              <w:spacing w:after="0"/>
              <w:rPr>
                <w:sz w:val="1"/>
                <w:szCs w:val="1"/>
                <w:color w:val="auto"/>
              </w:rPr>
            </w:pPr>
          </w:p>
        </w:tc>
      </w:tr>
      <w:tr>
        <w:trPr>
          <w:trHeight w:val="181"/>
        </w:trPr>
        <w:tc>
          <w:tcPr>
            <w:tcW w:w="3520" w:type="dxa"/>
            <w:vAlign w:val="bottom"/>
          </w:tcPr>
          <w:p>
            <w:pPr>
              <w:ind w:left="20"/>
              <w:spacing w:after="0"/>
              <w:rPr>
                <w:sz w:val="20"/>
                <w:szCs w:val="20"/>
                <w:color w:val="auto"/>
              </w:rPr>
            </w:pPr>
            <w:r>
              <w:rPr>
                <w:rFonts w:ascii="Arial" w:cs="Arial" w:eastAsia="Arial" w:hAnsi="Arial"/>
                <w:sz w:val="12"/>
                <w:szCs w:val="12"/>
                <w:color w:val="005A64"/>
              </w:rPr>
              <w:t>Lease liabilities</w:t>
            </w:r>
          </w:p>
        </w:tc>
        <w:tc>
          <w:tcPr>
            <w:tcW w:w="780" w:type="dxa"/>
            <w:vAlign w:val="bottom"/>
            <w:gridSpan w:val="2"/>
          </w:tcPr>
          <w:p>
            <w:pPr>
              <w:ind w:left="60"/>
              <w:spacing w:after="0"/>
              <w:rPr>
                <w:sz w:val="20"/>
                <w:szCs w:val="20"/>
                <w:color w:val="auto"/>
              </w:rPr>
            </w:pPr>
            <w:r>
              <w:rPr>
                <w:rFonts w:ascii="Arial" w:cs="Arial" w:eastAsia="Arial" w:hAnsi="Arial"/>
                <w:sz w:val="12"/>
                <w:szCs w:val="12"/>
                <w:color w:val="005A64"/>
              </w:rPr>
              <w:t>48.1</w:t>
            </w:r>
          </w:p>
        </w:tc>
        <w:tc>
          <w:tcPr>
            <w:tcW w:w="800" w:type="dxa"/>
            <w:vAlign w:val="bottom"/>
            <w:gridSpan w:val="2"/>
          </w:tcPr>
          <w:p>
            <w:pPr>
              <w:ind w:left="80"/>
              <w:spacing w:after="0"/>
              <w:rPr>
                <w:sz w:val="20"/>
                <w:szCs w:val="20"/>
                <w:color w:val="auto"/>
              </w:rPr>
            </w:pPr>
            <w:r>
              <w:rPr>
                <w:rFonts w:ascii="Arial" w:cs="Arial" w:eastAsia="Arial" w:hAnsi="Arial"/>
                <w:sz w:val="12"/>
                <w:szCs w:val="12"/>
                <w:color w:val="005A64"/>
              </w:rPr>
              <w:t>152.7</w:t>
            </w:r>
          </w:p>
        </w:tc>
        <w:tc>
          <w:tcPr>
            <w:tcW w:w="820" w:type="dxa"/>
            <w:vAlign w:val="bottom"/>
            <w:gridSpan w:val="2"/>
          </w:tcPr>
          <w:p>
            <w:pPr>
              <w:ind w:left="80"/>
              <w:spacing w:after="0"/>
              <w:rPr>
                <w:sz w:val="20"/>
                <w:szCs w:val="20"/>
                <w:color w:val="auto"/>
              </w:rPr>
            </w:pPr>
            <w:r>
              <w:rPr>
                <w:rFonts w:ascii="Arial" w:cs="Arial" w:eastAsia="Arial" w:hAnsi="Arial"/>
                <w:sz w:val="12"/>
                <w:szCs w:val="12"/>
                <w:color w:val="005A64"/>
              </w:rPr>
              <w:t>90.3</w:t>
            </w:r>
          </w:p>
        </w:tc>
        <w:tc>
          <w:tcPr>
            <w:tcW w:w="800" w:type="dxa"/>
            <w:vAlign w:val="bottom"/>
            <w:gridSpan w:val="2"/>
          </w:tcPr>
          <w:p>
            <w:pPr>
              <w:ind w:left="60"/>
              <w:spacing w:after="0"/>
              <w:rPr>
                <w:sz w:val="20"/>
                <w:szCs w:val="20"/>
                <w:color w:val="auto"/>
              </w:rPr>
            </w:pPr>
            <w:r>
              <w:rPr>
                <w:rFonts w:ascii="Arial" w:cs="Arial" w:eastAsia="Arial" w:hAnsi="Arial"/>
                <w:sz w:val="12"/>
                <w:szCs w:val="12"/>
                <w:color w:val="005A64"/>
              </w:rPr>
              <w:t>291.1</w:t>
            </w:r>
          </w:p>
        </w:tc>
        <w:tc>
          <w:tcPr>
            <w:tcW w:w="0" w:type="dxa"/>
            <w:vAlign w:val="bottom"/>
          </w:tcPr>
          <w:p>
            <w:pPr>
              <w:spacing w:after="0"/>
              <w:rPr>
                <w:sz w:val="1"/>
                <w:szCs w:val="1"/>
                <w:color w:val="auto"/>
              </w:rPr>
            </w:pPr>
          </w:p>
        </w:tc>
      </w:tr>
      <w:tr>
        <w:trPr>
          <w:trHeight w:val="202"/>
        </w:trPr>
        <w:tc>
          <w:tcPr>
            <w:tcW w:w="3520" w:type="dxa"/>
            <w:vAlign w:val="bottom"/>
          </w:tcPr>
          <w:p>
            <w:pPr>
              <w:ind w:left="20"/>
              <w:spacing w:after="0"/>
              <w:rPr>
                <w:sz w:val="20"/>
                <w:szCs w:val="20"/>
                <w:color w:val="auto"/>
              </w:rPr>
            </w:pPr>
            <w:r>
              <w:rPr>
                <w:rFonts w:ascii="Arial" w:cs="Arial" w:eastAsia="Arial" w:hAnsi="Arial"/>
                <w:sz w:val="12"/>
                <w:szCs w:val="12"/>
                <w:color w:val="005A64"/>
              </w:rPr>
              <w:t>Contingent consideration</w:t>
            </w:r>
          </w:p>
        </w:tc>
        <w:tc>
          <w:tcPr>
            <w:tcW w:w="4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005A64"/>
              </w:rPr>
              <w:t>—</w:t>
            </w:r>
          </w:p>
        </w:tc>
        <w:tc>
          <w:tcPr>
            <w:tcW w:w="800" w:type="dxa"/>
            <w:vAlign w:val="bottom"/>
            <w:gridSpan w:val="2"/>
          </w:tcPr>
          <w:p>
            <w:pPr>
              <w:ind w:left="80"/>
              <w:spacing w:after="0"/>
              <w:rPr>
                <w:sz w:val="20"/>
                <w:szCs w:val="20"/>
                <w:color w:val="auto"/>
              </w:rPr>
            </w:pPr>
            <w:r>
              <w:rPr>
                <w:rFonts w:ascii="Arial" w:cs="Arial" w:eastAsia="Arial" w:hAnsi="Arial"/>
                <w:sz w:val="12"/>
                <w:szCs w:val="12"/>
                <w:color w:val="005A64"/>
              </w:rPr>
              <w:t>62.5</w:t>
            </w:r>
          </w:p>
        </w:tc>
        <w:tc>
          <w:tcPr>
            <w:tcW w:w="820" w:type="dxa"/>
            <w:vAlign w:val="bottom"/>
            <w:gridSpan w:val="2"/>
          </w:tcPr>
          <w:p>
            <w:pPr>
              <w:ind w:left="80"/>
              <w:spacing w:after="0"/>
              <w:rPr>
                <w:sz w:val="20"/>
                <w:szCs w:val="20"/>
                <w:color w:val="auto"/>
              </w:rPr>
            </w:pPr>
            <w:r>
              <w:rPr>
                <w:rFonts w:ascii="Arial" w:cs="Arial" w:eastAsia="Arial" w:hAnsi="Arial"/>
                <w:sz w:val="12"/>
                <w:szCs w:val="12"/>
                <w:color w:val="005A64"/>
              </w:rPr>
              <w:t>0.1</w:t>
            </w:r>
          </w:p>
        </w:tc>
        <w:tc>
          <w:tcPr>
            <w:tcW w:w="800" w:type="dxa"/>
            <w:vAlign w:val="bottom"/>
            <w:gridSpan w:val="2"/>
          </w:tcPr>
          <w:p>
            <w:pPr>
              <w:ind w:left="60"/>
              <w:spacing w:after="0"/>
              <w:rPr>
                <w:sz w:val="20"/>
                <w:szCs w:val="20"/>
                <w:color w:val="auto"/>
              </w:rPr>
            </w:pPr>
            <w:r>
              <w:rPr>
                <w:rFonts w:ascii="Arial" w:cs="Arial" w:eastAsia="Arial" w:hAnsi="Arial"/>
                <w:sz w:val="12"/>
                <w:szCs w:val="12"/>
                <w:color w:val="005A64"/>
              </w:rPr>
              <w:t>62.6</w:t>
            </w:r>
          </w:p>
        </w:tc>
        <w:tc>
          <w:tcPr>
            <w:tcW w:w="0" w:type="dxa"/>
            <w:vAlign w:val="bottom"/>
          </w:tcPr>
          <w:p>
            <w:pPr>
              <w:spacing w:after="0"/>
              <w:rPr>
                <w:sz w:val="1"/>
                <w:szCs w:val="1"/>
                <w:color w:val="auto"/>
              </w:rPr>
            </w:pPr>
          </w:p>
        </w:tc>
      </w:tr>
      <w:tr>
        <w:trPr>
          <w:trHeight w:val="202"/>
        </w:trPr>
        <w:tc>
          <w:tcPr>
            <w:tcW w:w="3520" w:type="dxa"/>
            <w:vAlign w:val="bottom"/>
          </w:tcPr>
          <w:p>
            <w:pPr>
              <w:ind w:left="20"/>
              <w:spacing w:after="0"/>
              <w:rPr>
                <w:sz w:val="20"/>
                <w:szCs w:val="20"/>
                <w:color w:val="auto"/>
              </w:rPr>
            </w:pPr>
            <w:r>
              <w:rPr>
                <w:rFonts w:ascii="Arial" w:cs="Arial" w:eastAsia="Arial" w:hAnsi="Arial"/>
                <w:sz w:val="12"/>
                <w:szCs w:val="12"/>
                <w:color w:val="005A64"/>
              </w:rPr>
              <w:t>Foreign exchange forward contracts</w:t>
            </w:r>
          </w:p>
        </w:tc>
        <w:tc>
          <w:tcPr>
            <w:tcW w:w="780" w:type="dxa"/>
            <w:vAlign w:val="bottom"/>
            <w:gridSpan w:val="2"/>
          </w:tcPr>
          <w:p>
            <w:pPr>
              <w:ind w:left="60"/>
              <w:spacing w:after="0"/>
              <w:rPr>
                <w:sz w:val="20"/>
                <w:szCs w:val="20"/>
                <w:color w:val="auto"/>
              </w:rPr>
            </w:pPr>
            <w:r>
              <w:rPr>
                <w:rFonts w:ascii="Arial" w:cs="Arial" w:eastAsia="Arial" w:hAnsi="Arial"/>
                <w:sz w:val="12"/>
                <w:szCs w:val="12"/>
                <w:color w:val="005A64"/>
              </w:rPr>
              <w:t>16.3</w:t>
            </w:r>
          </w:p>
        </w:tc>
        <w:tc>
          <w:tcPr>
            <w:tcW w:w="6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Arial" w:cs="Arial" w:eastAsia="Arial" w:hAnsi="Arial"/>
                <w:sz w:val="12"/>
                <w:szCs w:val="12"/>
                <w:color w:val="005A64"/>
              </w:rPr>
              <w:t>—</w:t>
            </w:r>
          </w:p>
        </w:tc>
        <w:tc>
          <w:tcPr>
            <w:tcW w:w="800" w:type="dxa"/>
            <w:vAlign w:val="bottom"/>
            <w:gridSpan w:val="2"/>
          </w:tcPr>
          <w:p>
            <w:pPr>
              <w:ind w:left="60"/>
              <w:spacing w:after="0"/>
              <w:rPr>
                <w:sz w:val="20"/>
                <w:szCs w:val="20"/>
                <w:color w:val="auto"/>
              </w:rPr>
            </w:pPr>
            <w:r>
              <w:rPr>
                <w:rFonts w:ascii="Arial" w:cs="Arial" w:eastAsia="Arial" w:hAnsi="Arial"/>
                <w:sz w:val="12"/>
                <w:szCs w:val="12"/>
                <w:color w:val="005A64"/>
              </w:rPr>
              <w:t>16.3</w:t>
            </w:r>
          </w:p>
        </w:tc>
        <w:tc>
          <w:tcPr>
            <w:tcW w:w="0" w:type="dxa"/>
            <w:vAlign w:val="bottom"/>
          </w:tcPr>
          <w:p>
            <w:pPr>
              <w:spacing w:after="0"/>
              <w:rPr>
                <w:sz w:val="1"/>
                <w:szCs w:val="1"/>
                <w:color w:val="auto"/>
              </w:rPr>
            </w:pPr>
          </w:p>
        </w:tc>
      </w:tr>
      <w:tr>
        <w:trPr>
          <w:trHeight w:val="202"/>
        </w:trPr>
        <w:tc>
          <w:tcPr>
            <w:tcW w:w="3520" w:type="dxa"/>
            <w:vAlign w:val="bottom"/>
          </w:tcPr>
          <w:p>
            <w:pPr>
              <w:ind w:left="20"/>
              <w:spacing w:after="0"/>
              <w:rPr>
                <w:sz w:val="20"/>
                <w:szCs w:val="20"/>
                <w:color w:val="auto"/>
              </w:rPr>
            </w:pPr>
            <w:r>
              <w:rPr>
                <w:rFonts w:ascii="Arial" w:cs="Arial" w:eastAsia="Arial" w:hAnsi="Arial"/>
                <w:sz w:val="12"/>
                <w:szCs w:val="12"/>
                <w:color w:val="005A64"/>
              </w:rPr>
              <w:t>Other financial liabilities</w:t>
            </w:r>
          </w:p>
        </w:tc>
        <w:tc>
          <w:tcPr>
            <w:tcW w:w="780" w:type="dxa"/>
            <w:vAlign w:val="bottom"/>
            <w:gridSpan w:val="2"/>
          </w:tcPr>
          <w:p>
            <w:pPr>
              <w:ind w:left="60"/>
              <w:spacing w:after="0"/>
              <w:rPr>
                <w:sz w:val="20"/>
                <w:szCs w:val="20"/>
                <w:color w:val="auto"/>
              </w:rPr>
            </w:pPr>
            <w:r>
              <w:rPr>
                <w:rFonts w:ascii="Arial" w:cs="Arial" w:eastAsia="Arial" w:hAnsi="Arial"/>
                <w:sz w:val="12"/>
                <w:szCs w:val="12"/>
                <w:color w:val="005A64"/>
              </w:rPr>
              <w:t>1,426.2</w:t>
            </w:r>
          </w:p>
        </w:tc>
        <w:tc>
          <w:tcPr>
            <w:tcW w:w="6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Arial" w:cs="Arial" w:eastAsia="Arial" w:hAnsi="Arial"/>
                <w:sz w:val="12"/>
                <w:szCs w:val="12"/>
                <w:color w:val="005A64"/>
              </w:rPr>
              <w:t>—</w:t>
            </w:r>
          </w:p>
        </w:tc>
        <w:tc>
          <w:tcPr>
            <w:tcW w:w="800" w:type="dxa"/>
            <w:vAlign w:val="bottom"/>
            <w:gridSpan w:val="2"/>
          </w:tcPr>
          <w:p>
            <w:pPr>
              <w:ind w:left="60"/>
              <w:spacing w:after="0"/>
              <w:rPr>
                <w:sz w:val="20"/>
                <w:szCs w:val="20"/>
                <w:color w:val="auto"/>
              </w:rPr>
            </w:pPr>
            <w:r>
              <w:rPr>
                <w:rFonts w:ascii="Arial" w:cs="Arial" w:eastAsia="Arial" w:hAnsi="Arial"/>
                <w:sz w:val="12"/>
                <w:szCs w:val="12"/>
                <w:color w:val="005A64"/>
              </w:rPr>
              <w:t>1,426.2</w:t>
            </w:r>
          </w:p>
        </w:tc>
        <w:tc>
          <w:tcPr>
            <w:tcW w:w="0" w:type="dxa"/>
            <w:vAlign w:val="bottom"/>
          </w:tcPr>
          <w:p>
            <w:pPr>
              <w:spacing w:after="0"/>
              <w:rPr>
                <w:sz w:val="1"/>
                <w:szCs w:val="1"/>
                <w:color w:val="auto"/>
              </w:rPr>
            </w:pPr>
          </w:p>
        </w:tc>
      </w:tr>
      <w:tr>
        <w:trPr>
          <w:trHeight w:val="208"/>
        </w:trPr>
        <w:tc>
          <w:tcPr>
            <w:tcW w:w="3520" w:type="dxa"/>
            <w:vAlign w:val="bottom"/>
          </w:tcPr>
          <w:p>
            <w:pPr>
              <w:ind w:left="20"/>
              <w:spacing w:after="0"/>
              <w:rPr>
                <w:sz w:val="20"/>
                <w:szCs w:val="20"/>
                <w:color w:val="auto"/>
              </w:rPr>
            </w:pPr>
            <w:r>
              <w:rPr>
                <w:rFonts w:ascii="Arial" w:cs="Arial" w:eastAsia="Arial" w:hAnsi="Arial"/>
                <w:sz w:val="12"/>
                <w:szCs w:val="12"/>
                <w:b w:val="1"/>
                <w:bCs w:val="1"/>
                <w:color w:val="005A64"/>
              </w:rPr>
              <w:t>Total</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005A64"/>
              </w:rPr>
              <w:t>1,917.3</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005A64"/>
              </w:rPr>
              <w:t>215.2</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005A64"/>
              </w:rPr>
              <w:t>90.4</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005A64"/>
              </w:rPr>
              <w:t>2,222.9</w:t>
            </w:r>
          </w:p>
        </w:tc>
        <w:tc>
          <w:tcPr>
            <w:tcW w:w="0" w:type="dxa"/>
            <w:vAlign w:val="bottom"/>
          </w:tcPr>
          <w:p>
            <w:pPr>
              <w:spacing w:after="0"/>
              <w:rPr>
                <w:sz w:val="1"/>
                <w:szCs w:val="1"/>
                <w:color w:val="auto"/>
              </w:rPr>
            </w:pPr>
          </w:p>
        </w:tc>
      </w:tr>
      <w:tr>
        <w:trPr>
          <w:trHeight w:val="57"/>
        </w:trPr>
        <w:tc>
          <w:tcPr>
            <w:tcW w:w="3520" w:type="dxa"/>
            <w:vAlign w:val="bottom"/>
            <w:tcBorders>
              <w:bottom w:val="single" w:sz="8" w:color="005A64"/>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3520" w:type="dxa"/>
            <w:vAlign w:val="bottom"/>
          </w:tcPr>
          <w:p>
            <w:pPr>
              <w:ind w:left="20"/>
              <w:spacing w:after="0"/>
              <w:rPr>
                <w:sz w:val="20"/>
                <w:szCs w:val="20"/>
                <w:color w:val="auto"/>
              </w:rPr>
            </w:pPr>
            <w:r>
              <w:rPr>
                <w:rFonts w:ascii="Arial" w:cs="Arial" w:eastAsia="Arial" w:hAnsi="Arial"/>
                <w:sz w:val="12"/>
                <w:szCs w:val="12"/>
                <w:b w:val="1"/>
                <w:bCs w:val="1"/>
                <w:color w:val="005A64"/>
              </w:rPr>
              <w:t>Year ended December 31, 2023</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20" w:type="dxa"/>
            <w:vAlign w:val="bottom"/>
          </w:tcPr>
          <w:p>
            <w:pPr>
              <w:ind w:left="20"/>
              <w:spacing w:after="0"/>
              <w:rPr>
                <w:sz w:val="20"/>
                <w:szCs w:val="20"/>
                <w:color w:val="auto"/>
              </w:rPr>
            </w:pPr>
            <w:r>
              <w:rPr>
                <w:rFonts w:ascii="Arial" w:cs="Arial" w:eastAsia="Arial" w:hAnsi="Arial"/>
                <w:sz w:val="12"/>
                <w:szCs w:val="12"/>
                <w:i w:val="1"/>
                <w:iCs w:val="1"/>
                <w:color w:val="005A64"/>
              </w:rPr>
              <w:t>(in millions €)</w:t>
            </w:r>
          </w:p>
        </w:tc>
        <w:tc>
          <w:tcPr>
            <w:tcW w:w="4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005A64"/>
              </w:rPr>
              <w:t>Less than</w:t>
            </w:r>
          </w:p>
        </w:tc>
        <w:tc>
          <w:tcPr>
            <w:tcW w:w="6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005A64"/>
              </w:rPr>
              <w:t>1 to 5</w:t>
            </w:r>
          </w:p>
        </w:tc>
        <w:tc>
          <w:tcPr>
            <w:tcW w:w="6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005A64"/>
              </w:rPr>
              <w:t>More than</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005A64"/>
              </w:rPr>
              <w:t>Total</w:t>
            </w:r>
          </w:p>
        </w:tc>
        <w:tc>
          <w:tcPr>
            <w:tcW w:w="0" w:type="dxa"/>
            <w:vAlign w:val="bottom"/>
          </w:tcPr>
          <w:p>
            <w:pPr>
              <w:spacing w:after="0"/>
              <w:rPr>
                <w:sz w:val="1"/>
                <w:szCs w:val="1"/>
                <w:color w:val="auto"/>
              </w:rPr>
            </w:pPr>
          </w:p>
        </w:tc>
      </w:tr>
      <w:tr>
        <w:trPr>
          <w:trHeight w:val="166"/>
        </w:trPr>
        <w:tc>
          <w:tcPr>
            <w:tcW w:w="3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005A64"/>
              </w:rPr>
              <w:t>1 year</w:t>
            </w:r>
          </w:p>
        </w:tc>
        <w:tc>
          <w:tcPr>
            <w:tcW w:w="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005A64"/>
              </w:rPr>
              <w:t>years</w:t>
            </w:r>
          </w:p>
        </w:tc>
        <w:tc>
          <w:tcPr>
            <w:tcW w:w="6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005A64"/>
              </w:rPr>
              <w:t>5 years</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352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60" w:type="dxa"/>
            <w:vAlign w:val="bottom"/>
            <w:vMerge w:val="restart"/>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60" w:type="dxa"/>
            <w:vAlign w:val="bottom"/>
            <w:vMerge w:val="restart"/>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3520" w:type="dxa"/>
            <w:vAlign w:val="bottom"/>
          </w:tcPr>
          <w:p>
            <w:pPr>
              <w:ind w:left="20"/>
              <w:spacing w:after="0"/>
              <w:rPr>
                <w:sz w:val="20"/>
                <w:szCs w:val="20"/>
                <w:color w:val="auto"/>
              </w:rPr>
            </w:pPr>
            <w:r>
              <w:rPr>
                <w:rFonts w:ascii="Arial" w:cs="Arial" w:eastAsia="Arial" w:hAnsi="Arial"/>
                <w:sz w:val="12"/>
                <w:szCs w:val="12"/>
                <w:color w:val="005A64"/>
              </w:rPr>
              <w:t>Loans and borrowings</w:t>
            </w:r>
          </w:p>
        </w:tc>
        <w:tc>
          <w:tcPr>
            <w:tcW w:w="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005A64"/>
              </w:rPr>
              <w:t>—</w:t>
            </w:r>
          </w:p>
        </w:tc>
        <w:tc>
          <w:tcPr>
            <w:tcW w:w="60" w:type="dxa"/>
            <w:vAlign w:val="bottom"/>
            <w:vMerge w:val="continue"/>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005A64"/>
              </w:rPr>
              <w:t>2.3</w:t>
            </w: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color w:val="005A64"/>
              </w:rPr>
              <w:t>—</w:t>
            </w:r>
          </w:p>
        </w:tc>
        <w:tc>
          <w:tcPr>
            <w:tcW w:w="6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color w:val="005A64"/>
              </w:rPr>
              <w:t>2.3</w:t>
            </w:r>
          </w:p>
        </w:tc>
        <w:tc>
          <w:tcPr>
            <w:tcW w:w="0" w:type="dxa"/>
            <w:vAlign w:val="bottom"/>
          </w:tcPr>
          <w:p>
            <w:pPr>
              <w:spacing w:after="0"/>
              <w:rPr>
                <w:sz w:val="1"/>
                <w:szCs w:val="1"/>
                <w:color w:val="auto"/>
              </w:rPr>
            </w:pPr>
          </w:p>
        </w:tc>
      </w:tr>
      <w:tr>
        <w:trPr>
          <w:trHeight w:val="181"/>
        </w:trPr>
        <w:tc>
          <w:tcPr>
            <w:tcW w:w="3520" w:type="dxa"/>
            <w:vAlign w:val="bottom"/>
          </w:tcPr>
          <w:p>
            <w:pPr>
              <w:ind w:left="20"/>
              <w:spacing w:after="0"/>
              <w:rPr>
                <w:sz w:val="20"/>
                <w:szCs w:val="20"/>
                <w:color w:val="auto"/>
              </w:rPr>
            </w:pPr>
            <w:r>
              <w:rPr>
                <w:rFonts w:ascii="Arial" w:cs="Arial" w:eastAsia="Arial" w:hAnsi="Arial"/>
                <w:sz w:val="12"/>
                <w:szCs w:val="12"/>
                <w:color w:val="005A64"/>
              </w:rPr>
              <w:t>Trade and other payables</w:t>
            </w:r>
          </w:p>
        </w:tc>
        <w:tc>
          <w:tcPr>
            <w:tcW w:w="780" w:type="dxa"/>
            <w:vAlign w:val="bottom"/>
            <w:gridSpan w:val="2"/>
          </w:tcPr>
          <w:p>
            <w:pPr>
              <w:ind w:left="60"/>
              <w:spacing w:after="0"/>
              <w:rPr>
                <w:sz w:val="20"/>
                <w:szCs w:val="20"/>
                <w:color w:val="auto"/>
              </w:rPr>
            </w:pPr>
            <w:r>
              <w:rPr>
                <w:rFonts w:ascii="Arial" w:cs="Arial" w:eastAsia="Arial" w:hAnsi="Arial"/>
                <w:sz w:val="12"/>
                <w:szCs w:val="12"/>
                <w:color w:val="005A64"/>
              </w:rPr>
              <w:t>354.0</w:t>
            </w:r>
          </w:p>
        </w:tc>
        <w:tc>
          <w:tcPr>
            <w:tcW w:w="6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color w:val="005A64"/>
              </w:rPr>
              <w:t>—</w:t>
            </w:r>
          </w:p>
        </w:tc>
        <w:tc>
          <w:tcPr>
            <w:tcW w:w="800" w:type="dxa"/>
            <w:vAlign w:val="bottom"/>
            <w:gridSpan w:val="2"/>
          </w:tcPr>
          <w:p>
            <w:pPr>
              <w:ind w:left="60"/>
              <w:spacing w:after="0"/>
              <w:rPr>
                <w:sz w:val="20"/>
                <w:szCs w:val="20"/>
                <w:color w:val="auto"/>
              </w:rPr>
            </w:pPr>
            <w:r>
              <w:rPr>
                <w:rFonts w:ascii="Arial" w:cs="Arial" w:eastAsia="Arial" w:hAnsi="Arial"/>
                <w:sz w:val="12"/>
                <w:szCs w:val="12"/>
                <w:color w:val="005A64"/>
              </w:rPr>
              <w:t>354.0</w:t>
            </w:r>
          </w:p>
        </w:tc>
        <w:tc>
          <w:tcPr>
            <w:tcW w:w="0" w:type="dxa"/>
            <w:vAlign w:val="bottom"/>
          </w:tcPr>
          <w:p>
            <w:pPr>
              <w:spacing w:after="0"/>
              <w:rPr>
                <w:sz w:val="1"/>
                <w:szCs w:val="1"/>
                <w:color w:val="auto"/>
              </w:rPr>
            </w:pPr>
          </w:p>
        </w:tc>
      </w:tr>
      <w:tr>
        <w:trPr>
          <w:trHeight w:val="202"/>
        </w:trPr>
        <w:tc>
          <w:tcPr>
            <w:tcW w:w="3520" w:type="dxa"/>
            <w:vAlign w:val="bottom"/>
          </w:tcPr>
          <w:p>
            <w:pPr>
              <w:ind w:left="20"/>
              <w:spacing w:after="0"/>
              <w:rPr>
                <w:sz w:val="20"/>
                <w:szCs w:val="20"/>
                <w:color w:val="auto"/>
              </w:rPr>
            </w:pPr>
            <w:r>
              <w:rPr>
                <w:rFonts w:ascii="Arial" w:cs="Arial" w:eastAsia="Arial" w:hAnsi="Arial"/>
                <w:sz w:val="12"/>
                <w:szCs w:val="12"/>
                <w:color w:val="005A64"/>
              </w:rPr>
              <w:t>Lease liabilities</w:t>
            </w:r>
          </w:p>
        </w:tc>
        <w:tc>
          <w:tcPr>
            <w:tcW w:w="780" w:type="dxa"/>
            <w:vAlign w:val="bottom"/>
            <w:gridSpan w:val="2"/>
          </w:tcPr>
          <w:p>
            <w:pPr>
              <w:ind w:left="60"/>
              <w:spacing w:after="0"/>
              <w:rPr>
                <w:sz w:val="20"/>
                <w:szCs w:val="20"/>
                <w:color w:val="auto"/>
              </w:rPr>
            </w:pPr>
            <w:r>
              <w:rPr>
                <w:rFonts w:ascii="Arial" w:cs="Arial" w:eastAsia="Arial" w:hAnsi="Arial"/>
                <w:sz w:val="12"/>
                <w:szCs w:val="12"/>
                <w:color w:val="005A64"/>
              </w:rPr>
              <w:t>34.1</w:t>
            </w:r>
          </w:p>
        </w:tc>
        <w:tc>
          <w:tcPr>
            <w:tcW w:w="800" w:type="dxa"/>
            <w:vAlign w:val="bottom"/>
            <w:gridSpan w:val="2"/>
          </w:tcPr>
          <w:p>
            <w:pPr>
              <w:ind w:left="80"/>
              <w:spacing w:after="0"/>
              <w:rPr>
                <w:sz w:val="20"/>
                <w:szCs w:val="20"/>
                <w:color w:val="auto"/>
              </w:rPr>
            </w:pPr>
            <w:r>
              <w:rPr>
                <w:rFonts w:ascii="Arial" w:cs="Arial" w:eastAsia="Arial" w:hAnsi="Arial"/>
                <w:sz w:val="12"/>
                <w:szCs w:val="12"/>
                <w:color w:val="005A64"/>
              </w:rPr>
              <w:t>136.6</w:t>
            </w:r>
          </w:p>
        </w:tc>
        <w:tc>
          <w:tcPr>
            <w:tcW w:w="820" w:type="dxa"/>
            <w:vAlign w:val="bottom"/>
            <w:gridSpan w:val="2"/>
          </w:tcPr>
          <w:p>
            <w:pPr>
              <w:ind w:left="80"/>
              <w:spacing w:after="0"/>
              <w:rPr>
                <w:sz w:val="20"/>
                <w:szCs w:val="20"/>
                <w:color w:val="auto"/>
              </w:rPr>
            </w:pPr>
            <w:r>
              <w:rPr>
                <w:rFonts w:ascii="Arial" w:cs="Arial" w:eastAsia="Arial" w:hAnsi="Arial"/>
                <w:sz w:val="12"/>
                <w:szCs w:val="12"/>
                <w:color w:val="005A64"/>
              </w:rPr>
              <w:t>73.7</w:t>
            </w:r>
          </w:p>
        </w:tc>
        <w:tc>
          <w:tcPr>
            <w:tcW w:w="800" w:type="dxa"/>
            <w:vAlign w:val="bottom"/>
            <w:gridSpan w:val="2"/>
          </w:tcPr>
          <w:p>
            <w:pPr>
              <w:ind w:left="60"/>
              <w:spacing w:after="0"/>
              <w:rPr>
                <w:sz w:val="20"/>
                <w:szCs w:val="20"/>
                <w:color w:val="auto"/>
              </w:rPr>
            </w:pPr>
            <w:r>
              <w:rPr>
                <w:rFonts w:ascii="Arial" w:cs="Arial" w:eastAsia="Arial" w:hAnsi="Arial"/>
                <w:sz w:val="12"/>
                <w:szCs w:val="12"/>
                <w:color w:val="005A64"/>
              </w:rPr>
              <w:t>244.4</w:t>
            </w:r>
          </w:p>
        </w:tc>
        <w:tc>
          <w:tcPr>
            <w:tcW w:w="0" w:type="dxa"/>
            <w:vAlign w:val="bottom"/>
          </w:tcPr>
          <w:p>
            <w:pPr>
              <w:spacing w:after="0"/>
              <w:rPr>
                <w:sz w:val="1"/>
                <w:szCs w:val="1"/>
                <w:color w:val="auto"/>
              </w:rPr>
            </w:pPr>
          </w:p>
        </w:tc>
      </w:tr>
      <w:tr>
        <w:trPr>
          <w:trHeight w:val="202"/>
        </w:trPr>
        <w:tc>
          <w:tcPr>
            <w:tcW w:w="3520" w:type="dxa"/>
            <w:vAlign w:val="bottom"/>
          </w:tcPr>
          <w:p>
            <w:pPr>
              <w:ind w:left="20"/>
              <w:spacing w:after="0"/>
              <w:rPr>
                <w:sz w:val="20"/>
                <w:szCs w:val="20"/>
                <w:color w:val="auto"/>
              </w:rPr>
            </w:pPr>
            <w:r>
              <w:rPr>
                <w:rFonts w:ascii="Arial" w:cs="Arial" w:eastAsia="Arial" w:hAnsi="Arial"/>
                <w:sz w:val="12"/>
                <w:szCs w:val="12"/>
                <w:color w:val="005A64"/>
              </w:rPr>
              <w:t>Contingent consideration</w:t>
            </w:r>
          </w:p>
        </w:tc>
        <w:tc>
          <w:tcPr>
            <w:tcW w:w="4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005A64"/>
              </w:rPr>
              <w:t>—</w:t>
            </w:r>
          </w:p>
        </w:tc>
        <w:tc>
          <w:tcPr>
            <w:tcW w:w="800" w:type="dxa"/>
            <w:vAlign w:val="bottom"/>
            <w:gridSpan w:val="2"/>
          </w:tcPr>
          <w:p>
            <w:pPr>
              <w:ind w:left="80"/>
              <w:spacing w:after="0"/>
              <w:rPr>
                <w:sz w:val="20"/>
                <w:szCs w:val="20"/>
                <w:color w:val="auto"/>
              </w:rPr>
            </w:pPr>
            <w:r>
              <w:rPr>
                <w:rFonts w:ascii="Arial" w:cs="Arial" w:eastAsia="Arial" w:hAnsi="Arial"/>
                <w:sz w:val="12"/>
                <w:szCs w:val="12"/>
                <w:color w:val="005A64"/>
              </w:rPr>
              <w:t>57.5</w:t>
            </w:r>
          </w:p>
        </w:tc>
        <w:tc>
          <w:tcPr>
            <w:tcW w:w="820" w:type="dxa"/>
            <w:vAlign w:val="bottom"/>
            <w:gridSpan w:val="2"/>
          </w:tcPr>
          <w:p>
            <w:pPr>
              <w:ind w:left="80"/>
              <w:spacing w:after="0"/>
              <w:rPr>
                <w:sz w:val="20"/>
                <w:szCs w:val="20"/>
                <w:color w:val="auto"/>
              </w:rPr>
            </w:pPr>
            <w:r>
              <w:rPr>
                <w:rFonts w:ascii="Arial" w:cs="Arial" w:eastAsia="Arial" w:hAnsi="Arial"/>
                <w:sz w:val="12"/>
                <w:szCs w:val="12"/>
                <w:color w:val="005A64"/>
              </w:rPr>
              <w:t>0.3</w:t>
            </w:r>
          </w:p>
        </w:tc>
        <w:tc>
          <w:tcPr>
            <w:tcW w:w="800" w:type="dxa"/>
            <w:vAlign w:val="bottom"/>
            <w:gridSpan w:val="2"/>
          </w:tcPr>
          <w:p>
            <w:pPr>
              <w:ind w:left="60"/>
              <w:spacing w:after="0"/>
              <w:rPr>
                <w:sz w:val="20"/>
                <w:szCs w:val="20"/>
                <w:color w:val="auto"/>
              </w:rPr>
            </w:pPr>
            <w:r>
              <w:rPr>
                <w:rFonts w:ascii="Arial" w:cs="Arial" w:eastAsia="Arial" w:hAnsi="Arial"/>
                <w:sz w:val="12"/>
                <w:szCs w:val="12"/>
                <w:color w:val="005A64"/>
              </w:rPr>
              <w:t>57.8</w:t>
            </w:r>
          </w:p>
        </w:tc>
        <w:tc>
          <w:tcPr>
            <w:tcW w:w="0" w:type="dxa"/>
            <w:vAlign w:val="bottom"/>
          </w:tcPr>
          <w:p>
            <w:pPr>
              <w:spacing w:after="0"/>
              <w:rPr>
                <w:sz w:val="1"/>
                <w:szCs w:val="1"/>
                <w:color w:val="auto"/>
              </w:rPr>
            </w:pPr>
          </w:p>
        </w:tc>
      </w:tr>
      <w:tr>
        <w:trPr>
          <w:trHeight w:val="202"/>
        </w:trPr>
        <w:tc>
          <w:tcPr>
            <w:tcW w:w="3520" w:type="dxa"/>
            <w:vAlign w:val="bottom"/>
          </w:tcPr>
          <w:p>
            <w:pPr>
              <w:ind w:left="20"/>
              <w:spacing w:after="0"/>
              <w:rPr>
                <w:sz w:val="20"/>
                <w:szCs w:val="20"/>
                <w:color w:val="auto"/>
              </w:rPr>
            </w:pPr>
            <w:r>
              <w:rPr>
                <w:rFonts w:ascii="Arial" w:cs="Arial" w:eastAsia="Arial" w:hAnsi="Arial"/>
                <w:sz w:val="12"/>
                <w:szCs w:val="12"/>
                <w:color w:val="005A64"/>
              </w:rPr>
              <w:t>Foreign exchange forward contracts</w:t>
            </w:r>
          </w:p>
        </w:tc>
        <w:tc>
          <w:tcPr>
            <w:tcW w:w="780" w:type="dxa"/>
            <w:vAlign w:val="bottom"/>
            <w:gridSpan w:val="2"/>
          </w:tcPr>
          <w:p>
            <w:pPr>
              <w:ind w:left="60"/>
              <w:spacing w:after="0"/>
              <w:rPr>
                <w:sz w:val="20"/>
                <w:szCs w:val="20"/>
                <w:color w:val="auto"/>
              </w:rPr>
            </w:pPr>
            <w:r>
              <w:rPr>
                <w:rFonts w:ascii="Arial" w:cs="Arial" w:eastAsia="Arial" w:hAnsi="Arial"/>
                <w:sz w:val="12"/>
                <w:szCs w:val="12"/>
                <w:color w:val="005A64"/>
              </w:rPr>
              <w:t>0.4</w:t>
            </w:r>
          </w:p>
        </w:tc>
        <w:tc>
          <w:tcPr>
            <w:tcW w:w="6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Arial" w:cs="Arial" w:eastAsia="Arial" w:hAnsi="Arial"/>
                <w:sz w:val="12"/>
                <w:szCs w:val="12"/>
                <w:color w:val="005A64"/>
              </w:rPr>
              <w:t>—</w:t>
            </w:r>
          </w:p>
        </w:tc>
        <w:tc>
          <w:tcPr>
            <w:tcW w:w="800" w:type="dxa"/>
            <w:vAlign w:val="bottom"/>
            <w:gridSpan w:val="2"/>
          </w:tcPr>
          <w:p>
            <w:pPr>
              <w:ind w:left="60"/>
              <w:spacing w:after="0"/>
              <w:rPr>
                <w:sz w:val="20"/>
                <w:szCs w:val="20"/>
                <w:color w:val="auto"/>
              </w:rPr>
            </w:pPr>
            <w:r>
              <w:rPr>
                <w:rFonts w:ascii="Arial" w:cs="Arial" w:eastAsia="Arial" w:hAnsi="Arial"/>
                <w:sz w:val="12"/>
                <w:szCs w:val="12"/>
                <w:color w:val="005A64"/>
              </w:rPr>
              <w:t>0.4</w:t>
            </w:r>
          </w:p>
        </w:tc>
        <w:tc>
          <w:tcPr>
            <w:tcW w:w="0" w:type="dxa"/>
            <w:vAlign w:val="bottom"/>
          </w:tcPr>
          <w:p>
            <w:pPr>
              <w:spacing w:after="0"/>
              <w:rPr>
                <w:sz w:val="1"/>
                <w:szCs w:val="1"/>
                <w:color w:val="auto"/>
              </w:rPr>
            </w:pPr>
          </w:p>
        </w:tc>
      </w:tr>
      <w:tr>
        <w:trPr>
          <w:trHeight w:val="202"/>
        </w:trPr>
        <w:tc>
          <w:tcPr>
            <w:tcW w:w="3520" w:type="dxa"/>
            <w:vAlign w:val="bottom"/>
          </w:tcPr>
          <w:p>
            <w:pPr>
              <w:ind w:left="20"/>
              <w:spacing w:after="0"/>
              <w:rPr>
                <w:sz w:val="20"/>
                <w:szCs w:val="20"/>
                <w:color w:val="auto"/>
              </w:rPr>
            </w:pPr>
            <w:r>
              <w:rPr>
                <w:rFonts w:ascii="Arial" w:cs="Arial" w:eastAsia="Arial" w:hAnsi="Arial"/>
                <w:sz w:val="12"/>
                <w:szCs w:val="12"/>
                <w:color w:val="005A64"/>
              </w:rPr>
              <w:t>Other financial liabilities</w:t>
            </w:r>
          </w:p>
        </w:tc>
        <w:tc>
          <w:tcPr>
            <w:tcW w:w="780" w:type="dxa"/>
            <w:vAlign w:val="bottom"/>
            <w:gridSpan w:val="2"/>
          </w:tcPr>
          <w:p>
            <w:pPr>
              <w:ind w:left="60"/>
              <w:spacing w:after="0"/>
              <w:rPr>
                <w:sz w:val="20"/>
                <w:szCs w:val="20"/>
                <w:color w:val="auto"/>
              </w:rPr>
            </w:pPr>
            <w:r>
              <w:rPr>
                <w:rFonts w:ascii="Arial" w:cs="Arial" w:eastAsia="Arial" w:hAnsi="Arial"/>
                <w:sz w:val="12"/>
                <w:szCs w:val="12"/>
                <w:color w:val="005A64"/>
              </w:rPr>
              <w:t>414.9</w:t>
            </w:r>
          </w:p>
        </w:tc>
        <w:tc>
          <w:tcPr>
            <w:tcW w:w="6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Arial" w:cs="Arial" w:eastAsia="Arial" w:hAnsi="Arial"/>
                <w:sz w:val="12"/>
                <w:szCs w:val="12"/>
                <w:color w:val="005A64"/>
              </w:rPr>
              <w:t>—</w:t>
            </w:r>
          </w:p>
        </w:tc>
        <w:tc>
          <w:tcPr>
            <w:tcW w:w="800" w:type="dxa"/>
            <w:vAlign w:val="bottom"/>
            <w:gridSpan w:val="2"/>
          </w:tcPr>
          <w:p>
            <w:pPr>
              <w:ind w:left="60"/>
              <w:spacing w:after="0"/>
              <w:rPr>
                <w:sz w:val="20"/>
                <w:szCs w:val="20"/>
                <w:color w:val="auto"/>
              </w:rPr>
            </w:pPr>
            <w:r>
              <w:rPr>
                <w:rFonts w:ascii="Arial" w:cs="Arial" w:eastAsia="Arial" w:hAnsi="Arial"/>
                <w:sz w:val="12"/>
                <w:szCs w:val="12"/>
                <w:color w:val="005A64"/>
              </w:rPr>
              <w:t>414.9</w:t>
            </w:r>
          </w:p>
        </w:tc>
        <w:tc>
          <w:tcPr>
            <w:tcW w:w="0" w:type="dxa"/>
            <w:vAlign w:val="bottom"/>
          </w:tcPr>
          <w:p>
            <w:pPr>
              <w:spacing w:after="0"/>
              <w:rPr>
                <w:sz w:val="1"/>
                <w:szCs w:val="1"/>
                <w:color w:val="auto"/>
              </w:rPr>
            </w:pPr>
          </w:p>
        </w:tc>
      </w:tr>
      <w:tr>
        <w:trPr>
          <w:trHeight w:val="208"/>
        </w:trPr>
        <w:tc>
          <w:tcPr>
            <w:tcW w:w="3520" w:type="dxa"/>
            <w:vAlign w:val="bottom"/>
          </w:tcPr>
          <w:p>
            <w:pPr>
              <w:ind w:left="20"/>
              <w:spacing w:after="0"/>
              <w:rPr>
                <w:sz w:val="20"/>
                <w:szCs w:val="20"/>
                <w:color w:val="auto"/>
              </w:rPr>
            </w:pPr>
            <w:r>
              <w:rPr>
                <w:rFonts w:ascii="Arial" w:cs="Arial" w:eastAsia="Arial" w:hAnsi="Arial"/>
                <w:sz w:val="12"/>
                <w:szCs w:val="12"/>
                <w:b w:val="1"/>
                <w:bCs w:val="1"/>
                <w:color w:val="005A64"/>
              </w:rPr>
              <w:t>Total</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005A64"/>
              </w:rPr>
              <w:t>803.4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005A64"/>
              </w:rPr>
              <w:t>196.4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005A64"/>
              </w:rPr>
              <w:t>74.0</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005A64"/>
              </w:rPr>
              <w:t>1,073.8</w:t>
            </w:r>
          </w:p>
        </w:tc>
        <w:tc>
          <w:tcPr>
            <w:tcW w:w="0" w:type="dxa"/>
            <w:vAlign w:val="bottom"/>
          </w:tcPr>
          <w:p>
            <w:pPr>
              <w:spacing w:after="0"/>
              <w:rPr>
                <w:sz w:val="1"/>
                <w:szCs w:val="1"/>
                <w:color w:val="auto"/>
              </w:rPr>
            </w:pPr>
          </w:p>
        </w:tc>
      </w:tr>
      <w:tr>
        <w:trPr>
          <w:trHeight w:val="47"/>
        </w:trPr>
        <w:tc>
          <w:tcPr>
            <w:tcW w:w="352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F-57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005A64"/>
        </w:rPr>
        <w:t>12.8 Changes in Liabilities Arising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-88265</wp:posOffset>
            </wp:positionV>
            <wp:extent cx="5231130" cy="63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40">
                      <a:extLst>
                        <a:ext uri="{28A0092B-C50C-407E-A947-70E740481C1C}"/>
                      </a:extLst>
                    </a:blip>
                    <a:srcRect/>
                    <a:stretch>
                      <a:fillRect/>
                    </a:stretch>
                  </pic:blipFill>
                  <pic:spPr bwMode="auto">
                    <a:xfrm>
                      <a:off x="0" y="0"/>
                      <a:ext cx="5231130" cy="635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1270</wp:posOffset>
            </wp:positionV>
            <wp:extent cx="4242435" cy="127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41">
                      <a:extLst>
                        <a:ext uri="{28A0092B-C50C-407E-A947-70E740481C1C}"/>
                      </a:extLst>
                    </a:blip>
                    <a:srcRect/>
                    <a:stretch>
                      <a:fillRect/>
                    </a:stretch>
                  </pic:blipFill>
                  <pic:spPr bwMode="auto">
                    <a:xfrm>
                      <a:off x="0" y="0"/>
                      <a:ext cx="4242435" cy="12700"/>
                    </a:xfrm>
                    <a:prstGeom prst="rect">
                      <a:avLst/>
                    </a:prstGeom>
                    <a:noFill/>
                  </pic:spPr>
                </pic:pic>
              </a:graphicData>
            </a:graphic>
          </wp:anchor>
        </w:drawing>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2"/>
          <w:szCs w:val="12"/>
          <w:b w:val="1"/>
          <w:bCs w:val="1"/>
          <w:color w:val="005A64"/>
        </w:rPr>
        <w:t>Year ended December 31, 2024</w:t>
      </w:r>
    </w:p>
    <w:p>
      <w:pPr>
        <w:spacing w:after="0" w:line="136" w:lineRule="exact"/>
        <w:rPr>
          <w:sz w:val="20"/>
          <w:szCs w:val="20"/>
          <w:color w:val="auto"/>
        </w:rPr>
      </w:pPr>
    </w:p>
    <w:tbl>
      <w:tblPr>
        <w:tblLayout w:type="fixed"/>
        <w:tblInd w:w="380" w:type="dxa"/>
        <w:tblCellMar>
          <w:top w:w="0" w:type="dxa"/>
          <w:left w:w="0" w:type="dxa"/>
          <w:bottom w:w="0" w:type="dxa"/>
          <w:right w:w="0" w:type="dxa"/>
        </w:tblCellMar>
      </w:tblPr>
      <w:tr>
        <w:trPr>
          <w:trHeight w:val="121"/>
        </w:trPr>
        <w:tc>
          <w:tcPr>
            <w:tcW w:w="1620" w:type="dxa"/>
            <w:vAlign w:val="bottom"/>
            <w:tcBorders>
              <w:right w:val="single" w:sz="8" w:color="BECE33"/>
            </w:tcBorders>
            <w:gridSpan w:val="2"/>
          </w:tcPr>
          <w:p>
            <w:pPr>
              <w:ind w:left="20"/>
              <w:spacing w:after="0" w:line="121" w:lineRule="exact"/>
              <w:rPr>
                <w:sz w:val="20"/>
                <w:szCs w:val="20"/>
                <w:color w:val="auto"/>
              </w:rPr>
            </w:pPr>
            <w:r>
              <w:rPr>
                <w:rFonts w:ascii="Arial" w:cs="Arial" w:eastAsia="Arial" w:hAnsi="Arial"/>
                <w:sz w:val="12"/>
                <w:szCs w:val="12"/>
                <w:i w:val="1"/>
                <w:iCs w:val="1"/>
                <w:color w:val="005A64"/>
              </w:rPr>
              <w:t>(in millions €)</w:t>
            </w:r>
          </w:p>
        </w:tc>
        <w:tc>
          <w:tcPr>
            <w:tcW w:w="20" w:type="dxa"/>
            <w:vAlign w:val="bottom"/>
            <w:tcBorders>
              <w:top w:val="single" w:sz="8" w:color="BECE33"/>
            </w:tcBorders>
          </w:tcPr>
          <w:p>
            <w:pPr>
              <w:spacing w:after="0"/>
              <w:rPr>
                <w:sz w:val="10"/>
                <w:szCs w:val="10"/>
                <w:color w:val="auto"/>
              </w:rPr>
            </w:pPr>
          </w:p>
        </w:tc>
        <w:tc>
          <w:tcPr>
            <w:tcW w:w="780" w:type="dxa"/>
            <w:vAlign w:val="bottom"/>
            <w:tcBorders>
              <w:top w:val="single" w:sz="8" w:color="BECE33"/>
            </w:tcBorders>
          </w:tcPr>
          <w:p>
            <w:pPr>
              <w:spacing w:after="0" w:line="121" w:lineRule="exact"/>
              <w:rPr>
                <w:sz w:val="20"/>
                <w:szCs w:val="20"/>
                <w:color w:val="auto"/>
              </w:rPr>
            </w:pPr>
            <w:r>
              <w:rPr>
                <w:rFonts w:ascii="Arial" w:cs="Arial" w:eastAsia="Arial" w:hAnsi="Arial"/>
                <w:sz w:val="12"/>
                <w:szCs w:val="12"/>
                <w:b w:val="1"/>
                <w:bCs w:val="1"/>
                <w:color w:val="005A64"/>
              </w:rPr>
              <w:t>January 1,</w:t>
            </w:r>
          </w:p>
        </w:tc>
        <w:tc>
          <w:tcPr>
            <w:tcW w:w="60" w:type="dxa"/>
            <w:vAlign w:val="bottom"/>
            <w:tcBorders>
              <w:top w:val="single" w:sz="8" w:color="BECE33"/>
            </w:tcBorders>
          </w:tcPr>
          <w:p>
            <w:pPr>
              <w:spacing w:after="0"/>
              <w:rPr>
                <w:sz w:val="10"/>
                <w:szCs w:val="10"/>
                <w:color w:val="auto"/>
              </w:rPr>
            </w:pPr>
          </w:p>
        </w:tc>
        <w:tc>
          <w:tcPr>
            <w:tcW w:w="800" w:type="dxa"/>
            <w:vAlign w:val="bottom"/>
            <w:tcBorders>
              <w:top w:val="single" w:sz="8" w:color="BECE33"/>
            </w:tcBorders>
          </w:tcPr>
          <w:p>
            <w:pPr>
              <w:ind w:left="20"/>
              <w:spacing w:after="0" w:line="121" w:lineRule="exact"/>
              <w:rPr>
                <w:sz w:val="20"/>
                <w:szCs w:val="20"/>
                <w:color w:val="auto"/>
              </w:rPr>
            </w:pPr>
            <w:r>
              <w:rPr>
                <w:rFonts w:ascii="Arial" w:cs="Arial" w:eastAsia="Arial" w:hAnsi="Arial"/>
                <w:sz w:val="12"/>
                <w:szCs w:val="12"/>
                <w:b w:val="1"/>
                <w:bCs w:val="1"/>
                <w:color w:val="005A64"/>
              </w:rPr>
              <w:t>Cash flows</w:t>
            </w:r>
          </w:p>
        </w:tc>
        <w:tc>
          <w:tcPr>
            <w:tcW w:w="40" w:type="dxa"/>
            <w:vAlign w:val="bottom"/>
            <w:tcBorders>
              <w:top w:val="single" w:sz="8" w:color="BECE33"/>
            </w:tcBorders>
          </w:tcPr>
          <w:p>
            <w:pPr>
              <w:spacing w:after="0"/>
              <w:rPr>
                <w:sz w:val="10"/>
                <w:szCs w:val="10"/>
                <w:color w:val="auto"/>
              </w:rPr>
            </w:pPr>
          </w:p>
        </w:tc>
        <w:tc>
          <w:tcPr>
            <w:tcW w:w="800" w:type="dxa"/>
            <w:vAlign w:val="bottom"/>
            <w:tcBorders>
              <w:top w:val="single" w:sz="8" w:color="BECE33"/>
            </w:tcBorders>
          </w:tcPr>
          <w:p>
            <w:pPr>
              <w:ind w:left="20"/>
              <w:spacing w:after="0" w:line="121" w:lineRule="exact"/>
              <w:rPr>
                <w:sz w:val="20"/>
                <w:szCs w:val="20"/>
                <w:color w:val="auto"/>
              </w:rPr>
            </w:pPr>
            <w:r>
              <w:rPr>
                <w:rFonts w:ascii="Arial" w:cs="Arial" w:eastAsia="Arial" w:hAnsi="Arial"/>
                <w:sz w:val="12"/>
                <w:szCs w:val="12"/>
                <w:b w:val="1"/>
                <w:bCs w:val="1"/>
                <w:color w:val="005A64"/>
              </w:rPr>
              <w:t>New leases</w:t>
            </w:r>
          </w:p>
        </w:tc>
        <w:tc>
          <w:tcPr>
            <w:tcW w:w="60" w:type="dxa"/>
            <w:vAlign w:val="bottom"/>
            <w:tcBorders>
              <w:top w:val="single" w:sz="8" w:color="BECE33"/>
            </w:tcBorders>
          </w:tcPr>
          <w:p>
            <w:pPr>
              <w:spacing w:after="0"/>
              <w:rPr>
                <w:sz w:val="10"/>
                <w:szCs w:val="10"/>
                <w:color w:val="auto"/>
              </w:rPr>
            </w:pPr>
          </w:p>
        </w:tc>
        <w:tc>
          <w:tcPr>
            <w:tcW w:w="800" w:type="dxa"/>
            <w:vAlign w:val="bottom"/>
            <w:tcBorders>
              <w:top w:val="single" w:sz="8" w:color="BECE33"/>
            </w:tcBorders>
          </w:tcPr>
          <w:p>
            <w:pPr>
              <w:spacing w:after="0" w:line="121" w:lineRule="exact"/>
              <w:rPr>
                <w:sz w:val="20"/>
                <w:szCs w:val="20"/>
                <w:color w:val="auto"/>
              </w:rPr>
            </w:pPr>
            <w:r>
              <w:rPr>
                <w:rFonts w:ascii="Arial" w:cs="Arial" w:eastAsia="Arial" w:hAnsi="Arial"/>
                <w:sz w:val="12"/>
                <w:szCs w:val="12"/>
                <w:b w:val="1"/>
                <w:bCs w:val="1"/>
                <w:color w:val="005A64"/>
              </w:rPr>
              <w:t>Reclassifi-</w:t>
            </w:r>
          </w:p>
        </w:tc>
        <w:tc>
          <w:tcPr>
            <w:tcW w:w="40" w:type="dxa"/>
            <w:vAlign w:val="bottom"/>
            <w:tcBorders>
              <w:top w:val="single" w:sz="8" w:color="BECE33"/>
            </w:tcBorders>
          </w:tcPr>
          <w:p>
            <w:pPr>
              <w:spacing w:after="0"/>
              <w:rPr>
                <w:sz w:val="10"/>
                <w:szCs w:val="10"/>
                <w:color w:val="auto"/>
              </w:rPr>
            </w:pPr>
          </w:p>
        </w:tc>
        <w:tc>
          <w:tcPr>
            <w:tcW w:w="800" w:type="dxa"/>
            <w:vAlign w:val="bottom"/>
            <w:tcBorders>
              <w:top w:val="single" w:sz="8" w:color="BECE33"/>
            </w:tcBorders>
          </w:tcPr>
          <w:p>
            <w:pPr>
              <w:ind w:left="20"/>
              <w:spacing w:after="0" w:line="121" w:lineRule="exact"/>
              <w:rPr>
                <w:sz w:val="20"/>
                <w:szCs w:val="20"/>
                <w:color w:val="auto"/>
              </w:rPr>
            </w:pPr>
            <w:r>
              <w:rPr>
                <w:rFonts w:ascii="Arial" w:cs="Arial" w:eastAsia="Arial" w:hAnsi="Arial"/>
                <w:sz w:val="12"/>
                <w:szCs w:val="12"/>
                <w:b w:val="1"/>
                <w:bCs w:val="1"/>
                <w:color w:val="005A64"/>
              </w:rPr>
              <w:t>Other</w:t>
            </w:r>
          </w:p>
        </w:tc>
        <w:tc>
          <w:tcPr>
            <w:tcW w:w="60" w:type="dxa"/>
            <w:vAlign w:val="bottom"/>
            <w:tcBorders>
              <w:top w:val="single" w:sz="8" w:color="BECE33"/>
            </w:tcBorders>
          </w:tcPr>
          <w:p>
            <w:pPr>
              <w:spacing w:after="0"/>
              <w:rPr>
                <w:sz w:val="10"/>
                <w:szCs w:val="10"/>
                <w:color w:val="auto"/>
              </w:rPr>
            </w:pPr>
          </w:p>
        </w:tc>
        <w:tc>
          <w:tcPr>
            <w:tcW w:w="860" w:type="dxa"/>
            <w:vAlign w:val="bottom"/>
            <w:tcBorders>
              <w:top w:val="single" w:sz="8" w:color="BECE33"/>
              <w:right w:val="single" w:sz="8" w:color="BECE33"/>
            </w:tcBorders>
            <w:gridSpan w:val="2"/>
          </w:tcPr>
          <w:p>
            <w:pPr>
              <w:ind w:left="20"/>
              <w:spacing w:after="0" w:line="121" w:lineRule="exact"/>
              <w:rPr>
                <w:sz w:val="20"/>
                <w:szCs w:val="20"/>
                <w:color w:val="auto"/>
              </w:rPr>
            </w:pPr>
            <w:r>
              <w:rPr>
                <w:rFonts w:ascii="Arial" w:cs="Arial" w:eastAsia="Arial" w:hAnsi="Arial"/>
                <w:sz w:val="12"/>
                <w:szCs w:val="12"/>
                <w:b w:val="1"/>
                <w:bCs w:val="1"/>
                <w:color w:val="005A64"/>
              </w:rPr>
              <w:t>December</w:t>
            </w: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80" w:type="dxa"/>
            <w:vAlign w:val="bottom"/>
            <w:tcBorders>
              <w:right w:val="single" w:sz="8" w:color="BECE33"/>
            </w:tcBorders>
          </w:tcPr>
          <w:p>
            <w:pPr>
              <w:spacing w:after="0"/>
              <w:rPr>
                <w:sz w:val="10"/>
                <w:szCs w:val="10"/>
                <w:color w:val="auto"/>
              </w:rPr>
            </w:pPr>
          </w:p>
        </w:tc>
        <w:tc>
          <w:tcPr>
            <w:tcW w:w="800" w:type="dxa"/>
            <w:vAlign w:val="bottom"/>
            <w:gridSpan w:val="2"/>
          </w:tcPr>
          <w:p>
            <w:pPr>
              <w:ind w:left="20"/>
              <w:spacing w:after="0" w:line="121" w:lineRule="exact"/>
              <w:rPr>
                <w:sz w:val="20"/>
                <w:szCs w:val="20"/>
                <w:color w:val="auto"/>
              </w:rPr>
            </w:pPr>
            <w:r>
              <w:rPr>
                <w:rFonts w:ascii="Arial" w:cs="Arial" w:eastAsia="Arial" w:hAnsi="Arial"/>
                <w:sz w:val="12"/>
                <w:szCs w:val="12"/>
                <w:b w:val="1"/>
                <w:bCs w:val="1"/>
                <w:color w:val="005A64"/>
              </w:rPr>
              <w:t>2024</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ind w:left="20"/>
              <w:spacing w:after="0" w:line="121" w:lineRule="exact"/>
              <w:rPr>
                <w:sz w:val="20"/>
                <w:szCs w:val="20"/>
                <w:color w:val="auto"/>
              </w:rPr>
            </w:pPr>
            <w:r>
              <w:rPr>
                <w:rFonts w:ascii="Arial" w:cs="Arial" w:eastAsia="Arial" w:hAnsi="Arial"/>
                <w:sz w:val="12"/>
                <w:szCs w:val="12"/>
                <w:b w:val="1"/>
                <w:bCs w:val="1"/>
                <w:color w:val="005A64"/>
              </w:rPr>
              <w:t>and</w:t>
            </w:r>
          </w:p>
        </w:tc>
        <w:tc>
          <w:tcPr>
            <w:tcW w:w="60" w:type="dxa"/>
            <w:vAlign w:val="bottom"/>
          </w:tcPr>
          <w:p>
            <w:pPr>
              <w:spacing w:after="0"/>
              <w:rPr>
                <w:sz w:val="10"/>
                <w:szCs w:val="10"/>
                <w:color w:val="auto"/>
              </w:rPr>
            </w:pPr>
          </w:p>
        </w:tc>
        <w:tc>
          <w:tcPr>
            <w:tcW w:w="800" w:type="dxa"/>
            <w:vAlign w:val="bottom"/>
          </w:tcPr>
          <w:p>
            <w:pPr>
              <w:spacing w:after="0" w:line="121" w:lineRule="exact"/>
              <w:rPr>
                <w:sz w:val="20"/>
                <w:szCs w:val="20"/>
                <w:color w:val="auto"/>
              </w:rPr>
            </w:pPr>
            <w:r>
              <w:rPr>
                <w:rFonts w:ascii="Arial" w:cs="Arial" w:eastAsia="Arial" w:hAnsi="Arial"/>
                <w:sz w:val="12"/>
                <w:szCs w:val="12"/>
                <w:b w:val="1"/>
                <w:bCs w:val="1"/>
                <w:color w:val="005A64"/>
              </w:rPr>
              <w:t>cation</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005A64"/>
              </w:rPr>
              <w:t>31, 2024</w:t>
            </w:r>
          </w:p>
        </w:tc>
        <w:tc>
          <w:tcPr>
            <w:tcW w:w="60" w:type="dxa"/>
            <w:vAlign w:val="bottom"/>
            <w:tcBorders>
              <w:right w:val="single" w:sz="8" w:color="BECE33"/>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540" w:type="dxa"/>
            <w:vAlign w:val="bottom"/>
          </w:tcPr>
          <w:p>
            <w:pPr>
              <w:spacing w:after="0"/>
              <w:rPr>
                <w:sz w:val="14"/>
                <w:szCs w:val="14"/>
                <w:color w:val="auto"/>
              </w:rPr>
            </w:pPr>
          </w:p>
        </w:tc>
        <w:tc>
          <w:tcPr>
            <w:tcW w:w="80" w:type="dxa"/>
            <w:vAlign w:val="bottom"/>
            <w:tcBorders>
              <w:right w:val="single" w:sz="8" w:color="BECE33"/>
            </w:tcBorders>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005A64"/>
              </w:rPr>
              <w:t>disposals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Borders>
              <w:right w:val="single" w:sz="8" w:color="BECE33"/>
            </w:tcBorders>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540" w:type="dxa"/>
            <w:vAlign w:val="bottom"/>
            <w:tcBorders>
              <w:bottom w:val="single" w:sz="8" w:color="005A64"/>
            </w:tcBorders>
          </w:tcPr>
          <w:p>
            <w:pPr>
              <w:spacing w:after="0"/>
              <w:rPr>
                <w:sz w:val="5"/>
                <w:szCs w:val="5"/>
                <w:color w:val="auto"/>
              </w:rPr>
            </w:pPr>
          </w:p>
        </w:tc>
        <w:tc>
          <w:tcPr>
            <w:tcW w:w="80" w:type="dxa"/>
            <w:vAlign w:val="bottom"/>
            <w:tcBorders>
              <w:right w:val="single" w:sz="8" w:color="BECE33"/>
            </w:tcBorders>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780" w:type="dxa"/>
            <w:vAlign w:val="bottom"/>
            <w:tcBorders>
              <w:bottom w:val="single" w:sz="8" w:color="005A64"/>
            </w:tcBorders>
          </w:tcPr>
          <w:p>
            <w:pPr>
              <w:spacing w:after="0"/>
              <w:rPr>
                <w:sz w:val="5"/>
                <w:szCs w:val="5"/>
                <w:color w:val="auto"/>
              </w:rPr>
            </w:pPr>
          </w:p>
        </w:tc>
        <w:tc>
          <w:tcPr>
            <w:tcW w:w="60" w:type="dxa"/>
            <w:vAlign w:val="bottom"/>
            <w:vMerge w:val="restart"/>
          </w:tcPr>
          <w:p>
            <w:pPr>
              <w:spacing w:after="0"/>
              <w:rPr>
                <w:sz w:val="5"/>
                <w:szCs w:val="5"/>
                <w:color w:val="auto"/>
              </w:rPr>
            </w:pPr>
          </w:p>
        </w:tc>
        <w:tc>
          <w:tcPr>
            <w:tcW w:w="800" w:type="dxa"/>
            <w:vAlign w:val="bottom"/>
            <w:tcBorders>
              <w:bottom w:val="single" w:sz="8" w:color="005A64"/>
            </w:tcBorders>
          </w:tcPr>
          <w:p>
            <w:pPr>
              <w:spacing w:after="0"/>
              <w:rPr>
                <w:sz w:val="5"/>
                <w:szCs w:val="5"/>
                <w:color w:val="auto"/>
              </w:rPr>
            </w:pPr>
          </w:p>
        </w:tc>
        <w:tc>
          <w:tcPr>
            <w:tcW w:w="40" w:type="dxa"/>
            <w:vAlign w:val="bottom"/>
            <w:vMerge w:val="restart"/>
          </w:tcPr>
          <w:p>
            <w:pPr>
              <w:spacing w:after="0"/>
              <w:rPr>
                <w:sz w:val="5"/>
                <w:szCs w:val="5"/>
                <w:color w:val="auto"/>
              </w:rPr>
            </w:pPr>
          </w:p>
        </w:tc>
        <w:tc>
          <w:tcPr>
            <w:tcW w:w="800" w:type="dxa"/>
            <w:vAlign w:val="bottom"/>
            <w:tcBorders>
              <w:bottom w:val="single" w:sz="8" w:color="005A64"/>
            </w:tcBorders>
          </w:tcPr>
          <w:p>
            <w:pPr>
              <w:spacing w:after="0"/>
              <w:rPr>
                <w:sz w:val="5"/>
                <w:szCs w:val="5"/>
                <w:color w:val="auto"/>
              </w:rPr>
            </w:pPr>
          </w:p>
        </w:tc>
        <w:tc>
          <w:tcPr>
            <w:tcW w:w="60" w:type="dxa"/>
            <w:vAlign w:val="bottom"/>
            <w:vMerge w:val="restart"/>
          </w:tcPr>
          <w:p>
            <w:pPr>
              <w:spacing w:after="0"/>
              <w:rPr>
                <w:sz w:val="5"/>
                <w:szCs w:val="5"/>
                <w:color w:val="auto"/>
              </w:rPr>
            </w:pPr>
          </w:p>
        </w:tc>
        <w:tc>
          <w:tcPr>
            <w:tcW w:w="800" w:type="dxa"/>
            <w:vAlign w:val="bottom"/>
            <w:tcBorders>
              <w:bottom w:val="single" w:sz="8" w:color="005A64"/>
            </w:tcBorders>
          </w:tcPr>
          <w:p>
            <w:pPr>
              <w:spacing w:after="0"/>
              <w:rPr>
                <w:sz w:val="5"/>
                <w:szCs w:val="5"/>
                <w:color w:val="auto"/>
              </w:rPr>
            </w:pPr>
          </w:p>
        </w:tc>
        <w:tc>
          <w:tcPr>
            <w:tcW w:w="40" w:type="dxa"/>
            <w:vAlign w:val="bottom"/>
            <w:vMerge w:val="restart"/>
          </w:tcPr>
          <w:p>
            <w:pPr>
              <w:spacing w:after="0"/>
              <w:rPr>
                <w:sz w:val="5"/>
                <w:szCs w:val="5"/>
                <w:color w:val="auto"/>
              </w:rPr>
            </w:pPr>
          </w:p>
        </w:tc>
        <w:tc>
          <w:tcPr>
            <w:tcW w:w="800" w:type="dxa"/>
            <w:vAlign w:val="bottom"/>
            <w:tcBorders>
              <w:bottom w:val="single" w:sz="8" w:color="005A64"/>
            </w:tcBorders>
          </w:tcPr>
          <w:p>
            <w:pPr>
              <w:spacing w:after="0"/>
              <w:rPr>
                <w:sz w:val="5"/>
                <w:szCs w:val="5"/>
                <w:color w:val="auto"/>
              </w:rPr>
            </w:pPr>
          </w:p>
        </w:tc>
        <w:tc>
          <w:tcPr>
            <w:tcW w:w="60" w:type="dxa"/>
            <w:vAlign w:val="bottom"/>
            <w:vMerge w:val="restart"/>
          </w:tcPr>
          <w:p>
            <w:pPr>
              <w:spacing w:after="0"/>
              <w:rPr>
                <w:sz w:val="5"/>
                <w:szCs w:val="5"/>
                <w:color w:val="auto"/>
              </w:rPr>
            </w:pPr>
          </w:p>
        </w:tc>
        <w:tc>
          <w:tcPr>
            <w:tcW w:w="800" w:type="dxa"/>
            <w:vAlign w:val="bottom"/>
            <w:tcBorders>
              <w:bottom w:val="single" w:sz="8" w:color="005A64"/>
            </w:tcBorders>
          </w:tcPr>
          <w:p>
            <w:pPr>
              <w:spacing w:after="0"/>
              <w:rPr>
                <w:sz w:val="5"/>
                <w:szCs w:val="5"/>
                <w:color w:val="auto"/>
              </w:rPr>
            </w:pPr>
          </w:p>
        </w:tc>
        <w:tc>
          <w:tcPr>
            <w:tcW w:w="60" w:type="dxa"/>
            <w:vAlign w:val="bottom"/>
            <w:tcBorders>
              <w:right w:val="single" w:sz="8" w:color="BECE33"/>
            </w:tcBorders>
            <w:vMerge w:val="restart"/>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540" w:type="dxa"/>
            <w:vAlign w:val="bottom"/>
          </w:tcPr>
          <w:p>
            <w:pPr>
              <w:ind w:left="20"/>
              <w:spacing w:after="0" w:line="102" w:lineRule="exact"/>
              <w:rPr>
                <w:sz w:val="20"/>
                <w:szCs w:val="20"/>
                <w:color w:val="auto"/>
              </w:rPr>
            </w:pPr>
            <w:r>
              <w:rPr>
                <w:rFonts w:ascii="Arial" w:cs="Arial" w:eastAsia="Arial" w:hAnsi="Arial"/>
                <w:sz w:val="11"/>
                <w:szCs w:val="11"/>
                <w:color w:val="005A64"/>
              </w:rPr>
              <w:t>Current obligations under</w:t>
            </w:r>
          </w:p>
        </w:tc>
        <w:tc>
          <w:tcPr>
            <w:tcW w:w="80" w:type="dxa"/>
            <w:vAlign w:val="bottom"/>
            <w:tcBorders>
              <w:right w:val="single" w:sz="8" w:color="BECE33"/>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780" w:type="dxa"/>
            <w:vAlign w:val="bottom"/>
          </w:tcPr>
          <w:p>
            <w:pPr>
              <w:spacing w:after="0" w:line="102" w:lineRule="exact"/>
              <w:rPr>
                <w:sz w:val="20"/>
                <w:szCs w:val="20"/>
                <w:color w:val="auto"/>
              </w:rPr>
            </w:pPr>
            <w:r>
              <w:rPr>
                <w:rFonts w:ascii="Arial" w:cs="Arial" w:eastAsia="Arial" w:hAnsi="Arial"/>
                <w:sz w:val="11"/>
                <w:szCs w:val="11"/>
                <w:color w:val="005A64"/>
              </w:rPr>
              <w:t>28.1</w:t>
            </w:r>
          </w:p>
        </w:tc>
        <w:tc>
          <w:tcPr>
            <w:tcW w:w="60" w:type="dxa"/>
            <w:vAlign w:val="bottom"/>
            <w:vMerge w:val="continue"/>
          </w:tcPr>
          <w:p>
            <w:pPr>
              <w:spacing w:after="0"/>
              <w:rPr>
                <w:sz w:val="8"/>
                <w:szCs w:val="8"/>
                <w:color w:val="auto"/>
              </w:rPr>
            </w:pPr>
          </w:p>
        </w:tc>
        <w:tc>
          <w:tcPr>
            <w:tcW w:w="800" w:type="dxa"/>
            <w:vAlign w:val="bottom"/>
          </w:tcPr>
          <w:p>
            <w:pPr>
              <w:ind w:left="20"/>
              <w:spacing w:after="0" w:line="102" w:lineRule="exact"/>
              <w:rPr>
                <w:sz w:val="20"/>
                <w:szCs w:val="20"/>
                <w:color w:val="auto"/>
              </w:rPr>
            </w:pPr>
            <w:r>
              <w:rPr>
                <w:rFonts w:ascii="Arial" w:cs="Arial" w:eastAsia="Arial" w:hAnsi="Arial"/>
                <w:sz w:val="11"/>
                <w:szCs w:val="11"/>
                <w:color w:val="005A64"/>
              </w:rPr>
              <w:t>(43.6)</w:t>
            </w:r>
          </w:p>
        </w:tc>
        <w:tc>
          <w:tcPr>
            <w:tcW w:w="40" w:type="dxa"/>
            <w:vAlign w:val="bottom"/>
            <w:vMerge w:val="continue"/>
          </w:tcPr>
          <w:p>
            <w:pPr>
              <w:spacing w:after="0"/>
              <w:rPr>
                <w:sz w:val="8"/>
                <w:szCs w:val="8"/>
                <w:color w:val="auto"/>
              </w:rPr>
            </w:pPr>
          </w:p>
        </w:tc>
        <w:tc>
          <w:tcPr>
            <w:tcW w:w="800" w:type="dxa"/>
            <w:vAlign w:val="bottom"/>
          </w:tcPr>
          <w:p>
            <w:pPr>
              <w:ind w:left="20"/>
              <w:spacing w:after="0" w:line="102" w:lineRule="exact"/>
              <w:rPr>
                <w:sz w:val="20"/>
                <w:szCs w:val="20"/>
                <w:color w:val="auto"/>
              </w:rPr>
            </w:pPr>
            <w:r>
              <w:rPr>
                <w:rFonts w:ascii="Arial" w:cs="Arial" w:eastAsia="Arial" w:hAnsi="Arial"/>
                <w:sz w:val="11"/>
                <w:szCs w:val="11"/>
                <w:color w:val="005A64"/>
              </w:rPr>
              <w:t>19.4</w:t>
            </w:r>
          </w:p>
        </w:tc>
        <w:tc>
          <w:tcPr>
            <w:tcW w:w="60" w:type="dxa"/>
            <w:vAlign w:val="bottom"/>
            <w:vMerge w:val="continue"/>
          </w:tcPr>
          <w:p>
            <w:pPr>
              <w:spacing w:after="0"/>
              <w:rPr>
                <w:sz w:val="8"/>
                <w:szCs w:val="8"/>
                <w:color w:val="auto"/>
              </w:rPr>
            </w:pPr>
          </w:p>
        </w:tc>
        <w:tc>
          <w:tcPr>
            <w:tcW w:w="800" w:type="dxa"/>
            <w:vAlign w:val="bottom"/>
          </w:tcPr>
          <w:p>
            <w:pPr>
              <w:spacing w:after="0" w:line="102" w:lineRule="exact"/>
              <w:rPr>
                <w:sz w:val="20"/>
                <w:szCs w:val="20"/>
                <w:color w:val="auto"/>
              </w:rPr>
            </w:pPr>
            <w:r>
              <w:rPr>
                <w:rFonts w:ascii="Arial" w:cs="Arial" w:eastAsia="Arial" w:hAnsi="Arial"/>
                <w:sz w:val="11"/>
                <w:szCs w:val="11"/>
                <w:color w:val="005A64"/>
              </w:rPr>
              <w:t>35.6</w:t>
            </w:r>
          </w:p>
        </w:tc>
        <w:tc>
          <w:tcPr>
            <w:tcW w:w="40" w:type="dxa"/>
            <w:vAlign w:val="bottom"/>
            <w:vMerge w:val="continue"/>
          </w:tcPr>
          <w:p>
            <w:pPr>
              <w:spacing w:after="0"/>
              <w:rPr>
                <w:sz w:val="8"/>
                <w:szCs w:val="8"/>
                <w:color w:val="auto"/>
              </w:rPr>
            </w:pPr>
          </w:p>
        </w:tc>
        <w:tc>
          <w:tcPr>
            <w:tcW w:w="800" w:type="dxa"/>
            <w:vAlign w:val="bottom"/>
          </w:tcPr>
          <w:p>
            <w:pPr>
              <w:ind w:left="20"/>
              <w:spacing w:after="0" w:line="102" w:lineRule="exact"/>
              <w:rPr>
                <w:sz w:val="20"/>
                <w:szCs w:val="20"/>
                <w:color w:val="auto"/>
              </w:rPr>
            </w:pPr>
            <w:r>
              <w:rPr>
                <w:rFonts w:ascii="Arial" w:cs="Arial" w:eastAsia="Arial" w:hAnsi="Arial"/>
                <w:sz w:val="11"/>
                <w:szCs w:val="11"/>
                <w:color w:val="005A64"/>
              </w:rPr>
              <w:t>—</w:t>
            </w:r>
          </w:p>
        </w:tc>
        <w:tc>
          <w:tcPr>
            <w:tcW w:w="60" w:type="dxa"/>
            <w:vAlign w:val="bottom"/>
            <w:vMerge w:val="continue"/>
          </w:tcPr>
          <w:p>
            <w:pPr>
              <w:spacing w:after="0"/>
              <w:rPr>
                <w:sz w:val="8"/>
                <w:szCs w:val="8"/>
                <w:color w:val="auto"/>
              </w:rPr>
            </w:pPr>
          </w:p>
        </w:tc>
        <w:tc>
          <w:tcPr>
            <w:tcW w:w="800" w:type="dxa"/>
            <w:vAlign w:val="bottom"/>
          </w:tcPr>
          <w:p>
            <w:pPr>
              <w:ind w:left="20"/>
              <w:spacing w:after="0" w:line="102" w:lineRule="exact"/>
              <w:rPr>
                <w:sz w:val="20"/>
                <w:szCs w:val="20"/>
                <w:color w:val="auto"/>
              </w:rPr>
            </w:pPr>
            <w:r>
              <w:rPr>
                <w:rFonts w:ascii="Arial" w:cs="Arial" w:eastAsia="Arial" w:hAnsi="Arial"/>
                <w:sz w:val="11"/>
                <w:szCs w:val="11"/>
                <w:color w:val="005A64"/>
              </w:rPr>
              <w:t>39.5</w:t>
            </w:r>
          </w:p>
        </w:tc>
        <w:tc>
          <w:tcPr>
            <w:tcW w:w="60" w:type="dxa"/>
            <w:vAlign w:val="bottom"/>
            <w:tcBorders>
              <w:right w:val="single" w:sz="8" w:color="BECE33"/>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color w:val="005A64"/>
              </w:rPr>
              <w:t>lease contracts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Borders>
              <w:right w:val="single" w:sz="8" w:color="BECE33"/>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62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color w:val="005A64"/>
              </w:rPr>
              <w:t>Non-current obligations</w:t>
            </w:r>
          </w:p>
        </w:tc>
        <w:tc>
          <w:tcPr>
            <w:tcW w:w="800" w:type="dxa"/>
            <w:vAlign w:val="bottom"/>
            <w:gridSpan w:val="2"/>
          </w:tcPr>
          <w:p>
            <w:pPr>
              <w:ind w:left="20"/>
              <w:spacing w:after="0"/>
              <w:rPr>
                <w:sz w:val="20"/>
                <w:szCs w:val="20"/>
                <w:color w:val="auto"/>
              </w:rPr>
            </w:pPr>
            <w:r>
              <w:rPr>
                <w:rFonts w:ascii="Arial" w:cs="Arial" w:eastAsia="Arial" w:hAnsi="Arial"/>
                <w:sz w:val="12"/>
                <w:szCs w:val="12"/>
                <w:color w:val="005A64"/>
              </w:rPr>
              <w:t>188.6</w:t>
            </w:r>
          </w:p>
        </w:tc>
        <w:tc>
          <w:tcPr>
            <w:tcW w:w="6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color w:val="005A64"/>
              </w:rPr>
              <w:t>—</w:t>
            </w:r>
          </w:p>
        </w:tc>
        <w:tc>
          <w:tcPr>
            <w:tcW w:w="840" w:type="dxa"/>
            <w:vAlign w:val="bottom"/>
            <w:gridSpan w:val="2"/>
          </w:tcPr>
          <w:p>
            <w:pPr>
              <w:ind w:left="60"/>
              <w:spacing w:after="0"/>
              <w:rPr>
                <w:sz w:val="20"/>
                <w:szCs w:val="20"/>
                <w:color w:val="auto"/>
              </w:rPr>
            </w:pPr>
            <w:r>
              <w:rPr>
                <w:rFonts w:ascii="Arial" w:cs="Arial" w:eastAsia="Arial" w:hAnsi="Arial"/>
                <w:sz w:val="12"/>
                <w:szCs w:val="12"/>
                <w:color w:val="005A64"/>
              </w:rPr>
              <w:t>56.0</w:t>
            </w:r>
          </w:p>
        </w:tc>
        <w:tc>
          <w:tcPr>
            <w:tcW w:w="860" w:type="dxa"/>
            <w:vAlign w:val="bottom"/>
            <w:gridSpan w:val="2"/>
          </w:tcPr>
          <w:p>
            <w:pPr>
              <w:ind w:left="60"/>
              <w:spacing w:after="0"/>
              <w:rPr>
                <w:sz w:val="20"/>
                <w:szCs w:val="20"/>
                <w:color w:val="auto"/>
              </w:rPr>
            </w:pPr>
            <w:r>
              <w:rPr>
                <w:rFonts w:ascii="Arial" w:cs="Arial" w:eastAsia="Arial" w:hAnsi="Arial"/>
                <w:sz w:val="12"/>
                <w:szCs w:val="12"/>
                <w:color w:val="005A64"/>
              </w:rPr>
              <w:t>(35.6)</w:t>
            </w:r>
          </w:p>
        </w:tc>
        <w:tc>
          <w:tcPr>
            <w:tcW w:w="840" w:type="dxa"/>
            <w:vAlign w:val="bottom"/>
            <w:gridSpan w:val="2"/>
          </w:tcPr>
          <w:p>
            <w:pPr>
              <w:ind w:left="60"/>
              <w:spacing w:after="0"/>
              <w:rPr>
                <w:sz w:val="20"/>
                <w:szCs w:val="20"/>
                <w:color w:val="auto"/>
              </w:rPr>
            </w:pPr>
            <w:r>
              <w:rPr>
                <w:rFonts w:ascii="Arial" w:cs="Arial" w:eastAsia="Arial" w:hAnsi="Arial"/>
                <w:sz w:val="12"/>
                <w:szCs w:val="12"/>
                <w:color w:val="005A64"/>
              </w:rPr>
              <w:t>5.7</w:t>
            </w:r>
          </w:p>
        </w:tc>
        <w:tc>
          <w:tcPr>
            <w:tcW w:w="860" w:type="dxa"/>
            <w:vAlign w:val="bottom"/>
            <w:gridSpan w:val="2"/>
          </w:tcPr>
          <w:p>
            <w:pPr>
              <w:ind w:left="80"/>
              <w:spacing w:after="0"/>
              <w:rPr>
                <w:sz w:val="20"/>
                <w:szCs w:val="20"/>
                <w:color w:val="auto"/>
              </w:rPr>
            </w:pPr>
            <w:r>
              <w:rPr>
                <w:rFonts w:ascii="Arial" w:cs="Arial" w:eastAsia="Arial" w:hAnsi="Arial"/>
                <w:sz w:val="12"/>
                <w:szCs w:val="12"/>
                <w:color w:val="005A64"/>
              </w:rPr>
              <w:t>214.7</w:t>
            </w:r>
          </w:p>
        </w:tc>
        <w:tc>
          <w:tcPr>
            <w:tcW w:w="60" w:type="dxa"/>
            <w:vAlign w:val="bottom"/>
            <w:tcBorders>
              <w:right w:val="single" w:sz="8" w:color="BECE33"/>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color w:val="005A64"/>
              </w:rPr>
              <w:t>under lease contracts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Borders>
              <w:right w:val="single" w:sz="8" w:color="BECE33"/>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62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color w:val="005A64"/>
              </w:rPr>
              <w:t>Loans and borrowings</w:t>
            </w:r>
          </w:p>
        </w:tc>
        <w:tc>
          <w:tcPr>
            <w:tcW w:w="800" w:type="dxa"/>
            <w:vAlign w:val="bottom"/>
            <w:gridSpan w:val="2"/>
          </w:tcPr>
          <w:p>
            <w:pPr>
              <w:ind w:left="20"/>
              <w:spacing w:after="0"/>
              <w:rPr>
                <w:sz w:val="20"/>
                <w:szCs w:val="20"/>
                <w:color w:val="auto"/>
              </w:rPr>
            </w:pPr>
            <w:r>
              <w:rPr>
                <w:rFonts w:ascii="Arial" w:cs="Arial" w:eastAsia="Arial" w:hAnsi="Arial"/>
                <w:sz w:val="12"/>
                <w:szCs w:val="12"/>
                <w:color w:val="005A64"/>
              </w:rPr>
              <w:t>2.3</w:t>
            </w:r>
          </w:p>
        </w:tc>
        <w:tc>
          <w:tcPr>
            <w:tcW w:w="860" w:type="dxa"/>
            <w:vAlign w:val="bottom"/>
            <w:gridSpan w:val="2"/>
          </w:tcPr>
          <w:p>
            <w:pPr>
              <w:ind w:left="80"/>
              <w:spacing w:after="0"/>
              <w:rPr>
                <w:sz w:val="20"/>
                <w:szCs w:val="20"/>
                <w:color w:val="auto"/>
              </w:rPr>
            </w:pPr>
            <w:r>
              <w:rPr>
                <w:rFonts w:ascii="Arial" w:cs="Arial" w:eastAsia="Arial" w:hAnsi="Arial"/>
                <w:sz w:val="12"/>
                <w:szCs w:val="12"/>
                <w:color w:val="005A64"/>
              </w:rPr>
              <w:t>(2.3)</w:t>
            </w:r>
          </w:p>
        </w:tc>
        <w:tc>
          <w:tcPr>
            <w:tcW w:w="4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2"/>
                <w:szCs w:val="12"/>
                <w:color w:val="005A64"/>
              </w:rPr>
              <w:t>—</w:t>
            </w:r>
          </w:p>
        </w:tc>
        <w:tc>
          <w:tcPr>
            <w:tcW w:w="4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8"/>
                <w:szCs w:val="18"/>
                <w:color w:val="auto"/>
              </w:rPr>
            </w:pPr>
          </w:p>
        </w:tc>
        <w:tc>
          <w:tcPr>
            <w:tcW w:w="86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color w:val="005A64"/>
              </w:rPr>
              <w:t>—</w:t>
            </w:r>
          </w:p>
        </w:tc>
        <w:tc>
          <w:tcPr>
            <w:tcW w:w="0" w:type="dxa"/>
            <w:vAlign w:val="bottom"/>
          </w:tcPr>
          <w:p>
            <w:pPr>
              <w:spacing w:after="0"/>
              <w:rPr>
                <w:sz w:val="1"/>
                <w:szCs w:val="1"/>
                <w:color w:val="auto"/>
              </w:rPr>
            </w:pPr>
          </w:p>
        </w:tc>
      </w:tr>
      <w:tr>
        <w:trPr>
          <w:trHeight w:val="208"/>
        </w:trPr>
        <w:tc>
          <w:tcPr>
            <w:tcW w:w="162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b w:val="1"/>
                <w:bCs w:val="1"/>
                <w:color w:val="005A64"/>
              </w:rPr>
              <w:t>Total</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005A64"/>
              </w:rPr>
              <w:t>219.0</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005A64"/>
              </w:rPr>
              <w:t>(45.9)</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005A64"/>
              </w:rPr>
              <w:t>75.4</w:t>
            </w:r>
          </w:p>
        </w:tc>
        <w:tc>
          <w:tcPr>
            <w:tcW w:w="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2"/>
                <w:szCs w:val="12"/>
                <w:b w:val="1"/>
                <w:bCs w:val="1"/>
                <w:color w:val="005A64"/>
              </w:rPr>
              <w:t>—</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005A64"/>
              </w:rPr>
              <w:t>5.7</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005A64"/>
              </w:rPr>
              <w:t>254.2</w:t>
            </w:r>
          </w:p>
        </w:tc>
        <w:tc>
          <w:tcPr>
            <w:tcW w:w="60" w:type="dxa"/>
            <w:vAlign w:val="bottom"/>
            <w:tcBorders>
              <w:right w:val="single" w:sz="8" w:color="BECE33"/>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54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78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80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80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80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80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80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1440" w:right="1440" w:bottom="372" w:gutter="0" w:footer="0" w:header="0"/>
        </w:sectPr>
      </w:pPr>
    </w:p>
    <w:bookmarkStart w:id="219" w:name="page220"/>
    <w:bookmarkEnd w:id="2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1157605</wp:posOffset>
            </wp:positionH>
            <wp:positionV relativeFrom="page">
              <wp:posOffset>361950</wp:posOffset>
            </wp:positionV>
            <wp:extent cx="4268470" cy="127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2">
                      <a:extLst>
                        <a:ext uri="{28A0092B-C50C-407E-A947-70E740481C1C}"/>
                      </a:extLst>
                    </a:blip>
                    <a:srcRect/>
                    <a:stretch>
                      <a:fillRect/>
                    </a:stretch>
                  </pic:blipFill>
                  <pic:spPr bwMode="auto">
                    <a:xfrm>
                      <a:off x="0" y="0"/>
                      <a:ext cx="4268470" cy="12700"/>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440" w:type="dxa"/>
            <w:vAlign w:val="bottom"/>
            <w:gridSpan w:val="3"/>
          </w:tcPr>
          <w:p>
            <w:pPr>
              <w:spacing w:after="0"/>
              <w:rPr>
                <w:sz w:val="20"/>
                <w:szCs w:val="20"/>
                <w:color w:val="auto"/>
              </w:rPr>
            </w:pPr>
            <w:r>
              <w:rPr>
                <w:rFonts w:ascii="Arial" w:cs="Arial" w:eastAsia="Arial" w:hAnsi="Arial"/>
                <w:sz w:val="12"/>
                <w:szCs w:val="12"/>
                <w:b w:val="1"/>
                <w:bCs w:val="1"/>
                <w:color w:val="005A64"/>
              </w:rPr>
              <w:t>Year ended December 31, 2023</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Arial" w:cs="Arial" w:eastAsia="Arial" w:hAnsi="Arial"/>
                <w:sz w:val="12"/>
                <w:szCs w:val="12"/>
                <w:i w:val="1"/>
                <w:iCs w:val="1"/>
                <w:color w:val="005A64"/>
              </w:rPr>
              <w:t>(in millions €)</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005A64"/>
              </w:rPr>
              <w:t>January 1,</w:t>
            </w:r>
          </w:p>
        </w:tc>
        <w:tc>
          <w:tcPr>
            <w:tcW w:w="60" w:type="dxa"/>
            <w:vAlign w:val="bottom"/>
          </w:tcPr>
          <w:p>
            <w:pPr>
              <w:spacing w:after="0"/>
              <w:rPr>
                <w:sz w:val="20"/>
                <w:szCs w:val="20"/>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005A64"/>
              </w:rPr>
              <w:t>Cash flows</w:t>
            </w:r>
          </w:p>
        </w:tc>
        <w:tc>
          <w:tcPr>
            <w:tcW w:w="40" w:type="dxa"/>
            <w:vAlign w:val="bottom"/>
          </w:tcPr>
          <w:p>
            <w:pPr>
              <w:spacing w:after="0"/>
              <w:rPr>
                <w:sz w:val="20"/>
                <w:szCs w:val="20"/>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005A64"/>
              </w:rPr>
              <w:t>New leases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2"/>
                <w:szCs w:val="12"/>
                <w:b w:val="1"/>
                <w:bCs w:val="1"/>
                <w:color w:val="005A64"/>
              </w:rPr>
              <w:t>Reclassifi-</w:t>
            </w:r>
          </w:p>
        </w:tc>
        <w:tc>
          <w:tcPr>
            <w:tcW w:w="40" w:type="dxa"/>
            <w:vAlign w:val="bottom"/>
          </w:tcPr>
          <w:p>
            <w:pPr>
              <w:spacing w:after="0"/>
              <w:rPr>
                <w:sz w:val="20"/>
                <w:szCs w:val="20"/>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005A64"/>
              </w:rPr>
              <w:t>Other</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005A64"/>
              </w:rPr>
              <w:t>December</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005A64"/>
              </w:rPr>
              <w:t>2023</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ind w:left="20"/>
              <w:spacing w:after="0" w:line="121" w:lineRule="exact"/>
              <w:rPr>
                <w:sz w:val="20"/>
                <w:szCs w:val="20"/>
                <w:color w:val="auto"/>
              </w:rPr>
            </w:pPr>
            <w:r>
              <w:rPr>
                <w:rFonts w:ascii="Arial" w:cs="Arial" w:eastAsia="Arial" w:hAnsi="Arial"/>
                <w:sz w:val="12"/>
                <w:szCs w:val="12"/>
                <w:b w:val="1"/>
                <w:bCs w:val="1"/>
                <w:color w:val="005A64"/>
              </w:rPr>
              <w:t>and</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line="121" w:lineRule="exact"/>
              <w:rPr>
                <w:sz w:val="20"/>
                <w:szCs w:val="20"/>
                <w:color w:val="auto"/>
              </w:rPr>
            </w:pPr>
            <w:r>
              <w:rPr>
                <w:rFonts w:ascii="Arial" w:cs="Arial" w:eastAsia="Arial" w:hAnsi="Arial"/>
                <w:sz w:val="12"/>
                <w:szCs w:val="12"/>
                <w:b w:val="1"/>
                <w:bCs w:val="1"/>
                <w:color w:val="005A64"/>
              </w:rPr>
              <w:t>cation</w:t>
            </w: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gridSpan w:val="4"/>
          </w:tcPr>
          <w:p>
            <w:pPr>
              <w:ind w:left="500"/>
              <w:spacing w:after="0" w:line="121" w:lineRule="exact"/>
              <w:rPr>
                <w:sz w:val="20"/>
                <w:szCs w:val="20"/>
                <w:color w:val="auto"/>
              </w:rPr>
            </w:pPr>
            <w:r>
              <w:rPr>
                <w:rFonts w:ascii="Arial" w:cs="Arial" w:eastAsia="Arial" w:hAnsi="Arial"/>
                <w:sz w:val="12"/>
                <w:szCs w:val="12"/>
                <w:b w:val="1"/>
                <w:bCs w:val="1"/>
                <w:color w:val="005A64"/>
              </w:rPr>
              <w:t>31, 2023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005A64"/>
              </w:rPr>
              <w:t>disposals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580" w:type="dxa"/>
            <w:vAlign w:val="bottom"/>
            <w:tcBorders>
              <w:bottom w:val="single" w:sz="8" w:color="005A64"/>
            </w:tcBorders>
          </w:tcPr>
          <w:p>
            <w:pPr>
              <w:spacing w:after="0"/>
              <w:rPr>
                <w:sz w:val="6"/>
                <w:szCs w:val="6"/>
                <w:color w:val="auto"/>
              </w:rPr>
            </w:pPr>
          </w:p>
        </w:tc>
        <w:tc>
          <w:tcPr>
            <w:tcW w:w="80" w:type="dxa"/>
            <w:vAlign w:val="bottom"/>
            <w:vMerge w:val="restart"/>
          </w:tcPr>
          <w:p>
            <w:pPr>
              <w:spacing w:after="0"/>
              <w:rPr>
                <w:sz w:val="6"/>
                <w:szCs w:val="6"/>
                <w:color w:val="auto"/>
              </w:rPr>
            </w:pPr>
          </w:p>
        </w:tc>
        <w:tc>
          <w:tcPr>
            <w:tcW w:w="780" w:type="dxa"/>
            <w:vAlign w:val="bottom"/>
            <w:tcBorders>
              <w:bottom w:val="single" w:sz="8" w:color="005A64"/>
            </w:tcBorders>
          </w:tcPr>
          <w:p>
            <w:pPr>
              <w:spacing w:after="0"/>
              <w:rPr>
                <w:sz w:val="6"/>
                <w:szCs w:val="6"/>
                <w:color w:val="auto"/>
              </w:rPr>
            </w:pPr>
          </w:p>
        </w:tc>
        <w:tc>
          <w:tcPr>
            <w:tcW w:w="60" w:type="dxa"/>
            <w:vAlign w:val="bottom"/>
            <w:vMerge w:val="restart"/>
          </w:tcPr>
          <w:p>
            <w:pPr>
              <w:spacing w:after="0"/>
              <w:rPr>
                <w:sz w:val="6"/>
                <w:szCs w:val="6"/>
                <w:color w:val="auto"/>
              </w:rPr>
            </w:pPr>
          </w:p>
        </w:tc>
        <w:tc>
          <w:tcPr>
            <w:tcW w:w="800" w:type="dxa"/>
            <w:vAlign w:val="bottom"/>
            <w:tcBorders>
              <w:bottom w:val="single" w:sz="8" w:color="005A64"/>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20" w:type="dxa"/>
            <w:vAlign w:val="bottom"/>
            <w:tcBorders>
              <w:bottom w:val="single" w:sz="8" w:color="005A64"/>
            </w:tcBorders>
          </w:tcPr>
          <w:p>
            <w:pPr>
              <w:spacing w:after="0"/>
              <w:rPr>
                <w:sz w:val="6"/>
                <w:szCs w:val="6"/>
                <w:color w:val="auto"/>
              </w:rPr>
            </w:pPr>
          </w:p>
        </w:tc>
        <w:tc>
          <w:tcPr>
            <w:tcW w:w="20" w:type="dxa"/>
            <w:vAlign w:val="bottom"/>
            <w:tcBorders>
              <w:bottom w:val="single" w:sz="8" w:color="005A64"/>
            </w:tcBorders>
          </w:tcPr>
          <w:p>
            <w:pPr>
              <w:spacing w:after="0"/>
              <w:rPr>
                <w:sz w:val="6"/>
                <w:szCs w:val="6"/>
                <w:color w:val="auto"/>
              </w:rPr>
            </w:pPr>
          </w:p>
        </w:tc>
        <w:tc>
          <w:tcPr>
            <w:tcW w:w="20" w:type="dxa"/>
            <w:vAlign w:val="bottom"/>
            <w:tcBorders>
              <w:bottom w:val="single" w:sz="8" w:color="005A64"/>
            </w:tcBorders>
          </w:tcPr>
          <w:p>
            <w:pPr>
              <w:spacing w:after="0"/>
              <w:rPr>
                <w:sz w:val="6"/>
                <w:szCs w:val="6"/>
                <w:color w:val="auto"/>
              </w:rPr>
            </w:pPr>
          </w:p>
        </w:tc>
        <w:tc>
          <w:tcPr>
            <w:tcW w:w="40" w:type="dxa"/>
            <w:vAlign w:val="bottom"/>
            <w:tcBorders>
              <w:bottom w:val="single" w:sz="8" w:color="005A64"/>
            </w:tcBorders>
          </w:tcPr>
          <w:p>
            <w:pPr>
              <w:spacing w:after="0"/>
              <w:rPr>
                <w:sz w:val="6"/>
                <w:szCs w:val="6"/>
                <w:color w:val="auto"/>
              </w:rPr>
            </w:pPr>
          </w:p>
        </w:tc>
        <w:tc>
          <w:tcPr>
            <w:tcW w:w="60" w:type="dxa"/>
            <w:vAlign w:val="bottom"/>
            <w:vMerge w:val="restart"/>
          </w:tcPr>
          <w:p>
            <w:pPr>
              <w:spacing w:after="0"/>
              <w:rPr>
                <w:sz w:val="6"/>
                <w:szCs w:val="6"/>
                <w:color w:val="auto"/>
              </w:rPr>
            </w:pPr>
          </w:p>
        </w:tc>
        <w:tc>
          <w:tcPr>
            <w:tcW w:w="800" w:type="dxa"/>
            <w:vAlign w:val="bottom"/>
            <w:tcBorders>
              <w:bottom w:val="single" w:sz="8" w:color="005A64"/>
            </w:tcBorders>
          </w:tcPr>
          <w:p>
            <w:pPr>
              <w:spacing w:after="0"/>
              <w:rPr>
                <w:sz w:val="6"/>
                <w:szCs w:val="6"/>
                <w:color w:val="auto"/>
              </w:rPr>
            </w:pPr>
          </w:p>
        </w:tc>
        <w:tc>
          <w:tcPr>
            <w:tcW w:w="40" w:type="dxa"/>
            <w:vAlign w:val="bottom"/>
            <w:vMerge w:val="restart"/>
          </w:tcPr>
          <w:p>
            <w:pPr>
              <w:spacing w:after="0"/>
              <w:rPr>
                <w:sz w:val="6"/>
                <w:szCs w:val="6"/>
                <w:color w:val="auto"/>
              </w:rPr>
            </w:pPr>
          </w:p>
        </w:tc>
        <w:tc>
          <w:tcPr>
            <w:tcW w:w="340" w:type="dxa"/>
            <w:vAlign w:val="bottom"/>
            <w:tcBorders>
              <w:bottom w:val="single" w:sz="8" w:color="005A64"/>
            </w:tcBorders>
          </w:tcPr>
          <w:p>
            <w:pPr>
              <w:spacing w:after="0"/>
              <w:rPr>
                <w:sz w:val="6"/>
                <w:szCs w:val="6"/>
                <w:color w:val="auto"/>
              </w:rPr>
            </w:pPr>
          </w:p>
        </w:tc>
        <w:tc>
          <w:tcPr>
            <w:tcW w:w="40" w:type="dxa"/>
            <w:vAlign w:val="bottom"/>
            <w:tcBorders>
              <w:bottom w:val="single" w:sz="8" w:color="005A64"/>
            </w:tcBorders>
          </w:tcPr>
          <w:p>
            <w:pPr>
              <w:spacing w:after="0"/>
              <w:rPr>
                <w:sz w:val="6"/>
                <w:szCs w:val="6"/>
                <w:color w:val="auto"/>
              </w:rPr>
            </w:pPr>
          </w:p>
        </w:tc>
        <w:tc>
          <w:tcPr>
            <w:tcW w:w="20" w:type="dxa"/>
            <w:vAlign w:val="bottom"/>
            <w:tcBorders>
              <w:bottom w:val="single" w:sz="8" w:color="005A64"/>
            </w:tcBorders>
          </w:tcPr>
          <w:p>
            <w:pPr>
              <w:spacing w:after="0"/>
              <w:rPr>
                <w:sz w:val="6"/>
                <w:szCs w:val="6"/>
                <w:color w:val="auto"/>
              </w:rPr>
            </w:pPr>
          </w:p>
        </w:tc>
        <w:tc>
          <w:tcPr>
            <w:tcW w:w="400" w:type="dxa"/>
            <w:vAlign w:val="bottom"/>
            <w:tcBorders>
              <w:bottom w:val="single" w:sz="8" w:color="005A64"/>
            </w:tcBorders>
          </w:tcPr>
          <w:p>
            <w:pPr>
              <w:spacing w:after="0"/>
              <w:rPr>
                <w:sz w:val="6"/>
                <w:szCs w:val="6"/>
                <w:color w:val="auto"/>
              </w:rPr>
            </w:pPr>
          </w:p>
        </w:tc>
        <w:tc>
          <w:tcPr>
            <w:tcW w:w="60" w:type="dxa"/>
            <w:vAlign w:val="bottom"/>
            <w:vMerge w:val="restart"/>
          </w:tcPr>
          <w:p>
            <w:pPr>
              <w:spacing w:after="0"/>
              <w:rPr>
                <w:sz w:val="6"/>
                <w:szCs w:val="6"/>
                <w:color w:val="auto"/>
              </w:rPr>
            </w:pPr>
          </w:p>
        </w:tc>
        <w:tc>
          <w:tcPr>
            <w:tcW w:w="800" w:type="dxa"/>
            <w:vAlign w:val="bottom"/>
            <w:tcBorders>
              <w:bottom w:val="single" w:sz="8" w:color="005A64"/>
            </w:tcBorders>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580" w:type="dxa"/>
            <w:vAlign w:val="bottom"/>
          </w:tcPr>
          <w:p>
            <w:pPr>
              <w:spacing w:after="0" w:line="102" w:lineRule="exact"/>
              <w:rPr>
                <w:sz w:val="20"/>
                <w:szCs w:val="20"/>
                <w:color w:val="auto"/>
              </w:rPr>
            </w:pPr>
            <w:r>
              <w:rPr>
                <w:rFonts w:ascii="Arial" w:cs="Arial" w:eastAsia="Arial" w:hAnsi="Arial"/>
                <w:sz w:val="11"/>
                <w:szCs w:val="11"/>
                <w:color w:val="005A64"/>
              </w:rPr>
              <w:t>Current obligations under</w:t>
            </w:r>
          </w:p>
        </w:tc>
        <w:tc>
          <w:tcPr>
            <w:tcW w:w="80" w:type="dxa"/>
            <w:vAlign w:val="bottom"/>
            <w:vMerge w:val="continue"/>
          </w:tcPr>
          <w:p>
            <w:pPr>
              <w:spacing w:after="0"/>
              <w:rPr>
                <w:sz w:val="8"/>
                <w:szCs w:val="8"/>
                <w:color w:val="auto"/>
              </w:rPr>
            </w:pPr>
          </w:p>
        </w:tc>
        <w:tc>
          <w:tcPr>
            <w:tcW w:w="780" w:type="dxa"/>
            <w:vAlign w:val="bottom"/>
          </w:tcPr>
          <w:p>
            <w:pPr>
              <w:spacing w:after="0" w:line="102" w:lineRule="exact"/>
              <w:rPr>
                <w:sz w:val="20"/>
                <w:szCs w:val="20"/>
                <w:color w:val="auto"/>
              </w:rPr>
            </w:pPr>
            <w:r>
              <w:rPr>
                <w:rFonts w:ascii="Arial" w:cs="Arial" w:eastAsia="Arial" w:hAnsi="Arial"/>
                <w:sz w:val="11"/>
                <w:szCs w:val="11"/>
                <w:color w:val="005A64"/>
              </w:rPr>
              <w:t>36.0</w:t>
            </w:r>
          </w:p>
        </w:tc>
        <w:tc>
          <w:tcPr>
            <w:tcW w:w="60" w:type="dxa"/>
            <w:vAlign w:val="bottom"/>
            <w:vMerge w:val="continue"/>
          </w:tcPr>
          <w:p>
            <w:pPr>
              <w:spacing w:after="0"/>
              <w:rPr>
                <w:sz w:val="8"/>
                <w:szCs w:val="8"/>
                <w:color w:val="auto"/>
              </w:rPr>
            </w:pPr>
          </w:p>
        </w:tc>
        <w:tc>
          <w:tcPr>
            <w:tcW w:w="800" w:type="dxa"/>
            <w:vAlign w:val="bottom"/>
          </w:tcPr>
          <w:p>
            <w:pPr>
              <w:ind w:left="20"/>
              <w:spacing w:after="0" w:line="102" w:lineRule="exact"/>
              <w:rPr>
                <w:sz w:val="20"/>
                <w:szCs w:val="20"/>
                <w:color w:val="auto"/>
              </w:rPr>
            </w:pPr>
            <w:r>
              <w:rPr>
                <w:rFonts w:ascii="Arial" w:cs="Arial" w:eastAsia="Arial" w:hAnsi="Arial"/>
                <w:sz w:val="11"/>
                <w:szCs w:val="11"/>
                <w:color w:val="005A64"/>
              </w:rPr>
              <w:t>(40.3)</w:t>
            </w:r>
          </w:p>
        </w:tc>
        <w:tc>
          <w:tcPr>
            <w:tcW w:w="40" w:type="dxa"/>
            <w:vAlign w:val="bottom"/>
            <w:vMerge w:val="continue"/>
          </w:tcPr>
          <w:p>
            <w:pPr>
              <w:spacing w:after="0"/>
              <w:rPr>
                <w:sz w:val="8"/>
                <w:szCs w:val="8"/>
                <w:color w:val="auto"/>
              </w:rPr>
            </w:pPr>
          </w:p>
        </w:tc>
        <w:tc>
          <w:tcPr>
            <w:tcW w:w="720" w:type="dxa"/>
            <w:vAlign w:val="bottom"/>
          </w:tcPr>
          <w:p>
            <w:pPr>
              <w:ind w:left="20"/>
              <w:spacing w:after="0" w:line="102" w:lineRule="exact"/>
              <w:rPr>
                <w:sz w:val="20"/>
                <w:szCs w:val="20"/>
                <w:color w:val="auto"/>
              </w:rPr>
            </w:pPr>
            <w:r>
              <w:rPr>
                <w:rFonts w:ascii="Arial" w:cs="Arial" w:eastAsia="Arial" w:hAnsi="Arial"/>
                <w:sz w:val="11"/>
                <w:szCs w:val="11"/>
                <w:color w:val="005A64"/>
              </w:rPr>
              <w:t>(0.6)</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800" w:type="dxa"/>
            <w:vAlign w:val="bottom"/>
          </w:tcPr>
          <w:p>
            <w:pPr>
              <w:spacing w:after="0" w:line="102" w:lineRule="exact"/>
              <w:rPr>
                <w:sz w:val="20"/>
                <w:szCs w:val="20"/>
                <w:color w:val="auto"/>
              </w:rPr>
            </w:pPr>
            <w:r>
              <w:rPr>
                <w:rFonts w:ascii="Arial" w:cs="Arial" w:eastAsia="Arial" w:hAnsi="Arial"/>
                <w:sz w:val="11"/>
                <w:szCs w:val="11"/>
                <w:color w:val="005A64"/>
              </w:rPr>
              <w:t>34.1</w:t>
            </w:r>
          </w:p>
        </w:tc>
        <w:tc>
          <w:tcPr>
            <w:tcW w:w="40" w:type="dxa"/>
            <w:vAlign w:val="bottom"/>
            <w:vMerge w:val="continue"/>
          </w:tcPr>
          <w:p>
            <w:pPr>
              <w:spacing w:after="0"/>
              <w:rPr>
                <w:sz w:val="8"/>
                <w:szCs w:val="8"/>
                <w:color w:val="auto"/>
              </w:rPr>
            </w:pPr>
          </w:p>
        </w:tc>
        <w:tc>
          <w:tcPr>
            <w:tcW w:w="340" w:type="dxa"/>
            <w:vAlign w:val="bottom"/>
          </w:tcPr>
          <w:p>
            <w:pPr>
              <w:ind w:left="20"/>
              <w:spacing w:after="0" w:line="102" w:lineRule="exact"/>
              <w:rPr>
                <w:sz w:val="20"/>
                <w:szCs w:val="20"/>
                <w:color w:val="auto"/>
              </w:rPr>
            </w:pPr>
            <w:r>
              <w:rPr>
                <w:rFonts w:ascii="Arial" w:cs="Arial" w:eastAsia="Arial" w:hAnsi="Arial"/>
                <w:sz w:val="11"/>
                <w:szCs w:val="11"/>
                <w:color w:val="005A64"/>
              </w:rPr>
              <w:t>(1.1)</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800" w:type="dxa"/>
            <w:vAlign w:val="bottom"/>
          </w:tcPr>
          <w:p>
            <w:pPr>
              <w:ind w:left="20"/>
              <w:spacing w:after="0" w:line="102" w:lineRule="exact"/>
              <w:rPr>
                <w:sz w:val="20"/>
                <w:szCs w:val="20"/>
                <w:color w:val="auto"/>
              </w:rPr>
            </w:pPr>
            <w:r>
              <w:rPr>
                <w:rFonts w:ascii="Arial" w:cs="Arial" w:eastAsia="Arial" w:hAnsi="Arial"/>
                <w:sz w:val="11"/>
                <w:szCs w:val="11"/>
                <w:color w:val="005A64"/>
              </w:rPr>
              <w:t>28.1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580" w:type="dxa"/>
            <w:vAlign w:val="bottom"/>
          </w:tcPr>
          <w:p>
            <w:pPr>
              <w:spacing w:after="0"/>
              <w:rPr>
                <w:sz w:val="20"/>
                <w:szCs w:val="20"/>
                <w:color w:val="auto"/>
              </w:rPr>
            </w:pPr>
            <w:r>
              <w:rPr>
                <w:rFonts w:ascii="Arial" w:cs="Arial" w:eastAsia="Arial" w:hAnsi="Arial"/>
                <w:sz w:val="12"/>
                <w:szCs w:val="12"/>
                <w:color w:val="005A64"/>
              </w:rPr>
              <w:t>lease contracts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Arial" w:cs="Arial" w:eastAsia="Arial" w:hAnsi="Arial"/>
                <w:sz w:val="12"/>
                <w:szCs w:val="12"/>
                <w:color w:val="005A64"/>
              </w:rPr>
              <w:t>Non-current obligations</w:t>
            </w:r>
          </w:p>
        </w:tc>
        <w:tc>
          <w:tcPr>
            <w:tcW w:w="860" w:type="dxa"/>
            <w:vAlign w:val="bottom"/>
            <w:gridSpan w:val="2"/>
          </w:tcPr>
          <w:p>
            <w:pPr>
              <w:ind w:left="80"/>
              <w:spacing w:after="0"/>
              <w:rPr>
                <w:sz w:val="20"/>
                <w:szCs w:val="20"/>
                <w:color w:val="auto"/>
              </w:rPr>
            </w:pPr>
            <w:r>
              <w:rPr>
                <w:rFonts w:ascii="Arial" w:cs="Arial" w:eastAsia="Arial" w:hAnsi="Arial"/>
                <w:sz w:val="12"/>
                <w:szCs w:val="12"/>
                <w:color w:val="005A64"/>
              </w:rPr>
              <w:t>174.1</w:t>
            </w:r>
          </w:p>
        </w:tc>
        <w:tc>
          <w:tcPr>
            <w:tcW w:w="6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color w:val="005A64"/>
              </w:rPr>
              <w:t>—</w:t>
            </w:r>
          </w:p>
        </w:tc>
        <w:tc>
          <w:tcPr>
            <w:tcW w:w="760" w:type="dxa"/>
            <w:vAlign w:val="bottom"/>
            <w:gridSpan w:val="2"/>
          </w:tcPr>
          <w:p>
            <w:pPr>
              <w:ind w:left="60"/>
              <w:spacing w:after="0"/>
              <w:rPr>
                <w:sz w:val="20"/>
                <w:szCs w:val="20"/>
                <w:color w:val="auto"/>
              </w:rPr>
            </w:pPr>
            <w:r>
              <w:rPr>
                <w:rFonts w:ascii="Arial" w:cs="Arial" w:eastAsia="Arial" w:hAnsi="Arial"/>
                <w:sz w:val="12"/>
                <w:szCs w:val="12"/>
                <w:color w:val="005A64"/>
              </w:rPr>
              <w:t>51.1</w:t>
            </w:r>
          </w:p>
        </w:tc>
        <w:tc>
          <w:tcPr>
            <w:tcW w:w="20" w:type="dxa"/>
            <w:vAlign w:val="bottom"/>
          </w:tcPr>
          <w:p>
            <w:pPr>
              <w:spacing w:after="0"/>
              <w:rPr>
                <w:sz w:val="14"/>
                <w:szCs w:val="14"/>
                <w:color w:val="auto"/>
              </w:rPr>
            </w:pPr>
          </w:p>
        </w:tc>
        <w:tc>
          <w:tcPr>
            <w:tcW w:w="920" w:type="dxa"/>
            <w:vAlign w:val="bottom"/>
            <w:gridSpan w:val="4"/>
          </w:tcPr>
          <w:p>
            <w:pPr>
              <w:ind w:left="120"/>
              <w:spacing w:after="0"/>
              <w:rPr>
                <w:sz w:val="20"/>
                <w:szCs w:val="20"/>
                <w:color w:val="auto"/>
              </w:rPr>
            </w:pPr>
            <w:r>
              <w:rPr>
                <w:rFonts w:ascii="Arial" w:cs="Arial" w:eastAsia="Arial" w:hAnsi="Arial"/>
                <w:sz w:val="12"/>
                <w:szCs w:val="12"/>
                <w:color w:val="005A64"/>
              </w:rPr>
              <w:t>(34.1)</w:t>
            </w:r>
          </w:p>
        </w:tc>
        <w:tc>
          <w:tcPr>
            <w:tcW w:w="380" w:type="dxa"/>
            <w:vAlign w:val="bottom"/>
            <w:gridSpan w:val="2"/>
          </w:tcPr>
          <w:p>
            <w:pPr>
              <w:ind w:left="60"/>
              <w:spacing w:after="0"/>
              <w:rPr>
                <w:sz w:val="20"/>
                <w:szCs w:val="20"/>
                <w:color w:val="auto"/>
              </w:rPr>
            </w:pPr>
            <w:r>
              <w:rPr>
                <w:rFonts w:ascii="Arial" w:cs="Arial" w:eastAsia="Arial" w:hAnsi="Arial"/>
                <w:sz w:val="12"/>
                <w:szCs w:val="12"/>
                <w:color w:val="005A64"/>
              </w:rPr>
              <w:t>(2.5)</w:t>
            </w:r>
          </w:p>
        </w:tc>
        <w:tc>
          <w:tcPr>
            <w:tcW w:w="40" w:type="dxa"/>
            <w:vAlign w:val="bottom"/>
          </w:tcPr>
          <w:p>
            <w:pPr>
              <w:spacing w:after="0"/>
              <w:rPr>
                <w:sz w:val="14"/>
                <w:szCs w:val="14"/>
                <w:color w:val="auto"/>
              </w:rPr>
            </w:pPr>
          </w:p>
        </w:tc>
        <w:tc>
          <w:tcPr>
            <w:tcW w:w="1280" w:type="dxa"/>
            <w:vAlign w:val="bottom"/>
            <w:gridSpan w:val="4"/>
          </w:tcPr>
          <w:p>
            <w:pPr>
              <w:ind w:left="500"/>
              <w:spacing w:after="0"/>
              <w:rPr>
                <w:sz w:val="20"/>
                <w:szCs w:val="20"/>
                <w:color w:val="auto"/>
              </w:rPr>
            </w:pPr>
            <w:r>
              <w:rPr>
                <w:rFonts w:ascii="Arial" w:cs="Arial" w:eastAsia="Arial" w:hAnsi="Arial"/>
                <w:sz w:val="12"/>
                <w:szCs w:val="12"/>
                <w:color w:val="005A64"/>
              </w:rPr>
              <w:t>188.6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580" w:type="dxa"/>
            <w:vAlign w:val="bottom"/>
          </w:tcPr>
          <w:p>
            <w:pPr>
              <w:spacing w:after="0"/>
              <w:rPr>
                <w:sz w:val="20"/>
                <w:szCs w:val="20"/>
                <w:color w:val="auto"/>
              </w:rPr>
            </w:pPr>
            <w:r>
              <w:rPr>
                <w:rFonts w:ascii="Arial" w:cs="Arial" w:eastAsia="Arial" w:hAnsi="Arial"/>
                <w:sz w:val="12"/>
                <w:szCs w:val="12"/>
                <w:color w:val="005A64"/>
              </w:rPr>
              <w:t>under lease contracts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2"/>
                <w:szCs w:val="12"/>
                <w:color w:val="005A64"/>
              </w:rPr>
              <w:t>Loans and borrowings</w:t>
            </w:r>
          </w:p>
        </w:tc>
        <w:tc>
          <w:tcPr>
            <w:tcW w:w="860" w:type="dxa"/>
            <w:vAlign w:val="bottom"/>
            <w:gridSpan w:val="2"/>
          </w:tcPr>
          <w:p>
            <w:pPr>
              <w:ind w:left="80"/>
              <w:spacing w:after="0"/>
              <w:rPr>
                <w:sz w:val="20"/>
                <w:szCs w:val="20"/>
                <w:color w:val="auto"/>
              </w:rPr>
            </w:pPr>
            <w:r>
              <w:rPr>
                <w:rFonts w:ascii="Arial" w:cs="Arial" w:eastAsia="Arial" w:hAnsi="Arial"/>
                <w:sz w:val="12"/>
                <w:szCs w:val="12"/>
                <w:color w:val="005A64"/>
              </w:rPr>
              <w:t>2.1</w:t>
            </w:r>
          </w:p>
        </w:tc>
        <w:tc>
          <w:tcPr>
            <w:tcW w:w="860" w:type="dxa"/>
            <w:vAlign w:val="bottom"/>
            <w:gridSpan w:val="2"/>
          </w:tcPr>
          <w:p>
            <w:pPr>
              <w:ind w:left="80"/>
              <w:spacing w:after="0"/>
              <w:rPr>
                <w:sz w:val="20"/>
                <w:szCs w:val="20"/>
                <w:color w:val="auto"/>
              </w:rPr>
            </w:pPr>
            <w:r>
              <w:rPr>
                <w:rFonts w:ascii="Arial" w:cs="Arial" w:eastAsia="Arial" w:hAnsi="Arial"/>
                <w:sz w:val="12"/>
                <w:szCs w:val="12"/>
                <w:color w:val="005A64"/>
              </w:rPr>
              <w:t>0.2</w:t>
            </w:r>
          </w:p>
        </w:tc>
        <w:tc>
          <w:tcPr>
            <w:tcW w:w="4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2"/>
                <w:szCs w:val="12"/>
                <w:color w:val="005A64"/>
              </w:rPr>
              <w:t>—</w:t>
            </w:r>
          </w:p>
        </w:tc>
        <w:tc>
          <w:tcPr>
            <w:tcW w:w="4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1280" w:type="dxa"/>
            <w:vAlign w:val="bottom"/>
            <w:gridSpan w:val="4"/>
          </w:tcPr>
          <w:p>
            <w:pPr>
              <w:ind w:left="500"/>
              <w:spacing w:after="0"/>
              <w:rPr>
                <w:sz w:val="20"/>
                <w:szCs w:val="20"/>
                <w:color w:val="auto"/>
              </w:rPr>
            </w:pPr>
            <w:r>
              <w:rPr>
                <w:rFonts w:ascii="Arial" w:cs="Arial" w:eastAsia="Arial" w:hAnsi="Arial"/>
                <w:sz w:val="12"/>
                <w:szCs w:val="12"/>
                <w:color w:val="005A64"/>
              </w:rPr>
              <w:t>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2"/>
                <w:szCs w:val="12"/>
                <w:b w:val="1"/>
                <w:bCs w:val="1"/>
                <w:color w:val="005A64"/>
              </w:rPr>
              <w:t>Total</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005A64"/>
              </w:rPr>
              <w:t>212.2</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005A64"/>
              </w:rPr>
              <w:t>(40.1)</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005A64"/>
              </w:rPr>
              <w:t>50.5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2"/>
                <w:szCs w:val="12"/>
                <w:b w:val="1"/>
                <w:bCs w:val="1"/>
                <w:color w:val="005A64"/>
              </w:rPr>
              <w:t>—</w:t>
            </w:r>
          </w:p>
        </w:tc>
        <w:tc>
          <w:tcPr>
            <w:tcW w:w="380" w:type="dxa"/>
            <w:vAlign w:val="bottom"/>
            <w:gridSpan w:val="2"/>
          </w:tcPr>
          <w:p>
            <w:pPr>
              <w:ind w:left="60"/>
              <w:spacing w:after="0"/>
              <w:rPr>
                <w:sz w:val="20"/>
                <w:szCs w:val="20"/>
                <w:color w:val="auto"/>
              </w:rPr>
            </w:pPr>
            <w:r>
              <w:rPr>
                <w:rFonts w:ascii="Arial" w:cs="Arial" w:eastAsia="Arial" w:hAnsi="Arial"/>
                <w:sz w:val="12"/>
                <w:szCs w:val="12"/>
                <w:b w:val="1"/>
                <w:bCs w:val="1"/>
                <w:color w:val="005A64"/>
              </w:rPr>
              <w:t>(3.6)</w:t>
            </w:r>
          </w:p>
        </w:tc>
        <w:tc>
          <w:tcPr>
            <w:tcW w:w="40" w:type="dxa"/>
            <w:vAlign w:val="bottom"/>
          </w:tcPr>
          <w:p>
            <w:pPr>
              <w:spacing w:after="0"/>
              <w:rPr>
                <w:sz w:val="18"/>
                <w:szCs w:val="18"/>
                <w:color w:val="auto"/>
              </w:rPr>
            </w:pPr>
          </w:p>
        </w:tc>
        <w:tc>
          <w:tcPr>
            <w:tcW w:w="1280" w:type="dxa"/>
            <w:vAlign w:val="bottom"/>
            <w:gridSpan w:val="4"/>
          </w:tcPr>
          <w:p>
            <w:pPr>
              <w:ind w:left="500"/>
              <w:spacing w:after="0"/>
              <w:rPr>
                <w:sz w:val="20"/>
                <w:szCs w:val="20"/>
                <w:color w:val="auto"/>
              </w:rPr>
            </w:pPr>
            <w:r>
              <w:rPr>
                <w:rFonts w:ascii="Arial" w:cs="Arial" w:eastAsia="Arial" w:hAnsi="Arial"/>
                <w:sz w:val="12"/>
                <w:szCs w:val="12"/>
                <w:b w:val="1"/>
                <w:bCs w:val="1"/>
                <w:color w:val="005A64"/>
              </w:rPr>
              <w:t>219.0</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58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20" w:type="dxa"/>
            <w:vAlign w:val="bottom"/>
            <w:tcBorders>
              <w:bottom w:val="single" w:sz="8" w:color="005A64"/>
            </w:tcBorders>
          </w:tcPr>
          <w:p>
            <w:pPr>
              <w:spacing w:after="0"/>
              <w:rPr>
                <w:sz w:val="4"/>
                <w:szCs w:val="4"/>
                <w:color w:val="auto"/>
              </w:rPr>
            </w:pPr>
          </w:p>
        </w:tc>
        <w:tc>
          <w:tcPr>
            <w:tcW w:w="20" w:type="dxa"/>
            <w:vAlign w:val="bottom"/>
            <w:tcBorders>
              <w:bottom w:val="single" w:sz="8" w:color="005A64"/>
            </w:tcBorders>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Borders>
              <w:bottom w:val="single" w:sz="8" w:color="005A64"/>
            </w:tcBorders>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20" w:type="dxa"/>
            <w:vAlign w:val="bottom"/>
            <w:tcBorders>
              <w:bottom w:val="single" w:sz="8" w:color="005A64"/>
            </w:tcBorders>
          </w:tcPr>
          <w:p>
            <w:pPr>
              <w:spacing w:after="0"/>
              <w:rPr>
                <w:sz w:val="4"/>
                <w:szCs w:val="4"/>
                <w:color w:val="auto"/>
              </w:rPr>
            </w:pPr>
          </w:p>
        </w:tc>
        <w:tc>
          <w:tcPr>
            <w:tcW w:w="40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1580" w:type="dxa"/>
            <w:vAlign w:val="bottom"/>
            <w:tcBorders>
              <w:bottom w:val="single" w:sz="8" w:color="BECE33"/>
            </w:tcBorders>
          </w:tcPr>
          <w:p>
            <w:pPr>
              <w:spacing w:after="0" w:line="152" w:lineRule="exact"/>
              <w:rPr>
                <w:sz w:val="20"/>
                <w:szCs w:val="20"/>
                <w:color w:val="auto"/>
              </w:rPr>
            </w:pPr>
            <w:r>
              <w:rPr>
                <w:rFonts w:ascii="Arial" w:cs="Arial" w:eastAsia="Arial" w:hAnsi="Arial"/>
                <w:sz w:val="16"/>
                <w:szCs w:val="16"/>
                <w:b w:val="1"/>
                <w:bCs w:val="1"/>
                <w:color w:val="005A64"/>
              </w:rPr>
              <w:t>13 Inventories</w:t>
            </w:r>
          </w:p>
        </w:tc>
        <w:tc>
          <w:tcPr>
            <w:tcW w:w="80" w:type="dxa"/>
            <w:vAlign w:val="bottom"/>
            <w:tcBorders>
              <w:bottom w:val="single" w:sz="8" w:color="BECE33"/>
            </w:tcBorders>
          </w:tcPr>
          <w:p>
            <w:pPr>
              <w:spacing w:after="0"/>
              <w:rPr>
                <w:sz w:val="13"/>
                <w:szCs w:val="13"/>
                <w:color w:val="auto"/>
              </w:rPr>
            </w:pPr>
          </w:p>
        </w:tc>
        <w:tc>
          <w:tcPr>
            <w:tcW w:w="780" w:type="dxa"/>
            <w:vAlign w:val="bottom"/>
            <w:tcBorders>
              <w:bottom w:val="single" w:sz="8" w:color="BECE33"/>
            </w:tcBorders>
          </w:tcPr>
          <w:p>
            <w:pPr>
              <w:spacing w:after="0"/>
              <w:rPr>
                <w:sz w:val="13"/>
                <w:szCs w:val="13"/>
                <w:color w:val="auto"/>
              </w:rPr>
            </w:pPr>
          </w:p>
        </w:tc>
        <w:tc>
          <w:tcPr>
            <w:tcW w:w="60" w:type="dxa"/>
            <w:vAlign w:val="bottom"/>
            <w:tcBorders>
              <w:bottom w:val="single" w:sz="8" w:color="BECE33"/>
            </w:tcBorders>
          </w:tcPr>
          <w:p>
            <w:pPr>
              <w:spacing w:after="0"/>
              <w:rPr>
                <w:sz w:val="13"/>
                <w:szCs w:val="13"/>
                <w:color w:val="auto"/>
              </w:rPr>
            </w:pPr>
          </w:p>
        </w:tc>
        <w:tc>
          <w:tcPr>
            <w:tcW w:w="800" w:type="dxa"/>
            <w:vAlign w:val="bottom"/>
            <w:tcBorders>
              <w:bottom w:val="single" w:sz="8" w:color="BECE33"/>
            </w:tcBorders>
          </w:tcPr>
          <w:p>
            <w:pPr>
              <w:spacing w:after="0"/>
              <w:rPr>
                <w:sz w:val="13"/>
                <w:szCs w:val="13"/>
                <w:color w:val="auto"/>
              </w:rPr>
            </w:pPr>
          </w:p>
        </w:tc>
        <w:tc>
          <w:tcPr>
            <w:tcW w:w="40" w:type="dxa"/>
            <w:vAlign w:val="bottom"/>
            <w:tcBorders>
              <w:bottom w:val="single" w:sz="8" w:color="BECE33"/>
            </w:tcBorders>
          </w:tcPr>
          <w:p>
            <w:pPr>
              <w:spacing w:after="0"/>
              <w:rPr>
                <w:sz w:val="13"/>
                <w:szCs w:val="13"/>
                <w:color w:val="auto"/>
              </w:rPr>
            </w:pPr>
          </w:p>
        </w:tc>
        <w:tc>
          <w:tcPr>
            <w:tcW w:w="720" w:type="dxa"/>
            <w:vAlign w:val="bottom"/>
            <w:tcBorders>
              <w:bottom w:val="single" w:sz="8" w:color="BECE33"/>
            </w:tcBorders>
          </w:tcPr>
          <w:p>
            <w:pPr>
              <w:spacing w:after="0"/>
              <w:rPr>
                <w:sz w:val="13"/>
                <w:szCs w:val="13"/>
                <w:color w:val="auto"/>
              </w:rPr>
            </w:pPr>
          </w:p>
        </w:tc>
        <w:tc>
          <w:tcPr>
            <w:tcW w:w="20" w:type="dxa"/>
            <w:vAlign w:val="bottom"/>
            <w:tcBorders>
              <w:bottom w:val="single" w:sz="8" w:color="BECE33"/>
            </w:tcBorders>
          </w:tcPr>
          <w:p>
            <w:pPr>
              <w:spacing w:after="0"/>
              <w:rPr>
                <w:sz w:val="13"/>
                <w:szCs w:val="13"/>
                <w:color w:val="auto"/>
              </w:rPr>
            </w:pPr>
          </w:p>
        </w:tc>
        <w:tc>
          <w:tcPr>
            <w:tcW w:w="20" w:type="dxa"/>
            <w:vAlign w:val="bottom"/>
            <w:tcBorders>
              <w:bottom w:val="single" w:sz="8" w:color="BECE33"/>
            </w:tcBorders>
          </w:tcPr>
          <w:p>
            <w:pPr>
              <w:spacing w:after="0"/>
              <w:rPr>
                <w:sz w:val="13"/>
                <w:szCs w:val="13"/>
                <w:color w:val="auto"/>
              </w:rPr>
            </w:pPr>
          </w:p>
        </w:tc>
        <w:tc>
          <w:tcPr>
            <w:tcW w:w="40" w:type="dxa"/>
            <w:vAlign w:val="bottom"/>
            <w:tcBorders>
              <w:bottom w:val="single" w:sz="8" w:color="BECE33"/>
            </w:tcBorders>
          </w:tcPr>
          <w:p>
            <w:pPr>
              <w:spacing w:after="0"/>
              <w:rPr>
                <w:sz w:val="13"/>
                <w:szCs w:val="13"/>
                <w:color w:val="auto"/>
              </w:rPr>
            </w:pPr>
          </w:p>
        </w:tc>
        <w:tc>
          <w:tcPr>
            <w:tcW w:w="60" w:type="dxa"/>
            <w:vAlign w:val="bottom"/>
            <w:tcBorders>
              <w:bottom w:val="single" w:sz="8" w:color="BECE33"/>
            </w:tcBorders>
          </w:tcPr>
          <w:p>
            <w:pPr>
              <w:spacing w:after="0"/>
              <w:rPr>
                <w:sz w:val="13"/>
                <w:szCs w:val="13"/>
                <w:color w:val="auto"/>
              </w:rPr>
            </w:pPr>
          </w:p>
        </w:tc>
        <w:tc>
          <w:tcPr>
            <w:tcW w:w="800" w:type="dxa"/>
            <w:vAlign w:val="bottom"/>
            <w:tcBorders>
              <w:bottom w:val="single" w:sz="8" w:color="BECE33"/>
            </w:tcBorders>
          </w:tcPr>
          <w:p>
            <w:pPr>
              <w:spacing w:after="0"/>
              <w:rPr>
                <w:sz w:val="13"/>
                <w:szCs w:val="13"/>
                <w:color w:val="auto"/>
              </w:rPr>
            </w:pPr>
          </w:p>
        </w:tc>
        <w:tc>
          <w:tcPr>
            <w:tcW w:w="40" w:type="dxa"/>
            <w:vAlign w:val="bottom"/>
            <w:tcBorders>
              <w:bottom w:val="single" w:sz="8" w:color="BECE33"/>
            </w:tcBorders>
          </w:tcPr>
          <w:p>
            <w:pPr>
              <w:spacing w:after="0"/>
              <w:rPr>
                <w:sz w:val="13"/>
                <w:szCs w:val="13"/>
                <w:color w:val="auto"/>
              </w:rPr>
            </w:pPr>
          </w:p>
        </w:tc>
        <w:tc>
          <w:tcPr>
            <w:tcW w:w="340" w:type="dxa"/>
            <w:vAlign w:val="bottom"/>
            <w:tcBorders>
              <w:bottom w:val="single" w:sz="8" w:color="BECE33"/>
            </w:tcBorders>
          </w:tcPr>
          <w:p>
            <w:pPr>
              <w:spacing w:after="0"/>
              <w:rPr>
                <w:sz w:val="13"/>
                <w:szCs w:val="13"/>
                <w:color w:val="auto"/>
              </w:rPr>
            </w:pPr>
          </w:p>
        </w:tc>
        <w:tc>
          <w:tcPr>
            <w:tcW w:w="40" w:type="dxa"/>
            <w:vAlign w:val="bottom"/>
            <w:tcBorders>
              <w:bottom w:val="single" w:sz="8" w:color="BECE33"/>
            </w:tcBorders>
          </w:tcPr>
          <w:p>
            <w:pPr>
              <w:spacing w:after="0"/>
              <w:rPr>
                <w:sz w:val="13"/>
                <w:szCs w:val="13"/>
                <w:color w:val="auto"/>
              </w:rPr>
            </w:pPr>
          </w:p>
        </w:tc>
        <w:tc>
          <w:tcPr>
            <w:tcW w:w="20" w:type="dxa"/>
            <w:vAlign w:val="bottom"/>
            <w:tcBorders>
              <w:bottom w:val="single" w:sz="8" w:color="BECE33"/>
            </w:tcBorders>
          </w:tcPr>
          <w:p>
            <w:pPr>
              <w:spacing w:after="0"/>
              <w:rPr>
                <w:sz w:val="13"/>
                <w:szCs w:val="13"/>
                <w:color w:val="auto"/>
              </w:rPr>
            </w:pPr>
          </w:p>
        </w:tc>
        <w:tc>
          <w:tcPr>
            <w:tcW w:w="400" w:type="dxa"/>
            <w:vAlign w:val="bottom"/>
            <w:tcBorders>
              <w:bottom w:val="single" w:sz="8" w:color="BECE33"/>
            </w:tcBorders>
          </w:tcPr>
          <w:p>
            <w:pPr>
              <w:spacing w:after="0"/>
              <w:rPr>
                <w:sz w:val="13"/>
                <w:szCs w:val="13"/>
                <w:color w:val="auto"/>
              </w:rPr>
            </w:pPr>
          </w:p>
        </w:tc>
        <w:tc>
          <w:tcPr>
            <w:tcW w:w="60" w:type="dxa"/>
            <w:vAlign w:val="bottom"/>
            <w:tcBorders>
              <w:bottom w:val="single" w:sz="8" w:color="BECE33"/>
            </w:tcBorders>
          </w:tcPr>
          <w:p>
            <w:pPr>
              <w:spacing w:after="0"/>
              <w:rPr>
                <w:sz w:val="13"/>
                <w:szCs w:val="13"/>
                <w:color w:val="auto"/>
              </w:rPr>
            </w:pPr>
          </w:p>
        </w:tc>
        <w:tc>
          <w:tcPr>
            <w:tcW w:w="800" w:type="dxa"/>
            <w:vAlign w:val="bottom"/>
            <w:tcBorders>
              <w:bottom w:val="single" w:sz="8" w:color="BECE33"/>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80" w:type="dxa"/>
            <w:vAlign w:val="bottom"/>
            <w:vMerge w:val="restart"/>
          </w:tcPr>
          <w:p>
            <w:pPr>
              <w:spacing w:after="0"/>
              <w:rPr>
                <w:sz w:val="20"/>
                <w:szCs w:val="20"/>
                <w:color w:val="auto"/>
              </w:rPr>
            </w:pPr>
            <w:r>
              <w:rPr>
                <w:rFonts w:ascii="Arial" w:cs="Arial" w:eastAsia="Arial" w:hAnsi="Arial"/>
                <w:sz w:val="12"/>
                <w:szCs w:val="12"/>
                <w:i w:val="1"/>
                <w:iCs w:val="1"/>
                <w:color w:val="005A64"/>
              </w:rPr>
              <w:t>(in millions €)</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bottom w:val="single" w:sz="8" w:color="BECE33"/>
            </w:tcBorders>
          </w:tcPr>
          <w:p>
            <w:pPr>
              <w:spacing w:after="0"/>
              <w:rPr>
                <w:sz w:val="10"/>
                <w:szCs w:val="10"/>
                <w:color w:val="auto"/>
              </w:rPr>
            </w:pPr>
          </w:p>
        </w:tc>
        <w:tc>
          <w:tcPr>
            <w:tcW w:w="40" w:type="dxa"/>
            <w:vAlign w:val="bottom"/>
            <w:tcBorders>
              <w:bottom w:val="single" w:sz="8" w:color="BECE33"/>
            </w:tcBorders>
          </w:tcPr>
          <w:p>
            <w:pPr>
              <w:spacing w:after="0"/>
              <w:rPr>
                <w:sz w:val="10"/>
                <w:szCs w:val="10"/>
                <w:color w:val="auto"/>
              </w:rPr>
            </w:pPr>
          </w:p>
        </w:tc>
        <w:tc>
          <w:tcPr>
            <w:tcW w:w="60" w:type="dxa"/>
            <w:vAlign w:val="bottom"/>
            <w:tcBorders>
              <w:bottom w:val="single" w:sz="8" w:color="BECE33"/>
            </w:tcBorders>
          </w:tcPr>
          <w:p>
            <w:pPr>
              <w:spacing w:after="0"/>
              <w:rPr>
                <w:sz w:val="10"/>
                <w:szCs w:val="10"/>
                <w:color w:val="auto"/>
              </w:rPr>
            </w:pPr>
          </w:p>
        </w:tc>
        <w:tc>
          <w:tcPr>
            <w:tcW w:w="800" w:type="dxa"/>
            <w:vAlign w:val="bottom"/>
            <w:tcBorders>
              <w:bottom w:val="single" w:sz="8" w:color="BECE33"/>
            </w:tcBorders>
          </w:tcPr>
          <w:p>
            <w:pPr>
              <w:spacing w:after="0"/>
              <w:rPr>
                <w:sz w:val="10"/>
                <w:szCs w:val="10"/>
                <w:color w:val="auto"/>
              </w:rPr>
            </w:pPr>
          </w:p>
        </w:tc>
        <w:tc>
          <w:tcPr>
            <w:tcW w:w="40" w:type="dxa"/>
            <w:vAlign w:val="bottom"/>
            <w:tcBorders>
              <w:bottom w:val="single" w:sz="8" w:color="BECE33"/>
            </w:tcBorders>
          </w:tcPr>
          <w:p>
            <w:pPr>
              <w:spacing w:after="0"/>
              <w:rPr>
                <w:sz w:val="10"/>
                <w:szCs w:val="10"/>
                <w:color w:val="auto"/>
              </w:rPr>
            </w:pPr>
          </w:p>
        </w:tc>
        <w:tc>
          <w:tcPr>
            <w:tcW w:w="340" w:type="dxa"/>
            <w:vAlign w:val="bottom"/>
            <w:tcBorders>
              <w:bottom w:val="single" w:sz="8" w:color="BECE33"/>
            </w:tcBorders>
          </w:tcPr>
          <w:p>
            <w:pPr>
              <w:spacing w:after="0"/>
              <w:rPr>
                <w:sz w:val="10"/>
                <w:szCs w:val="10"/>
                <w:color w:val="auto"/>
              </w:rPr>
            </w:pPr>
          </w:p>
        </w:tc>
        <w:tc>
          <w:tcPr>
            <w:tcW w:w="40" w:type="dxa"/>
            <w:vAlign w:val="bottom"/>
            <w:tcBorders>
              <w:bottom w:val="single" w:sz="8" w:color="BECE33"/>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2"/>
                <w:szCs w:val="12"/>
                <w:b w:val="1"/>
                <w:bCs w:val="1"/>
                <w:color w:val="005A64"/>
              </w:rPr>
              <w:t>December 31, 2023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6"/>
          </w:tcPr>
          <w:p>
            <w:pPr>
              <w:ind w:left="20"/>
              <w:spacing w:after="0"/>
              <w:rPr>
                <w:sz w:val="20"/>
                <w:szCs w:val="20"/>
                <w:color w:val="auto"/>
              </w:rPr>
            </w:pPr>
            <w:r>
              <w:rPr>
                <w:rFonts w:ascii="Arial" w:cs="Arial" w:eastAsia="Arial" w:hAnsi="Arial"/>
                <w:sz w:val="12"/>
                <w:szCs w:val="12"/>
                <w:b w:val="1"/>
                <w:bCs w:val="1"/>
                <w:color w:val="005A64"/>
              </w:rPr>
              <w:t>December 31, 2024</w:t>
            </w:r>
          </w:p>
        </w:tc>
        <w:tc>
          <w:tcPr>
            <w:tcW w:w="20" w:type="dxa"/>
            <w:vAlign w:val="bottom"/>
            <w:vMerge w:val="continue"/>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580" w:type="dxa"/>
            <w:vAlign w:val="bottom"/>
            <w:tcBorders>
              <w:bottom w:val="single" w:sz="8" w:color="005A64"/>
            </w:tcBorders>
          </w:tcPr>
          <w:p>
            <w:pPr>
              <w:spacing w:after="0"/>
              <w:rPr>
                <w:sz w:val="2"/>
                <w:szCs w:val="2"/>
                <w:color w:val="auto"/>
              </w:rPr>
            </w:pPr>
          </w:p>
        </w:tc>
        <w:tc>
          <w:tcPr>
            <w:tcW w:w="80" w:type="dxa"/>
            <w:vAlign w:val="bottom"/>
            <w:tcBorders>
              <w:bottom w:val="single" w:sz="8" w:color="005A64"/>
            </w:tcBorders>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60" w:type="dxa"/>
            <w:vAlign w:val="bottom"/>
            <w:tcBorders>
              <w:bottom w:val="single" w:sz="8" w:color="005A64"/>
            </w:tcBorders>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40" w:type="dxa"/>
            <w:vAlign w:val="bottom"/>
            <w:tcBorders>
              <w:bottom w:val="single" w:sz="8" w:color="005A64"/>
            </w:tcBorders>
          </w:tcPr>
          <w:p>
            <w:pPr>
              <w:spacing w:after="0"/>
              <w:rPr>
                <w:sz w:val="2"/>
                <w:szCs w:val="2"/>
                <w:color w:val="auto"/>
              </w:rPr>
            </w:pPr>
          </w:p>
        </w:tc>
        <w:tc>
          <w:tcPr>
            <w:tcW w:w="720" w:type="dxa"/>
            <w:vAlign w:val="bottom"/>
            <w:tcBorders>
              <w:bottom w:val="single" w:sz="8" w:color="005A64"/>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900" w:type="dxa"/>
            <w:vAlign w:val="bottom"/>
            <w:tcBorders>
              <w:bottom w:val="single" w:sz="8" w:color="005A64"/>
            </w:tcBorders>
            <w:gridSpan w:val="3"/>
          </w:tcPr>
          <w:p>
            <w:pPr>
              <w:spacing w:after="0"/>
              <w:rPr>
                <w:sz w:val="2"/>
                <w:szCs w:val="2"/>
                <w:color w:val="auto"/>
              </w:rPr>
            </w:pPr>
          </w:p>
        </w:tc>
        <w:tc>
          <w:tcPr>
            <w:tcW w:w="40" w:type="dxa"/>
            <w:vAlign w:val="bottom"/>
            <w:tcBorders>
              <w:bottom w:val="single" w:sz="8" w:color="005A64"/>
            </w:tcBorders>
          </w:tcPr>
          <w:p>
            <w:pPr>
              <w:spacing w:after="0"/>
              <w:rPr>
                <w:sz w:val="2"/>
                <w:szCs w:val="2"/>
                <w:color w:val="auto"/>
              </w:rPr>
            </w:pPr>
          </w:p>
        </w:tc>
        <w:tc>
          <w:tcPr>
            <w:tcW w:w="340" w:type="dxa"/>
            <w:vAlign w:val="bottom"/>
            <w:tcBorders>
              <w:bottom w:val="single" w:sz="8" w:color="005A64"/>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0" w:type="dxa"/>
            <w:vAlign w:val="bottom"/>
            <w:tcBorders>
              <w:bottom w:val="single" w:sz="8" w:color="005A64"/>
            </w:tcBorders>
          </w:tcPr>
          <w:p>
            <w:pPr>
              <w:spacing w:after="0"/>
              <w:rPr>
                <w:sz w:val="2"/>
                <w:szCs w:val="2"/>
                <w:color w:val="auto"/>
              </w:rPr>
            </w:pPr>
          </w:p>
        </w:tc>
        <w:tc>
          <w:tcPr>
            <w:tcW w:w="60" w:type="dxa"/>
            <w:vAlign w:val="bottom"/>
            <w:tcBorders>
              <w:bottom w:val="single" w:sz="8" w:color="005A64"/>
            </w:tcBorders>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580" w:type="dxa"/>
            <w:vAlign w:val="bottom"/>
          </w:tcPr>
          <w:p>
            <w:pPr>
              <w:spacing w:after="0"/>
              <w:rPr>
                <w:sz w:val="20"/>
                <w:szCs w:val="20"/>
                <w:color w:val="auto"/>
              </w:rPr>
            </w:pPr>
            <w:r>
              <w:rPr>
                <w:rFonts w:ascii="Arial" w:cs="Arial" w:eastAsia="Arial" w:hAnsi="Arial"/>
                <w:sz w:val="12"/>
                <w:szCs w:val="12"/>
                <w:color w:val="005A64"/>
              </w:rPr>
              <w:t>Raw materials and supplies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Arial" w:cs="Arial" w:eastAsia="Arial" w:hAnsi="Arial"/>
                <w:sz w:val="12"/>
                <w:szCs w:val="12"/>
                <w:color w:val="005A64"/>
              </w:rPr>
              <w:t>268.1</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color w:val="005A64"/>
              </w:rPr>
              <w:t>347.5</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Arial" w:cs="Arial" w:eastAsia="Arial" w:hAnsi="Arial"/>
                <w:sz w:val="12"/>
                <w:szCs w:val="12"/>
                <w:color w:val="005A64"/>
              </w:rPr>
              <w:t>Unfinished goods</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4"/>
          </w:tcPr>
          <w:p>
            <w:pPr>
              <w:ind w:left="40"/>
              <w:spacing w:after="0"/>
              <w:rPr>
                <w:sz w:val="20"/>
                <w:szCs w:val="20"/>
                <w:color w:val="auto"/>
              </w:rPr>
            </w:pPr>
            <w:r>
              <w:rPr>
                <w:rFonts w:ascii="Arial" w:cs="Arial" w:eastAsia="Arial" w:hAnsi="Arial"/>
                <w:sz w:val="12"/>
                <w:szCs w:val="12"/>
                <w:color w:val="005A64"/>
              </w:rPr>
              <w:t>7.3</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gridSpan w:val="2"/>
          </w:tcPr>
          <w:p>
            <w:pPr>
              <w:ind w:left="20"/>
              <w:spacing w:after="0"/>
              <w:rPr>
                <w:sz w:val="20"/>
                <w:szCs w:val="20"/>
                <w:color w:val="auto"/>
              </w:rPr>
            </w:pPr>
            <w:r>
              <w:rPr>
                <w:rFonts w:ascii="Arial" w:cs="Arial" w:eastAsia="Arial" w:hAnsi="Arial"/>
                <w:sz w:val="12"/>
                <w:szCs w:val="12"/>
                <w:color w:val="005A64"/>
              </w:rPr>
              <w:t>4.0</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2"/>
                <w:szCs w:val="12"/>
                <w:color w:val="005A64"/>
              </w:rPr>
              <w:t>Finished goods</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4"/>
          </w:tcPr>
          <w:p>
            <w:pPr>
              <w:ind w:left="40"/>
              <w:spacing w:after="0"/>
              <w:rPr>
                <w:sz w:val="20"/>
                <w:szCs w:val="20"/>
                <w:color w:val="auto"/>
              </w:rPr>
            </w:pPr>
            <w:r>
              <w:rPr>
                <w:rFonts w:ascii="Arial" w:cs="Arial" w:eastAsia="Arial" w:hAnsi="Arial"/>
                <w:sz w:val="12"/>
                <w:szCs w:val="12"/>
                <w:color w:val="005A64"/>
              </w:rPr>
              <w:t>7.9</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gridSpan w:val="2"/>
          </w:tcPr>
          <w:p>
            <w:pPr>
              <w:ind w:left="20"/>
              <w:spacing w:after="0"/>
              <w:rPr>
                <w:sz w:val="20"/>
                <w:szCs w:val="20"/>
                <w:color w:val="auto"/>
              </w:rPr>
            </w:pPr>
            <w:r>
              <w:rPr>
                <w:rFonts w:ascii="Arial" w:cs="Arial" w:eastAsia="Arial" w:hAnsi="Arial"/>
                <w:sz w:val="12"/>
                <w:szCs w:val="12"/>
                <w:color w:val="005A64"/>
              </w:rPr>
              <w:t>6.2</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2"/>
                <w:szCs w:val="12"/>
                <w:b w:val="1"/>
                <w:bCs w:val="1"/>
                <w:color w:val="005A64"/>
              </w:rPr>
              <w:t>Total</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4"/>
          </w:tcPr>
          <w:p>
            <w:pPr>
              <w:ind w:left="40"/>
              <w:spacing w:after="0"/>
              <w:rPr>
                <w:sz w:val="20"/>
                <w:szCs w:val="20"/>
                <w:color w:val="auto"/>
              </w:rPr>
            </w:pPr>
            <w:r>
              <w:rPr>
                <w:rFonts w:ascii="Arial" w:cs="Arial" w:eastAsia="Arial" w:hAnsi="Arial"/>
                <w:sz w:val="12"/>
                <w:szCs w:val="12"/>
                <w:b w:val="1"/>
                <w:bCs w:val="1"/>
                <w:color w:val="005A64"/>
              </w:rPr>
              <w:t>283.3</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005A64"/>
              </w:rPr>
              <w:t>357.7</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-611505</wp:posOffset>
            </wp:positionV>
            <wp:extent cx="847090" cy="6483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3">
                      <a:extLst>
                        <a:ext uri="{28A0092B-C50C-407E-A947-70E740481C1C}"/>
                      </a:extLst>
                    </a:blip>
                    <a:srcRect/>
                    <a:stretch>
                      <a:fillRect/>
                    </a:stretch>
                  </pic:blipFill>
                  <pic:spPr bwMode="auto">
                    <a:xfrm>
                      <a:off x="0" y="0"/>
                      <a:ext cx="847090" cy="648335"/>
                    </a:xfrm>
                    <a:prstGeom prst="rect">
                      <a:avLst/>
                    </a:prstGeom>
                    <a:noFill/>
                  </pic:spPr>
                </pic:pic>
              </a:graphicData>
            </a:graphic>
          </wp:anchor>
        </w:drawing>
      </w:r>
    </w:p>
    <w:p>
      <w:pPr>
        <w:spacing w:after="0" w:line="17" w:lineRule="exact"/>
        <w:rPr>
          <w:sz w:val="20"/>
          <w:szCs w:val="20"/>
          <w:color w:val="auto"/>
        </w:rPr>
      </w:pPr>
    </w:p>
    <w:p>
      <w:pPr>
        <w:ind w:left="380" w:right="2120"/>
        <w:spacing w:after="0" w:line="220" w:lineRule="auto"/>
        <w:rPr>
          <w:sz w:val="20"/>
          <w:szCs w:val="20"/>
          <w:color w:val="auto"/>
        </w:rPr>
      </w:pPr>
      <w:r>
        <w:rPr>
          <w:rFonts w:ascii="Arial" w:cs="Arial" w:eastAsia="Arial" w:hAnsi="Arial"/>
          <w:sz w:val="13"/>
          <w:szCs w:val="13"/>
          <w:color w:val="auto"/>
        </w:rPr>
        <w:t>During the year ended December 31, 2024, expenses from inventory write-downs to net realizable value and scrapings due to inventories expected to be unsellable, not fulfilling the specification defined by our quality standards and shelf-life expiry resulted in €125.8 million, compared to €94.5 million in the previous period. The inventories valued at net realizable value in our consolidated statements of financial position as of December 31, 2024, take contractual compensation payments into consideration. We have not pledged any inventories as securities for liabilities. During the years ended December 31, 2024 and 2023, inventories in the amount of €129.5 million and €354.4 million, respectively, were recognized as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-602615</wp:posOffset>
            </wp:positionV>
            <wp:extent cx="4268470" cy="63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4">
                      <a:extLst>
                        <a:ext uri="{28A0092B-C50C-407E-A947-70E740481C1C}"/>
                      </a:extLst>
                    </a:blip>
                    <a:srcRect/>
                    <a:stretch>
                      <a:fillRect/>
                    </a:stretch>
                  </pic:blipFill>
                  <pic:spPr bwMode="auto">
                    <a:xfrm>
                      <a:off x="0" y="0"/>
                      <a:ext cx="426847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F-58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jc w:val="center"/>
        <w:ind w:right="594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6"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5A64"/>
        </w:rPr>
        <w:t>14 Other Non-Financial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-109220</wp:posOffset>
            </wp:positionV>
            <wp:extent cx="5231130" cy="63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45">
                      <a:extLst>
                        <a:ext uri="{28A0092B-C50C-407E-A947-70E740481C1C}"/>
                      </a:extLst>
                    </a:blip>
                    <a:srcRect/>
                    <a:stretch>
                      <a:fillRect/>
                    </a:stretch>
                  </pic:blipFill>
                  <pic:spPr bwMode="auto">
                    <a:xfrm>
                      <a:off x="0" y="0"/>
                      <a:ext cx="5231130" cy="635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0</wp:posOffset>
            </wp:positionV>
            <wp:extent cx="4268470" cy="9950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6">
                      <a:extLst>
                        <a:ext uri="{28A0092B-C50C-407E-A947-70E740481C1C}"/>
                      </a:extLst>
                    </a:blip>
                    <a:srcRect/>
                    <a:stretch>
                      <a:fillRect/>
                    </a:stretch>
                  </pic:blipFill>
                  <pic:spPr bwMode="auto">
                    <a:xfrm>
                      <a:off x="0" y="0"/>
                      <a:ext cx="4268470" cy="995045"/>
                    </a:xfrm>
                    <a:prstGeom prst="rect">
                      <a:avLst/>
                    </a:prstGeom>
                    <a:noFill/>
                  </pic:spPr>
                </pic:pic>
              </a:graphicData>
            </a:graphic>
          </wp:anchor>
        </w:drawing>
      </w:r>
    </w:p>
    <w:p>
      <w:pPr>
        <w:spacing w:after="0" w:line="100"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4100" w:type="dxa"/>
            <w:vAlign w:val="bottom"/>
            <w:gridSpan w:val="2"/>
          </w:tcPr>
          <w:p>
            <w:pPr>
              <w:ind w:left="20"/>
              <w:spacing w:after="0"/>
              <w:rPr>
                <w:sz w:val="20"/>
                <w:szCs w:val="20"/>
                <w:color w:val="auto"/>
              </w:rPr>
            </w:pPr>
            <w:r>
              <w:rPr>
                <w:rFonts w:ascii="Arial" w:cs="Arial" w:eastAsia="Arial" w:hAnsi="Arial"/>
                <w:sz w:val="12"/>
                <w:szCs w:val="12"/>
                <w:color w:val="005A64"/>
              </w:rPr>
              <w:t>(in millions €)</w:t>
            </w:r>
          </w:p>
        </w:tc>
        <w:tc>
          <w:tcPr>
            <w:tcW w:w="20" w:type="dxa"/>
            <w:vAlign w:val="bottom"/>
            <w:tcBorders>
              <w:top w:val="single" w:sz="8" w:color="BECE33"/>
            </w:tcBorders>
          </w:tcPr>
          <w:p>
            <w:pPr>
              <w:spacing w:after="0"/>
              <w:rPr>
                <w:sz w:val="16"/>
                <w:szCs w:val="16"/>
                <w:color w:val="auto"/>
              </w:rPr>
            </w:pPr>
          </w:p>
        </w:tc>
        <w:tc>
          <w:tcPr>
            <w:tcW w:w="1320" w:type="dxa"/>
            <w:vAlign w:val="bottom"/>
            <w:tcBorders>
              <w:top w:val="single" w:sz="8" w:color="BECE33"/>
            </w:tcBorders>
            <w:gridSpan w:val="2"/>
          </w:tcPr>
          <w:p>
            <w:pPr>
              <w:ind w:left="20"/>
              <w:spacing w:after="0"/>
              <w:rPr>
                <w:sz w:val="20"/>
                <w:szCs w:val="20"/>
                <w:color w:val="auto"/>
              </w:rPr>
            </w:pPr>
            <w:r>
              <w:rPr>
                <w:rFonts w:ascii="Arial" w:cs="Arial" w:eastAsia="Arial" w:hAnsi="Arial"/>
                <w:sz w:val="12"/>
                <w:szCs w:val="12"/>
                <w:b w:val="1"/>
                <w:bCs w:val="1"/>
                <w:color w:val="005A64"/>
              </w:rPr>
              <w:t>December 31, 2024</w:t>
            </w:r>
          </w:p>
        </w:tc>
        <w:tc>
          <w:tcPr>
            <w:tcW w:w="2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2"/>
                <w:szCs w:val="12"/>
                <w:b w:val="1"/>
                <w:bCs w:val="1"/>
                <w:color w:val="005A64"/>
              </w:rPr>
              <w:t>December 31, 2023</w:t>
            </w:r>
          </w:p>
        </w:tc>
        <w:tc>
          <w:tcPr>
            <w:tcW w:w="0" w:type="dxa"/>
            <w:vAlign w:val="bottom"/>
          </w:tcPr>
          <w:p>
            <w:pPr>
              <w:spacing w:after="0"/>
              <w:rPr>
                <w:sz w:val="1"/>
                <w:szCs w:val="1"/>
                <w:color w:val="auto"/>
              </w:rPr>
            </w:pPr>
          </w:p>
        </w:tc>
      </w:tr>
      <w:tr>
        <w:trPr>
          <w:trHeight w:val="160"/>
        </w:trPr>
        <w:tc>
          <w:tcPr>
            <w:tcW w:w="4080" w:type="dxa"/>
            <w:vAlign w:val="bottom"/>
            <w:tcBorders>
              <w:top w:val="single" w:sz="8" w:color="005A64"/>
            </w:tcBorders>
          </w:tcPr>
          <w:p>
            <w:pPr>
              <w:ind w:left="20"/>
              <w:spacing w:after="0"/>
              <w:rPr>
                <w:sz w:val="20"/>
                <w:szCs w:val="20"/>
                <w:color w:val="auto"/>
              </w:rPr>
            </w:pPr>
            <w:r>
              <w:rPr>
                <w:rFonts w:ascii="Arial" w:cs="Arial" w:eastAsia="Arial" w:hAnsi="Arial"/>
                <w:sz w:val="12"/>
                <w:szCs w:val="12"/>
                <w:color w:val="005A64"/>
              </w:rPr>
              <w:t>Deferred expenses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Borders>
              <w:top w:val="single" w:sz="8" w:color="005A64"/>
            </w:tcBorders>
          </w:tcPr>
          <w:p>
            <w:pPr>
              <w:ind w:left="20"/>
              <w:spacing w:after="0"/>
              <w:rPr>
                <w:sz w:val="20"/>
                <w:szCs w:val="20"/>
                <w:color w:val="auto"/>
              </w:rPr>
            </w:pPr>
            <w:r>
              <w:rPr>
                <w:rFonts w:ascii="Arial" w:cs="Arial" w:eastAsia="Arial" w:hAnsi="Arial"/>
                <w:sz w:val="12"/>
                <w:szCs w:val="12"/>
                <w:color w:val="005A64"/>
              </w:rPr>
              <w:t>166.8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Borders>
              <w:top w:val="single" w:sz="8" w:color="005A64"/>
            </w:tcBorders>
          </w:tcPr>
          <w:p>
            <w:pPr>
              <w:spacing w:after="0"/>
              <w:rPr>
                <w:sz w:val="20"/>
                <w:szCs w:val="20"/>
                <w:color w:val="auto"/>
              </w:rPr>
            </w:pPr>
            <w:r>
              <w:rPr>
                <w:rFonts w:ascii="Arial" w:cs="Arial" w:eastAsia="Arial" w:hAnsi="Arial"/>
                <w:sz w:val="12"/>
                <w:szCs w:val="12"/>
                <w:color w:val="005A64"/>
              </w:rPr>
              <w:t>284.9</w:t>
            </w:r>
          </w:p>
        </w:tc>
        <w:tc>
          <w:tcPr>
            <w:tcW w:w="0" w:type="dxa"/>
            <w:vAlign w:val="bottom"/>
          </w:tcPr>
          <w:p>
            <w:pPr>
              <w:spacing w:after="0"/>
              <w:rPr>
                <w:sz w:val="1"/>
                <w:szCs w:val="1"/>
                <w:color w:val="auto"/>
              </w:rPr>
            </w:pPr>
          </w:p>
        </w:tc>
      </w:tr>
      <w:tr>
        <w:trPr>
          <w:trHeight w:val="181"/>
        </w:trPr>
        <w:tc>
          <w:tcPr>
            <w:tcW w:w="4100" w:type="dxa"/>
            <w:vAlign w:val="bottom"/>
            <w:gridSpan w:val="2"/>
          </w:tcPr>
          <w:p>
            <w:pPr>
              <w:ind w:left="20"/>
              <w:spacing w:after="0"/>
              <w:rPr>
                <w:sz w:val="20"/>
                <w:szCs w:val="20"/>
                <w:color w:val="auto"/>
              </w:rPr>
            </w:pPr>
            <w:r>
              <w:rPr>
                <w:rFonts w:ascii="Arial" w:cs="Arial" w:eastAsia="Arial" w:hAnsi="Arial"/>
                <w:sz w:val="12"/>
                <w:szCs w:val="12"/>
                <w:color w:val="005A64"/>
              </w:rPr>
              <w:t>Prepayments related to service contracts</w:t>
            </w:r>
          </w:p>
        </w:tc>
        <w:tc>
          <w:tcPr>
            <w:tcW w:w="1300" w:type="dxa"/>
            <w:vAlign w:val="bottom"/>
            <w:gridSpan w:val="2"/>
          </w:tcPr>
          <w:p>
            <w:pPr>
              <w:ind w:left="40"/>
              <w:spacing w:after="0"/>
              <w:rPr>
                <w:sz w:val="20"/>
                <w:szCs w:val="20"/>
                <w:color w:val="auto"/>
              </w:rPr>
            </w:pPr>
            <w:r>
              <w:rPr>
                <w:rFonts w:ascii="Arial" w:cs="Arial" w:eastAsia="Arial" w:hAnsi="Arial"/>
                <w:sz w:val="12"/>
                <w:szCs w:val="12"/>
                <w:color w:val="005A64"/>
              </w:rPr>
              <w:t>27.7</w:t>
            </w:r>
          </w:p>
        </w:tc>
        <w:tc>
          <w:tcPr>
            <w:tcW w:w="4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2"/>
                <w:szCs w:val="12"/>
                <w:color w:val="005A64"/>
              </w:rPr>
              <w:t>28.3</w:t>
            </w:r>
          </w:p>
        </w:tc>
        <w:tc>
          <w:tcPr>
            <w:tcW w:w="0" w:type="dxa"/>
            <w:vAlign w:val="bottom"/>
          </w:tcPr>
          <w:p>
            <w:pPr>
              <w:spacing w:after="0"/>
              <w:rPr>
                <w:sz w:val="1"/>
                <w:szCs w:val="1"/>
                <w:color w:val="auto"/>
              </w:rPr>
            </w:pPr>
          </w:p>
        </w:tc>
      </w:tr>
      <w:tr>
        <w:trPr>
          <w:trHeight w:val="202"/>
        </w:trPr>
        <w:tc>
          <w:tcPr>
            <w:tcW w:w="4100" w:type="dxa"/>
            <w:vAlign w:val="bottom"/>
            <w:gridSpan w:val="2"/>
          </w:tcPr>
          <w:p>
            <w:pPr>
              <w:ind w:left="20"/>
              <w:spacing w:after="0"/>
              <w:rPr>
                <w:sz w:val="20"/>
                <w:szCs w:val="20"/>
                <w:color w:val="auto"/>
              </w:rPr>
            </w:pPr>
            <w:r>
              <w:rPr>
                <w:rFonts w:ascii="Arial" w:cs="Arial" w:eastAsia="Arial" w:hAnsi="Arial"/>
                <w:sz w:val="12"/>
                <w:szCs w:val="12"/>
                <w:color w:val="005A64"/>
              </w:rPr>
              <w:t>Other</w:t>
            </w:r>
          </w:p>
        </w:tc>
        <w:tc>
          <w:tcPr>
            <w:tcW w:w="1300" w:type="dxa"/>
            <w:vAlign w:val="bottom"/>
            <w:gridSpan w:val="2"/>
          </w:tcPr>
          <w:p>
            <w:pPr>
              <w:ind w:left="40"/>
              <w:spacing w:after="0"/>
              <w:rPr>
                <w:sz w:val="20"/>
                <w:szCs w:val="20"/>
                <w:color w:val="auto"/>
              </w:rPr>
            </w:pPr>
            <w:r>
              <w:rPr>
                <w:rFonts w:ascii="Arial" w:cs="Arial" w:eastAsia="Arial" w:hAnsi="Arial"/>
                <w:sz w:val="12"/>
                <w:szCs w:val="12"/>
                <w:color w:val="005A64"/>
              </w:rPr>
              <w:t>44.5</w:t>
            </w:r>
          </w:p>
        </w:tc>
        <w:tc>
          <w:tcPr>
            <w:tcW w:w="4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2"/>
                <w:szCs w:val="12"/>
                <w:color w:val="005A64"/>
              </w:rPr>
              <w:t>51.1</w:t>
            </w:r>
          </w:p>
        </w:tc>
        <w:tc>
          <w:tcPr>
            <w:tcW w:w="0" w:type="dxa"/>
            <w:vAlign w:val="bottom"/>
          </w:tcPr>
          <w:p>
            <w:pPr>
              <w:spacing w:after="0"/>
              <w:rPr>
                <w:sz w:val="1"/>
                <w:szCs w:val="1"/>
                <w:color w:val="auto"/>
              </w:rPr>
            </w:pPr>
          </w:p>
        </w:tc>
      </w:tr>
      <w:tr>
        <w:trPr>
          <w:trHeight w:val="208"/>
        </w:trPr>
        <w:tc>
          <w:tcPr>
            <w:tcW w:w="410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w:t>
            </w:r>
          </w:p>
        </w:tc>
        <w:tc>
          <w:tcPr>
            <w:tcW w:w="1300" w:type="dxa"/>
            <w:vAlign w:val="bottom"/>
            <w:gridSpan w:val="2"/>
          </w:tcPr>
          <w:p>
            <w:pPr>
              <w:ind w:left="40"/>
              <w:spacing w:after="0"/>
              <w:rPr>
                <w:sz w:val="20"/>
                <w:szCs w:val="20"/>
                <w:color w:val="auto"/>
              </w:rPr>
            </w:pPr>
            <w:r>
              <w:rPr>
                <w:rFonts w:ascii="Arial" w:cs="Arial" w:eastAsia="Arial" w:hAnsi="Arial"/>
                <w:sz w:val="12"/>
                <w:szCs w:val="12"/>
                <w:b w:val="1"/>
                <w:bCs w:val="1"/>
                <w:color w:val="005A64"/>
              </w:rPr>
              <w:t>239.0</w:t>
            </w:r>
          </w:p>
        </w:tc>
        <w:tc>
          <w:tcPr>
            <w:tcW w:w="4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Arial" w:cs="Arial" w:eastAsia="Arial" w:hAnsi="Arial"/>
                <w:sz w:val="12"/>
                <w:szCs w:val="12"/>
                <w:b w:val="1"/>
                <w:bCs w:val="1"/>
                <w:color w:val="005A64"/>
              </w:rPr>
              <w:t>364.3</w:t>
            </w:r>
          </w:p>
        </w:tc>
        <w:tc>
          <w:tcPr>
            <w:tcW w:w="0" w:type="dxa"/>
            <w:vAlign w:val="bottom"/>
          </w:tcPr>
          <w:p>
            <w:pPr>
              <w:spacing w:after="0"/>
              <w:rPr>
                <w:sz w:val="1"/>
                <w:szCs w:val="1"/>
                <w:color w:val="auto"/>
              </w:rPr>
            </w:pPr>
          </w:p>
        </w:tc>
      </w:tr>
      <w:tr>
        <w:trPr>
          <w:trHeight w:val="47"/>
        </w:trPr>
        <w:tc>
          <w:tcPr>
            <w:tcW w:w="408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28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4080" w:type="dxa"/>
            <w:vAlign w:val="bottom"/>
          </w:tcPr>
          <w:p>
            <w:pPr>
              <w:ind w:left="20"/>
              <w:spacing w:after="0"/>
              <w:rPr>
                <w:sz w:val="20"/>
                <w:szCs w:val="20"/>
                <w:color w:val="auto"/>
              </w:rPr>
            </w:pPr>
            <w:r>
              <w:rPr>
                <w:rFonts w:ascii="Arial" w:cs="Arial" w:eastAsia="Arial" w:hAnsi="Arial"/>
                <w:sz w:val="12"/>
                <w:szCs w:val="12"/>
                <w:color w:val="005A64"/>
              </w:rPr>
              <w:t>Total current</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2"/>
                <w:szCs w:val="12"/>
                <w:color w:val="005A64"/>
              </w:rPr>
              <w:t>212.7</w:t>
            </w:r>
          </w:p>
        </w:tc>
        <w:tc>
          <w:tcPr>
            <w:tcW w:w="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260" w:type="dxa"/>
            <w:vAlign w:val="bottom"/>
          </w:tcPr>
          <w:p>
            <w:pPr>
              <w:spacing w:after="0"/>
              <w:rPr>
                <w:sz w:val="20"/>
                <w:szCs w:val="20"/>
                <w:color w:val="auto"/>
              </w:rPr>
            </w:pPr>
            <w:r>
              <w:rPr>
                <w:rFonts w:ascii="Arial" w:cs="Arial" w:eastAsia="Arial" w:hAnsi="Arial"/>
                <w:sz w:val="12"/>
                <w:szCs w:val="12"/>
                <w:color w:val="005A64"/>
              </w:rPr>
              <w:t>280.9</w:t>
            </w:r>
          </w:p>
        </w:tc>
        <w:tc>
          <w:tcPr>
            <w:tcW w:w="0" w:type="dxa"/>
            <w:vAlign w:val="bottom"/>
          </w:tcPr>
          <w:p>
            <w:pPr>
              <w:spacing w:after="0"/>
              <w:rPr>
                <w:sz w:val="1"/>
                <w:szCs w:val="1"/>
                <w:color w:val="auto"/>
              </w:rPr>
            </w:pPr>
          </w:p>
        </w:tc>
      </w:tr>
      <w:tr>
        <w:trPr>
          <w:trHeight w:val="181"/>
        </w:trPr>
        <w:tc>
          <w:tcPr>
            <w:tcW w:w="4100" w:type="dxa"/>
            <w:vAlign w:val="bottom"/>
            <w:gridSpan w:val="2"/>
          </w:tcPr>
          <w:p>
            <w:pPr>
              <w:ind w:left="20"/>
              <w:spacing w:after="0"/>
              <w:rPr>
                <w:sz w:val="20"/>
                <w:szCs w:val="20"/>
                <w:color w:val="auto"/>
              </w:rPr>
            </w:pPr>
            <w:r>
              <w:rPr>
                <w:rFonts w:ascii="Arial" w:cs="Arial" w:eastAsia="Arial" w:hAnsi="Arial"/>
                <w:sz w:val="12"/>
                <w:szCs w:val="12"/>
                <w:color w:val="005A64"/>
              </w:rPr>
              <w:t>Total non-current</w:t>
            </w:r>
          </w:p>
        </w:tc>
        <w:tc>
          <w:tcPr>
            <w:tcW w:w="1300" w:type="dxa"/>
            <w:vAlign w:val="bottom"/>
            <w:gridSpan w:val="2"/>
          </w:tcPr>
          <w:p>
            <w:pPr>
              <w:ind w:left="40"/>
              <w:spacing w:after="0"/>
              <w:rPr>
                <w:sz w:val="20"/>
                <w:szCs w:val="20"/>
                <w:color w:val="auto"/>
              </w:rPr>
            </w:pPr>
            <w:r>
              <w:rPr>
                <w:rFonts w:ascii="Arial" w:cs="Arial" w:eastAsia="Arial" w:hAnsi="Arial"/>
                <w:sz w:val="12"/>
                <w:szCs w:val="12"/>
                <w:color w:val="005A64"/>
              </w:rPr>
              <w:t>26.3</w:t>
            </w:r>
          </w:p>
        </w:tc>
        <w:tc>
          <w:tcPr>
            <w:tcW w:w="4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2"/>
                <w:szCs w:val="12"/>
                <w:color w:val="005A64"/>
              </w:rPr>
              <w:t>83.4</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380" w:right="2200"/>
        <w:spacing w:after="0" w:line="214" w:lineRule="auto"/>
        <w:rPr>
          <w:sz w:val="20"/>
          <w:szCs w:val="20"/>
          <w:color w:val="auto"/>
        </w:rPr>
      </w:pPr>
      <w:r>
        <w:rPr>
          <w:rFonts w:ascii="Arial" w:cs="Arial" w:eastAsia="Arial" w:hAnsi="Arial"/>
          <w:sz w:val="13"/>
          <w:szCs w:val="13"/>
          <w:color w:val="auto"/>
        </w:rPr>
        <w:t>Deferred expenses mainly comprise prepayments for future expenses of €83.1 million (€151.1 million as of December 31, 2023) for the settlement fee of the European Commission to our collaboration partner and prepayments for our collaborations with Ryvu Therapeutics S.A., Krakow, Poland, €8.5 million (€ 15.7 million as of December 31, 2023) and MediLink Therapeutics Co., Ltd, Suzhou, China, €17.7 million (nil as of December 31, 2023). The remaining deferred expenses mainly comprise insurance obligations of €18.2 million and service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-501015</wp:posOffset>
            </wp:positionV>
            <wp:extent cx="4268470" cy="63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47">
                      <a:extLst>
                        <a:ext uri="{28A0092B-C50C-407E-A947-70E740481C1C}"/>
                      </a:extLst>
                    </a:blip>
                    <a:srcRect/>
                    <a:stretch>
                      <a:fillRect/>
                    </a:stretch>
                  </pic:blipFill>
                  <pic:spPr bwMode="auto">
                    <a:xfrm>
                      <a:off x="0" y="0"/>
                      <a:ext cx="4268470" cy="6350"/>
                    </a:xfrm>
                    <a:prstGeom prst="rect">
                      <a:avLst/>
                    </a:prstGeom>
                    <a:noFill/>
                  </pic:spPr>
                </pic:pic>
              </a:graphicData>
            </a:graphic>
          </wp:anchor>
        </w:drawing>
      </w:r>
    </w:p>
    <w:p>
      <w:pPr>
        <w:ind w:left="380"/>
        <w:spacing w:after="0" w:line="211" w:lineRule="auto"/>
        <w:rPr>
          <w:sz w:val="20"/>
          <w:szCs w:val="20"/>
          <w:color w:val="auto"/>
        </w:rPr>
      </w:pPr>
      <w:r>
        <w:rPr>
          <w:rFonts w:ascii="Arial" w:cs="Arial" w:eastAsia="Arial" w:hAnsi="Arial"/>
          <w:sz w:val="16"/>
          <w:szCs w:val="16"/>
          <w:b w:val="1"/>
          <w:bCs w:val="1"/>
          <w:color w:val="005A64"/>
        </w:rPr>
        <w:t>15 Issued Capital and Reserves</w:t>
      </w:r>
    </w:p>
    <w:p>
      <w:pPr>
        <w:spacing w:after="0" w:line="1" w:lineRule="exact"/>
        <w:rPr>
          <w:sz w:val="20"/>
          <w:szCs w:val="20"/>
          <w:color w:val="auto"/>
        </w:rPr>
      </w:pPr>
    </w:p>
    <w:p>
      <w:pPr>
        <w:ind w:left="380" w:right="2740"/>
        <w:spacing w:after="0" w:line="226" w:lineRule="auto"/>
        <w:rPr>
          <w:sz w:val="20"/>
          <w:szCs w:val="20"/>
          <w:color w:val="auto"/>
        </w:rPr>
      </w:pPr>
      <w:r>
        <w:rPr>
          <w:rFonts w:ascii="Arial" w:cs="Arial" w:eastAsia="Arial" w:hAnsi="Arial"/>
          <w:sz w:val="13"/>
          <w:szCs w:val="13"/>
          <w:color w:val="auto"/>
        </w:rPr>
        <w:t>As of December 31, 2024, the number of shares outstanding was 239,970,804. This amount excludes 8,581,396 shares held in treasury. As of December 31, 2023, the number of shares outstanding was 237,725,735, excluding 10,826,465 shares held in treasury.</w:t>
      </w:r>
    </w:p>
    <w:p>
      <w:pPr>
        <w:sectPr>
          <w:pgSz w:w="11900" w:h="16840" w:orient="portrait"/>
          <w:cols w:equalWidth="0" w:num="1">
            <w:col w:w="9020"/>
          </w:cols>
          <w:pgMar w:left="1440" w:top="650" w:right="1440" w:bottom="1440" w:gutter="0" w:footer="0" w:header="0"/>
        </w:sectPr>
      </w:pPr>
    </w:p>
    <w:bookmarkStart w:id="220" w:name="page221"/>
    <w:bookmarkEnd w:id="2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F-59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27"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5A64"/>
        </w:rPr>
        <w:t>16 Share-Based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-103505</wp:posOffset>
            </wp:positionV>
            <wp:extent cx="5231130" cy="63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34" w:lineRule="auto"/>
        <w:rPr>
          <w:sz w:val="20"/>
          <w:szCs w:val="20"/>
          <w:color w:val="auto"/>
        </w:rPr>
      </w:pPr>
      <w:r>
        <w:rPr>
          <w:rFonts w:ascii="Arial" w:cs="Arial" w:eastAsia="Arial" w:hAnsi="Arial"/>
          <w:sz w:val="13"/>
          <w:szCs w:val="13"/>
          <w:color w:val="auto"/>
        </w:rPr>
        <w:t>During the years ended December 31, 2024, 2023, and 2022, our share-based payment arrangements led to the following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-12700</wp:posOffset>
            </wp:positionV>
            <wp:extent cx="4268470" cy="127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9">
                      <a:extLst>
                        <a:ext uri="{28A0092B-C50C-407E-A947-70E740481C1C}"/>
                      </a:extLst>
                    </a:blip>
                    <a:srcRect/>
                    <a:stretch>
                      <a:fillRect/>
                    </a:stretch>
                  </pic:blipFill>
                  <pic:spPr bwMode="auto">
                    <a:xfrm>
                      <a:off x="0" y="0"/>
                      <a:ext cx="4268470" cy="12700"/>
                    </a:xfrm>
                    <a:prstGeom prst="rect">
                      <a:avLst/>
                    </a:prstGeom>
                    <a:noFill/>
                  </pic:spPr>
                </pic:pic>
              </a:graphicData>
            </a:graphic>
          </wp:anchor>
        </w:drawing>
      </w:r>
    </w:p>
    <w:p>
      <w:pPr>
        <w:spacing w:after="0" w:line="23"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1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005A64"/>
              </w:rPr>
              <w:t>Years ended</w:t>
            </w: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005A64"/>
              </w:rPr>
              <w:t>December 31,</w:t>
            </w: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420" w:type="dxa"/>
            <w:vAlign w:val="bottom"/>
            <w:vMerge w:val="restart"/>
          </w:tcPr>
          <w:p>
            <w:pPr>
              <w:ind w:left="20"/>
              <w:spacing w:after="0"/>
              <w:rPr>
                <w:sz w:val="20"/>
                <w:szCs w:val="20"/>
                <w:color w:val="auto"/>
              </w:rPr>
            </w:pPr>
            <w:r>
              <w:rPr>
                <w:rFonts w:ascii="Arial" w:cs="Arial" w:eastAsia="Arial" w:hAnsi="Arial"/>
                <w:sz w:val="12"/>
                <w:szCs w:val="12"/>
                <w:i w:val="1"/>
                <w:iCs w:val="1"/>
                <w:color w:val="005A64"/>
              </w:rPr>
              <w:t>(in millions €)</w:t>
            </w: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900" w:type="dxa"/>
            <w:vAlign w:val="bottom"/>
            <w:gridSpan w:val="2"/>
            <w:vMerge w:val="restart"/>
          </w:tcPr>
          <w:p>
            <w:pPr>
              <w:spacing w:after="0"/>
              <w:rPr>
                <w:sz w:val="20"/>
                <w:szCs w:val="20"/>
                <w:color w:val="auto"/>
              </w:rPr>
            </w:pPr>
            <w:r>
              <w:rPr>
                <w:rFonts w:ascii="Arial" w:cs="Arial" w:eastAsia="Arial" w:hAnsi="Arial"/>
                <w:sz w:val="12"/>
                <w:szCs w:val="12"/>
                <w:b w:val="1"/>
                <w:bCs w:val="1"/>
                <w:color w:val="005A64"/>
              </w:rPr>
              <w:t>Note</w:t>
            </w:r>
          </w:p>
        </w:tc>
        <w:tc>
          <w:tcPr>
            <w:tcW w:w="40" w:type="dxa"/>
            <w:vAlign w:val="bottom"/>
            <w:tcBorders>
              <w:bottom w:val="single" w:sz="8" w:color="BECE33"/>
            </w:tcBorders>
          </w:tcPr>
          <w:p>
            <w:pPr>
              <w:spacing w:after="0"/>
              <w:rPr>
                <w:sz w:val="11"/>
                <w:szCs w:val="11"/>
                <w:color w:val="auto"/>
              </w:rPr>
            </w:pPr>
          </w:p>
        </w:tc>
        <w:tc>
          <w:tcPr>
            <w:tcW w:w="860" w:type="dxa"/>
            <w:vAlign w:val="bottom"/>
            <w:tcBorders>
              <w:bottom w:val="single" w:sz="8" w:color="BECE33"/>
            </w:tcBorders>
          </w:tcPr>
          <w:p>
            <w:pPr>
              <w:spacing w:after="0"/>
              <w:rPr>
                <w:sz w:val="11"/>
                <w:szCs w:val="11"/>
                <w:color w:val="auto"/>
              </w:rPr>
            </w:pPr>
          </w:p>
        </w:tc>
        <w:tc>
          <w:tcPr>
            <w:tcW w:w="60" w:type="dxa"/>
            <w:vAlign w:val="bottom"/>
            <w:tcBorders>
              <w:bottom w:val="single" w:sz="8" w:color="BECE33"/>
            </w:tcBorders>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005A64"/>
              </w:rPr>
              <w:t>2023</w:t>
            </w:r>
          </w:p>
        </w:tc>
        <w:tc>
          <w:tcPr>
            <w:tcW w:w="9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005A64"/>
              </w:rPr>
              <w:t>2022</w:t>
            </w:r>
          </w:p>
        </w:tc>
        <w:tc>
          <w:tcPr>
            <w:tcW w:w="0" w:type="dxa"/>
            <w:vAlign w:val="bottom"/>
          </w:tcPr>
          <w:p>
            <w:pPr>
              <w:spacing w:after="0"/>
              <w:rPr>
                <w:sz w:val="1"/>
                <w:szCs w:val="1"/>
                <w:color w:val="auto"/>
              </w:rPr>
            </w:pPr>
          </w:p>
        </w:tc>
      </w:tr>
      <w:tr>
        <w:trPr>
          <w:trHeight w:val="156"/>
        </w:trPr>
        <w:tc>
          <w:tcPr>
            <w:tcW w:w="142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0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60" w:type="dxa"/>
            <w:vAlign w:val="bottom"/>
            <w:tcBorders>
              <w:right w:val="single" w:sz="8" w:color="BECE33"/>
            </w:tcBorders>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980" w:type="dxa"/>
            <w:vAlign w:val="bottom"/>
            <w:tcBorders>
              <w:bottom w:val="single" w:sz="8" w:color="005A64"/>
            </w:tcBorders>
            <w:gridSpan w:val="3"/>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bottom w:val="single" w:sz="8" w:color="005A64"/>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left w:val="single" w:sz="8" w:color="BECE33"/>
            </w:tcBorders>
            <w:vMerge w:val="restart"/>
          </w:tcPr>
          <w:p>
            <w:pPr>
              <w:spacing w:after="0"/>
              <w:rPr>
                <w:sz w:val="2"/>
                <w:szCs w:val="2"/>
                <w:color w:val="auto"/>
              </w:rPr>
            </w:pPr>
          </w:p>
        </w:tc>
        <w:tc>
          <w:tcPr>
            <w:tcW w:w="860" w:type="dxa"/>
            <w:vAlign w:val="bottom"/>
            <w:tcBorders>
              <w:bottom w:val="single" w:sz="8" w:color="005A64"/>
            </w:tcBorders>
          </w:tcPr>
          <w:p>
            <w:pPr>
              <w:spacing w:after="0"/>
              <w:rPr>
                <w:sz w:val="2"/>
                <w:szCs w:val="2"/>
                <w:color w:val="auto"/>
              </w:rPr>
            </w:pPr>
          </w:p>
        </w:tc>
        <w:tc>
          <w:tcPr>
            <w:tcW w:w="60" w:type="dxa"/>
            <w:vAlign w:val="bottom"/>
            <w:tcBorders>
              <w:right w:val="single" w:sz="8" w:color="BECE33"/>
            </w:tcBorders>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80" w:type="dxa"/>
            <w:vAlign w:val="bottom"/>
            <w:tcBorders>
              <w:bottom w:val="single" w:sz="8" w:color="005A64"/>
            </w:tcBorders>
          </w:tcPr>
          <w:p>
            <w:pPr>
              <w:spacing w:after="0"/>
              <w:rPr>
                <w:sz w:val="2"/>
                <w:szCs w:val="2"/>
                <w:color w:val="auto"/>
              </w:rPr>
            </w:pPr>
          </w:p>
        </w:tc>
        <w:tc>
          <w:tcPr>
            <w:tcW w:w="80" w:type="dxa"/>
            <w:vAlign w:val="bottom"/>
            <w:vMerge w:val="restart"/>
          </w:tcPr>
          <w:p>
            <w:pPr>
              <w:spacing w:after="0"/>
              <w:rPr>
                <w:sz w:val="2"/>
                <w:szCs w:val="2"/>
                <w:color w:val="auto"/>
              </w:rPr>
            </w:pPr>
          </w:p>
        </w:tc>
        <w:tc>
          <w:tcPr>
            <w:tcW w:w="8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2980" w:type="dxa"/>
            <w:vAlign w:val="bottom"/>
            <w:gridSpan w:val="3"/>
          </w:tcPr>
          <w:p>
            <w:pPr>
              <w:ind w:left="20"/>
              <w:spacing w:after="0" w:line="102" w:lineRule="exact"/>
              <w:rPr>
                <w:sz w:val="20"/>
                <w:szCs w:val="20"/>
                <w:color w:val="auto"/>
              </w:rPr>
            </w:pPr>
            <w:r>
              <w:rPr>
                <w:rFonts w:ascii="Arial" w:cs="Arial" w:eastAsia="Arial" w:hAnsi="Arial"/>
                <w:sz w:val="11"/>
                <w:szCs w:val="11"/>
                <w:b w:val="1"/>
                <w:bCs w:val="1"/>
                <w:color w:val="3C9673"/>
              </w:rPr>
              <w:t>Expense arising from equity-settled share-based</w:t>
            </w: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left w:val="single" w:sz="8" w:color="BECE33"/>
            </w:tcBorders>
            <w:vMerge w:val="continue"/>
          </w:tcPr>
          <w:p>
            <w:pPr>
              <w:spacing w:after="0"/>
              <w:rPr>
                <w:sz w:val="8"/>
                <w:szCs w:val="8"/>
                <w:color w:val="auto"/>
              </w:rPr>
            </w:pPr>
          </w:p>
        </w:tc>
        <w:tc>
          <w:tcPr>
            <w:tcW w:w="860" w:type="dxa"/>
            <w:vAlign w:val="bottom"/>
          </w:tcPr>
          <w:p>
            <w:pPr>
              <w:spacing w:after="0" w:line="102" w:lineRule="exact"/>
              <w:rPr>
                <w:sz w:val="20"/>
                <w:szCs w:val="20"/>
                <w:color w:val="auto"/>
              </w:rPr>
            </w:pPr>
            <w:r>
              <w:rPr>
                <w:rFonts w:ascii="Arial" w:cs="Arial" w:eastAsia="Arial" w:hAnsi="Arial"/>
                <w:sz w:val="11"/>
                <w:szCs w:val="11"/>
                <w:b w:val="1"/>
                <w:bCs w:val="1"/>
                <w:color w:val="3C9673"/>
              </w:rPr>
              <w:t>85.0</w:t>
            </w:r>
          </w:p>
        </w:tc>
        <w:tc>
          <w:tcPr>
            <w:tcW w:w="60" w:type="dxa"/>
            <w:vAlign w:val="bottom"/>
            <w:tcBorders>
              <w:right w:val="single" w:sz="8" w:color="BECE33"/>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880" w:type="dxa"/>
            <w:vAlign w:val="bottom"/>
          </w:tcPr>
          <w:p>
            <w:pPr>
              <w:ind w:left="20"/>
              <w:spacing w:after="0" w:line="102" w:lineRule="exact"/>
              <w:rPr>
                <w:sz w:val="20"/>
                <w:szCs w:val="20"/>
                <w:color w:val="auto"/>
              </w:rPr>
            </w:pPr>
            <w:r>
              <w:rPr>
                <w:rFonts w:ascii="Arial" w:cs="Arial" w:eastAsia="Arial" w:hAnsi="Arial"/>
                <w:sz w:val="11"/>
                <w:szCs w:val="11"/>
                <w:b w:val="1"/>
                <w:bCs w:val="1"/>
                <w:color w:val="3C9673"/>
              </w:rPr>
              <w:t>44.1</w:t>
            </w:r>
          </w:p>
        </w:tc>
        <w:tc>
          <w:tcPr>
            <w:tcW w:w="80" w:type="dxa"/>
            <w:vAlign w:val="bottom"/>
            <w:vMerge w:val="continue"/>
          </w:tcPr>
          <w:p>
            <w:pPr>
              <w:spacing w:after="0"/>
              <w:rPr>
                <w:sz w:val="8"/>
                <w:szCs w:val="8"/>
                <w:color w:val="auto"/>
              </w:rPr>
            </w:pPr>
          </w:p>
        </w:tc>
        <w:tc>
          <w:tcPr>
            <w:tcW w:w="880" w:type="dxa"/>
            <w:vAlign w:val="bottom"/>
          </w:tcPr>
          <w:p>
            <w:pPr>
              <w:ind w:left="20"/>
              <w:spacing w:after="0" w:line="102" w:lineRule="exact"/>
              <w:rPr>
                <w:sz w:val="20"/>
                <w:szCs w:val="20"/>
                <w:color w:val="auto"/>
              </w:rPr>
            </w:pPr>
            <w:r>
              <w:rPr>
                <w:rFonts w:ascii="Arial" w:cs="Arial" w:eastAsia="Arial" w:hAnsi="Arial"/>
                <w:sz w:val="11"/>
                <w:szCs w:val="11"/>
                <w:b w:val="1"/>
                <w:bCs w:val="1"/>
                <w:color w:val="3C9673"/>
              </w:rPr>
              <w:t>46.5</w:t>
            </w:r>
          </w:p>
        </w:tc>
        <w:tc>
          <w:tcPr>
            <w:tcW w:w="0" w:type="dxa"/>
            <w:vAlign w:val="bottom"/>
          </w:tcPr>
          <w:p>
            <w:pPr>
              <w:spacing w:after="0"/>
              <w:rPr>
                <w:sz w:val="1"/>
                <w:szCs w:val="1"/>
                <w:color w:val="auto"/>
              </w:rPr>
            </w:pPr>
          </w:p>
        </w:tc>
      </w:tr>
      <w:tr>
        <w:trPr>
          <w:trHeight w:val="166"/>
        </w:trPr>
        <w:tc>
          <w:tcPr>
            <w:tcW w:w="1420" w:type="dxa"/>
            <w:vAlign w:val="bottom"/>
          </w:tcPr>
          <w:p>
            <w:pPr>
              <w:ind w:left="20"/>
              <w:spacing w:after="0"/>
              <w:rPr>
                <w:sz w:val="20"/>
                <w:szCs w:val="20"/>
                <w:color w:val="auto"/>
              </w:rPr>
            </w:pPr>
            <w:r>
              <w:rPr>
                <w:rFonts w:ascii="Arial" w:cs="Arial" w:eastAsia="Arial" w:hAnsi="Arial"/>
                <w:sz w:val="12"/>
                <w:szCs w:val="12"/>
                <w:b w:val="1"/>
                <w:bCs w:val="1"/>
                <w:color w:val="3C9673"/>
              </w:rPr>
              <w:t>payment arrangements</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left w:val="single" w:sz="8" w:color="BECE33"/>
            </w:tcBorders>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Borders>
              <w:right w:val="single" w:sz="8" w:color="BECE33"/>
            </w:tcBorders>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940" w:type="dxa"/>
            <w:vAlign w:val="bottom"/>
            <w:gridSpan w:val="2"/>
          </w:tcPr>
          <w:p>
            <w:pPr>
              <w:ind w:left="20"/>
              <w:spacing w:after="0"/>
              <w:rPr>
                <w:sz w:val="20"/>
                <w:szCs w:val="20"/>
                <w:color w:val="auto"/>
              </w:rPr>
            </w:pPr>
            <w:r>
              <w:rPr>
                <w:rFonts w:ascii="Arial" w:cs="Arial" w:eastAsia="Arial" w:hAnsi="Arial"/>
                <w:sz w:val="12"/>
                <w:szCs w:val="12"/>
                <w:color w:val="005A64"/>
              </w:rPr>
              <w:t>Employee Stock Ownership Plan</w:t>
            </w:r>
          </w:p>
        </w:tc>
        <w:tc>
          <w:tcPr>
            <w:tcW w:w="104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2"/>
                <w:szCs w:val="12"/>
                <w:color w:val="005A64"/>
              </w:rPr>
              <w:t>16.5</w:t>
            </w:r>
          </w:p>
        </w:tc>
        <w:tc>
          <w:tcPr>
            <w:tcW w:w="20" w:type="dxa"/>
            <w:vAlign w:val="bottom"/>
          </w:tcPr>
          <w:p>
            <w:pPr>
              <w:spacing w:after="0"/>
              <w:rPr>
                <w:sz w:val="17"/>
                <w:szCs w:val="17"/>
                <w:color w:val="auto"/>
              </w:rPr>
            </w:pPr>
          </w:p>
        </w:tc>
        <w:tc>
          <w:tcPr>
            <w:tcW w:w="40" w:type="dxa"/>
            <w:vAlign w:val="bottom"/>
            <w:tcBorders>
              <w:left w:val="single" w:sz="8" w:color="BECE33"/>
            </w:tcBorders>
          </w:tcPr>
          <w:p>
            <w:pPr>
              <w:spacing w:after="0"/>
              <w:rPr>
                <w:sz w:val="17"/>
                <w:szCs w:val="17"/>
                <w:color w:val="auto"/>
              </w:rPr>
            </w:pPr>
          </w:p>
        </w:tc>
        <w:tc>
          <w:tcPr>
            <w:tcW w:w="920" w:type="dxa"/>
            <w:vAlign w:val="bottom"/>
            <w:tcBorders>
              <w:right w:val="single" w:sz="8" w:color="BECE33"/>
            </w:tcBorders>
            <w:gridSpan w:val="2"/>
          </w:tcPr>
          <w:p>
            <w:pPr>
              <w:spacing w:after="0"/>
              <w:rPr>
                <w:sz w:val="20"/>
                <w:szCs w:val="20"/>
                <w:color w:val="auto"/>
              </w:rPr>
            </w:pPr>
            <w:r>
              <w:rPr>
                <w:rFonts w:ascii="Arial" w:cs="Arial" w:eastAsia="Arial" w:hAnsi="Arial"/>
                <w:sz w:val="12"/>
                <w:szCs w:val="12"/>
                <w:color w:val="005A64"/>
              </w:rPr>
              <w:t>—</w:t>
            </w:r>
          </w:p>
        </w:tc>
        <w:tc>
          <w:tcPr>
            <w:tcW w:w="2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Arial" w:cs="Arial" w:eastAsia="Arial" w:hAnsi="Arial"/>
                <w:sz w:val="12"/>
                <w:szCs w:val="12"/>
                <w:color w:val="005A64"/>
              </w:rPr>
              <w:t>—</w:t>
            </w:r>
          </w:p>
        </w:tc>
        <w:tc>
          <w:tcPr>
            <w:tcW w:w="960" w:type="dxa"/>
            <w:vAlign w:val="bottom"/>
            <w:gridSpan w:val="2"/>
          </w:tcPr>
          <w:p>
            <w:pPr>
              <w:ind w:left="100"/>
              <w:spacing w:after="0"/>
              <w:rPr>
                <w:sz w:val="20"/>
                <w:szCs w:val="20"/>
                <w:color w:val="auto"/>
              </w:rPr>
            </w:pPr>
            <w:r>
              <w:rPr>
                <w:rFonts w:ascii="Arial" w:cs="Arial" w:eastAsia="Arial" w:hAnsi="Arial"/>
                <w:sz w:val="12"/>
                <w:szCs w:val="12"/>
                <w:color w:val="005A64"/>
              </w:rPr>
              <w:t>13.8</w:t>
            </w:r>
          </w:p>
        </w:tc>
        <w:tc>
          <w:tcPr>
            <w:tcW w:w="0" w:type="dxa"/>
            <w:vAlign w:val="bottom"/>
          </w:tcPr>
          <w:p>
            <w:pPr>
              <w:spacing w:after="0"/>
              <w:rPr>
                <w:sz w:val="1"/>
                <w:szCs w:val="1"/>
                <w:color w:val="auto"/>
              </w:rPr>
            </w:pPr>
          </w:p>
        </w:tc>
      </w:tr>
      <w:tr>
        <w:trPr>
          <w:trHeight w:val="202"/>
        </w:trPr>
        <w:tc>
          <w:tcPr>
            <w:tcW w:w="1940" w:type="dxa"/>
            <w:vAlign w:val="bottom"/>
            <w:gridSpan w:val="2"/>
          </w:tcPr>
          <w:p>
            <w:pPr>
              <w:ind w:left="20"/>
              <w:spacing w:after="0"/>
              <w:rPr>
                <w:sz w:val="20"/>
                <w:szCs w:val="20"/>
                <w:color w:val="auto"/>
              </w:rPr>
            </w:pPr>
            <w:r>
              <w:rPr>
                <w:rFonts w:ascii="Arial" w:cs="Arial" w:eastAsia="Arial" w:hAnsi="Arial"/>
                <w:sz w:val="12"/>
                <w:szCs w:val="12"/>
                <w:color w:val="005A64"/>
              </w:rPr>
              <w:t>Chief Executive Officer Grant</w:t>
            </w:r>
          </w:p>
        </w:tc>
        <w:tc>
          <w:tcPr>
            <w:tcW w:w="104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2"/>
                <w:szCs w:val="12"/>
                <w:color w:val="005A64"/>
              </w:rPr>
              <w:t>16.4</w:t>
            </w:r>
          </w:p>
        </w:tc>
        <w:tc>
          <w:tcPr>
            <w:tcW w:w="20" w:type="dxa"/>
            <w:vAlign w:val="bottom"/>
          </w:tcPr>
          <w:p>
            <w:pPr>
              <w:spacing w:after="0"/>
              <w:rPr>
                <w:sz w:val="17"/>
                <w:szCs w:val="17"/>
                <w:color w:val="auto"/>
              </w:rPr>
            </w:pPr>
          </w:p>
        </w:tc>
        <w:tc>
          <w:tcPr>
            <w:tcW w:w="40" w:type="dxa"/>
            <w:vAlign w:val="bottom"/>
            <w:tcBorders>
              <w:left w:val="single" w:sz="8" w:color="BECE33"/>
            </w:tcBorders>
          </w:tcPr>
          <w:p>
            <w:pPr>
              <w:spacing w:after="0"/>
              <w:rPr>
                <w:sz w:val="17"/>
                <w:szCs w:val="17"/>
                <w:color w:val="auto"/>
              </w:rPr>
            </w:pPr>
          </w:p>
        </w:tc>
        <w:tc>
          <w:tcPr>
            <w:tcW w:w="920" w:type="dxa"/>
            <w:vAlign w:val="bottom"/>
            <w:tcBorders>
              <w:right w:val="single" w:sz="8" w:color="BECE33"/>
            </w:tcBorders>
            <w:gridSpan w:val="2"/>
          </w:tcPr>
          <w:p>
            <w:pPr>
              <w:spacing w:after="0"/>
              <w:rPr>
                <w:sz w:val="20"/>
                <w:szCs w:val="20"/>
                <w:color w:val="auto"/>
              </w:rPr>
            </w:pPr>
            <w:r>
              <w:rPr>
                <w:rFonts w:ascii="Arial" w:cs="Arial" w:eastAsia="Arial" w:hAnsi="Arial"/>
                <w:sz w:val="12"/>
                <w:szCs w:val="12"/>
                <w:color w:val="005A64"/>
              </w:rPr>
              <w:t>—</w:t>
            </w:r>
          </w:p>
        </w:tc>
        <w:tc>
          <w:tcPr>
            <w:tcW w:w="900" w:type="dxa"/>
            <w:vAlign w:val="bottom"/>
            <w:gridSpan w:val="2"/>
          </w:tcPr>
          <w:p>
            <w:pPr>
              <w:ind w:left="40"/>
              <w:spacing w:after="0"/>
              <w:rPr>
                <w:sz w:val="20"/>
                <w:szCs w:val="20"/>
                <w:color w:val="auto"/>
              </w:rPr>
            </w:pPr>
            <w:r>
              <w:rPr>
                <w:rFonts w:ascii="Arial" w:cs="Arial" w:eastAsia="Arial" w:hAnsi="Arial"/>
                <w:sz w:val="12"/>
                <w:szCs w:val="12"/>
                <w:color w:val="005A64"/>
              </w:rPr>
              <w:t>1.2</w:t>
            </w:r>
          </w:p>
        </w:tc>
        <w:tc>
          <w:tcPr>
            <w:tcW w:w="960" w:type="dxa"/>
            <w:vAlign w:val="bottom"/>
            <w:gridSpan w:val="2"/>
          </w:tcPr>
          <w:p>
            <w:pPr>
              <w:ind w:left="100"/>
              <w:spacing w:after="0"/>
              <w:rPr>
                <w:sz w:val="20"/>
                <w:szCs w:val="20"/>
                <w:color w:val="auto"/>
              </w:rPr>
            </w:pPr>
            <w:r>
              <w:rPr>
                <w:rFonts w:ascii="Arial" w:cs="Arial" w:eastAsia="Arial" w:hAnsi="Arial"/>
                <w:sz w:val="12"/>
                <w:szCs w:val="12"/>
                <w:color w:val="005A64"/>
              </w:rPr>
              <w:t>3.1</w:t>
            </w:r>
          </w:p>
        </w:tc>
        <w:tc>
          <w:tcPr>
            <w:tcW w:w="0" w:type="dxa"/>
            <w:vAlign w:val="bottom"/>
          </w:tcPr>
          <w:p>
            <w:pPr>
              <w:spacing w:after="0"/>
              <w:rPr>
                <w:sz w:val="1"/>
                <w:szCs w:val="1"/>
                <w:color w:val="auto"/>
              </w:rPr>
            </w:pPr>
          </w:p>
        </w:tc>
      </w:tr>
      <w:tr>
        <w:trPr>
          <w:trHeight w:val="202"/>
        </w:trPr>
        <w:tc>
          <w:tcPr>
            <w:tcW w:w="1420" w:type="dxa"/>
            <w:vAlign w:val="bottom"/>
            <w:vMerge w:val="restart"/>
          </w:tcPr>
          <w:p>
            <w:pPr>
              <w:ind w:left="20"/>
              <w:spacing w:after="0"/>
              <w:rPr>
                <w:sz w:val="20"/>
                <w:szCs w:val="20"/>
                <w:color w:val="auto"/>
              </w:rPr>
            </w:pPr>
            <w:r>
              <w:rPr>
                <w:rFonts w:ascii="Arial" w:cs="Arial" w:eastAsia="Arial" w:hAnsi="Arial"/>
                <w:sz w:val="12"/>
                <w:szCs w:val="12"/>
                <w:color w:val="005A64"/>
                <w:w w:val="99"/>
              </w:rPr>
              <w:t>Management Board Grant</w:t>
            </w:r>
          </w:p>
        </w:tc>
        <w:tc>
          <w:tcPr>
            <w:tcW w:w="520" w:type="dxa"/>
            <w:vAlign w:val="bottom"/>
          </w:tcPr>
          <w:p>
            <w:pPr>
              <w:jc w:val="right"/>
              <w:ind w:right="380"/>
              <w:spacing w:after="0"/>
              <w:rPr>
                <w:sz w:val="20"/>
                <w:szCs w:val="20"/>
                <w:color w:val="auto"/>
              </w:rPr>
            </w:pPr>
            <w:r>
              <w:rPr>
                <w:rFonts w:ascii="Arial" w:cs="Arial" w:eastAsia="Arial" w:hAnsi="Arial"/>
                <w:sz w:val="8"/>
                <w:szCs w:val="8"/>
                <w:color w:val="005A64"/>
                <w:w w:val="81"/>
              </w:rPr>
              <w:t>(1)</w:t>
            </w:r>
          </w:p>
        </w:tc>
        <w:tc>
          <w:tcPr>
            <w:tcW w:w="104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2"/>
                <w:szCs w:val="12"/>
                <w:color w:val="005A64"/>
              </w:rPr>
              <w:t>16.3</w:t>
            </w:r>
          </w:p>
        </w:tc>
        <w:tc>
          <w:tcPr>
            <w:tcW w:w="20" w:type="dxa"/>
            <w:vAlign w:val="bottom"/>
          </w:tcPr>
          <w:p>
            <w:pPr>
              <w:spacing w:after="0"/>
              <w:rPr>
                <w:sz w:val="17"/>
                <w:szCs w:val="17"/>
                <w:color w:val="auto"/>
              </w:rPr>
            </w:pPr>
          </w:p>
        </w:tc>
        <w:tc>
          <w:tcPr>
            <w:tcW w:w="90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5.2</w:t>
            </w:r>
          </w:p>
        </w:tc>
        <w:tc>
          <w:tcPr>
            <w:tcW w:w="60" w:type="dxa"/>
            <w:vAlign w:val="bottom"/>
            <w:tcBorders>
              <w:right w:val="single" w:sz="8" w:color="BECE33"/>
            </w:tcBorders>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2"/>
                <w:szCs w:val="12"/>
                <w:color w:val="005A64"/>
              </w:rPr>
              <w:t>3.2</w:t>
            </w:r>
          </w:p>
        </w:tc>
        <w:tc>
          <w:tcPr>
            <w:tcW w:w="960" w:type="dxa"/>
            <w:vAlign w:val="bottom"/>
            <w:gridSpan w:val="2"/>
          </w:tcPr>
          <w:p>
            <w:pPr>
              <w:ind w:left="100"/>
              <w:spacing w:after="0"/>
              <w:rPr>
                <w:sz w:val="20"/>
                <w:szCs w:val="20"/>
                <w:color w:val="auto"/>
              </w:rPr>
            </w:pPr>
            <w:r>
              <w:rPr>
                <w:rFonts w:ascii="Arial" w:cs="Arial" w:eastAsia="Arial" w:hAnsi="Arial"/>
                <w:sz w:val="12"/>
                <w:szCs w:val="12"/>
                <w:color w:val="005A64"/>
              </w:rPr>
              <w:t>4.3</w:t>
            </w:r>
          </w:p>
        </w:tc>
        <w:tc>
          <w:tcPr>
            <w:tcW w:w="0" w:type="dxa"/>
            <w:vAlign w:val="bottom"/>
          </w:tcPr>
          <w:p>
            <w:pPr>
              <w:spacing w:after="0"/>
              <w:rPr>
                <w:sz w:val="1"/>
                <w:szCs w:val="1"/>
                <w:color w:val="auto"/>
              </w:rPr>
            </w:pPr>
          </w:p>
        </w:tc>
      </w:tr>
      <w:tr>
        <w:trPr>
          <w:trHeight w:val="42"/>
        </w:trPr>
        <w:tc>
          <w:tcPr>
            <w:tcW w:w="14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left w:val="single" w:sz="8" w:color="BECE33"/>
            </w:tcBorders>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980" w:type="dxa"/>
            <w:vAlign w:val="bottom"/>
            <w:gridSpan w:val="3"/>
          </w:tcPr>
          <w:p>
            <w:pPr>
              <w:ind w:left="20"/>
              <w:spacing w:after="0" w:line="122" w:lineRule="exact"/>
              <w:rPr>
                <w:sz w:val="20"/>
                <w:szCs w:val="20"/>
                <w:color w:val="auto"/>
              </w:rPr>
            </w:pPr>
            <w:r>
              <w:rPr>
                <w:rFonts w:ascii="Arial" w:cs="Arial" w:eastAsia="Arial" w:hAnsi="Arial"/>
                <w:sz w:val="12"/>
                <w:szCs w:val="12"/>
                <w:color w:val="005A64"/>
              </w:rPr>
              <w:t>BioNTech 2020 Employee Equity Plan for</w:t>
            </w:r>
          </w:p>
        </w:tc>
        <w:tc>
          <w:tcPr>
            <w:tcW w:w="900" w:type="dxa"/>
            <w:vAlign w:val="bottom"/>
            <w:gridSpan w:val="2"/>
          </w:tcPr>
          <w:p>
            <w:pPr>
              <w:ind w:left="20"/>
              <w:spacing w:after="0" w:line="122" w:lineRule="exact"/>
              <w:rPr>
                <w:sz w:val="20"/>
                <w:szCs w:val="20"/>
                <w:color w:val="auto"/>
              </w:rPr>
            </w:pPr>
            <w:r>
              <w:rPr>
                <w:rFonts w:ascii="Arial" w:cs="Arial" w:eastAsia="Arial" w:hAnsi="Arial"/>
                <w:sz w:val="12"/>
                <w:szCs w:val="12"/>
                <w:color w:val="005A64"/>
              </w:rPr>
              <w:t>16.1</w:t>
            </w:r>
          </w:p>
        </w:tc>
        <w:tc>
          <w:tcPr>
            <w:tcW w:w="20" w:type="dxa"/>
            <w:vAlign w:val="bottom"/>
          </w:tcPr>
          <w:p>
            <w:pPr>
              <w:spacing w:after="0"/>
              <w:rPr>
                <w:sz w:val="10"/>
                <w:szCs w:val="10"/>
                <w:color w:val="auto"/>
              </w:rPr>
            </w:pPr>
          </w:p>
        </w:tc>
        <w:tc>
          <w:tcPr>
            <w:tcW w:w="900" w:type="dxa"/>
            <w:vAlign w:val="bottom"/>
            <w:tcBorders>
              <w:left w:val="single" w:sz="8" w:color="BECE33"/>
            </w:tcBorders>
            <w:gridSpan w:val="2"/>
          </w:tcPr>
          <w:p>
            <w:pPr>
              <w:ind w:left="40"/>
              <w:spacing w:after="0" w:line="122" w:lineRule="exact"/>
              <w:rPr>
                <w:sz w:val="20"/>
                <w:szCs w:val="20"/>
                <w:color w:val="auto"/>
              </w:rPr>
            </w:pPr>
            <w:r>
              <w:rPr>
                <w:rFonts w:ascii="Arial" w:cs="Arial" w:eastAsia="Arial" w:hAnsi="Arial"/>
                <w:sz w:val="12"/>
                <w:szCs w:val="12"/>
                <w:color w:val="005A64"/>
              </w:rPr>
              <w:t>58.3</w:t>
            </w:r>
          </w:p>
        </w:tc>
        <w:tc>
          <w:tcPr>
            <w:tcW w:w="60" w:type="dxa"/>
            <w:vAlign w:val="bottom"/>
            <w:tcBorders>
              <w:right w:val="single" w:sz="8" w:color="BECE33"/>
            </w:tcBorders>
          </w:tcPr>
          <w:p>
            <w:pPr>
              <w:spacing w:after="0"/>
              <w:rPr>
                <w:sz w:val="10"/>
                <w:szCs w:val="10"/>
                <w:color w:val="auto"/>
              </w:rPr>
            </w:pPr>
          </w:p>
        </w:tc>
        <w:tc>
          <w:tcPr>
            <w:tcW w:w="900" w:type="dxa"/>
            <w:vAlign w:val="bottom"/>
            <w:gridSpan w:val="2"/>
          </w:tcPr>
          <w:p>
            <w:pPr>
              <w:ind w:left="40"/>
              <w:spacing w:after="0" w:line="122" w:lineRule="exact"/>
              <w:rPr>
                <w:sz w:val="20"/>
                <w:szCs w:val="20"/>
                <w:color w:val="auto"/>
              </w:rPr>
            </w:pPr>
            <w:r>
              <w:rPr>
                <w:rFonts w:ascii="Arial" w:cs="Arial" w:eastAsia="Arial" w:hAnsi="Arial"/>
                <w:sz w:val="12"/>
                <w:szCs w:val="12"/>
                <w:color w:val="005A64"/>
              </w:rPr>
              <w:t>36.3</w:t>
            </w:r>
          </w:p>
        </w:tc>
        <w:tc>
          <w:tcPr>
            <w:tcW w:w="960" w:type="dxa"/>
            <w:vAlign w:val="bottom"/>
            <w:gridSpan w:val="2"/>
          </w:tcPr>
          <w:p>
            <w:pPr>
              <w:ind w:left="100"/>
              <w:spacing w:after="0" w:line="122" w:lineRule="exact"/>
              <w:rPr>
                <w:sz w:val="20"/>
                <w:szCs w:val="20"/>
                <w:color w:val="auto"/>
              </w:rPr>
            </w:pPr>
            <w:r>
              <w:rPr>
                <w:rFonts w:ascii="Arial" w:cs="Arial" w:eastAsia="Arial" w:hAnsi="Arial"/>
                <w:sz w:val="12"/>
                <w:szCs w:val="12"/>
                <w:color w:val="005A64"/>
              </w:rPr>
              <w:t>25.3</w:t>
            </w:r>
          </w:p>
        </w:tc>
        <w:tc>
          <w:tcPr>
            <w:tcW w:w="0" w:type="dxa"/>
            <w:vAlign w:val="bottom"/>
          </w:tcPr>
          <w:p>
            <w:pPr>
              <w:spacing w:after="0"/>
              <w:rPr>
                <w:sz w:val="1"/>
                <w:szCs w:val="1"/>
                <w:color w:val="auto"/>
              </w:rPr>
            </w:pPr>
          </w:p>
        </w:tc>
      </w:tr>
      <w:tr>
        <w:trPr>
          <w:trHeight w:val="160"/>
        </w:trPr>
        <w:tc>
          <w:tcPr>
            <w:tcW w:w="2980" w:type="dxa"/>
            <w:vAlign w:val="bottom"/>
            <w:gridSpan w:val="3"/>
          </w:tcPr>
          <w:p>
            <w:pPr>
              <w:ind w:left="20"/>
              <w:spacing w:after="0"/>
              <w:rPr>
                <w:sz w:val="20"/>
                <w:szCs w:val="20"/>
                <w:color w:val="auto"/>
              </w:rPr>
            </w:pPr>
            <w:r>
              <w:rPr>
                <w:rFonts w:ascii="Arial" w:cs="Arial" w:eastAsia="Arial" w:hAnsi="Arial"/>
                <w:sz w:val="12"/>
                <w:szCs w:val="12"/>
                <w:color w:val="005A64"/>
              </w:rPr>
              <w:t>Employees Based Outside North America</w:t>
            </w: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left w:val="single" w:sz="8" w:color="BECE33"/>
            </w:tcBorders>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Borders>
              <w:right w:val="single" w:sz="8" w:color="BECE33"/>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940" w:type="dxa"/>
            <w:vAlign w:val="bottom"/>
            <w:gridSpan w:val="2"/>
            <w:vMerge w:val="restart"/>
          </w:tcPr>
          <w:p>
            <w:pPr>
              <w:ind w:left="20"/>
              <w:spacing w:after="0"/>
              <w:rPr>
                <w:sz w:val="20"/>
                <w:szCs w:val="20"/>
                <w:color w:val="auto"/>
              </w:rPr>
            </w:pPr>
            <w:r>
              <w:rPr>
                <w:rFonts w:ascii="Arial" w:cs="Arial" w:eastAsia="Arial" w:hAnsi="Arial"/>
                <w:sz w:val="12"/>
                <w:szCs w:val="12"/>
                <w:color w:val="005A64"/>
                <w:w w:val="99"/>
              </w:rPr>
              <w:t>InstaDeep Employee Incentive Plan</w:t>
            </w:r>
          </w:p>
        </w:tc>
        <w:tc>
          <w:tcPr>
            <w:tcW w:w="1040" w:type="dxa"/>
            <w:vAlign w:val="bottom"/>
          </w:tcPr>
          <w:p>
            <w:pPr>
              <w:jc w:val="right"/>
              <w:ind w:right="900"/>
              <w:spacing w:after="0"/>
              <w:rPr>
                <w:sz w:val="20"/>
                <w:szCs w:val="20"/>
                <w:color w:val="auto"/>
              </w:rPr>
            </w:pPr>
            <w:r>
              <w:rPr>
                <w:rFonts w:ascii="Arial" w:cs="Arial" w:eastAsia="Arial" w:hAnsi="Arial"/>
                <w:sz w:val="8"/>
                <w:szCs w:val="8"/>
                <w:color w:val="005A64"/>
                <w:w w:val="81"/>
              </w:rPr>
              <w:t>(2)</w:t>
            </w:r>
          </w:p>
        </w:tc>
        <w:tc>
          <w:tcPr>
            <w:tcW w:w="900" w:type="dxa"/>
            <w:vAlign w:val="bottom"/>
            <w:gridSpan w:val="2"/>
          </w:tcPr>
          <w:p>
            <w:pPr>
              <w:ind w:left="20"/>
              <w:spacing w:after="0"/>
              <w:rPr>
                <w:sz w:val="20"/>
                <w:szCs w:val="20"/>
                <w:color w:val="auto"/>
              </w:rPr>
            </w:pPr>
            <w:r>
              <w:rPr>
                <w:rFonts w:ascii="Arial" w:cs="Arial" w:eastAsia="Arial" w:hAnsi="Arial"/>
                <w:sz w:val="12"/>
                <w:szCs w:val="12"/>
                <w:color w:val="005A64"/>
              </w:rPr>
              <w:t>16.1, 16.5</w:t>
            </w:r>
          </w:p>
        </w:tc>
        <w:tc>
          <w:tcPr>
            <w:tcW w:w="20" w:type="dxa"/>
            <w:vAlign w:val="bottom"/>
          </w:tcPr>
          <w:p>
            <w:pPr>
              <w:spacing w:after="0"/>
              <w:rPr>
                <w:sz w:val="18"/>
                <w:szCs w:val="18"/>
                <w:color w:val="auto"/>
              </w:rPr>
            </w:pPr>
          </w:p>
        </w:tc>
        <w:tc>
          <w:tcPr>
            <w:tcW w:w="90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11.4</w:t>
            </w:r>
          </w:p>
        </w:tc>
        <w:tc>
          <w:tcPr>
            <w:tcW w:w="60" w:type="dxa"/>
            <w:vAlign w:val="bottom"/>
            <w:tcBorders>
              <w:right w:val="single" w:sz="8" w:color="BECE33"/>
            </w:tcBorders>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2"/>
                <w:szCs w:val="12"/>
                <w:color w:val="005A64"/>
              </w:rPr>
              <w:t>3.4</w:t>
            </w:r>
          </w:p>
        </w:tc>
        <w:tc>
          <w:tcPr>
            <w:tcW w:w="8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Arial" w:cs="Arial" w:eastAsia="Arial" w:hAnsi="Arial"/>
                <w:sz w:val="12"/>
                <w:szCs w:val="12"/>
                <w:color w:val="005A64"/>
              </w:rPr>
              <w:t>—</w:t>
            </w:r>
          </w:p>
        </w:tc>
        <w:tc>
          <w:tcPr>
            <w:tcW w:w="0" w:type="dxa"/>
            <w:vAlign w:val="bottom"/>
          </w:tcPr>
          <w:p>
            <w:pPr>
              <w:spacing w:after="0"/>
              <w:rPr>
                <w:sz w:val="1"/>
                <w:szCs w:val="1"/>
                <w:color w:val="auto"/>
              </w:rPr>
            </w:pPr>
          </w:p>
        </w:tc>
      </w:tr>
      <w:tr>
        <w:trPr>
          <w:trHeight w:val="42"/>
        </w:trPr>
        <w:tc>
          <w:tcPr>
            <w:tcW w:w="1940" w:type="dxa"/>
            <w:vAlign w:val="bottom"/>
            <w:gridSpan w:val="2"/>
            <w:vMerge w:val="continue"/>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left w:val="single" w:sz="8" w:color="BECE33"/>
            </w:tcBorders>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980" w:type="dxa"/>
            <w:vAlign w:val="bottom"/>
            <w:gridSpan w:val="3"/>
          </w:tcPr>
          <w:p>
            <w:pPr>
              <w:ind w:left="20"/>
              <w:spacing w:after="0"/>
              <w:rPr>
                <w:sz w:val="20"/>
                <w:szCs w:val="20"/>
                <w:color w:val="auto"/>
              </w:rPr>
            </w:pPr>
            <w:r>
              <w:rPr>
                <w:rFonts w:ascii="Arial" w:cs="Arial" w:eastAsia="Arial" w:hAnsi="Arial"/>
                <w:sz w:val="12"/>
                <w:szCs w:val="12"/>
                <w:color w:val="005A64"/>
              </w:rPr>
              <w:t>2024 North America Employee Participation Plan</w:t>
            </w:r>
          </w:p>
        </w:tc>
        <w:tc>
          <w:tcPr>
            <w:tcW w:w="900" w:type="dxa"/>
            <w:vAlign w:val="bottom"/>
            <w:gridSpan w:val="2"/>
          </w:tcPr>
          <w:p>
            <w:pPr>
              <w:ind w:left="20"/>
              <w:spacing w:after="0"/>
              <w:rPr>
                <w:sz w:val="20"/>
                <w:szCs w:val="20"/>
                <w:color w:val="auto"/>
              </w:rPr>
            </w:pPr>
            <w:r>
              <w:rPr>
                <w:rFonts w:ascii="Arial" w:cs="Arial" w:eastAsia="Arial" w:hAnsi="Arial"/>
                <w:sz w:val="12"/>
                <w:szCs w:val="12"/>
                <w:color w:val="005A64"/>
              </w:rPr>
              <w:t>16.1</w:t>
            </w:r>
          </w:p>
        </w:tc>
        <w:tc>
          <w:tcPr>
            <w:tcW w:w="20" w:type="dxa"/>
            <w:vAlign w:val="bottom"/>
          </w:tcPr>
          <w:p>
            <w:pPr>
              <w:spacing w:after="0"/>
              <w:rPr>
                <w:sz w:val="13"/>
                <w:szCs w:val="13"/>
                <w:color w:val="auto"/>
              </w:rPr>
            </w:pPr>
          </w:p>
        </w:tc>
        <w:tc>
          <w:tcPr>
            <w:tcW w:w="90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10.1</w:t>
            </w:r>
          </w:p>
        </w:tc>
        <w:tc>
          <w:tcPr>
            <w:tcW w:w="60" w:type="dxa"/>
            <w:vAlign w:val="bottom"/>
            <w:tcBorders>
              <w:right w:val="single" w:sz="8" w:color="BECE33"/>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980" w:type="dxa"/>
            <w:vAlign w:val="bottom"/>
            <w:gridSpan w:val="3"/>
          </w:tcPr>
          <w:p>
            <w:pPr>
              <w:ind w:left="20"/>
              <w:spacing w:after="0"/>
              <w:rPr>
                <w:sz w:val="20"/>
                <w:szCs w:val="20"/>
                <w:color w:val="auto"/>
              </w:rPr>
            </w:pPr>
            <w:r>
              <w:rPr>
                <w:rFonts w:ascii="Arial" w:cs="Arial" w:eastAsia="Arial" w:hAnsi="Arial"/>
                <w:sz w:val="12"/>
                <w:szCs w:val="12"/>
                <w:b w:val="1"/>
                <w:bCs w:val="1"/>
                <w:color w:val="3C9673"/>
              </w:rPr>
              <w:t>Expense / (Income) arising from cash-settled</w:t>
            </w: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b w:val="1"/>
                <w:bCs w:val="1"/>
                <w:color w:val="3C9673"/>
              </w:rPr>
              <w:t>15.9</w:t>
            </w:r>
          </w:p>
        </w:tc>
        <w:tc>
          <w:tcPr>
            <w:tcW w:w="60" w:type="dxa"/>
            <w:vAlign w:val="bottom"/>
            <w:tcBorders>
              <w:right w:val="single" w:sz="8" w:color="BECE33"/>
            </w:tcBorders>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3C9673"/>
              </w:rPr>
              <w:t>7.3</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3C9673"/>
              </w:rPr>
              <w:t>61.5</w:t>
            </w:r>
          </w:p>
        </w:tc>
        <w:tc>
          <w:tcPr>
            <w:tcW w:w="0" w:type="dxa"/>
            <w:vAlign w:val="bottom"/>
          </w:tcPr>
          <w:p>
            <w:pPr>
              <w:spacing w:after="0"/>
              <w:rPr>
                <w:sz w:val="1"/>
                <w:szCs w:val="1"/>
                <w:color w:val="auto"/>
              </w:rPr>
            </w:pPr>
          </w:p>
        </w:tc>
      </w:tr>
      <w:tr>
        <w:trPr>
          <w:trHeight w:val="166"/>
        </w:trPr>
        <w:tc>
          <w:tcPr>
            <w:tcW w:w="2980" w:type="dxa"/>
            <w:vAlign w:val="bottom"/>
            <w:gridSpan w:val="3"/>
          </w:tcPr>
          <w:p>
            <w:pPr>
              <w:ind w:left="20"/>
              <w:spacing w:after="0"/>
              <w:rPr>
                <w:sz w:val="20"/>
                <w:szCs w:val="20"/>
                <w:color w:val="auto"/>
              </w:rPr>
            </w:pPr>
            <w:r>
              <w:rPr>
                <w:rFonts w:ascii="Arial" w:cs="Arial" w:eastAsia="Arial" w:hAnsi="Arial"/>
                <w:sz w:val="12"/>
                <w:szCs w:val="12"/>
                <w:b w:val="1"/>
                <w:bCs w:val="1"/>
                <w:color w:val="3C9673"/>
              </w:rPr>
              <w:t>share-based payment arrangements</w:t>
            </w: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left w:val="single" w:sz="8" w:color="BECE33"/>
            </w:tcBorders>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Borders>
              <w:right w:val="single" w:sz="8" w:color="BECE33"/>
            </w:tcBorders>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940" w:type="dxa"/>
            <w:vAlign w:val="bottom"/>
            <w:gridSpan w:val="2"/>
          </w:tcPr>
          <w:p>
            <w:pPr>
              <w:ind w:left="20"/>
              <w:spacing w:after="0"/>
              <w:rPr>
                <w:sz w:val="20"/>
                <w:szCs w:val="20"/>
                <w:color w:val="auto"/>
              </w:rPr>
            </w:pPr>
            <w:r>
              <w:rPr>
                <w:rFonts w:ascii="Arial" w:cs="Arial" w:eastAsia="Arial" w:hAnsi="Arial"/>
                <w:sz w:val="12"/>
                <w:szCs w:val="12"/>
                <w:color w:val="005A64"/>
              </w:rPr>
              <w:t>Employee Stock Ownership Plan</w:t>
            </w:r>
          </w:p>
        </w:tc>
        <w:tc>
          <w:tcPr>
            <w:tcW w:w="104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2"/>
                <w:szCs w:val="12"/>
                <w:color w:val="005A64"/>
              </w:rPr>
              <w:t>16.5</w:t>
            </w:r>
          </w:p>
        </w:tc>
        <w:tc>
          <w:tcPr>
            <w:tcW w:w="20" w:type="dxa"/>
            <w:vAlign w:val="bottom"/>
          </w:tcPr>
          <w:p>
            <w:pPr>
              <w:spacing w:after="0"/>
              <w:rPr>
                <w:sz w:val="17"/>
                <w:szCs w:val="17"/>
                <w:color w:val="auto"/>
              </w:rPr>
            </w:pPr>
          </w:p>
        </w:tc>
        <w:tc>
          <w:tcPr>
            <w:tcW w:w="90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0.1</w:t>
            </w:r>
          </w:p>
        </w:tc>
        <w:tc>
          <w:tcPr>
            <w:tcW w:w="60" w:type="dxa"/>
            <w:vAlign w:val="bottom"/>
            <w:tcBorders>
              <w:right w:val="single" w:sz="8" w:color="BECE33"/>
            </w:tcBorders>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2"/>
                <w:szCs w:val="12"/>
                <w:color w:val="005A64"/>
              </w:rPr>
              <w:t>(0.9)</w:t>
            </w:r>
          </w:p>
        </w:tc>
        <w:tc>
          <w:tcPr>
            <w:tcW w:w="960" w:type="dxa"/>
            <w:vAlign w:val="bottom"/>
            <w:gridSpan w:val="2"/>
          </w:tcPr>
          <w:p>
            <w:pPr>
              <w:ind w:left="100"/>
              <w:spacing w:after="0"/>
              <w:rPr>
                <w:sz w:val="20"/>
                <w:szCs w:val="20"/>
                <w:color w:val="auto"/>
              </w:rPr>
            </w:pPr>
            <w:r>
              <w:rPr>
                <w:rFonts w:ascii="Arial" w:cs="Arial" w:eastAsia="Arial" w:hAnsi="Arial"/>
                <w:sz w:val="12"/>
                <w:szCs w:val="12"/>
                <w:color w:val="005A64"/>
              </w:rPr>
              <w:t>53.4</w:t>
            </w:r>
          </w:p>
        </w:tc>
        <w:tc>
          <w:tcPr>
            <w:tcW w:w="0" w:type="dxa"/>
            <w:vAlign w:val="bottom"/>
          </w:tcPr>
          <w:p>
            <w:pPr>
              <w:spacing w:after="0"/>
              <w:rPr>
                <w:sz w:val="1"/>
                <w:szCs w:val="1"/>
                <w:color w:val="auto"/>
              </w:rPr>
            </w:pPr>
          </w:p>
        </w:tc>
      </w:tr>
      <w:tr>
        <w:trPr>
          <w:trHeight w:val="202"/>
        </w:trPr>
        <w:tc>
          <w:tcPr>
            <w:tcW w:w="1420" w:type="dxa"/>
            <w:vAlign w:val="bottom"/>
            <w:vMerge w:val="restart"/>
          </w:tcPr>
          <w:p>
            <w:pPr>
              <w:ind w:left="20"/>
              <w:spacing w:after="0"/>
              <w:rPr>
                <w:sz w:val="20"/>
                <w:szCs w:val="20"/>
                <w:color w:val="auto"/>
              </w:rPr>
            </w:pPr>
            <w:r>
              <w:rPr>
                <w:rFonts w:ascii="Arial" w:cs="Arial" w:eastAsia="Arial" w:hAnsi="Arial"/>
                <w:sz w:val="12"/>
                <w:szCs w:val="12"/>
                <w:color w:val="005A64"/>
                <w:w w:val="99"/>
              </w:rPr>
              <w:t>Management Board Grant</w:t>
            </w:r>
          </w:p>
        </w:tc>
        <w:tc>
          <w:tcPr>
            <w:tcW w:w="520" w:type="dxa"/>
            <w:vAlign w:val="bottom"/>
          </w:tcPr>
          <w:p>
            <w:pPr>
              <w:jc w:val="right"/>
              <w:ind w:right="380"/>
              <w:spacing w:after="0"/>
              <w:rPr>
                <w:sz w:val="20"/>
                <w:szCs w:val="20"/>
                <w:color w:val="auto"/>
              </w:rPr>
            </w:pPr>
            <w:r>
              <w:rPr>
                <w:rFonts w:ascii="Arial" w:cs="Arial" w:eastAsia="Arial" w:hAnsi="Arial"/>
                <w:sz w:val="8"/>
                <w:szCs w:val="8"/>
                <w:color w:val="005A64"/>
                <w:w w:val="81"/>
              </w:rPr>
              <w:t>(1)</w:t>
            </w:r>
          </w:p>
        </w:tc>
        <w:tc>
          <w:tcPr>
            <w:tcW w:w="104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2"/>
                <w:szCs w:val="12"/>
                <w:color w:val="005A64"/>
              </w:rPr>
              <w:t>16.2, 16.3</w:t>
            </w:r>
          </w:p>
        </w:tc>
        <w:tc>
          <w:tcPr>
            <w:tcW w:w="20" w:type="dxa"/>
            <w:vAlign w:val="bottom"/>
          </w:tcPr>
          <w:p>
            <w:pPr>
              <w:spacing w:after="0"/>
              <w:rPr>
                <w:sz w:val="17"/>
                <w:szCs w:val="17"/>
                <w:color w:val="auto"/>
              </w:rPr>
            </w:pPr>
          </w:p>
        </w:tc>
        <w:tc>
          <w:tcPr>
            <w:tcW w:w="90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2.6</w:t>
            </w:r>
          </w:p>
        </w:tc>
        <w:tc>
          <w:tcPr>
            <w:tcW w:w="60" w:type="dxa"/>
            <w:vAlign w:val="bottom"/>
            <w:tcBorders>
              <w:right w:val="single" w:sz="8" w:color="BECE33"/>
            </w:tcBorders>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2"/>
                <w:szCs w:val="12"/>
                <w:color w:val="005A64"/>
              </w:rPr>
              <w:t>(2.4)</w:t>
            </w:r>
          </w:p>
        </w:tc>
        <w:tc>
          <w:tcPr>
            <w:tcW w:w="8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Arial" w:cs="Arial" w:eastAsia="Arial" w:hAnsi="Arial"/>
                <w:sz w:val="12"/>
                <w:szCs w:val="12"/>
                <w:color w:val="005A64"/>
              </w:rPr>
              <w:t>—</w:t>
            </w:r>
          </w:p>
        </w:tc>
        <w:tc>
          <w:tcPr>
            <w:tcW w:w="0" w:type="dxa"/>
            <w:vAlign w:val="bottom"/>
          </w:tcPr>
          <w:p>
            <w:pPr>
              <w:spacing w:after="0"/>
              <w:rPr>
                <w:sz w:val="1"/>
                <w:szCs w:val="1"/>
                <w:color w:val="auto"/>
              </w:rPr>
            </w:pPr>
          </w:p>
        </w:tc>
      </w:tr>
      <w:tr>
        <w:trPr>
          <w:trHeight w:val="42"/>
        </w:trPr>
        <w:tc>
          <w:tcPr>
            <w:tcW w:w="14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left w:val="single" w:sz="8" w:color="BECE33"/>
            </w:tcBorders>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980" w:type="dxa"/>
            <w:vAlign w:val="bottom"/>
            <w:gridSpan w:val="3"/>
          </w:tcPr>
          <w:p>
            <w:pPr>
              <w:ind w:left="20"/>
              <w:spacing w:after="0" w:line="122" w:lineRule="exact"/>
              <w:rPr>
                <w:sz w:val="20"/>
                <w:szCs w:val="20"/>
                <w:color w:val="auto"/>
              </w:rPr>
            </w:pPr>
            <w:r>
              <w:rPr>
                <w:rFonts w:ascii="Arial" w:cs="Arial" w:eastAsia="Arial" w:hAnsi="Arial"/>
                <w:sz w:val="12"/>
                <w:szCs w:val="12"/>
                <w:color w:val="005A64"/>
              </w:rPr>
              <w:t>BioNTech 2020 Restricted Stock Unit Plan for North</w:t>
            </w:r>
          </w:p>
        </w:tc>
        <w:tc>
          <w:tcPr>
            <w:tcW w:w="900" w:type="dxa"/>
            <w:vAlign w:val="bottom"/>
            <w:gridSpan w:val="2"/>
          </w:tcPr>
          <w:p>
            <w:pPr>
              <w:ind w:left="20"/>
              <w:spacing w:after="0" w:line="122" w:lineRule="exact"/>
              <w:rPr>
                <w:sz w:val="20"/>
                <w:szCs w:val="20"/>
                <w:color w:val="auto"/>
              </w:rPr>
            </w:pPr>
            <w:r>
              <w:rPr>
                <w:rFonts w:ascii="Arial" w:cs="Arial" w:eastAsia="Arial" w:hAnsi="Arial"/>
                <w:sz w:val="12"/>
                <w:szCs w:val="12"/>
                <w:color w:val="005A64"/>
              </w:rPr>
              <w:t>16.1</w:t>
            </w:r>
          </w:p>
        </w:tc>
        <w:tc>
          <w:tcPr>
            <w:tcW w:w="20" w:type="dxa"/>
            <w:vAlign w:val="bottom"/>
          </w:tcPr>
          <w:p>
            <w:pPr>
              <w:spacing w:after="0"/>
              <w:rPr>
                <w:sz w:val="10"/>
                <w:szCs w:val="10"/>
                <w:color w:val="auto"/>
              </w:rPr>
            </w:pPr>
          </w:p>
        </w:tc>
        <w:tc>
          <w:tcPr>
            <w:tcW w:w="900" w:type="dxa"/>
            <w:vAlign w:val="bottom"/>
            <w:tcBorders>
              <w:left w:val="single" w:sz="8" w:color="BECE33"/>
            </w:tcBorders>
            <w:gridSpan w:val="2"/>
          </w:tcPr>
          <w:p>
            <w:pPr>
              <w:ind w:left="40"/>
              <w:spacing w:after="0" w:line="122" w:lineRule="exact"/>
              <w:rPr>
                <w:sz w:val="20"/>
                <w:szCs w:val="20"/>
                <w:color w:val="auto"/>
              </w:rPr>
            </w:pPr>
            <w:r>
              <w:rPr>
                <w:rFonts w:ascii="Arial" w:cs="Arial" w:eastAsia="Arial" w:hAnsi="Arial"/>
                <w:sz w:val="12"/>
                <w:szCs w:val="12"/>
                <w:color w:val="005A64"/>
              </w:rPr>
              <w:t>13.2</w:t>
            </w:r>
          </w:p>
        </w:tc>
        <w:tc>
          <w:tcPr>
            <w:tcW w:w="60" w:type="dxa"/>
            <w:vAlign w:val="bottom"/>
            <w:tcBorders>
              <w:right w:val="single" w:sz="8" w:color="BECE33"/>
            </w:tcBorders>
          </w:tcPr>
          <w:p>
            <w:pPr>
              <w:spacing w:after="0"/>
              <w:rPr>
                <w:sz w:val="10"/>
                <w:szCs w:val="10"/>
                <w:color w:val="auto"/>
              </w:rPr>
            </w:pPr>
          </w:p>
        </w:tc>
        <w:tc>
          <w:tcPr>
            <w:tcW w:w="900" w:type="dxa"/>
            <w:vAlign w:val="bottom"/>
            <w:gridSpan w:val="2"/>
          </w:tcPr>
          <w:p>
            <w:pPr>
              <w:ind w:left="40"/>
              <w:spacing w:after="0" w:line="122" w:lineRule="exact"/>
              <w:rPr>
                <w:sz w:val="20"/>
                <w:szCs w:val="20"/>
                <w:color w:val="auto"/>
              </w:rPr>
            </w:pPr>
            <w:r>
              <w:rPr>
                <w:rFonts w:ascii="Arial" w:cs="Arial" w:eastAsia="Arial" w:hAnsi="Arial"/>
                <w:sz w:val="12"/>
                <w:szCs w:val="12"/>
                <w:color w:val="005A64"/>
              </w:rPr>
              <w:t>10.6</w:t>
            </w:r>
          </w:p>
        </w:tc>
        <w:tc>
          <w:tcPr>
            <w:tcW w:w="960" w:type="dxa"/>
            <w:vAlign w:val="bottom"/>
            <w:gridSpan w:val="2"/>
          </w:tcPr>
          <w:p>
            <w:pPr>
              <w:ind w:left="100"/>
              <w:spacing w:after="0" w:line="122" w:lineRule="exact"/>
              <w:rPr>
                <w:sz w:val="20"/>
                <w:szCs w:val="20"/>
                <w:color w:val="auto"/>
              </w:rPr>
            </w:pPr>
            <w:r>
              <w:rPr>
                <w:rFonts w:ascii="Arial" w:cs="Arial" w:eastAsia="Arial" w:hAnsi="Arial"/>
                <w:sz w:val="12"/>
                <w:szCs w:val="12"/>
                <w:color w:val="005A64"/>
              </w:rPr>
              <w:t>8.1</w:t>
            </w:r>
          </w:p>
        </w:tc>
        <w:tc>
          <w:tcPr>
            <w:tcW w:w="0" w:type="dxa"/>
            <w:vAlign w:val="bottom"/>
          </w:tcPr>
          <w:p>
            <w:pPr>
              <w:spacing w:after="0"/>
              <w:rPr>
                <w:sz w:val="1"/>
                <w:szCs w:val="1"/>
                <w:color w:val="auto"/>
              </w:rPr>
            </w:pPr>
          </w:p>
        </w:tc>
      </w:tr>
      <w:tr>
        <w:trPr>
          <w:trHeight w:val="160"/>
        </w:trPr>
        <w:tc>
          <w:tcPr>
            <w:tcW w:w="1420" w:type="dxa"/>
            <w:vAlign w:val="bottom"/>
          </w:tcPr>
          <w:p>
            <w:pPr>
              <w:ind w:left="20"/>
              <w:spacing w:after="0"/>
              <w:rPr>
                <w:sz w:val="20"/>
                <w:szCs w:val="20"/>
                <w:color w:val="auto"/>
              </w:rPr>
            </w:pPr>
            <w:r>
              <w:rPr>
                <w:rFonts w:ascii="Arial" w:cs="Arial" w:eastAsia="Arial" w:hAnsi="Arial"/>
                <w:sz w:val="12"/>
                <w:szCs w:val="12"/>
                <w:color w:val="005A64"/>
              </w:rPr>
              <w:t>America Employees</w:t>
            </w: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left w:val="single" w:sz="8" w:color="BECE33"/>
            </w:tcBorders>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Borders>
              <w:right w:val="single" w:sz="8" w:color="BECE33"/>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420" w:type="dxa"/>
            <w:vAlign w:val="bottom"/>
          </w:tcPr>
          <w:p>
            <w:pPr>
              <w:ind w:left="20"/>
              <w:spacing w:after="0"/>
              <w:rPr>
                <w:sz w:val="20"/>
                <w:szCs w:val="20"/>
                <w:color w:val="auto"/>
              </w:rPr>
            </w:pPr>
            <w:r>
              <w:rPr>
                <w:rFonts w:ascii="Arial" w:cs="Arial" w:eastAsia="Arial" w:hAnsi="Arial"/>
                <w:sz w:val="12"/>
                <w:szCs w:val="12"/>
                <w:b w:val="1"/>
                <w:bCs w:val="1"/>
                <w:color w:val="005A64"/>
              </w:rPr>
              <w:t>Total</w:t>
            </w: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b w:val="1"/>
                <w:bCs w:val="1"/>
                <w:color w:val="005A64"/>
              </w:rPr>
              <w:t>100.9</w:t>
            </w:r>
          </w:p>
        </w:tc>
        <w:tc>
          <w:tcPr>
            <w:tcW w:w="60" w:type="dxa"/>
            <w:vAlign w:val="bottom"/>
            <w:tcBorders>
              <w:right w:val="single" w:sz="8" w:color="BECE33"/>
            </w:tcBorders>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005A64"/>
              </w:rPr>
              <w:t>51.4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005A64"/>
              </w:rPr>
              <w:t>108.0</w:t>
            </w:r>
          </w:p>
        </w:tc>
        <w:tc>
          <w:tcPr>
            <w:tcW w:w="0" w:type="dxa"/>
            <w:vAlign w:val="bottom"/>
          </w:tcPr>
          <w:p>
            <w:pPr>
              <w:spacing w:after="0"/>
              <w:rPr>
                <w:sz w:val="1"/>
                <w:szCs w:val="1"/>
                <w:color w:val="auto"/>
              </w:rPr>
            </w:pPr>
          </w:p>
        </w:tc>
      </w:tr>
      <w:tr>
        <w:trPr>
          <w:trHeight w:val="47"/>
        </w:trPr>
        <w:tc>
          <w:tcPr>
            <w:tcW w:w="1420" w:type="dxa"/>
            <w:vAlign w:val="bottom"/>
            <w:tcBorders>
              <w:bottom w:val="single" w:sz="8" w:color="005A64"/>
            </w:tcBorders>
          </w:tcPr>
          <w:p>
            <w:pPr>
              <w:spacing w:after="0"/>
              <w:rPr>
                <w:sz w:val="4"/>
                <w:szCs w:val="4"/>
                <w:color w:val="auto"/>
              </w:rPr>
            </w:pPr>
          </w:p>
        </w:tc>
        <w:tc>
          <w:tcPr>
            <w:tcW w:w="520" w:type="dxa"/>
            <w:vAlign w:val="bottom"/>
            <w:tcBorders>
              <w:bottom w:val="single" w:sz="8" w:color="005A64"/>
            </w:tcBorders>
          </w:tcPr>
          <w:p>
            <w:pPr>
              <w:spacing w:after="0"/>
              <w:rPr>
                <w:sz w:val="4"/>
                <w:szCs w:val="4"/>
                <w:color w:val="auto"/>
              </w:rPr>
            </w:pPr>
          </w:p>
        </w:tc>
        <w:tc>
          <w:tcPr>
            <w:tcW w:w="1040" w:type="dxa"/>
            <w:vAlign w:val="bottom"/>
            <w:tcBorders>
              <w:bottom w:val="single" w:sz="8" w:color="005A64"/>
            </w:tcBorders>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tcBorders>
              <w:bottom w:val="single" w:sz="8" w:color="005A64"/>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left w:val="single" w:sz="8" w:color="BECE33"/>
            </w:tcBorders>
            <w:vMerge w:val="restart"/>
          </w:tcPr>
          <w:p>
            <w:pPr>
              <w:spacing w:after="0"/>
              <w:rPr>
                <w:sz w:val="4"/>
                <w:szCs w:val="4"/>
                <w:color w:val="auto"/>
              </w:rPr>
            </w:pPr>
          </w:p>
        </w:tc>
        <w:tc>
          <w:tcPr>
            <w:tcW w:w="86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20" w:type="dxa"/>
            <w:vAlign w:val="bottom"/>
            <w:vMerge w:val="restart"/>
          </w:tcPr>
          <w:p>
            <w:pPr>
              <w:spacing w:after="0"/>
              <w:rPr>
                <w:sz w:val="4"/>
                <w:szCs w:val="4"/>
                <w:color w:val="auto"/>
              </w:rPr>
            </w:pPr>
          </w:p>
        </w:tc>
        <w:tc>
          <w:tcPr>
            <w:tcW w:w="880" w:type="dxa"/>
            <w:vAlign w:val="bottom"/>
            <w:tcBorders>
              <w:bottom w:val="single" w:sz="8" w:color="005A64"/>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8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1420" w:type="dxa"/>
            <w:vAlign w:val="bottom"/>
          </w:tcPr>
          <w:p>
            <w:pPr>
              <w:ind w:left="20"/>
              <w:spacing w:after="0"/>
              <w:rPr>
                <w:sz w:val="20"/>
                <w:szCs w:val="20"/>
                <w:color w:val="auto"/>
              </w:rPr>
            </w:pPr>
            <w:r>
              <w:rPr>
                <w:rFonts w:ascii="Arial" w:cs="Arial" w:eastAsia="Arial" w:hAnsi="Arial"/>
                <w:sz w:val="12"/>
                <w:szCs w:val="12"/>
                <w:color w:val="005A64"/>
              </w:rPr>
              <w:t>Cost of sales</w:t>
            </w: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left w:val="single" w:sz="8" w:color="BECE33"/>
            </w:tcBorders>
            <w:vMerge w:val="continue"/>
          </w:tcPr>
          <w:p>
            <w:pPr>
              <w:spacing w:after="0"/>
              <w:rPr>
                <w:sz w:val="13"/>
                <w:szCs w:val="13"/>
                <w:color w:val="auto"/>
              </w:rPr>
            </w:pPr>
          </w:p>
        </w:tc>
        <w:tc>
          <w:tcPr>
            <w:tcW w:w="860" w:type="dxa"/>
            <w:vAlign w:val="bottom"/>
          </w:tcPr>
          <w:p>
            <w:pPr>
              <w:spacing w:after="0"/>
              <w:rPr>
                <w:sz w:val="20"/>
                <w:szCs w:val="20"/>
                <w:color w:val="auto"/>
              </w:rPr>
            </w:pPr>
            <w:r>
              <w:rPr>
                <w:rFonts w:ascii="Arial" w:cs="Arial" w:eastAsia="Arial" w:hAnsi="Arial"/>
                <w:sz w:val="12"/>
                <w:szCs w:val="12"/>
                <w:color w:val="005A64"/>
              </w:rPr>
              <w:t>9.0</w:t>
            </w:r>
          </w:p>
        </w:tc>
        <w:tc>
          <w:tcPr>
            <w:tcW w:w="60" w:type="dxa"/>
            <w:vAlign w:val="bottom"/>
            <w:tcBorders>
              <w:right w:val="single" w:sz="8" w:color="BECE33"/>
            </w:tcBorders>
          </w:tcPr>
          <w:p>
            <w:pPr>
              <w:spacing w:after="0"/>
              <w:rPr>
                <w:sz w:val="13"/>
                <w:szCs w:val="13"/>
                <w:color w:val="auto"/>
              </w:rPr>
            </w:pPr>
          </w:p>
        </w:tc>
        <w:tc>
          <w:tcPr>
            <w:tcW w:w="20" w:type="dxa"/>
            <w:vAlign w:val="bottom"/>
            <w:vMerge w:val="continue"/>
          </w:tcPr>
          <w:p>
            <w:pPr>
              <w:spacing w:after="0"/>
              <w:rPr>
                <w:sz w:val="13"/>
                <w:szCs w:val="13"/>
                <w:color w:val="auto"/>
              </w:rPr>
            </w:pPr>
          </w:p>
        </w:tc>
        <w:tc>
          <w:tcPr>
            <w:tcW w:w="880" w:type="dxa"/>
            <w:vAlign w:val="bottom"/>
          </w:tcPr>
          <w:p>
            <w:pPr>
              <w:ind w:left="20"/>
              <w:spacing w:after="0"/>
              <w:rPr>
                <w:sz w:val="20"/>
                <w:szCs w:val="20"/>
                <w:color w:val="auto"/>
              </w:rPr>
            </w:pPr>
            <w:r>
              <w:rPr>
                <w:rFonts w:ascii="Arial" w:cs="Arial" w:eastAsia="Arial" w:hAnsi="Arial"/>
                <w:sz w:val="12"/>
                <w:szCs w:val="12"/>
                <w:color w:val="005A64"/>
              </w:rPr>
              <w:t>6.5</w:t>
            </w:r>
          </w:p>
        </w:tc>
        <w:tc>
          <w:tcPr>
            <w:tcW w:w="80" w:type="dxa"/>
            <w:vAlign w:val="bottom"/>
            <w:vMerge w:val="continue"/>
          </w:tcPr>
          <w:p>
            <w:pPr>
              <w:spacing w:after="0"/>
              <w:rPr>
                <w:sz w:val="13"/>
                <w:szCs w:val="13"/>
                <w:color w:val="auto"/>
              </w:rPr>
            </w:pPr>
          </w:p>
        </w:tc>
        <w:tc>
          <w:tcPr>
            <w:tcW w:w="880" w:type="dxa"/>
            <w:vAlign w:val="bottom"/>
          </w:tcPr>
          <w:p>
            <w:pPr>
              <w:ind w:left="20"/>
              <w:spacing w:after="0"/>
              <w:rPr>
                <w:sz w:val="20"/>
                <w:szCs w:val="20"/>
                <w:color w:val="auto"/>
              </w:rPr>
            </w:pPr>
            <w:r>
              <w:rPr>
                <w:rFonts w:ascii="Arial" w:cs="Arial" w:eastAsia="Arial" w:hAnsi="Arial"/>
                <w:sz w:val="12"/>
                <w:szCs w:val="12"/>
                <w:color w:val="005A64"/>
              </w:rPr>
              <w:t>3.0</w:t>
            </w:r>
          </w:p>
        </w:tc>
        <w:tc>
          <w:tcPr>
            <w:tcW w:w="0" w:type="dxa"/>
            <w:vAlign w:val="bottom"/>
          </w:tcPr>
          <w:p>
            <w:pPr>
              <w:spacing w:after="0"/>
              <w:rPr>
                <w:sz w:val="1"/>
                <w:szCs w:val="1"/>
                <w:color w:val="auto"/>
              </w:rPr>
            </w:pPr>
          </w:p>
        </w:tc>
      </w:tr>
      <w:tr>
        <w:trPr>
          <w:trHeight w:val="181"/>
        </w:trPr>
        <w:tc>
          <w:tcPr>
            <w:tcW w:w="2980" w:type="dxa"/>
            <w:vAlign w:val="bottom"/>
            <w:gridSpan w:val="3"/>
          </w:tcPr>
          <w:p>
            <w:pPr>
              <w:ind w:left="20"/>
              <w:spacing w:after="0"/>
              <w:rPr>
                <w:sz w:val="20"/>
                <w:szCs w:val="20"/>
                <w:color w:val="auto"/>
              </w:rPr>
            </w:pPr>
            <w:r>
              <w:rPr>
                <w:rFonts w:ascii="Arial" w:cs="Arial" w:eastAsia="Arial" w:hAnsi="Arial"/>
                <w:sz w:val="12"/>
                <w:szCs w:val="12"/>
                <w:color w:val="005A64"/>
              </w:rPr>
              <w:t>Research and development expenses</w:t>
            </w: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63.5</w:t>
            </w:r>
          </w:p>
        </w:tc>
        <w:tc>
          <w:tcPr>
            <w:tcW w:w="60" w:type="dxa"/>
            <w:vAlign w:val="bottom"/>
            <w:tcBorders>
              <w:right w:val="single" w:sz="8" w:color="BECE33"/>
            </w:tcBorders>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2"/>
                <w:szCs w:val="12"/>
                <w:color w:val="005A64"/>
              </w:rPr>
              <w:t>33.4</w:t>
            </w:r>
          </w:p>
        </w:tc>
        <w:tc>
          <w:tcPr>
            <w:tcW w:w="960" w:type="dxa"/>
            <w:vAlign w:val="bottom"/>
            <w:gridSpan w:val="2"/>
          </w:tcPr>
          <w:p>
            <w:pPr>
              <w:ind w:left="100"/>
              <w:spacing w:after="0"/>
              <w:rPr>
                <w:sz w:val="20"/>
                <w:szCs w:val="20"/>
                <w:color w:val="auto"/>
              </w:rPr>
            </w:pPr>
            <w:r>
              <w:rPr>
                <w:rFonts w:ascii="Arial" w:cs="Arial" w:eastAsia="Arial" w:hAnsi="Arial"/>
                <w:sz w:val="12"/>
                <w:szCs w:val="12"/>
                <w:color w:val="005A64"/>
              </w:rPr>
              <w:t>84.6</w:t>
            </w:r>
          </w:p>
        </w:tc>
        <w:tc>
          <w:tcPr>
            <w:tcW w:w="0" w:type="dxa"/>
            <w:vAlign w:val="bottom"/>
          </w:tcPr>
          <w:p>
            <w:pPr>
              <w:spacing w:after="0"/>
              <w:rPr>
                <w:sz w:val="1"/>
                <w:szCs w:val="1"/>
                <w:color w:val="auto"/>
              </w:rPr>
            </w:pPr>
          </w:p>
        </w:tc>
      </w:tr>
      <w:tr>
        <w:trPr>
          <w:trHeight w:val="202"/>
        </w:trPr>
        <w:tc>
          <w:tcPr>
            <w:tcW w:w="1940" w:type="dxa"/>
            <w:vAlign w:val="bottom"/>
            <w:gridSpan w:val="2"/>
          </w:tcPr>
          <w:p>
            <w:pPr>
              <w:ind w:left="20"/>
              <w:spacing w:after="0"/>
              <w:rPr>
                <w:sz w:val="20"/>
                <w:szCs w:val="20"/>
                <w:color w:val="auto"/>
              </w:rPr>
            </w:pPr>
            <w:r>
              <w:rPr>
                <w:rFonts w:ascii="Arial" w:cs="Arial" w:eastAsia="Arial" w:hAnsi="Arial"/>
                <w:sz w:val="12"/>
                <w:szCs w:val="12"/>
                <w:color w:val="005A64"/>
              </w:rPr>
              <w:t>Sales and marketing expenses</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2.5</w:t>
            </w:r>
          </w:p>
        </w:tc>
        <w:tc>
          <w:tcPr>
            <w:tcW w:w="60" w:type="dxa"/>
            <w:vAlign w:val="bottom"/>
            <w:tcBorders>
              <w:right w:val="single" w:sz="8" w:color="BECE33"/>
            </w:tcBorders>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2"/>
                <w:szCs w:val="12"/>
                <w:color w:val="005A64"/>
              </w:rPr>
              <w:t>1.0</w:t>
            </w:r>
          </w:p>
        </w:tc>
        <w:tc>
          <w:tcPr>
            <w:tcW w:w="960" w:type="dxa"/>
            <w:vAlign w:val="bottom"/>
            <w:gridSpan w:val="2"/>
          </w:tcPr>
          <w:p>
            <w:pPr>
              <w:ind w:left="100"/>
              <w:spacing w:after="0"/>
              <w:rPr>
                <w:sz w:val="20"/>
                <w:szCs w:val="20"/>
                <w:color w:val="auto"/>
              </w:rPr>
            </w:pPr>
            <w:r>
              <w:rPr>
                <w:rFonts w:ascii="Arial" w:cs="Arial" w:eastAsia="Arial" w:hAnsi="Arial"/>
                <w:sz w:val="12"/>
                <w:szCs w:val="12"/>
                <w:color w:val="005A64"/>
              </w:rPr>
              <w:t>0.8</w:t>
            </w:r>
          </w:p>
        </w:tc>
        <w:tc>
          <w:tcPr>
            <w:tcW w:w="0" w:type="dxa"/>
            <w:vAlign w:val="bottom"/>
          </w:tcPr>
          <w:p>
            <w:pPr>
              <w:spacing w:after="0"/>
              <w:rPr>
                <w:sz w:val="1"/>
                <w:szCs w:val="1"/>
                <w:color w:val="auto"/>
              </w:rPr>
            </w:pPr>
          </w:p>
        </w:tc>
      </w:tr>
      <w:tr>
        <w:trPr>
          <w:trHeight w:val="202"/>
        </w:trPr>
        <w:tc>
          <w:tcPr>
            <w:tcW w:w="2980" w:type="dxa"/>
            <w:vAlign w:val="bottom"/>
            <w:gridSpan w:val="3"/>
          </w:tcPr>
          <w:p>
            <w:pPr>
              <w:ind w:left="20"/>
              <w:spacing w:after="0"/>
              <w:rPr>
                <w:sz w:val="20"/>
                <w:szCs w:val="20"/>
                <w:color w:val="auto"/>
              </w:rPr>
            </w:pPr>
            <w:r>
              <w:rPr>
                <w:rFonts w:ascii="Arial" w:cs="Arial" w:eastAsia="Arial" w:hAnsi="Arial"/>
                <w:sz w:val="12"/>
                <w:szCs w:val="12"/>
                <w:color w:val="005A64"/>
              </w:rPr>
              <w:t>General and administrative expenses</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25.9</w:t>
            </w:r>
          </w:p>
        </w:tc>
        <w:tc>
          <w:tcPr>
            <w:tcW w:w="60" w:type="dxa"/>
            <w:vAlign w:val="bottom"/>
            <w:tcBorders>
              <w:right w:val="single" w:sz="8" w:color="BECE33"/>
            </w:tcBorders>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2"/>
                <w:szCs w:val="12"/>
                <w:color w:val="005A64"/>
              </w:rPr>
              <w:t>10.5</w:t>
            </w:r>
          </w:p>
        </w:tc>
        <w:tc>
          <w:tcPr>
            <w:tcW w:w="960" w:type="dxa"/>
            <w:vAlign w:val="bottom"/>
            <w:gridSpan w:val="2"/>
          </w:tcPr>
          <w:p>
            <w:pPr>
              <w:ind w:left="100"/>
              <w:spacing w:after="0"/>
              <w:rPr>
                <w:sz w:val="20"/>
                <w:szCs w:val="20"/>
                <w:color w:val="auto"/>
              </w:rPr>
            </w:pPr>
            <w:r>
              <w:rPr>
                <w:rFonts w:ascii="Arial" w:cs="Arial" w:eastAsia="Arial" w:hAnsi="Arial"/>
                <w:sz w:val="12"/>
                <w:szCs w:val="12"/>
                <w:color w:val="005A64"/>
              </w:rPr>
              <w:t>19.6</w:t>
            </w:r>
          </w:p>
        </w:tc>
        <w:tc>
          <w:tcPr>
            <w:tcW w:w="0" w:type="dxa"/>
            <w:vAlign w:val="bottom"/>
          </w:tcPr>
          <w:p>
            <w:pPr>
              <w:spacing w:after="0"/>
              <w:rPr>
                <w:sz w:val="1"/>
                <w:szCs w:val="1"/>
                <w:color w:val="auto"/>
              </w:rPr>
            </w:pPr>
          </w:p>
        </w:tc>
      </w:tr>
      <w:tr>
        <w:trPr>
          <w:trHeight w:val="208"/>
        </w:trPr>
        <w:tc>
          <w:tcPr>
            <w:tcW w:w="1420" w:type="dxa"/>
            <w:vAlign w:val="bottom"/>
          </w:tcPr>
          <w:p>
            <w:pPr>
              <w:ind w:left="20"/>
              <w:spacing w:after="0"/>
              <w:rPr>
                <w:sz w:val="20"/>
                <w:szCs w:val="20"/>
                <w:color w:val="auto"/>
              </w:rPr>
            </w:pPr>
            <w:r>
              <w:rPr>
                <w:rFonts w:ascii="Arial" w:cs="Arial" w:eastAsia="Arial" w:hAnsi="Arial"/>
                <w:sz w:val="12"/>
                <w:szCs w:val="12"/>
                <w:b w:val="1"/>
                <w:bCs w:val="1"/>
                <w:color w:val="005A64"/>
              </w:rPr>
              <w:t>Total</w:t>
            </w: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b w:val="1"/>
                <w:bCs w:val="1"/>
                <w:color w:val="005A64"/>
              </w:rPr>
              <w:t>100.9</w:t>
            </w:r>
          </w:p>
        </w:tc>
        <w:tc>
          <w:tcPr>
            <w:tcW w:w="60" w:type="dxa"/>
            <w:vAlign w:val="bottom"/>
            <w:tcBorders>
              <w:right w:val="single" w:sz="8" w:color="BECE33"/>
            </w:tcBorders>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005A64"/>
              </w:rPr>
              <w:t>51.4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005A64"/>
              </w:rPr>
              <w:t>108.0</w:t>
            </w:r>
          </w:p>
        </w:tc>
        <w:tc>
          <w:tcPr>
            <w:tcW w:w="0" w:type="dxa"/>
            <w:vAlign w:val="bottom"/>
          </w:tcPr>
          <w:p>
            <w:pPr>
              <w:spacing w:after="0"/>
              <w:rPr>
                <w:sz w:val="1"/>
                <w:szCs w:val="1"/>
                <w:color w:val="auto"/>
              </w:rPr>
            </w:pPr>
          </w:p>
        </w:tc>
      </w:tr>
      <w:tr>
        <w:trPr>
          <w:trHeight w:val="47"/>
        </w:trPr>
        <w:tc>
          <w:tcPr>
            <w:tcW w:w="1420" w:type="dxa"/>
            <w:vAlign w:val="bottom"/>
            <w:tcBorders>
              <w:bottom w:val="single" w:sz="8" w:color="005A64"/>
            </w:tcBorders>
          </w:tcPr>
          <w:p>
            <w:pPr>
              <w:spacing w:after="0"/>
              <w:rPr>
                <w:sz w:val="4"/>
                <w:szCs w:val="4"/>
                <w:color w:val="auto"/>
              </w:rPr>
            </w:pPr>
          </w:p>
        </w:tc>
        <w:tc>
          <w:tcPr>
            <w:tcW w:w="520" w:type="dxa"/>
            <w:vAlign w:val="bottom"/>
            <w:tcBorders>
              <w:bottom w:val="single" w:sz="8" w:color="005A64"/>
            </w:tcBorders>
          </w:tcPr>
          <w:p>
            <w:pPr>
              <w:spacing w:after="0"/>
              <w:rPr>
                <w:sz w:val="4"/>
                <w:szCs w:val="4"/>
                <w:color w:val="auto"/>
              </w:rPr>
            </w:pPr>
          </w:p>
        </w:tc>
        <w:tc>
          <w:tcPr>
            <w:tcW w:w="1040" w:type="dxa"/>
            <w:vAlign w:val="bottom"/>
            <w:tcBorders>
              <w:bottom w:val="single" w:sz="8" w:color="005A64"/>
            </w:tcBorders>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tcBorders>
              <w:bottom w:val="single" w:sz="8" w:color="005A64"/>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left w:val="single" w:sz="8" w:color="BECE33"/>
              <w:bottom w:val="single" w:sz="8" w:color="BECE33"/>
            </w:tcBorders>
          </w:tcPr>
          <w:p>
            <w:pPr>
              <w:spacing w:after="0"/>
              <w:rPr>
                <w:sz w:val="4"/>
                <w:szCs w:val="4"/>
                <w:color w:val="auto"/>
              </w:rPr>
            </w:pPr>
          </w:p>
        </w:tc>
        <w:tc>
          <w:tcPr>
            <w:tcW w:w="86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80" w:right="2360" w:firstLine="3"/>
        <w:spacing w:after="0" w:line="189" w:lineRule="auto"/>
        <w:tabs>
          <w:tab w:leader="none" w:pos="582" w:val="left"/>
        </w:tabs>
        <w:numPr>
          <w:ilvl w:val="0"/>
          <w:numId w:val="54"/>
        </w:numPr>
        <w:rPr>
          <w:rFonts w:ascii="Arial" w:cs="Arial" w:eastAsia="Arial" w:hAnsi="Arial"/>
          <w:sz w:val="16"/>
          <w:szCs w:val="16"/>
          <w:color w:val="005A64"/>
          <w:vertAlign w:val="superscript"/>
        </w:rPr>
      </w:pPr>
      <w:r>
        <w:rPr>
          <w:rFonts w:ascii="Arial" w:cs="Arial" w:eastAsia="Arial" w:hAnsi="Arial"/>
          <w:sz w:val="12"/>
          <w:szCs w:val="12"/>
          <w:color w:val="005A64"/>
        </w:rPr>
        <w:t>In May 2022, phantom options were granted under the Management Board Grant for the year 2022 which led to a modification from an equity-settled to cash-settled share-based payment arrangement and a reclassification of</w:t>
      </w:r>
    </w:p>
    <w:p>
      <w:pPr>
        <w:spacing w:after="0" w:line="1" w:lineRule="exact"/>
        <w:rPr>
          <w:rFonts w:ascii="Arial" w:cs="Arial" w:eastAsia="Arial" w:hAnsi="Arial"/>
          <w:sz w:val="16"/>
          <w:szCs w:val="16"/>
          <w:color w:val="005A64"/>
          <w:vertAlign w:val="superscript"/>
        </w:rPr>
      </w:pPr>
    </w:p>
    <w:p>
      <w:pPr>
        <w:ind w:left="380" w:right="2240"/>
        <w:spacing w:after="0" w:line="222" w:lineRule="auto"/>
        <w:rPr>
          <w:rFonts w:ascii="Arial" w:cs="Arial" w:eastAsia="Arial" w:hAnsi="Arial"/>
          <w:sz w:val="16"/>
          <w:szCs w:val="16"/>
          <w:color w:val="005A64"/>
          <w:vertAlign w:val="superscript"/>
        </w:rPr>
      </w:pPr>
      <w:r>
        <w:rPr>
          <w:rFonts w:ascii="Arial" w:cs="Arial" w:eastAsia="Arial" w:hAnsi="Arial"/>
          <w:sz w:val="12"/>
          <w:szCs w:val="12"/>
          <w:color w:val="005A64"/>
        </w:rPr>
        <w:t>€3.3 million between equity and non-current other liabilities, respectively. Expenses incurred before and after the modification dates have been disclosed as equity-settled or cash-settled share-based payment arrangement, respectively. The amount includes expenses incurred with respect to a one-time signing bonus granted to Jens Holstein and Annemarie Hanekamp as of their appointment to the Management Board (see Note 21.2).</w:t>
      </w:r>
    </w:p>
    <w:p>
      <w:pPr>
        <w:spacing w:after="0" w:line="13" w:lineRule="exact"/>
        <w:rPr>
          <w:rFonts w:ascii="Arial" w:cs="Arial" w:eastAsia="Arial" w:hAnsi="Arial"/>
          <w:sz w:val="16"/>
          <w:szCs w:val="16"/>
          <w:color w:val="005A64"/>
          <w:vertAlign w:val="superscript"/>
        </w:rPr>
      </w:pPr>
    </w:p>
    <w:p>
      <w:pPr>
        <w:ind w:left="380" w:right="2020" w:firstLine="3"/>
        <w:spacing w:after="0" w:line="190" w:lineRule="auto"/>
        <w:tabs>
          <w:tab w:leader="none" w:pos="582" w:val="left"/>
        </w:tabs>
        <w:numPr>
          <w:ilvl w:val="0"/>
          <w:numId w:val="54"/>
        </w:numPr>
        <w:rPr>
          <w:rFonts w:ascii="Arial" w:cs="Arial" w:eastAsia="Arial" w:hAnsi="Arial"/>
          <w:sz w:val="16"/>
          <w:szCs w:val="16"/>
          <w:color w:val="005A64"/>
          <w:vertAlign w:val="superscript"/>
        </w:rPr>
      </w:pPr>
      <w:r>
        <w:rPr>
          <w:rFonts w:ascii="Arial" w:cs="Arial" w:eastAsia="Arial" w:hAnsi="Arial"/>
          <w:sz w:val="12"/>
          <w:szCs w:val="12"/>
          <w:color w:val="005A64"/>
        </w:rPr>
        <w:t>The first tranche of 40,249 RSUs vested in July 2024 and was settled in the three months ended December 31, 2024, in cash.</w:t>
      </w:r>
    </w:p>
    <w:p>
      <w:pPr>
        <w:ind w:left="380" w:right="2140"/>
        <w:spacing w:after="0" w:line="215" w:lineRule="auto"/>
        <w:rPr>
          <w:rFonts w:ascii="Arial" w:cs="Arial" w:eastAsia="Arial" w:hAnsi="Arial"/>
          <w:sz w:val="16"/>
          <w:szCs w:val="16"/>
          <w:color w:val="005A64"/>
          <w:vertAlign w:val="superscript"/>
        </w:rPr>
      </w:pPr>
      <w:r>
        <w:rPr>
          <w:rFonts w:ascii="Arial" w:cs="Arial" w:eastAsia="Arial" w:hAnsi="Arial"/>
          <w:sz w:val="13"/>
          <w:szCs w:val="13"/>
          <w:color w:val="auto"/>
        </w:rPr>
        <w:t>During the years ended December 31, 2024, 2023 and 2022, our share-based payment arrangements led to a cash outflow of €154.5 million, €766.2 million and €51.8 million, respectively. We expect to settle the equity-settled share-based payment arrangements remaining from our 2020 Management Board Grant (see Note 16.3) and the Employee Stock Ownership Plan (see Note 16.5) on a net basis by delivering to the participant a number of ADSs equal to the net value of the exercised option rights after deduction of (i) the exercise price and (ii) the applicable wage taxes (including solidarity surcharge thereon and church tax, if applicable) and social security contributions resulting from such exercise. This reduces the dilutive impact of the respective rights compared to an all-equity settlement. If all of the equity-settled rights outstanding as of December 31, 2024, were to be exercised accordingly, the cash outflow to the tax authority in 2025 would amount to approximately €9.9 million (based on the share price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F-60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jc w:val="center"/>
        <w:ind w:right="594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005A64"/>
        </w:rPr>
        <w:t>16.1 BioNTech Employee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50">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0" w:lineRule="auto"/>
        <w:rPr>
          <w:sz w:val="20"/>
          <w:szCs w:val="20"/>
          <w:color w:val="auto"/>
        </w:rPr>
      </w:pPr>
      <w:r>
        <w:rPr>
          <w:rFonts w:ascii="Arial" w:cs="Arial" w:eastAsia="Arial" w:hAnsi="Arial"/>
          <w:sz w:val="13"/>
          <w:szCs w:val="13"/>
          <w:color w:val="005A64"/>
        </w:rPr>
        <w:t>BioNTech 2020 Employee Equity Plan for Employees Based Outside North America (Equity-Settled)</w:t>
      </w:r>
    </w:p>
    <w:p>
      <w:pPr>
        <w:spacing w:after="0" w:line="1" w:lineRule="exact"/>
        <w:rPr>
          <w:sz w:val="20"/>
          <w:szCs w:val="20"/>
          <w:color w:val="auto"/>
        </w:rPr>
      </w:pPr>
    </w:p>
    <w:p>
      <w:pPr>
        <w:ind w:left="380" w:right="2180"/>
        <w:spacing w:after="0" w:line="210" w:lineRule="auto"/>
        <w:rPr>
          <w:sz w:val="20"/>
          <w:szCs w:val="20"/>
          <w:color w:val="auto"/>
        </w:rPr>
      </w:pPr>
      <w:r>
        <w:rPr>
          <w:rFonts w:ascii="Arial" w:cs="Arial" w:eastAsia="Arial" w:hAnsi="Arial"/>
          <w:sz w:val="13"/>
          <w:szCs w:val="13"/>
          <w:color w:val="auto"/>
        </w:rPr>
        <w:t>In December 2020, we approved the BioNTech 2020 Employee Equity Plan for employees based outside North America, or the European Plan. Under the European Plan, Restricted Stock Units, or RSUs, are offered to our employees.</w:t>
      </w:r>
    </w:p>
    <w:p>
      <w:pPr>
        <w:spacing w:after="0" w:line="2" w:lineRule="exact"/>
        <w:rPr>
          <w:sz w:val="20"/>
          <w:szCs w:val="20"/>
          <w:color w:val="auto"/>
        </w:rPr>
      </w:pPr>
    </w:p>
    <w:p>
      <w:pPr>
        <w:ind w:left="380" w:right="2140"/>
        <w:spacing w:after="0" w:line="218" w:lineRule="auto"/>
        <w:rPr>
          <w:sz w:val="20"/>
          <w:szCs w:val="20"/>
          <w:color w:val="auto"/>
        </w:rPr>
      </w:pPr>
      <w:r>
        <w:rPr>
          <w:rFonts w:ascii="Arial" w:cs="Arial" w:eastAsia="Arial" w:hAnsi="Arial"/>
          <w:sz w:val="13"/>
          <w:szCs w:val="13"/>
          <w:color w:val="auto"/>
        </w:rPr>
        <w:t>Award agreements were entered as of the respective grant dates in February 2021 (LTI 2020), January 2022 (LTI 2021 program), December 2022 (LTI 2022 program) and January 2024 (LTI 2023). RSUs issued under the LTI 2020, LTI 2021, LTI 2022 and LTI 2023 programs vest annually in equal installments over respective waiting periods of four years, commencing in December 2020, December 2021, December 2022 and December 2023, respectively. All programs were classified as equity-settled as we have the ability to determine the method of settlement.</w:t>
      </w:r>
    </w:p>
    <w:p>
      <w:pPr>
        <w:sectPr>
          <w:pgSz w:w="11900" w:h="16840" w:orient="portrait"/>
          <w:cols w:equalWidth="0" w:num="1">
            <w:col w:w="9020"/>
          </w:cols>
          <w:pgMar w:left="1440" w:top="1440" w:right="1440" w:bottom="40" w:gutter="0" w:footer="0" w:header="0"/>
        </w:sectPr>
      </w:pPr>
    </w:p>
    <w:bookmarkStart w:id="221" w:name="page222"/>
    <w:bookmarkEnd w:id="221"/>
    <w:p>
      <w:pPr>
        <w:ind w:left="380" w:right="2720"/>
        <w:spacing w:after="0" w:line="248" w:lineRule="auto"/>
        <w:rPr>
          <w:sz w:val="20"/>
          <w:szCs w:val="20"/>
          <w:color w:val="auto"/>
        </w:rPr>
      </w:pPr>
      <w:r>
        <w:rPr>
          <w:rFonts w:ascii="Arial" w:cs="Arial" w:eastAsia="Arial" w:hAnsi="Arial"/>
          <w:sz w:val="13"/>
          <w:szCs w:val="13"/>
          <w:color w:val="auto"/>
        </w:rPr>
        <w:t>The fair values of the awards issued under the European Plan were based upon the price of our ADSs representing ordinary shares at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-15875</wp:posOffset>
            </wp:positionV>
            <wp:extent cx="4262120" cy="127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51">
                      <a:extLst>
                        <a:ext uri="{28A0092B-C50C-407E-A947-70E740481C1C}"/>
                      </a:extLst>
                    </a:blip>
                    <a:srcRect/>
                    <a:stretch>
                      <a:fillRect/>
                    </a:stretch>
                  </pic:blipFill>
                  <pic:spPr bwMode="auto">
                    <a:xfrm>
                      <a:off x="0" y="0"/>
                      <a:ext cx="4262120" cy="12700"/>
                    </a:xfrm>
                    <a:prstGeom prst="rect">
                      <a:avLst/>
                    </a:prstGeom>
                    <a:noFill/>
                  </pic:spPr>
                </pic:pic>
              </a:graphicData>
            </a:graphic>
          </wp:anchor>
        </w:drawing>
      </w:r>
    </w:p>
    <w:p>
      <w:pPr>
        <w:spacing w:after="0" w:line="95" w:lineRule="exact"/>
        <w:rPr>
          <w:sz w:val="20"/>
          <w:szCs w:val="20"/>
          <w:color w:val="auto"/>
        </w:rPr>
      </w:pPr>
    </w:p>
    <w:tbl>
      <w:tblPr>
        <w:tblLayout w:type="fixed"/>
        <w:tblInd w:w="380" w:type="dxa"/>
        <w:tblCellMar>
          <w:top w:w="0" w:type="dxa"/>
          <w:left w:w="0" w:type="dxa"/>
          <w:bottom w:w="0" w:type="dxa"/>
          <w:right w:w="0" w:type="dxa"/>
        </w:tblCellMar>
      </w:tblPr>
      <w:tr>
        <w:trPr>
          <w:trHeight w:val="166"/>
        </w:trPr>
        <w:tc>
          <w:tcPr>
            <w:tcW w:w="1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2"/>
                <w:szCs w:val="12"/>
                <w:b w:val="1"/>
                <w:bCs w:val="1"/>
                <w:color w:val="005A64"/>
              </w:rPr>
              <w:t>LTI 2020 program</w:t>
            </w:r>
          </w:p>
        </w:tc>
        <w:tc>
          <w:tcPr>
            <w:tcW w:w="4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2"/>
                <w:szCs w:val="12"/>
                <w:b w:val="1"/>
                <w:bCs w:val="1"/>
                <w:color w:val="005A64"/>
              </w:rPr>
              <w:t>LTI 2021 program</w:t>
            </w:r>
          </w:p>
        </w:tc>
        <w:tc>
          <w:tcPr>
            <w:tcW w:w="4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2"/>
                <w:szCs w:val="12"/>
                <w:b w:val="1"/>
                <w:bCs w:val="1"/>
                <w:color w:val="005A64"/>
              </w:rPr>
              <w:t>LTI 2022 program</w:t>
            </w:r>
          </w:p>
        </w:tc>
        <w:tc>
          <w:tcPr>
            <w:tcW w:w="6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2"/>
                <w:szCs w:val="12"/>
                <w:b w:val="1"/>
                <w:bCs w:val="1"/>
                <w:color w:val="005A64"/>
              </w:rPr>
              <w:t>LTI 2023 program</w:t>
            </w:r>
          </w:p>
        </w:tc>
        <w:tc>
          <w:tcPr>
            <w:tcW w:w="0" w:type="dxa"/>
            <w:vAlign w:val="bottom"/>
          </w:tcPr>
          <w:p>
            <w:pPr>
              <w:spacing w:after="0"/>
              <w:rPr>
                <w:sz w:val="1"/>
                <w:szCs w:val="1"/>
                <w:color w:val="auto"/>
              </w:rPr>
            </w:pPr>
          </w:p>
        </w:tc>
      </w:tr>
      <w:tr>
        <w:trPr>
          <w:trHeight w:val="37"/>
        </w:trPr>
        <w:tc>
          <w:tcPr>
            <w:tcW w:w="1680" w:type="dxa"/>
            <w:vAlign w:val="bottom"/>
            <w:tcBorders>
              <w:bottom w:val="single" w:sz="8" w:color="005A64"/>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200" w:type="dxa"/>
            <w:vAlign w:val="bottom"/>
            <w:tcBorders>
              <w:bottom w:val="single" w:sz="8" w:color="005A64"/>
            </w:tcBorders>
          </w:tcPr>
          <w:p>
            <w:pPr>
              <w:spacing w:after="0"/>
              <w:rPr>
                <w:sz w:val="3"/>
                <w:szCs w:val="3"/>
                <w:color w:val="auto"/>
              </w:rPr>
            </w:pPr>
          </w:p>
        </w:tc>
        <w:tc>
          <w:tcPr>
            <w:tcW w:w="40" w:type="dxa"/>
            <w:vAlign w:val="bottom"/>
            <w:vMerge w:val="restart"/>
          </w:tcPr>
          <w:p>
            <w:pPr>
              <w:spacing w:after="0"/>
              <w:rPr>
                <w:sz w:val="3"/>
                <w:szCs w:val="3"/>
                <w:color w:val="auto"/>
              </w:rPr>
            </w:pPr>
          </w:p>
        </w:tc>
        <w:tc>
          <w:tcPr>
            <w:tcW w:w="1200" w:type="dxa"/>
            <w:vAlign w:val="bottom"/>
            <w:tcBorders>
              <w:bottom w:val="single" w:sz="8" w:color="005A64"/>
            </w:tcBorders>
          </w:tcPr>
          <w:p>
            <w:pPr>
              <w:spacing w:after="0"/>
              <w:rPr>
                <w:sz w:val="3"/>
                <w:szCs w:val="3"/>
                <w:color w:val="auto"/>
              </w:rPr>
            </w:pPr>
          </w:p>
        </w:tc>
        <w:tc>
          <w:tcPr>
            <w:tcW w:w="40" w:type="dxa"/>
            <w:vAlign w:val="bottom"/>
            <w:vMerge w:val="restart"/>
          </w:tcPr>
          <w:p>
            <w:pPr>
              <w:spacing w:after="0"/>
              <w:rPr>
                <w:sz w:val="3"/>
                <w:szCs w:val="3"/>
                <w:color w:val="auto"/>
              </w:rPr>
            </w:pPr>
          </w:p>
        </w:tc>
        <w:tc>
          <w:tcPr>
            <w:tcW w:w="1200" w:type="dxa"/>
            <w:vAlign w:val="bottom"/>
            <w:tcBorders>
              <w:bottom w:val="single" w:sz="8" w:color="005A64"/>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200" w:type="dxa"/>
            <w:vAlign w:val="bottom"/>
            <w:tcBorders>
              <w:bottom w:val="single" w:sz="8" w:color="005A64"/>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680" w:type="dxa"/>
            <w:vAlign w:val="bottom"/>
          </w:tcPr>
          <w:p>
            <w:pPr>
              <w:ind w:left="20"/>
              <w:spacing w:after="0"/>
              <w:rPr>
                <w:sz w:val="20"/>
                <w:szCs w:val="20"/>
                <w:color w:val="auto"/>
              </w:rPr>
            </w:pPr>
            <w:r>
              <w:rPr>
                <w:rFonts w:ascii="Arial" w:cs="Arial" w:eastAsia="Arial" w:hAnsi="Arial"/>
                <w:sz w:val="12"/>
                <w:szCs w:val="12"/>
                <w:color w:val="005A64"/>
              </w:rPr>
              <w:t>Weighted average fair value</w:t>
            </w:r>
          </w:p>
        </w:tc>
        <w:tc>
          <w:tcPr>
            <w:tcW w:w="60" w:type="dxa"/>
            <w:vAlign w:val="bottom"/>
            <w:vMerge w:val="continue"/>
          </w:tcPr>
          <w:p>
            <w:pPr>
              <w:spacing w:after="0"/>
              <w:rPr>
                <w:sz w:val="13"/>
                <w:szCs w:val="13"/>
                <w:color w:val="auto"/>
              </w:rPr>
            </w:pPr>
          </w:p>
        </w:tc>
        <w:tc>
          <w:tcPr>
            <w:tcW w:w="1200" w:type="dxa"/>
            <w:vAlign w:val="bottom"/>
          </w:tcPr>
          <w:p>
            <w:pPr>
              <w:ind w:left="720"/>
              <w:spacing w:after="0"/>
              <w:rPr>
                <w:sz w:val="20"/>
                <w:szCs w:val="20"/>
                <w:color w:val="auto"/>
              </w:rPr>
            </w:pPr>
            <w:r>
              <w:rPr>
                <w:rFonts w:ascii="Arial" w:cs="Arial" w:eastAsia="Arial" w:hAnsi="Arial"/>
                <w:sz w:val="12"/>
                <w:szCs w:val="12"/>
                <w:color w:val="005A64"/>
              </w:rPr>
              <w:t>€92.21</w:t>
            </w:r>
          </w:p>
        </w:tc>
        <w:tc>
          <w:tcPr>
            <w:tcW w:w="40" w:type="dxa"/>
            <w:vAlign w:val="bottom"/>
            <w:vMerge w:val="continue"/>
          </w:tcPr>
          <w:p>
            <w:pPr>
              <w:spacing w:after="0"/>
              <w:rPr>
                <w:sz w:val="13"/>
                <w:szCs w:val="13"/>
                <w:color w:val="auto"/>
              </w:rPr>
            </w:pPr>
          </w:p>
        </w:tc>
        <w:tc>
          <w:tcPr>
            <w:tcW w:w="1200" w:type="dxa"/>
            <w:vAlign w:val="bottom"/>
          </w:tcPr>
          <w:p>
            <w:pPr>
              <w:ind w:left="660"/>
              <w:spacing w:after="0"/>
              <w:rPr>
                <w:sz w:val="20"/>
                <w:szCs w:val="20"/>
                <w:color w:val="auto"/>
              </w:rPr>
            </w:pPr>
            <w:r>
              <w:rPr>
                <w:rFonts w:ascii="Arial" w:cs="Arial" w:eastAsia="Arial" w:hAnsi="Arial"/>
                <w:sz w:val="12"/>
                <w:szCs w:val="12"/>
                <w:color w:val="005A64"/>
              </w:rPr>
              <w:t>€203.22</w:t>
            </w:r>
          </w:p>
        </w:tc>
        <w:tc>
          <w:tcPr>
            <w:tcW w:w="40" w:type="dxa"/>
            <w:vAlign w:val="bottom"/>
            <w:vMerge w:val="continue"/>
          </w:tcPr>
          <w:p>
            <w:pPr>
              <w:spacing w:after="0"/>
              <w:rPr>
                <w:sz w:val="13"/>
                <w:szCs w:val="13"/>
                <w:color w:val="auto"/>
              </w:rPr>
            </w:pPr>
          </w:p>
        </w:tc>
        <w:tc>
          <w:tcPr>
            <w:tcW w:w="1200" w:type="dxa"/>
            <w:vAlign w:val="bottom"/>
          </w:tcPr>
          <w:p>
            <w:pPr>
              <w:ind w:left="660"/>
              <w:spacing w:after="0"/>
              <w:rPr>
                <w:sz w:val="20"/>
                <w:szCs w:val="20"/>
                <w:color w:val="auto"/>
              </w:rPr>
            </w:pPr>
            <w:r>
              <w:rPr>
                <w:rFonts w:ascii="Arial" w:cs="Arial" w:eastAsia="Arial" w:hAnsi="Arial"/>
                <w:sz w:val="12"/>
                <w:szCs w:val="12"/>
                <w:color w:val="005A64"/>
              </w:rPr>
              <w:t>€165.03</w:t>
            </w:r>
          </w:p>
        </w:tc>
        <w:tc>
          <w:tcPr>
            <w:tcW w:w="60" w:type="dxa"/>
            <w:vAlign w:val="bottom"/>
            <w:vMerge w:val="continue"/>
          </w:tcPr>
          <w:p>
            <w:pPr>
              <w:spacing w:after="0"/>
              <w:rPr>
                <w:sz w:val="13"/>
                <w:szCs w:val="13"/>
                <w:color w:val="auto"/>
              </w:rPr>
            </w:pPr>
          </w:p>
        </w:tc>
        <w:tc>
          <w:tcPr>
            <w:tcW w:w="1200" w:type="dxa"/>
            <w:vAlign w:val="bottom"/>
          </w:tcPr>
          <w:p>
            <w:pPr>
              <w:ind w:left="720"/>
              <w:spacing w:after="0"/>
              <w:rPr>
                <w:sz w:val="20"/>
                <w:szCs w:val="20"/>
                <w:color w:val="auto"/>
              </w:rPr>
            </w:pPr>
            <w:r>
              <w:rPr>
                <w:rFonts w:ascii="Arial" w:cs="Arial" w:eastAsia="Arial" w:hAnsi="Arial"/>
                <w:sz w:val="12"/>
                <w:szCs w:val="12"/>
                <w:color w:val="005A64"/>
              </w:rPr>
              <w:t>€97.99</w:t>
            </w:r>
          </w:p>
        </w:tc>
        <w:tc>
          <w:tcPr>
            <w:tcW w:w="0" w:type="dxa"/>
            <w:vAlign w:val="bottom"/>
          </w:tcPr>
          <w:p>
            <w:pPr>
              <w:spacing w:after="0"/>
              <w:rPr>
                <w:sz w:val="1"/>
                <w:szCs w:val="1"/>
                <w:color w:val="auto"/>
              </w:rPr>
            </w:pPr>
          </w:p>
        </w:tc>
      </w:tr>
      <w:tr>
        <w:trPr>
          <w:trHeight w:val="181"/>
        </w:trPr>
        <w:tc>
          <w:tcPr>
            <w:tcW w:w="1680" w:type="dxa"/>
            <w:vAlign w:val="bottom"/>
          </w:tcPr>
          <w:p>
            <w:pPr>
              <w:ind w:left="20"/>
              <w:spacing w:after="0"/>
              <w:rPr>
                <w:sz w:val="20"/>
                <w:szCs w:val="20"/>
                <w:color w:val="auto"/>
              </w:rPr>
            </w:pPr>
            <w:r>
              <w:rPr>
                <w:rFonts w:ascii="Arial" w:cs="Arial" w:eastAsia="Arial" w:hAnsi="Arial"/>
                <w:sz w:val="12"/>
                <w:szCs w:val="12"/>
                <w:color w:val="005A64"/>
              </w:rPr>
              <w:t>Waiting period (in years)</w:t>
            </w:r>
          </w:p>
        </w:tc>
        <w:tc>
          <w:tcPr>
            <w:tcW w:w="1260" w:type="dxa"/>
            <w:vAlign w:val="bottom"/>
            <w:gridSpan w:val="2"/>
          </w:tcPr>
          <w:p>
            <w:pPr>
              <w:ind w:left="80"/>
              <w:spacing w:after="0"/>
              <w:rPr>
                <w:sz w:val="20"/>
                <w:szCs w:val="20"/>
                <w:color w:val="auto"/>
              </w:rPr>
            </w:pPr>
            <w:r>
              <w:rPr>
                <w:rFonts w:ascii="Arial" w:cs="Arial" w:eastAsia="Arial" w:hAnsi="Arial"/>
                <w:sz w:val="12"/>
                <w:szCs w:val="12"/>
                <w:color w:val="005A64"/>
              </w:rPr>
              <w:t>4.0</w:t>
            </w:r>
          </w:p>
        </w:tc>
        <w:tc>
          <w:tcPr>
            <w:tcW w:w="1240" w:type="dxa"/>
            <w:vAlign w:val="bottom"/>
            <w:gridSpan w:val="2"/>
          </w:tcPr>
          <w:p>
            <w:pPr>
              <w:ind w:left="60"/>
              <w:spacing w:after="0"/>
              <w:rPr>
                <w:sz w:val="20"/>
                <w:szCs w:val="20"/>
                <w:color w:val="auto"/>
              </w:rPr>
            </w:pPr>
            <w:r>
              <w:rPr>
                <w:rFonts w:ascii="Arial" w:cs="Arial" w:eastAsia="Arial" w:hAnsi="Arial"/>
                <w:sz w:val="12"/>
                <w:szCs w:val="12"/>
                <w:color w:val="005A64"/>
              </w:rPr>
              <w:t>4.0</w:t>
            </w:r>
          </w:p>
        </w:tc>
        <w:tc>
          <w:tcPr>
            <w:tcW w:w="1240" w:type="dxa"/>
            <w:vAlign w:val="bottom"/>
            <w:gridSpan w:val="2"/>
          </w:tcPr>
          <w:p>
            <w:pPr>
              <w:ind w:left="60"/>
              <w:spacing w:after="0"/>
              <w:rPr>
                <w:sz w:val="20"/>
                <w:szCs w:val="20"/>
                <w:color w:val="auto"/>
              </w:rPr>
            </w:pPr>
            <w:r>
              <w:rPr>
                <w:rFonts w:ascii="Arial" w:cs="Arial" w:eastAsia="Arial" w:hAnsi="Arial"/>
                <w:sz w:val="12"/>
                <w:szCs w:val="12"/>
                <w:color w:val="005A64"/>
              </w:rPr>
              <w:t>4.0</w:t>
            </w:r>
          </w:p>
        </w:tc>
        <w:tc>
          <w:tcPr>
            <w:tcW w:w="1260" w:type="dxa"/>
            <w:vAlign w:val="bottom"/>
            <w:gridSpan w:val="2"/>
          </w:tcPr>
          <w:p>
            <w:pPr>
              <w:ind w:left="80"/>
              <w:spacing w:after="0"/>
              <w:rPr>
                <w:sz w:val="20"/>
                <w:szCs w:val="20"/>
                <w:color w:val="auto"/>
              </w:rPr>
            </w:pPr>
            <w:r>
              <w:rPr>
                <w:rFonts w:ascii="Arial" w:cs="Arial" w:eastAsia="Arial" w:hAnsi="Arial"/>
                <w:sz w:val="12"/>
                <w:szCs w:val="12"/>
                <w:color w:val="005A64"/>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1322070</wp:posOffset>
            </wp:positionH>
            <wp:positionV relativeFrom="paragraph">
              <wp:posOffset>-351155</wp:posOffset>
            </wp:positionV>
            <wp:extent cx="3190240" cy="39179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2">
                      <a:extLst>
                        <a:ext uri="{28A0092B-C50C-407E-A947-70E740481C1C}"/>
                      </a:extLst>
                    </a:blip>
                    <a:srcRect/>
                    <a:stretch>
                      <a:fillRect/>
                    </a:stretch>
                  </pic:blipFill>
                  <pic:spPr bwMode="auto">
                    <a:xfrm>
                      <a:off x="0" y="0"/>
                      <a:ext cx="3190240" cy="391795"/>
                    </a:xfrm>
                    <a:prstGeom prst="rect">
                      <a:avLst/>
                    </a:prstGeom>
                    <a:noFill/>
                  </pic:spPr>
                </pic:pic>
              </a:graphicData>
            </a:graphic>
          </wp:anchor>
        </w:drawing>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RSUs outstanding as of the respective dates are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-88265</wp:posOffset>
            </wp:positionV>
            <wp:extent cx="1065530" cy="63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3">
                      <a:extLst>
                        <a:ext uri="{28A0092B-C50C-407E-A947-70E740481C1C}"/>
                      </a:extLst>
                    </a:blip>
                    <a:srcRect/>
                    <a:stretch>
                      <a:fillRect/>
                    </a:stretch>
                  </pic:blipFill>
                  <pic:spPr bwMode="auto">
                    <a:xfrm>
                      <a:off x="0" y="0"/>
                      <a:ext cx="1065530" cy="635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1270</wp:posOffset>
            </wp:positionV>
            <wp:extent cx="4268470" cy="127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4">
                      <a:extLst>
                        <a:ext uri="{28A0092B-C50C-407E-A947-70E740481C1C}"/>
                      </a:extLst>
                    </a:blip>
                    <a:srcRect/>
                    <a:stretch>
                      <a:fillRect/>
                    </a:stretch>
                  </pic:blipFill>
                  <pic:spPr bwMode="auto">
                    <a:xfrm>
                      <a:off x="0" y="0"/>
                      <a:ext cx="4268470" cy="12700"/>
                    </a:xfrm>
                    <a:prstGeom prst="rect">
                      <a:avLst/>
                    </a:prstGeom>
                    <a:noFill/>
                  </pic:spPr>
                </pic:pic>
              </a:graphicData>
            </a:graphic>
          </wp:anchor>
        </w:drawing>
      </w:r>
    </w:p>
    <w:p>
      <w:pPr>
        <w:spacing w:after="0" w:line="103" w:lineRule="exact"/>
        <w:rPr>
          <w:sz w:val="20"/>
          <w:szCs w:val="20"/>
          <w:color w:val="auto"/>
        </w:rPr>
      </w:pPr>
    </w:p>
    <w:tbl>
      <w:tblPr>
        <w:tblLayout w:type="fixed"/>
        <w:tblInd w:w="380" w:type="dxa"/>
        <w:tblCellMar>
          <w:top w:w="0" w:type="dxa"/>
          <w:left w:w="0" w:type="dxa"/>
          <w:bottom w:w="0" w:type="dxa"/>
          <w:right w:w="0" w:type="dxa"/>
        </w:tblCellMar>
      </w:tblPr>
      <w:tr>
        <w:trPr>
          <w:trHeight w:val="176"/>
        </w:trPr>
        <w:tc>
          <w:tcPr>
            <w:tcW w:w="1860" w:type="dxa"/>
            <w:vAlign w:val="bottom"/>
          </w:tcPr>
          <w:p>
            <w:pPr>
              <w:spacing w:after="0"/>
              <w:rPr>
                <w:sz w:val="15"/>
                <w:szCs w:val="15"/>
                <w:color w:val="auto"/>
              </w:rPr>
            </w:pPr>
          </w:p>
        </w:tc>
        <w:tc>
          <w:tcPr>
            <w:tcW w:w="40" w:type="dxa"/>
            <w:vAlign w:val="bottom"/>
            <w:tcBorders>
              <w:right w:val="single" w:sz="8" w:color="BECE33"/>
            </w:tcBorders>
          </w:tcPr>
          <w:p>
            <w:pPr>
              <w:spacing w:after="0"/>
              <w:rPr>
                <w:sz w:val="15"/>
                <w:szCs w:val="15"/>
                <w:color w:val="auto"/>
              </w:rPr>
            </w:pPr>
          </w:p>
        </w:tc>
        <w:tc>
          <w:tcPr>
            <w:tcW w:w="20" w:type="dxa"/>
            <w:vAlign w:val="bottom"/>
            <w:tcBorders>
              <w:top w:val="single" w:sz="8" w:color="BECE33"/>
            </w:tcBorders>
          </w:tcPr>
          <w:p>
            <w:pPr>
              <w:spacing w:after="0"/>
              <w:rPr>
                <w:sz w:val="15"/>
                <w:szCs w:val="15"/>
                <w:color w:val="auto"/>
              </w:rPr>
            </w:pPr>
          </w:p>
        </w:tc>
        <w:tc>
          <w:tcPr>
            <w:tcW w:w="1140" w:type="dxa"/>
            <w:vAlign w:val="bottom"/>
            <w:tcBorders>
              <w:top w:val="single" w:sz="8" w:color="BECE33"/>
            </w:tcBorders>
          </w:tcPr>
          <w:p>
            <w:pPr>
              <w:spacing w:after="0"/>
              <w:rPr>
                <w:sz w:val="20"/>
                <w:szCs w:val="20"/>
                <w:color w:val="auto"/>
              </w:rPr>
            </w:pPr>
            <w:r>
              <w:rPr>
                <w:rFonts w:ascii="Arial" w:cs="Arial" w:eastAsia="Arial" w:hAnsi="Arial"/>
                <w:sz w:val="12"/>
                <w:szCs w:val="12"/>
                <w:b w:val="1"/>
                <w:bCs w:val="1"/>
                <w:color w:val="005A64"/>
              </w:rPr>
              <w:t>LTI 2020 program</w:t>
            </w:r>
          </w:p>
        </w:tc>
        <w:tc>
          <w:tcPr>
            <w:tcW w:w="60" w:type="dxa"/>
            <w:vAlign w:val="bottom"/>
            <w:tcBorders>
              <w:top w:val="single" w:sz="8" w:color="BECE33"/>
            </w:tcBorders>
          </w:tcPr>
          <w:p>
            <w:pPr>
              <w:spacing w:after="0"/>
              <w:rPr>
                <w:sz w:val="15"/>
                <w:szCs w:val="15"/>
                <w:color w:val="auto"/>
              </w:rPr>
            </w:pPr>
          </w:p>
        </w:tc>
        <w:tc>
          <w:tcPr>
            <w:tcW w:w="1140" w:type="dxa"/>
            <w:vAlign w:val="bottom"/>
            <w:tcBorders>
              <w:top w:val="single" w:sz="8" w:color="BECE33"/>
            </w:tcBorders>
          </w:tcPr>
          <w:p>
            <w:pPr>
              <w:jc w:val="right"/>
              <w:ind w:right="59"/>
              <w:spacing w:after="0"/>
              <w:rPr>
                <w:sz w:val="20"/>
                <w:szCs w:val="20"/>
                <w:color w:val="auto"/>
              </w:rPr>
            </w:pPr>
            <w:r>
              <w:rPr>
                <w:rFonts w:ascii="Arial" w:cs="Arial" w:eastAsia="Arial" w:hAnsi="Arial"/>
                <w:sz w:val="12"/>
                <w:szCs w:val="12"/>
                <w:b w:val="1"/>
                <w:bCs w:val="1"/>
                <w:color w:val="005A64"/>
                <w:w w:val="99"/>
              </w:rPr>
              <w:t>LTI 2021 program</w:t>
            </w:r>
          </w:p>
        </w:tc>
        <w:tc>
          <w:tcPr>
            <w:tcW w:w="60" w:type="dxa"/>
            <w:vAlign w:val="bottom"/>
            <w:tcBorders>
              <w:top w:val="single" w:sz="8" w:color="BECE33"/>
            </w:tcBorders>
          </w:tcPr>
          <w:p>
            <w:pPr>
              <w:spacing w:after="0"/>
              <w:rPr>
                <w:sz w:val="15"/>
                <w:szCs w:val="15"/>
                <w:color w:val="auto"/>
              </w:rPr>
            </w:pPr>
          </w:p>
        </w:tc>
        <w:tc>
          <w:tcPr>
            <w:tcW w:w="1160" w:type="dxa"/>
            <w:vAlign w:val="bottom"/>
            <w:tcBorders>
              <w:top w:val="single" w:sz="8" w:color="BECE33"/>
            </w:tcBorders>
          </w:tcPr>
          <w:p>
            <w:pPr>
              <w:jc w:val="right"/>
              <w:ind w:right="79"/>
              <w:spacing w:after="0"/>
              <w:rPr>
                <w:sz w:val="20"/>
                <w:szCs w:val="20"/>
                <w:color w:val="auto"/>
              </w:rPr>
            </w:pPr>
            <w:r>
              <w:rPr>
                <w:rFonts w:ascii="Arial" w:cs="Arial" w:eastAsia="Arial" w:hAnsi="Arial"/>
                <w:sz w:val="12"/>
                <w:szCs w:val="12"/>
                <w:b w:val="1"/>
                <w:bCs w:val="1"/>
                <w:color w:val="005A64"/>
                <w:w w:val="99"/>
              </w:rPr>
              <w:t>LTI 2022 program</w:t>
            </w:r>
          </w:p>
        </w:tc>
        <w:tc>
          <w:tcPr>
            <w:tcW w:w="60" w:type="dxa"/>
            <w:vAlign w:val="bottom"/>
            <w:tcBorders>
              <w:top w:val="single" w:sz="8" w:color="BECE33"/>
            </w:tcBorders>
          </w:tcPr>
          <w:p>
            <w:pPr>
              <w:spacing w:after="0"/>
              <w:rPr>
                <w:sz w:val="15"/>
                <w:szCs w:val="15"/>
                <w:color w:val="auto"/>
              </w:rPr>
            </w:pPr>
          </w:p>
        </w:tc>
        <w:tc>
          <w:tcPr>
            <w:tcW w:w="1200" w:type="dxa"/>
            <w:vAlign w:val="bottom"/>
            <w:tcBorders>
              <w:top w:val="single" w:sz="8" w:color="BECE33"/>
              <w:right w:val="single" w:sz="8" w:color="BECE33"/>
            </w:tcBorders>
            <w:gridSpan w:val="2"/>
          </w:tcPr>
          <w:p>
            <w:pPr>
              <w:spacing w:after="0"/>
              <w:rPr>
                <w:sz w:val="20"/>
                <w:szCs w:val="20"/>
                <w:color w:val="auto"/>
              </w:rPr>
            </w:pPr>
            <w:r>
              <w:rPr>
                <w:rFonts w:ascii="Arial" w:cs="Arial" w:eastAsia="Arial" w:hAnsi="Arial"/>
                <w:sz w:val="12"/>
                <w:szCs w:val="12"/>
                <w:b w:val="1"/>
                <w:bCs w:val="1"/>
                <w:color w:val="005A64"/>
              </w:rPr>
              <w:t>LTI 2023 program</w:t>
            </w:r>
          </w:p>
        </w:tc>
        <w:tc>
          <w:tcPr>
            <w:tcW w:w="0" w:type="dxa"/>
            <w:vAlign w:val="bottom"/>
          </w:tcPr>
          <w:p>
            <w:pPr>
              <w:spacing w:after="0"/>
              <w:rPr>
                <w:sz w:val="1"/>
                <w:szCs w:val="1"/>
                <w:color w:val="auto"/>
              </w:rPr>
            </w:pPr>
          </w:p>
        </w:tc>
      </w:tr>
      <w:tr>
        <w:trPr>
          <w:trHeight w:val="26"/>
        </w:trPr>
        <w:tc>
          <w:tcPr>
            <w:tcW w:w="1860" w:type="dxa"/>
            <w:vAlign w:val="bottom"/>
            <w:tcBorders>
              <w:bottom w:val="single" w:sz="8" w:color="005A64"/>
            </w:tcBorders>
          </w:tcPr>
          <w:p>
            <w:pPr>
              <w:spacing w:after="0"/>
              <w:rPr>
                <w:sz w:val="2"/>
                <w:szCs w:val="2"/>
                <w:color w:val="auto"/>
              </w:rPr>
            </w:pPr>
          </w:p>
        </w:tc>
        <w:tc>
          <w:tcPr>
            <w:tcW w:w="40" w:type="dxa"/>
            <w:vAlign w:val="bottom"/>
            <w:tcBorders>
              <w:right w:val="single" w:sz="8" w:color="BECE33"/>
            </w:tcBorders>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140" w:type="dxa"/>
            <w:vAlign w:val="bottom"/>
            <w:tcBorders>
              <w:bottom w:val="single" w:sz="8" w:color="005A64"/>
            </w:tcBorders>
          </w:tcPr>
          <w:p>
            <w:pPr>
              <w:spacing w:after="0"/>
              <w:rPr>
                <w:sz w:val="2"/>
                <w:szCs w:val="2"/>
                <w:color w:val="auto"/>
              </w:rPr>
            </w:pPr>
          </w:p>
        </w:tc>
        <w:tc>
          <w:tcPr>
            <w:tcW w:w="60" w:type="dxa"/>
            <w:vAlign w:val="bottom"/>
            <w:vMerge w:val="restart"/>
          </w:tcPr>
          <w:p>
            <w:pPr>
              <w:spacing w:after="0"/>
              <w:rPr>
                <w:sz w:val="2"/>
                <w:szCs w:val="2"/>
                <w:color w:val="auto"/>
              </w:rPr>
            </w:pPr>
          </w:p>
        </w:tc>
        <w:tc>
          <w:tcPr>
            <w:tcW w:w="1140" w:type="dxa"/>
            <w:vAlign w:val="bottom"/>
            <w:tcBorders>
              <w:bottom w:val="single" w:sz="8" w:color="005A64"/>
            </w:tcBorders>
          </w:tcPr>
          <w:p>
            <w:pPr>
              <w:spacing w:after="0"/>
              <w:rPr>
                <w:sz w:val="2"/>
                <w:szCs w:val="2"/>
                <w:color w:val="auto"/>
              </w:rPr>
            </w:pPr>
          </w:p>
        </w:tc>
        <w:tc>
          <w:tcPr>
            <w:tcW w:w="60" w:type="dxa"/>
            <w:vAlign w:val="bottom"/>
            <w:vMerge w:val="restart"/>
          </w:tcPr>
          <w:p>
            <w:pPr>
              <w:spacing w:after="0"/>
              <w:rPr>
                <w:sz w:val="2"/>
                <w:szCs w:val="2"/>
                <w:color w:val="auto"/>
              </w:rPr>
            </w:pPr>
          </w:p>
        </w:tc>
        <w:tc>
          <w:tcPr>
            <w:tcW w:w="1160" w:type="dxa"/>
            <w:vAlign w:val="bottom"/>
            <w:tcBorders>
              <w:bottom w:val="single" w:sz="8" w:color="005A64"/>
            </w:tcBorders>
          </w:tcPr>
          <w:p>
            <w:pPr>
              <w:spacing w:after="0"/>
              <w:rPr>
                <w:sz w:val="2"/>
                <w:szCs w:val="2"/>
                <w:color w:val="auto"/>
              </w:rPr>
            </w:pPr>
          </w:p>
        </w:tc>
        <w:tc>
          <w:tcPr>
            <w:tcW w:w="60" w:type="dxa"/>
            <w:vAlign w:val="bottom"/>
            <w:vMerge w:val="restart"/>
          </w:tcPr>
          <w:p>
            <w:pPr>
              <w:spacing w:after="0"/>
              <w:rPr>
                <w:sz w:val="2"/>
                <w:szCs w:val="2"/>
                <w:color w:val="auto"/>
              </w:rPr>
            </w:pPr>
          </w:p>
        </w:tc>
        <w:tc>
          <w:tcPr>
            <w:tcW w:w="1140" w:type="dxa"/>
            <w:vAlign w:val="bottom"/>
            <w:tcBorders>
              <w:bottom w:val="single" w:sz="8" w:color="005A64"/>
            </w:tcBorders>
          </w:tcPr>
          <w:p>
            <w:pPr>
              <w:spacing w:after="0"/>
              <w:rPr>
                <w:sz w:val="2"/>
                <w:szCs w:val="2"/>
                <w:color w:val="auto"/>
              </w:rPr>
            </w:pPr>
          </w:p>
        </w:tc>
        <w:tc>
          <w:tcPr>
            <w:tcW w:w="60" w:type="dxa"/>
            <w:vAlign w:val="bottom"/>
            <w:tcBorders>
              <w:right w:val="single" w:sz="8" w:color="BECE33"/>
            </w:tcBorders>
            <w:vMerge w:val="restart"/>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rPr>
                <w:sz w:val="20"/>
                <w:szCs w:val="20"/>
                <w:color w:val="auto"/>
              </w:rPr>
            </w:pPr>
            <w:r>
              <w:rPr>
                <w:rFonts w:ascii="Arial" w:cs="Arial" w:eastAsia="Arial" w:hAnsi="Arial"/>
                <w:sz w:val="12"/>
                <w:szCs w:val="12"/>
                <w:color w:val="005A64"/>
              </w:rPr>
              <w:t>As of January 1, 2023</w:t>
            </w:r>
          </w:p>
        </w:tc>
        <w:tc>
          <w:tcPr>
            <w:tcW w:w="40" w:type="dxa"/>
            <w:vAlign w:val="bottom"/>
            <w:tcBorders>
              <w:right w:val="single" w:sz="8" w:color="BECE33"/>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2"/>
                <w:szCs w:val="12"/>
                <w:color w:val="005A64"/>
              </w:rPr>
              <w:t>235,305</w:t>
            </w:r>
          </w:p>
        </w:tc>
        <w:tc>
          <w:tcPr>
            <w:tcW w:w="60" w:type="dxa"/>
            <w:vAlign w:val="bottom"/>
            <w:vMerge w:val="continue"/>
          </w:tcPr>
          <w:p>
            <w:pPr>
              <w:spacing w:after="0"/>
              <w:rPr>
                <w:sz w:val="13"/>
                <w:szCs w:val="13"/>
                <w:color w:val="auto"/>
              </w:rPr>
            </w:pPr>
          </w:p>
        </w:tc>
        <w:tc>
          <w:tcPr>
            <w:tcW w:w="1140" w:type="dxa"/>
            <w:vAlign w:val="bottom"/>
          </w:tcPr>
          <w:p>
            <w:pPr>
              <w:jc w:val="right"/>
              <w:ind w:right="19"/>
              <w:spacing w:after="0"/>
              <w:rPr>
                <w:sz w:val="20"/>
                <w:szCs w:val="20"/>
                <w:color w:val="auto"/>
              </w:rPr>
            </w:pPr>
            <w:r>
              <w:rPr>
                <w:rFonts w:ascii="Arial" w:cs="Arial" w:eastAsia="Arial" w:hAnsi="Arial"/>
                <w:sz w:val="12"/>
                <w:szCs w:val="12"/>
                <w:color w:val="005A64"/>
              </w:rPr>
              <w:t>104,608</w:t>
            </w:r>
          </w:p>
        </w:tc>
        <w:tc>
          <w:tcPr>
            <w:tcW w:w="60" w:type="dxa"/>
            <w:vAlign w:val="bottom"/>
            <w:vMerge w:val="continue"/>
          </w:tcPr>
          <w:p>
            <w:pPr>
              <w:spacing w:after="0"/>
              <w:rPr>
                <w:sz w:val="13"/>
                <w:szCs w:val="13"/>
                <w:color w:val="auto"/>
              </w:rPr>
            </w:pPr>
          </w:p>
        </w:tc>
        <w:tc>
          <w:tcPr>
            <w:tcW w:w="1160" w:type="dxa"/>
            <w:vAlign w:val="bottom"/>
          </w:tcPr>
          <w:p>
            <w:pPr>
              <w:jc w:val="right"/>
              <w:ind w:right="39"/>
              <w:spacing w:after="0"/>
              <w:rPr>
                <w:sz w:val="20"/>
                <w:szCs w:val="20"/>
                <w:color w:val="auto"/>
              </w:rPr>
            </w:pPr>
            <w:r>
              <w:rPr>
                <w:rFonts w:ascii="Arial" w:cs="Arial" w:eastAsia="Arial" w:hAnsi="Arial"/>
                <w:sz w:val="12"/>
                <w:szCs w:val="12"/>
                <w:color w:val="005A64"/>
              </w:rPr>
              <w:t>396,110</w:t>
            </w:r>
          </w:p>
        </w:tc>
        <w:tc>
          <w:tcPr>
            <w:tcW w:w="60" w:type="dxa"/>
            <w:vAlign w:val="bottom"/>
            <w:vMerge w:val="continue"/>
          </w:tcPr>
          <w:p>
            <w:pPr>
              <w:spacing w:after="0"/>
              <w:rPr>
                <w:sz w:val="13"/>
                <w:szCs w:val="13"/>
                <w:color w:val="auto"/>
              </w:rPr>
            </w:pPr>
          </w:p>
        </w:tc>
        <w:tc>
          <w:tcPr>
            <w:tcW w:w="1140" w:type="dxa"/>
            <w:vAlign w:val="bottom"/>
          </w:tcPr>
          <w:p>
            <w:pPr>
              <w:jc w:val="right"/>
              <w:ind w:right="39"/>
              <w:spacing w:after="0"/>
              <w:rPr>
                <w:sz w:val="20"/>
                <w:szCs w:val="20"/>
                <w:color w:val="auto"/>
              </w:rPr>
            </w:pPr>
            <w:r>
              <w:rPr>
                <w:rFonts w:ascii="Arial" w:cs="Arial" w:eastAsia="Arial" w:hAnsi="Arial"/>
                <w:sz w:val="12"/>
                <w:szCs w:val="12"/>
                <w:color w:val="005A64"/>
              </w:rPr>
              <w:t>—</w:t>
            </w:r>
          </w:p>
        </w:tc>
        <w:tc>
          <w:tcPr>
            <w:tcW w:w="60" w:type="dxa"/>
            <w:vAlign w:val="bottom"/>
            <w:tcBorders>
              <w:right w:val="single" w:sz="8" w:color="BECE33"/>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90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color w:val="005A64"/>
              </w:rPr>
              <w:t>Forfeited / Modified</w:t>
            </w:r>
          </w:p>
        </w:tc>
        <w:tc>
          <w:tcPr>
            <w:tcW w:w="1160" w:type="dxa"/>
            <w:vAlign w:val="bottom"/>
            <w:gridSpan w:val="2"/>
          </w:tcPr>
          <w:p>
            <w:pPr>
              <w:ind w:left="20"/>
              <w:spacing w:after="0"/>
              <w:rPr>
                <w:sz w:val="20"/>
                <w:szCs w:val="20"/>
                <w:color w:val="auto"/>
              </w:rPr>
            </w:pPr>
            <w:r>
              <w:rPr>
                <w:rFonts w:ascii="Arial" w:cs="Arial" w:eastAsia="Arial" w:hAnsi="Arial"/>
                <w:sz w:val="12"/>
                <w:szCs w:val="12"/>
                <w:color w:val="005A64"/>
              </w:rPr>
              <w:t>(4,400)</w:t>
            </w:r>
          </w:p>
        </w:tc>
        <w:tc>
          <w:tcPr>
            <w:tcW w:w="1200" w:type="dxa"/>
            <w:vAlign w:val="bottom"/>
            <w:gridSpan w:val="2"/>
          </w:tcPr>
          <w:p>
            <w:pPr>
              <w:jc w:val="right"/>
              <w:spacing w:after="0"/>
              <w:rPr>
                <w:sz w:val="20"/>
                <w:szCs w:val="20"/>
                <w:color w:val="auto"/>
              </w:rPr>
            </w:pPr>
            <w:r>
              <w:rPr>
                <w:rFonts w:ascii="Arial" w:cs="Arial" w:eastAsia="Arial" w:hAnsi="Arial"/>
                <w:sz w:val="12"/>
                <w:szCs w:val="12"/>
                <w:color w:val="005A64"/>
              </w:rPr>
              <w:t>(3,497)</w:t>
            </w:r>
          </w:p>
        </w:tc>
        <w:tc>
          <w:tcPr>
            <w:tcW w:w="1220" w:type="dxa"/>
            <w:vAlign w:val="bottom"/>
            <w:gridSpan w:val="2"/>
          </w:tcPr>
          <w:p>
            <w:pPr>
              <w:jc w:val="right"/>
              <w:ind w:right="19"/>
              <w:spacing w:after="0"/>
              <w:rPr>
                <w:sz w:val="20"/>
                <w:szCs w:val="20"/>
                <w:color w:val="auto"/>
              </w:rPr>
            </w:pPr>
            <w:r>
              <w:rPr>
                <w:rFonts w:ascii="Arial" w:cs="Arial" w:eastAsia="Arial" w:hAnsi="Arial"/>
                <w:sz w:val="12"/>
                <w:szCs w:val="12"/>
                <w:color w:val="005A64"/>
              </w:rPr>
              <w:t>(16,141)</w:t>
            </w:r>
          </w:p>
        </w:tc>
        <w:tc>
          <w:tcPr>
            <w:tcW w:w="60" w:type="dxa"/>
            <w:vAlign w:val="bottom"/>
          </w:tcPr>
          <w:p>
            <w:pPr>
              <w:spacing w:after="0"/>
              <w:rPr>
                <w:sz w:val="15"/>
                <w:szCs w:val="15"/>
                <w:color w:val="auto"/>
              </w:rPr>
            </w:pPr>
          </w:p>
        </w:tc>
        <w:tc>
          <w:tcPr>
            <w:tcW w:w="1200" w:type="dxa"/>
            <w:vAlign w:val="bottom"/>
            <w:tcBorders>
              <w:right w:val="single" w:sz="8" w:color="BECE33"/>
            </w:tcBorders>
            <w:gridSpan w:val="2"/>
          </w:tcPr>
          <w:p>
            <w:pPr>
              <w:jc w:val="right"/>
              <w:ind w:right="160"/>
              <w:spacing w:after="0"/>
              <w:rPr>
                <w:sz w:val="20"/>
                <w:szCs w:val="20"/>
                <w:color w:val="auto"/>
              </w:rPr>
            </w:pPr>
            <w:r>
              <w:rPr>
                <w:rFonts w:ascii="Arial" w:cs="Arial" w:eastAsia="Arial" w:hAnsi="Arial"/>
                <w:sz w:val="12"/>
                <w:szCs w:val="12"/>
                <w:color w:val="005A64"/>
              </w:rPr>
              <w:t>—</w:t>
            </w:r>
          </w:p>
        </w:tc>
        <w:tc>
          <w:tcPr>
            <w:tcW w:w="0" w:type="dxa"/>
            <w:vAlign w:val="bottom"/>
          </w:tcPr>
          <w:p>
            <w:pPr>
              <w:spacing w:after="0"/>
              <w:rPr>
                <w:sz w:val="1"/>
                <w:szCs w:val="1"/>
                <w:color w:val="auto"/>
              </w:rPr>
            </w:pPr>
          </w:p>
        </w:tc>
      </w:tr>
      <w:tr>
        <w:trPr>
          <w:trHeight w:val="208"/>
        </w:trPr>
        <w:tc>
          <w:tcPr>
            <w:tcW w:w="190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b w:val="1"/>
                <w:bCs w:val="1"/>
                <w:color w:val="005A64"/>
              </w:rPr>
              <w:t>As of December 31, 2023</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005A64"/>
              </w:rPr>
              <w:t>230,905</w:t>
            </w:r>
          </w:p>
        </w:tc>
        <w:tc>
          <w:tcPr>
            <w:tcW w:w="1200" w:type="dxa"/>
            <w:vAlign w:val="bottom"/>
            <w:gridSpan w:val="2"/>
          </w:tcPr>
          <w:p>
            <w:pPr>
              <w:jc w:val="right"/>
              <w:ind w:right="19"/>
              <w:spacing w:after="0"/>
              <w:rPr>
                <w:sz w:val="20"/>
                <w:szCs w:val="20"/>
                <w:color w:val="auto"/>
              </w:rPr>
            </w:pPr>
            <w:r>
              <w:rPr>
                <w:rFonts w:ascii="Arial" w:cs="Arial" w:eastAsia="Arial" w:hAnsi="Arial"/>
                <w:sz w:val="12"/>
                <w:szCs w:val="12"/>
                <w:b w:val="1"/>
                <w:bCs w:val="1"/>
                <w:color w:val="005A64"/>
              </w:rPr>
              <w:t>101,111</w:t>
            </w:r>
          </w:p>
        </w:tc>
        <w:tc>
          <w:tcPr>
            <w:tcW w:w="1220" w:type="dxa"/>
            <w:vAlign w:val="bottom"/>
            <w:gridSpan w:val="2"/>
          </w:tcPr>
          <w:p>
            <w:pPr>
              <w:jc w:val="right"/>
              <w:ind w:right="39"/>
              <w:spacing w:after="0"/>
              <w:rPr>
                <w:sz w:val="20"/>
                <w:szCs w:val="20"/>
                <w:color w:val="auto"/>
              </w:rPr>
            </w:pPr>
            <w:r>
              <w:rPr>
                <w:rFonts w:ascii="Arial" w:cs="Arial" w:eastAsia="Arial" w:hAnsi="Arial"/>
                <w:sz w:val="12"/>
                <w:szCs w:val="12"/>
                <w:b w:val="1"/>
                <w:bCs w:val="1"/>
                <w:color w:val="005A64"/>
              </w:rPr>
              <w:t>379,969</w:t>
            </w:r>
          </w:p>
        </w:tc>
        <w:tc>
          <w:tcPr>
            <w:tcW w:w="60" w:type="dxa"/>
            <w:vAlign w:val="bottom"/>
          </w:tcPr>
          <w:p>
            <w:pPr>
              <w:spacing w:after="0"/>
              <w:rPr>
                <w:sz w:val="18"/>
                <w:szCs w:val="18"/>
                <w:color w:val="auto"/>
              </w:rPr>
            </w:pPr>
          </w:p>
        </w:tc>
        <w:tc>
          <w:tcPr>
            <w:tcW w:w="1200" w:type="dxa"/>
            <w:vAlign w:val="bottom"/>
            <w:tcBorders>
              <w:right w:val="single" w:sz="8" w:color="BECE33"/>
            </w:tcBorders>
            <w:gridSpan w:val="2"/>
          </w:tcPr>
          <w:p>
            <w:pPr>
              <w:jc w:val="right"/>
              <w:ind w:right="160"/>
              <w:spacing w:after="0"/>
              <w:rPr>
                <w:sz w:val="20"/>
                <w:szCs w:val="20"/>
                <w:color w:val="auto"/>
              </w:rPr>
            </w:pPr>
            <w:r>
              <w:rPr>
                <w:rFonts w:ascii="Arial" w:cs="Arial" w:eastAsia="Arial" w:hAnsi="Arial"/>
                <w:sz w:val="12"/>
                <w:szCs w:val="12"/>
                <w:b w:val="1"/>
                <w:bCs w:val="1"/>
                <w:color w:val="005A64"/>
              </w:rPr>
              <w:t>—</w:t>
            </w:r>
          </w:p>
        </w:tc>
        <w:tc>
          <w:tcPr>
            <w:tcW w:w="0" w:type="dxa"/>
            <w:vAlign w:val="bottom"/>
          </w:tcPr>
          <w:p>
            <w:pPr>
              <w:spacing w:after="0"/>
              <w:rPr>
                <w:sz w:val="1"/>
                <w:szCs w:val="1"/>
                <w:color w:val="auto"/>
              </w:rPr>
            </w:pPr>
          </w:p>
        </w:tc>
      </w:tr>
      <w:tr>
        <w:trPr>
          <w:trHeight w:val="47"/>
        </w:trPr>
        <w:tc>
          <w:tcPr>
            <w:tcW w:w="1860" w:type="dxa"/>
            <w:vAlign w:val="bottom"/>
            <w:tcBorders>
              <w:bottom w:val="single" w:sz="8" w:color="005A64"/>
            </w:tcBorders>
          </w:tcPr>
          <w:p>
            <w:pPr>
              <w:spacing w:after="0"/>
              <w:rPr>
                <w:sz w:val="4"/>
                <w:szCs w:val="4"/>
                <w:color w:val="auto"/>
              </w:rPr>
            </w:pPr>
          </w:p>
        </w:tc>
        <w:tc>
          <w:tcPr>
            <w:tcW w:w="40" w:type="dxa"/>
            <w:vAlign w:val="bottom"/>
            <w:tcBorders>
              <w:right w:val="single" w:sz="8" w:color="BECE33"/>
            </w:tcBorders>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140" w:type="dxa"/>
            <w:vAlign w:val="bottom"/>
            <w:tcBorders>
              <w:bottom w:val="single" w:sz="8" w:color="005A64"/>
            </w:tcBorders>
          </w:tcPr>
          <w:p>
            <w:pPr>
              <w:spacing w:after="0"/>
              <w:rPr>
                <w:sz w:val="4"/>
                <w:szCs w:val="4"/>
                <w:color w:val="auto"/>
              </w:rPr>
            </w:pPr>
          </w:p>
        </w:tc>
        <w:tc>
          <w:tcPr>
            <w:tcW w:w="60" w:type="dxa"/>
            <w:vAlign w:val="bottom"/>
            <w:vMerge w:val="restart"/>
          </w:tcPr>
          <w:p>
            <w:pPr>
              <w:spacing w:after="0"/>
              <w:rPr>
                <w:sz w:val="4"/>
                <w:szCs w:val="4"/>
                <w:color w:val="auto"/>
              </w:rPr>
            </w:pPr>
          </w:p>
        </w:tc>
        <w:tc>
          <w:tcPr>
            <w:tcW w:w="1140" w:type="dxa"/>
            <w:vAlign w:val="bottom"/>
            <w:tcBorders>
              <w:bottom w:val="single" w:sz="8" w:color="005A64"/>
            </w:tcBorders>
          </w:tcPr>
          <w:p>
            <w:pPr>
              <w:spacing w:after="0"/>
              <w:rPr>
                <w:sz w:val="4"/>
                <w:szCs w:val="4"/>
                <w:color w:val="auto"/>
              </w:rPr>
            </w:pPr>
          </w:p>
        </w:tc>
        <w:tc>
          <w:tcPr>
            <w:tcW w:w="60" w:type="dxa"/>
            <w:vAlign w:val="bottom"/>
            <w:vMerge w:val="restart"/>
          </w:tcPr>
          <w:p>
            <w:pPr>
              <w:spacing w:after="0"/>
              <w:rPr>
                <w:sz w:val="4"/>
                <w:szCs w:val="4"/>
                <w:color w:val="auto"/>
              </w:rPr>
            </w:pPr>
          </w:p>
        </w:tc>
        <w:tc>
          <w:tcPr>
            <w:tcW w:w="116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vMerge w:val="restart"/>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rPr>
                <w:sz w:val="20"/>
                <w:szCs w:val="20"/>
                <w:color w:val="auto"/>
              </w:rPr>
            </w:pPr>
            <w:r>
              <w:rPr>
                <w:rFonts w:ascii="Arial" w:cs="Arial" w:eastAsia="Arial" w:hAnsi="Arial"/>
                <w:sz w:val="12"/>
                <w:szCs w:val="12"/>
                <w:color w:val="005A64"/>
              </w:rPr>
              <w:t>As of January 1, 2024</w:t>
            </w:r>
          </w:p>
        </w:tc>
        <w:tc>
          <w:tcPr>
            <w:tcW w:w="40" w:type="dxa"/>
            <w:vAlign w:val="bottom"/>
            <w:tcBorders>
              <w:right w:val="single" w:sz="8" w:color="BECE33"/>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2"/>
                <w:szCs w:val="12"/>
                <w:color w:val="005A64"/>
              </w:rPr>
              <w:t>230,905</w:t>
            </w:r>
          </w:p>
        </w:tc>
        <w:tc>
          <w:tcPr>
            <w:tcW w:w="60" w:type="dxa"/>
            <w:vAlign w:val="bottom"/>
            <w:vMerge w:val="continue"/>
          </w:tcPr>
          <w:p>
            <w:pPr>
              <w:spacing w:after="0"/>
              <w:rPr>
                <w:sz w:val="13"/>
                <w:szCs w:val="13"/>
                <w:color w:val="auto"/>
              </w:rPr>
            </w:pPr>
          </w:p>
        </w:tc>
        <w:tc>
          <w:tcPr>
            <w:tcW w:w="1140" w:type="dxa"/>
            <w:vAlign w:val="bottom"/>
          </w:tcPr>
          <w:p>
            <w:pPr>
              <w:jc w:val="right"/>
              <w:ind w:right="19"/>
              <w:spacing w:after="0"/>
              <w:rPr>
                <w:sz w:val="20"/>
                <w:szCs w:val="20"/>
                <w:color w:val="auto"/>
              </w:rPr>
            </w:pPr>
            <w:r>
              <w:rPr>
                <w:rFonts w:ascii="Arial" w:cs="Arial" w:eastAsia="Arial" w:hAnsi="Arial"/>
                <w:sz w:val="12"/>
                <w:szCs w:val="12"/>
                <w:color w:val="005A64"/>
              </w:rPr>
              <w:t>101,111</w:t>
            </w:r>
          </w:p>
        </w:tc>
        <w:tc>
          <w:tcPr>
            <w:tcW w:w="60" w:type="dxa"/>
            <w:vAlign w:val="bottom"/>
            <w:vMerge w:val="continue"/>
          </w:tcPr>
          <w:p>
            <w:pPr>
              <w:spacing w:after="0"/>
              <w:rPr>
                <w:sz w:val="13"/>
                <w:szCs w:val="13"/>
                <w:color w:val="auto"/>
              </w:rPr>
            </w:pPr>
          </w:p>
        </w:tc>
        <w:tc>
          <w:tcPr>
            <w:tcW w:w="1160" w:type="dxa"/>
            <w:vAlign w:val="bottom"/>
          </w:tcPr>
          <w:p>
            <w:pPr>
              <w:jc w:val="right"/>
              <w:ind w:right="39"/>
              <w:spacing w:after="0"/>
              <w:rPr>
                <w:sz w:val="20"/>
                <w:szCs w:val="20"/>
                <w:color w:val="auto"/>
              </w:rPr>
            </w:pPr>
            <w:r>
              <w:rPr>
                <w:rFonts w:ascii="Arial" w:cs="Arial" w:eastAsia="Arial" w:hAnsi="Arial"/>
                <w:sz w:val="12"/>
                <w:szCs w:val="12"/>
                <w:color w:val="005A64"/>
              </w:rPr>
              <w:t>379,969</w:t>
            </w:r>
          </w:p>
        </w:tc>
        <w:tc>
          <w:tcPr>
            <w:tcW w:w="60" w:type="dxa"/>
            <w:vAlign w:val="bottom"/>
          </w:tcPr>
          <w:p>
            <w:pPr>
              <w:spacing w:after="0"/>
              <w:rPr>
                <w:sz w:val="13"/>
                <w:szCs w:val="13"/>
                <w:color w:val="auto"/>
              </w:rPr>
            </w:pPr>
          </w:p>
        </w:tc>
        <w:tc>
          <w:tcPr>
            <w:tcW w:w="1140" w:type="dxa"/>
            <w:vAlign w:val="bottom"/>
          </w:tcPr>
          <w:p>
            <w:pPr>
              <w:jc w:val="right"/>
              <w:ind w:right="39"/>
              <w:spacing w:after="0"/>
              <w:rPr>
                <w:sz w:val="20"/>
                <w:szCs w:val="20"/>
                <w:color w:val="auto"/>
              </w:rPr>
            </w:pPr>
            <w:r>
              <w:rPr>
                <w:rFonts w:ascii="Arial" w:cs="Arial" w:eastAsia="Arial" w:hAnsi="Arial"/>
                <w:sz w:val="12"/>
                <w:szCs w:val="12"/>
                <w:color w:val="005A64"/>
              </w:rPr>
              <w:t>—</w:t>
            </w:r>
          </w:p>
        </w:tc>
        <w:tc>
          <w:tcPr>
            <w:tcW w:w="60" w:type="dxa"/>
            <w:vAlign w:val="bottom"/>
            <w:tcBorders>
              <w:right w:val="single" w:sz="8" w:color="BECE33"/>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90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color w:val="005A64"/>
              </w:rPr>
              <w:t>Granted / Allocated</w:t>
            </w:r>
          </w:p>
        </w:tc>
        <w:tc>
          <w:tcPr>
            <w:tcW w:w="2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5"/>
                <w:szCs w:val="15"/>
                <w:color w:val="auto"/>
              </w:rPr>
            </w:pPr>
          </w:p>
        </w:tc>
        <w:tc>
          <w:tcPr>
            <w:tcW w:w="1140" w:type="dxa"/>
            <w:vAlign w:val="bottom"/>
          </w:tcPr>
          <w:p>
            <w:pPr>
              <w:jc w:val="right"/>
              <w:ind w:right="39"/>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5"/>
                <w:szCs w:val="15"/>
                <w:color w:val="auto"/>
              </w:rPr>
            </w:pPr>
          </w:p>
        </w:tc>
        <w:tc>
          <w:tcPr>
            <w:tcW w:w="1160" w:type="dxa"/>
            <w:vAlign w:val="bottom"/>
          </w:tcPr>
          <w:p>
            <w:pPr>
              <w:jc w:val="right"/>
              <w:ind w:right="59"/>
              <w:spacing w:after="0"/>
              <w:rPr>
                <w:sz w:val="20"/>
                <w:szCs w:val="20"/>
                <w:color w:val="auto"/>
              </w:rPr>
            </w:pPr>
            <w:r>
              <w:rPr>
                <w:rFonts w:ascii="Arial" w:cs="Arial" w:eastAsia="Arial" w:hAnsi="Arial"/>
                <w:sz w:val="12"/>
                <w:szCs w:val="12"/>
                <w:color w:val="005A64"/>
              </w:rPr>
              <w:t>—</w:t>
            </w:r>
          </w:p>
        </w:tc>
        <w:tc>
          <w:tcPr>
            <w:tcW w:w="1200" w:type="dxa"/>
            <w:vAlign w:val="bottom"/>
            <w:gridSpan w:val="2"/>
          </w:tcPr>
          <w:p>
            <w:pPr>
              <w:jc w:val="right"/>
              <w:ind w:right="39"/>
              <w:spacing w:after="0"/>
              <w:rPr>
                <w:sz w:val="20"/>
                <w:szCs w:val="20"/>
                <w:color w:val="auto"/>
              </w:rPr>
            </w:pPr>
            <w:r>
              <w:rPr>
                <w:rFonts w:ascii="Arial" w:cs="Arial" w:eastAsia="Arial" w:hAnsi="Arial"/>
                <w:sz w:val="12"/>
                <w:szCs w:val="12"/>
                <w:color w:val="005A64"/>
              </w:rPr>
              <w:t>834,211</w:t>
            </w:r>
          </w:p>
        </w:tc>
        <w:tc>
          <w:tcPr>
            <w:tcW w:w="60" w:type="dxa"/>
            <w:vAlign w:val="bottom"/>
            <w:tcBorders>
              <w:right w:val="single" w:sz="8" w:color="BECE33"/>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90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color w:val="005A64"/>
              </w:rPr>
              <w:t>Settled</w:t>
            </w:r>
          </w:p>
        </w:tc>
        <w:tc>
          <w:tcPr>
            <w:tcW w:w="1160" w:type="dxa"/>
            <w:vAlign w:val="bottom"/>
            <w:gridSpan w:val="2"/>
          </w:tcPr>
          <w:p>
            <w:pPr>
              <w:jc w:val="right"/>
              <w:ind w:right="459"/>
              <w:spacing w:after="0"/>
              <w:rPr>
                <w:sz w:val="20"/>
                <w:szCs w:val="20"/>
                <w:color w:val="auto"/>
              </w:rPr>
            </w:pPr>
            <w:r>
              <w:rPr>
                <w:rFonts w:ascii="Arial" w:cs="Arial" w:eastAsia="Arial" w:hAnsi="Arial"/>
                <w:sz w:val="8"/>
                <w:szCs w:val="8"/>
                <w:color w:val="005A64"/>
              </w:rPr>
              <w:t>(1)</w:t>
            </w:r>
          </w:p>
        </w:tc>
        <w:tc>
          <w:tcPr>
            <w:tcW w:w="60" w:type="dxa"/>
            <w:vAlign w:val="bottom"/>
          </w:tcPr>
          <w:p>
            <w:pPr>
              <w:spacing w:after="0"/>
              <w:rPr>
                <w:sz w:val="14"/>
                <w:szCs w:val="14"/>
                <w:color w:val="auto"/>
              </w:rPr>
            </w:pPr>
          </w:p>
        </w:tc>
        <w:tc>
          <w:tcPr>
            <w:tcW w:w="1140" w:type="dxa"/>
            <w:vAlign w:val="bottom"/>
          </w:tcPr>
          <w:p>
            <w:pPr>
              <w:jc w:val="right"/>
              <w:ind w:right="39"/>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4"/>
                <w:szCs w:val="14"/>
                <w:color w:val="auto"/>
              </w:rPr>
            </w:pPr>
          </w:p>
        </w:tc>
        <w:tc>
          <w:tcPr>
            <w:tcW w:w="1160" w:type="dxa"/>
            <w:vAlign w:val="bottom"/>
          </w:tcPr>
          <w:p>
            <w:pPr>
              <w:jc w:val="right"/>
              <w:ind w:right="59"/>
              <w:spacing w:after="0"/>
              <w:rPr>
                <w:sz w:val="20"/>
                <w:szCs w:val="20"/>
                <w:color w:val="auto"/>
              </w:rPr>
            </w:pPr>
            <w:r>
              <w:rPr>
                <w:rFonts w:ascii="Arial" w:cs="Arial" w:eastAsia="Arial" w:hAnsi="Arial"/>
                <w:sz w:val="12"/>
                <w:szCs w:val="12"/>
                <w:color w:val="005A64"/>
              </w:rPr>
              <w:t>—</w:t>
            </w:r>
          </w:p>
        </w:tc>
        <w:tc>
          <w:tcPr>
            <w:tcW w:w="60" w:type="dxa"/>
            <w:vAlign w:val="bottom"/>
          </w:tcPr>
          <w:p>
            <w:pPr>
              <w:spacing w:after="0"/>
              <w:rPr>
                <w:sz w:val="14"/>
                <w:szCs w:val="14"/>
                <w:color w:val="auto"/>
              </w:rPr>
            </w:pPr>
          </w:p>
        </w:tc>
        <w:tc>
          <w:tcPr>
            <w:tcW w:w="1200" w:type="dxa"/>
            <w:vAlign w:val="bottom"/>
            <w:tcBorders>
              <w:right w:val="single" w:sz="8" w:color="BECE33"/>
            </w:tcBorders>
            <w:gridSpan w:val="2"/>
          </w:tcPr>
          <w:p>
            <w:pPr>
              <w:jc w:val="right"/>
              <w:ind w:right="160"/>
              <w:spacing w:after="0"/>
              <w:rPr>
                <w:sz w:val="20"/>
                <w:szCs w:val="20"/>
                <w:color w:val="auto"/>
              </w:rPr>
            </w:pPr>
            <w:r>
              <w:rPr>
                <w:rFonts w:ascii="Arial" w:cs="Arial" w:eastAsia="Arial" w:hAnsi="Arial"/>
                <w:sz w:val="12"/>
                <w:szCs w:val="12"/>
                <w:color w:val="005A64"/>
              </w:rPr>
              <w:t>—</w:t>
            </w: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40" w:type="dxa"/>
            <w:vAlign w:val="bottom"/>
            <w:tcBorders>
              <w:right w:val="single" w:sz="8" w:color="BECE33"/>
            </w:tcBorders>
          </w:tcPr>
          <w:p>
            <w:pPr>
              <w:spacing w:after="0"/>
              <w:rPr>
                <w:sz w:val="6"/>
                <w:szCs w:val="6"/>
                <w:color w:val="auto"/>
              </w:rPr>
            </w:pPr>
          </w:p>
        </w:tc>
        <w:tc>
          <w:tcPr>
            <w:tcW w:w="1160" w:type="dxa"/>
            <w:vAlign w:val="bottom"/>
            <w:gridSpan w:val="2"/>
          </w:tcPr>
          <w:p>
            <w:pPr>
              <w:ind w:left="20"/>
              <w:spacing w:after="0" w:line="81" w:lineRule="exact"/>
              <w:rPr>
                <w:sz w:val="20"/>
                <w:szCs w:val="20"/>
                <w:color w:val="auto"/>
              </w:rPr>
            </w:pPr>
            <w:r>
              <w:rPr>
                <w:rFonts w:ascii="Arial" w:cs="Arial" w:eastAsia="Arial" w:hAnsi="Arial"/>
                <w:sz w:val="9"/>
                <w:szCs w:val="9"/>
                <w:color w:val="005A64"/>
              </w:rPr>
              <w:t>(225,201)</w:t>
            </w:r>
          </w:p>
        </w:tc>
        <w:tc>
          <w:tcPr>
            <w:tcW w:w="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Borders>
              <w:right w:val="single" w:sz="8" w:color="BECE33"/>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190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color w:val="005A64"/>
              </w:rPr>
              <w:t>Forfeited / Modified</w:t>
            </w:r>
          </w:p>
        </w:tc>
        <w:tc>
          <w:tcPr>
            <w:tcW w:w="1160" w:type="dxa"/>
            <w:vAlign w:val="bottom"/>
            <w:gridSpan w:val="2"/>
          </w:tcPr>
          <w:p>
            <w:pPr>
              <w:ind w:left="20"/>
              <w:spacing w:after="0"/>
              <w:rPr>
                <w:sz w:val="20"/>
                <w:szCs w:val="20"/>
                <w:color w:val="auto"/>
              </w:rPr>
            </w:pPr>
            <w:r>
              <w:rPr>
                <w:rFonts w:ascii="Arial" w:cs="Arial" w:eastAsia="Arial" w:hAnsi="Arial"/>
                <w:sz w:val="12"/>
                <w:szCs w:val="12"/>
                <w:color w:val="005A64"/>
              </w:rPr>
              <w:t>(4,541)</w:t>
            </w:r>
          </w:p>
        </w:tc>
        <w:tc>
          <w:tcPr>
            <w:tcW w:w="1200" w:type="dxa"/>
            <w:vAlign w:val="bottom"/>
            <w:gridSpan w:val="2"/>
          </w:tcPr>
          <w:p>
            <w:pPr>
              <w:jc w:val="right"/>
              <w:spacing w:after="0"/>
              <w:rPr>
                <w:sz w:val="20"/>
                <w:szCs w:val="20"/>
                <w:color w:val="auto"/>
              </w:rPr>
            </w:pPr>
            <w:r>
              <w:rPr>
                <w:rFonts w:ascii="Arial" w:cs="Arial" w:eastAsia="Arial" w:hAnsi="Arial"/>
                <w:sz w:val="12"/>
                <w:szCs w:val="12"/>
                <w:color w:val="005A64"/>
              </w:rPr>
              <w:t>(2,332)</w:t>
            </w:r>
          </w:p>
        </w:tc>
        <w:tc>
          <w:tcPr>
            <w:tcW w:w="1220" w:type="dxa"/>
            <w:vAlign w:val="bottom"/>
            <w:gridSpan w:val="2"/>
          </w:tcPr>
          <w:p>
            <w:pPr>
              <w:jc w:val="right"/>
              <w:ind w:right="19"/>
              <w:spacing w:after="0"/>
              <w:rPr>
                <w:sz w:val="20"/>
                <w:szCs w:val="20"/>
                <w:color w:val="auto"/>
              </w:rPr>
            </w:pPr>
            <w:r>
              <w:rPr>
                <w:rFonts w:ascii="Arial" w:cs="Arial" w:eastAsia="Arial" w:hAnsi="Arial"/>
                <w:sz w:val="12"/>
                <w:szCs w:val="12"/>
                <w:color w:val="005A64"/>
              </w:rPr>
              <w:t>(12,507)</w:t>
            </w:r>
          </w:p>
        </w:tc>
        <w:tc>
          <w:tcPr>
            <w:tcW w:w="1200" w:type="dxa"/>
            <w:vAlign w:val="bottom"/>
            <w:gridSpan w:val="2"/>
          </w:tcPr>
          <w:p>
            <w:pPr>
              <w:jc w:val="right"/>
              <w:spacing w:after="0"/>
              <w:rPr>
                <w:sz w:val="20"/>
                <w:szCs w:val="20"/>
                <w:color w:val="auto"/>
              </w:rPr>
            </w:pPr>
            <w:r>
              <w:rPr>
                <w:rFonts w:ascii="Arial" w:cs="Arial" w:eastAsia="Arial" w:hAnsi="Arial"/>
                <w:sz w:val="12"/>
                <w:szCs w:val="12"/>
                <w:color w:val="005A64"/>
              </w:rPr>
              <w:t>(62,902)</w:t>
            </w:r>
          </w:p>
        </w:tc>
        <w:tc>
          <w:tcPr>
            <w:tcW w:w="60" w:type="dxa"/>
            <w:vAlign w:val="bottom"/>
            <w:tcBorders>
              <w:right w:val="single" w:sz="8" w:color="BECE33"/>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90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b w:val="1"/>
                <w:bCs w:val="1"/>
                <w:color w:val="005A64"/>
              </w:rPr>
              <w:t>As of December 31, 2024</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005A64"/>
              </w:rPr>
              <w:t>1,163</w:t>
            </w:r>
          </w:p>
        </w:tc>
        <w:tc>
          <w:tcPr>
            <w:tcW w:w="1200" w:type="dxa"/>
            <w:vAlign w:val="bottom"/>
            <w:gridSpan w:val="2"/>
          </w:tcPr>
          <w:p>
            <w:pPr>
              <w:jc w:val="right"/>
              <w:ind w:right="39"/>
              <w:spacing w:after="0"/>
              <w:rPr>
                <w:sz w:val="20"/>
                <w:szCs w:val="20"/>
                <w:color w:val="auto"/>
              </w:rPr>
            </w:pPr>
            <w:r>
              <w:rPr>
                <w:rFonts w:ascii="Arial" w:cs="Arial" w:eastAsia="Arial" w:hAnsi="Arial"/>
                <w:sz w:val="12"/>
                <w:szCs w:val="12"/>
                <w:b w:val="1"/>
                <w:bCs w:val="1"/>
                <w:color w:val="005A64"/>
              </w:rPr>
              <w:t>98,779</w:t>
            </w:r>
          </w:p>
        </w:tc>
        <w:tc>
          <w:tcPr>
            <w:tcW w:w="1220" w:type="dxa"/>
            <w:vAlign w:val="bottom"/>
            <w:gridSpan w:val="2"/>
          </w:tcPr>
          <w:p>
            <w:pPr>
              <w:jc w:val="right"/>
              <w:ind w:right="39"/>
              <w:spacing w:after="0"/>
              <w:rPr>
                <w:sz w:val="20"/>
                <w:szCs w:val="20"/>
                <w:color w:val="auto"/>
              </w:rPr>
            </w:pPr>
            <w:r>
              <w:rPr>
                <w:rFonts w:ascii="Arial" w:cs="Arial" w:eastAsia="Arial" w:hAnsi="Arial"/>
                <w:sz w:val="12"/>
                <w:szCs w:val="12"/>
                <w:b w:val="1"/>
                <w:bCs w:val="1"/>
                <w:color w:val="005A64"/>
              </w:rPr>
              <w:t>367,462</w:t>
            </w:r>
          </w:p>
        </w:tc>
        <w:tc>
          <w:tcPr>
            <w:tcW w:w="1200" w:type="dxa"/>
            <w:vAlign w:val="bottom"/>
            <w:gridSpan w:val="2"/>
          </w:tcPr>
          <w:p>
            <w:pPr>
              <w:jc w:val="right"/>
              <w:ind w:right="39"/>
              <w:spacing w:after="0"/>
              <w:rPr>
                <w:sz w:val="20"/>
                <w:szCs w:val="20"/>
                <w:color w:val="auto"/>
              </w:rPr>
            </w:pPr>
            <w:r>
              <w:rPr>
                <w:rFonts w:ascii="Arial" w:cs="Arial" w:eastAsia="Arial" w:hAnsi="Arial"/>
                <w:sz w:val="12"/>
                <w:szCs w:val="12"/>
                <w:b w:val="1"/>
                <w:bCs w:val="1"/>
                <w:color w:val="005A64"/>
              </w:rPr>
              <w:t>771,309</w:t>
            </w:r>
          </w:p>
        </w:tc>
        <w:tc>
          <w:tcPr>
            <w:tcW w:w="60" w:type="dxa"/>
            <w:vAlign w:val="bottom"/>
            <w:tcBorders>
              <w:right w:val="single" w:sz="8" w:color="BECE33"/>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900" w:type="dxa"/>
            <w:vAlign w:val="bottom"/>
            <w:tcBorders>
              <w:right w:val="single" w:sz="8" w:color="BECE33"/>
            </w:tcBorders>
            <w:gridSpan w:val="2"/>
          </w:tcPr>
          <w:p>
            <w:pPr>
              <w:spacing w:after="0"/>
              <w:rPr>
                <w:sz w:val="4"/>
                <w:szCs w:val="4"/>
                <w:color w:val="auto"/>
              </w:rPr>
            </w:pPr>
          </w:p>
        </w:tc>
        <w:tc>
          <w:tcPr>
            <w:tcW w:w="1160" w:type="dxa"/>
            <w:vAlign w:val="bottom"/>
            <w:gridSpan w:val="2"/>
          </w:tcPr>
          <w:p>
            <w:pPr>
              <w:spacing w:after="0"/>
              <w:rPr>
                <w:sz w:val="4"/>
                <w:szCs w:val="4"/>
                <w:color w:val="auto"/>
              </w:rPr>
            </w:pPr>
          </w:p>
        </w:tc>
        <w:tc>
          <w:tcPr>
            <w:tcW w:w="1200" w:type="dxa"/>
            <w:vAlign w:val="bottom"/>
            <w:gridSpan w:val="2"/>
          </w:tcPr>
          <w:p>
            <w:pPr>
              <w:spacing w:after="0"/>
              <w:rPr>
                <w:sz w:val="4"/>
                <w:szCs w:val="4"/>
                <w:color w:val="auto"/>
              </w:rPr>
            </w:pPr>
          </w:p>
        </w:tc>
        <w:tc>
          <w:tcPr>
            <w:tcW w:w="1220" w:type="dxa"/>
            <w:vAlign w:val="bottom"/>
            <w:gridSpan w:val="2"/>
          </w:tcPr>
          <w:p>
            <w:pPr>
              <w:spacing w:after="0"/>
              <w:rPr>
                <w:sz w:val="4"/>
                <w:szCs w:val="4"/>
                <w:color w:val="auto"/>
              </w:rPr>
            </w:pPr>
          </w:p>
        </w:tc>
        <w:tc>
          <w:tcPr>
            <w:tcW w:w="1200" w:type="dxa"/>
            <w:vAlign w:val="bottom"/>
            <w:gridSpan w:val="2"/>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860" w:type="dxa"/>
            <w:vAlign w:val="bottom"/>
            <w:tcBorders>
              <w:top w:val="single" w:sz="8" w:color="005A64"/>
            </w:tcBorders>
          </w:tcPr>
          <w:p>
            <w:pPr>
              <w:ind w:left="20"/>
              <w:spacing w:after="0"/>
              <w:rPr>
                <w:sz w:val="20"/>
                <w:szCs w:val="20"/>
                <w:color w:val="auto"/>
              </w:rPr>
            </w:pPr>
            <w:r>
              <w:rPr>
                <w:rFonts w:ascii="Arial" w:cs="Arial" w:eastAsia="Arial" w:hAnsi="Arial"/>
                <w:sz w:val="12"/>
                <w:szCs w:val="12"/>
                <w:i w:val="1"/>
                <w:iCs w:val="1"/>
                <w:color w:val="005A64"/>
              </w:rPr>
              <w:t>thereof vested</w:t>
            </w:r>
          </w:p>
        </w:tc>
        <w:tc>
          <w:tcPr>
            <w:tcW w:w="40" w:type="dxa"/>
            <w:vAlign w:val="bottom"/>
            <w:tcBorders>
              <w:right w:val="single" w:sz="8" w:color="BECE33"/>
            </w:tcBorders>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Borders>
              <w:top w:val="single" w:sz="8" w:color="005A64"/>
            </w:tcBorders>
          </w:tcPr>
          <w:p>
            <w:pPr>
              <w:spacing w:after="0"/>
              <w:rPr>
                <w:sz w:val="20"/>
                <w:szCs w:val="20"/>
                <w:color w:val="auto"/>
              </w:rPr>
            </w:pPr>
            <w:r>
              <w:rPr>
                <w:rFonts w:ascii="Arial" w:cs="Arial" w:eastAsia="Arial" w:hAnsi="Arial"/>
                <w:sz w:val="12"/>
                <w:szCs w:val="12"/>
                <w:i w:val="1"/>
                <w:iCs w:val="1"/>
                <w:color w:val="005A64"/>
              </w:rPr>
              <w:t>1,163</w:t>
            </w:r>
          </w:p>
        </w:tc>
        <w:tc>
          <w:tcPr>
            <w:tcW w:w="60" w:type="dxa"/>
            <w:vAlign w:val="bottom"/>
          </w:tcPr>
          <w:p>
            <w:pPr>
              <w:spacing w:after="0"/>
              <w:rPr>
                <w:sz w:val="12"/>
                <w:szCs w:val="12"/>
                <w:color w:val="auto"/>
              </w:rPr>
            </w:pPr>
          </w:p>
        </w:tc>
        <w:tc>
          <w:tcPr>
            <w:tcW w:w="1140" w:type="dxa"/>
            <w:vAlign w:val="bottom"/>
            <w:tcBorders>
              <w:top w:val="single" w:sz="8" w:color="005A64"/>
            </w:tcBorders>
          </w:tcPr>
          <w:p>
            <w:pPr>
              <w:jc w:val="right"/>
              <w:ind w:right="39"/>
              <w:spacing w:after="0"/>
              <w:rPr>
                <w:sz w:val="20"/>
                <w:szCs w:val="20"/>
                <w:color w:val="auto"/>
              </w:rPr>
            </w:pPr>
            <w:r>
              <w:rPr>
                <w:rFonts w:ascii="Arial" w:cs="Arial" w:eastAsia="Arial" w:hAnsi="Arial"/>
                <w:sz w:val="12"/>
                <w:szCs w:val="12"/>
                <w:i w:val="1"/>
                <w:iCs w:val="1"/>
                <w:color w:val="005A64"/>
              </w:rPr>
              <w:t>75,920</w:t>
            </w:r>
          </w:p>
        </w:tc>
        <w:tc>
          <w:tcPr>
            <w:tcW w:w="60" w:type="dxa"/>
            <w:vAlign w:val="bottom"/>
          </w:tcPr>
          <w:p>
            <w:pPr>
              <w:spacing w:after="0"/>
              <w:rPr>
                <w:sz w:val="12"/>
                <w:szCs w:val="12"/>
                <w:color w:val="auto"/>
              </w:rPr>
            </w:pPr>
          </w:p>
        </w:tc>
        <w:tc>
          <w:tcPr>
            <w:tcW w:w="1160" w:type="dxa"/>
            <w:vAlign w:val="bottom"/>
            <w:tcBorders>
              <w:top w:val="single" w:sz="8" w:color="005A64"/>
            </w:tcBorders>
          </w:tcPr>
          <w:p>
            <w:pPr>
              <w:jc w:val="right"/>
              <w:ind w:right="39"/>
              <w:spacing w:after="0"/>
              <w:rPr>
                <w:sz w:val="20"/>
                <w:szCs w:val="20"/>
                <w:color w:val="auto"/>
              </w:rPr>
            </w:pPr>
            <w:r>
              <w:rPr>
                <w:rFonts w:ascii="Arial" w:cs="Arial" w:eastAsia="Arial" w:hAnsi="Arial"/>
                <w:sz w:val="12"/>
                <w:szCs w:val="12"/>
                <w:i w:val="1"/>
                <w:iCs w:val="1"/>
                <w:color w:val="005A64"/>
              </w:rPr>
              <w:t>187,812</w:t>
            </w:r>
          </w:p>
        </w:tc>
        <w:tc>
          <w:tcPr>
            <w:tcW w:w="60" w:type="dxa"/>
            <w:vAlign w:val="bottom"/>
          </w:tcPr>
          <w:p>
            <w:pPr>
              <w:spacing w:after="0"/>
              <w:rPr>
                <w:sz w:val="12"/>
                <w:szCs w:val="12"/>
                <w:color w:val="auto"/>
              </w:rPr>
            </w:pPr>
          </w:p>
        </w:tc>
        <w:tc>
          <w:tcPr>
            <w:tcW w:w="1140" w:type="dxa"/>
            <w:vAlign w:val="bottom"/>
            <w:tcBorders>
              <w:top w:val="single" w:sz="8" w:color="005A64"/>
            </w:tcBorders>
          </w:tcPr>
          <w:p>
            <w:pPr>
              <w:jc w:val="right"/>
              <w:ind w:right="39"/>
              <w:spacing w:after="0"/>
              <w:rPr>
                <w:sz w:val="20"/>
                <w:szCs w:val="20"/>
                <w:color w:val="auto"/>
              </w:rPr>
            </w:pPr>
            <w:r>
              <w:rPr>
                <w:rFonts w:ascii="Arial" w:cs="Arial" w:eastAsia="Arial" w:hAnsi="Arial"/>
                <w:sz w:val="12"/>
                <w:szCs w:val="12"/>
                <w:i w:val="1"/>
                <w:iCs w:val="1"/>
                <w:color w:val="005A64"/>
              </w:rPr>
              <w:t>194,636</w:t>
            </w:r>
          </w:p>
        </w:tc>
        <w:tc>
          <w:tcPr>
            <w:tcW w:w="60" w:type="dxa"/>
            <w:vAlign w:val="bottom"/>
            <w:tcBorders>
              <w:right w:val="single" w:sz="8" w:color="BECE33"/>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90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i w:val="1"/>
                <w:iCs w:val="1"/>
                <w:color w:val="005A64"/>
              </w:rPr>
              <w:t>thereof unvested</w:t>
            </w:r>
          </w:p>
        </w:tc>
        <w:tc>
          <w:tcPr>
            <w:tcW w:w="2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2"/>
                <w:szCs w:val="12"/>
                <w:i w:val="1"/>
                <w:iCs w:val="1"/>
                <w:color w:val="005A64"/>
              </w:rPr>
              <w:t>—</w:t>
            </w:r>
          </w:p>
        </w:tc>
        <w:tc>
          <w:tcPr>
            <w:tcW w:w="1200" w:type="dxa"/>
            <w:vAlign w:val="bottom"/>
            <w:gridSpan w:val="2"/>
          </w:tcPr>
          <w:p>
            <w:pPr>
              <w:jc w:val="right"/>
              <w:ind w:right="39"/>
              <w:spacing w:after="0"/>
              <w:rPr>
                <w:sz w:val="20"/>
                <w:szCs w:val="20"/>
                <w:color w:val="auto"/>
              </w:rPr>
            </w:pPr>
            <w:r>
              <w:rPr>
                <w:rFonts w:ascii="Arial" w:cs="Arial" w:eastAsia="Arial" w:hAnsi="Arial"/>
                <w:sz w:val="12"/>
                <w:szCs w:val="12"/>
                <w:i w:val="1"/>
                <w:iCs w:val="1"/>
                <w:color w:val="005A64"/>
              </w:rPr>
              <w:t>22,859</w:t>
            </w:r>
          </w:p>
        </w:tc>
        <w:tc>
          <w:tcPr>
            <w:tcW w:w="1220" w:type="dxa"/>
            <w:vAlign w:val="bottom"/>
            <w:gridSpan w:val="2"/>
          </w:tcPr>
          <w:p>
            <w:pPr>
              <w:jc w:val="right"/>
              <w:ind w:right="39"/>
              <w:spacing w:after="0"/>
              <w:rPr>
                <w:sz w:val="20"/>
                <w:szCs w:val="20"/>
                <w:color w:val="auto"/>
              </w:rPr>
            </w:pPr>
            <w:r>
              <w:rPr>
                <w:rFonts w:ascii="Arial" w:cs="Arial" w:eastAsia="Arial" w:hAnsi="Arial"/>
                <w:sz w:val="12"/>
                <w:szCs w:val="12"/>
                <w:i w:val="1"/>
                <w:iCs w:val="1"/>
                <w:color w:val="005A64"/>
              </w:rPr>
              <w:t>179,650</w:t>
            </w:r>
          </w:p>
        </w:tc>
        <w:tc>
          <w:tcPr>
            <w:tcW w:w="1200" w:type="dxa"/>
            <w:vAlign w:val="bottom"/>
            <w:gridSpan w:val="2"/>
          </w:tcPr>
          <w:p>
            <w:pPr>
              <w:jc w:val="right"/>
              <w:ind w:right="39"/>
              <w:spacing w:after="0"/>
              <w:rPr>
                <w:sz w:val="20"/>
                <w:szCs w:val="20"/>
                <w:color w:val="auto"/>
              </w:rPr>
            </w:pPr>
            <w:r>
              <w:rPr>
                <w:rFonts w:ascii="Arial" w:cs="Arial" w:eastAsia="Arial" w:hAnsi="Arial"/>
                <w:sz w:val="12"/>
                <w:szCs w:val="12"/>
                <w:i w:val="1"/>
                <w:iCs w:val="1"/>
                <w:color w:val="005A64"/>
              </w:rPr>
              <w:t>576,673</w:t>
            </w:r>
          </w:p>
        </w:tc>
        <w:tc>
          <w:tcPr>
            <w:tcW w:w="60" w:type="dxa"/>
            <w:vAlign w:val="bottom"/>
            <w:tcBorders>
              <w:right w:val="single" w:sz="8" w:color="BECE33"/>
            </w:tcBorders>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1860" w:type="dxa"/>
            <w:vAlign w:val="bottom"/>
            <w:tcBorders>
              <w:bottom w:val="single" w:sz="8" w:color="005A64"/>
            </w:tcBorders>
          </w:tcPr>
          <w:p>
            <w:pPr>
              <w:spacing w:after="0"/>
              <w:rPr>
                <w:sz w:val="4"/>
                <w:szCs w:val="4"/>
                <w:color w:val="auto"/>
              </w:rPr>
            </w:pPr>
          </w:p>
        </w:tc>
        <w:tc>
          <w:tcPr>
            <w:tcW w:w="40" w:type="dxa"/>
            <w:vAlign w:val="bottom"/>
            <w:tcBorders>
              <w:right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114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14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16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14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80" w:right="2020" w:firstLine="3"/>
        <w:spacing w:after="0" w:line="196" w:lineRule="auto"/>
        <w:tabs>
          <w:tab w:leader="none" w:pos="582" w:val="left"/>
        </w:tabs>
        <w:numPr>
          <w:ilvl w:val="0"/>
          <w:numId w:val="55"/>
        </w:numPr>
        <w:rPr>
          <w:rFonts w:ascii="Arial" w:cs="Arial" w:eastAsia="Arial" w:hAnsi="Arial"/>
          <w:sz w:val="16"/>
          <w:szCs w:val="16"/>
          <w:color w:val="005A64"/>
          <w:vertAlign w:val="superscript"/>
        </w:rPr>
      </w:pPr>
      <w:r>
        <w:rPr>
          <w:rFonts w:ascii="Arial" w:cs="Arial" w:eastAsia="Arial" w:hAnsi="Arial"/>
          <w:sz w:val="12"/>
          <w:szCs w:val="12"/>
          <w:color w:val="005A64"/>
        </w:rPr>
        <w:t>The closing price of an American Depositary Share of BioNTech on Nasdaq on December 13, 2024, the last trading day before the settlement date, converted from USD to Euro using the exchange rate published by the German Central Bank (</w:t>
      </w:r>
      <w:r>
        <w:rPr>
          <w:rFonts w:ascii="Arial" w:cs="Arial" w:eastAsia="Arial" w:hAnsi="Arial"/>
          <w:sz w:val="12"/>
          <w:szCs w:val="12"/>
          <w:i w:val="1"/>
          <w:iCs w:val="1"/>
          <w:color w:val="005A64"/>
        </w:rPr>
        <w:t>Deutsche Bundesbank</w:t>
      </w:r>
      <w:r>
        <w:rPr>
          <w:rFonts w:ascii="Arial" w:cs="Arial" w:eastAsia="Arial" w:hAnsi="Arial"/>
          <w:sz w:val="12"/>
          <w:szCs w:val="12"/>
          <w:color w:val="005A64"/>
        </w:rPr>
        <w:t>) on the same day was €114.45.</w:t>
      </w:r>
    </w:p>
    <w:p>
      <w:pPr>
        <w:spacing w:after="0" w:line="1" w:lineRule="exact"/>
        <w:rPr>
          <w:rFonts w:ascii="Arial" w:cs="Arial" w:eastAsia="Arial" w:hAnsi="Arial"/>
          <w:sz w:val="16"/>
          <w:szCs w:val="16"/>
          <w:color w:val="005A64"/>
          <w:vertAlign w:val="superscript"/>
        </w:rPr>
      </w:pPr>
    </w:p>
    <w:p>
      <w:pPr>
        <w:ind w:left="380"/>
        <w:spacing w:after="0" w:line="210" w:lineRule="auto"/>
        <w:rPr>
          <w:rFonts w:ascii="Arial" w:cs="Arial" w:eastAsia="Arial" w:hAnsi="Arial"/>
          <w:sz w:val="16"/>
          <w:szCs w:val="16"/>
          <w:color w:val="005A64"/>
          <w:vertAlign w:val="superscript"/>
        </w:rPr>
      </w:pPr>
      <w:r>
        <w:rPr>
          <w:rFonts w:ascii="Arial" w:cs="Arial" w:eastAsia="Arial" w:hAnsi="Arial"/>
          <w:sz w:val="13"/>
          <w:szCs w:val="13"/>
          <w:color w:val="005A64"/>
        </w:rPr>
        <w:t>BioNTech 2024 North America Employee Participation Plan (Equity-Settled)</w:t>
      </w:r>
    </w:p>
    <w:p>
      <w:pPr>
        <w:ind w:left="380" w:right="2080"/>
        <w:spacing w:after="0" w:line="216" w:lineRule="auto"/>
        <w:rPr>
          <w:rFonts w:ascii="Arial" w:cs="Arial" w:eastAsia="Arial" w:hAnsi="Arial"/>
          <w:sz w:val="16"/>
          <w:szCs w:val="16"/>
          <w:color w:val="005A64"/>
          <w:vertAlign w:val="superscript"/>
        </w:rPr>
      </w:pPr>
      <w:r>
        <w:rPr>
          <w:rFonts w:ascii="Arial" w:cs="Arial" w:eastAsia="Arial" w:hAnsi="Arial"/>
          <w:sz w:val="13"/>
          <w:szCs w:val="13"/>
          <w:color w:val="auto"/>
        </w:rPr>
        <w:t>During the year ended December 31, 2024, a new long-term incentive program for employees resident in North America was established. Within this plan, BioNTech SE has granted RSUs and Performance-RSUs (for individuals at the Job Level Vice President or above) with an equity-based LTI program to all of their employees. The number of RSUs granted to each participant is determined by multiplying the eligible earnings by a percentage within the applicable range for such individual’s BioNTech Job Level and dividing such amount by the Share Price at Grant, rounding the result down to the nearest whole number. The number of PRSUs is subject to adjustments based on the performance of BioNTech ADSs against the Nasdaq Biotechnology Index (Index). In May 2024, 356,757 RSUs and 34,481 PRSUs were granted to the participants. In December 2024, 47,115 further RSUs were granted to New-Joiners. The weighted average fair value at grant dates was €93.00.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F-61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820"/>
        <w:spacing w:after="0" w:line="220" w:lineRule="auto"/>
        <w:rPr>
          <w:sz w:val="20"/>
          <w:szCs w:val="20"/>
          <w:color w:val="auto"/>
        </w:rPr>
      </w:pPr>
      <w:r>
        <w:rPr>
          <w:rFonts w:ascii="Arial" w:cs="Arial" w:eastAsia="Arial" w:hAnsi="Arial"/>
          <w:sz w:val="13"/>
          <w:szCs w:val="13"/>
          <w:color w:val="auto"/>
        </w:rPr>
        <w:t>the grant date in May and December 31, 2024, 24,284 RSUs and 2,915 PRSUs were forfeited. As of December 31, 2024, 379,588 RSUs and 31,566 PRSUs 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5">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40"/>
        <w:spacing w:after="0" w:line="210" w:lineRule="auto"/>
        <w:rPr>
          <w:sz w:val="20"/>
          <w:szCs w:val="20"/>
          <w:color w:val="auto"/>
        </w:rPr>
      </w:pPr>
      <w:r>
        <w:rPr>
          <w:rFonts w:ascii="Arial" w:cs="Arial" w:eastAsia="Arial" w:hAnsi="Arial"/>
          <w:sz w:val="13"/>
          <w:szCs w:val="13"/>
          <w:color w:val="auto"/>
        </w:rPr>
        <w:t>All RSUs, except the PRSUs, shall vest with annually in equal tranches of 25% over a period of 4 years, starting from the date of the grant. In contrast to the German LTI employee programs 2020-2023, there is no 4-year waiting period.</w:t>
      </w:r>
    </w:p>
    <w:p>
      <w:pPr>
        <w:ind w:left="380"/>
        <w:spacing w:after="0" w:line="213" w:lineRule="auto"/>
        <w:rPr>
          <w:sz w:val="20"/>
          <w:szCs w:val="20"/>
          <w:color w:val="auto"/>
        </w:rPr>
      </w:pPr>
      <w:r>
        <w:rPr>
          <w:rFonts w:ascii="Arial" w:cs="Arial" w:eastAsia="Arial" w:hAnsi="Arial"/>
          <w:sz w:val="13"/>
          <w:szCs w:val="13"/>
          <w:color w:val="005A64"/>
        </w:rPr>
        <w:t>InstaDeep RSU Program Employees (Partly Equity-Settled, Partly Cash-Settled)</w:t>
      </w:r>
    </w:p>
    <w:p>
      <w:pPr>
        <w:spacing w:after="0" w:line="1" w:lineRule="exact"/>
        <w:rPr>
          <w:sz w:val="20"/>
          <w:szCs w:val="20"/>
          <w:color w:val="auto"/>
        </w:rPr>
      </w:pPr>
    </w:p>
    <w:p>
      <w:pPr>
        <w:jc w:val="both"/>
        <w:ind w:left="380" w:right="2120"/>
        <w:spacing w:after="0" w:line="210" w:lineRule="auto"/>
        <w:rPr>
          <w:sz w:val="20"/>
          <w:szCs w:val="20"/>
          <w:color w:val="auto"/>
        </w:rPr>
      </w:pPr>
      <w:r>
        <w:rPr>
          <w:rFonts w:ascii="Arial" w:cs="Arial" w:eastAsia="Arial" w:hAnsi="Arial"/>
          <w:sz w:val="13"/>
          <w:szCs w:val="13"/>
          <w:color w:val="auto"/>
        </w:rPr>
        <w:t>As part of the acquisition of InstaDeep in 2023, it was agreed to issue a long-term RSU award with a total target incentive value of £15.0 million. The start of the vesting period was July 2023. The 160,997 RSUs granted under this award vest annually in equal tranches of 25% over a period of 4 years. There is no waiting period and each tranche will be settled with vesting. The weighted average fair value at grant date was €92.08.</w:t>
      </w:r>
    </w:p>
    <w:p>
      <w:pPr>
        <w:spacing w:after="0" w:line="2" w:lineRule="exact"/>
        <w:rPr>
          <w:sz w:val="20"/>
          <w:szCs w:val="20"/>
          <w:color w:val="auto"/>
        </w:rPr>
      </w:pPr>
    </w:p>
    <w:p>
      <w:pPr>
        <w:ind w:left="380" w:right="2200"/>
        <w:spacing w:after="0" w:line="210" w:lineRule="auto"/>
        <w:rPr>
          <w:sz w:val="20"/>
          <w:szCs w:val="20"/>
          <w:color w:val="auto"/>
        </w:rPr>
      </w:pPr>
      <w:r>
        <w:rPr>
          <w:rFonts w:ascii="Arial" w:cs="Arial" w:eastAsia="Arial" w:hAnsi="Arial"/>
          <w:sz w:val="13"/>
          <w:szCs w:val="13"/>
          <w:color w:val="auto"/>
        </w:rPr>
        <w:t>The first tranche of 40,249 RSUs vested in July 2024 and was settled in the three months ended December 31, 2024, in cash. As of December 31, 2024, 120,748 RSUs were outstanding. The gross payout amount of the settlement of the first tranche was €2.1 million. The program is accounted for as equity -settled and it is at the discretion of the company whether the following three tranches will be settled in equity or in cash in the years 2025-2027.</w:t>
      </w:r>
    </w:p>
    <w:p>
      <w:pPr>
        <w:ind w:left="380"/>
        <w:spacing w:after="0" w:line="215" w:lineRule="auto"/>
        <w:rPr>
          <w:sz w:val="20"/>
          <w:szCs w:val="20"/>
          <w:color w:val="auto"/>
        </w:rPr>
      </w:pPr>
      <w:r>
        <w:rPr>
          <w:rFonts w:ascii="Arial" w:cs="Arial" w:eastAsia="Arial" w:hAnsi="Arial"/>
          <w:sz w:val="13"/>
          <w:szCs w:val="13"/>
          <w:color w:val="005A64"/>
        </w:rPr>
        <w:t>BioNTech 2020 Restricted Stock Unit Plan for North America Employees (Cash-Settled)</w:t>
      </w:r>
    </w:p>
    <w:p>
      <w:pPr>
        <w:ind w:left="380" w:right="2080"/>
        <w:spacing w:after="0" w:line="210" w:lineRule="auto"/>
        <w:rPr>
          <w:sz w:val="20"/>
          <w:szCs w:val="20"/>
          <w:color w:val="auto"/>
        </w:rPr>
      </w:pPr>
      <w:r>
        <w:rPr>
          <w:rFonts w:ascii="Arial" w:cs="Arial" w:eastAsia="Arial" w:hAnsi="Arial"/>
          <w:sz w:val="13"/>
          <w:szCs w:val="13"/>
          <w:color w:val="auto"/>
        </w:rPr>
        <w:t>In December 2020, we approved the BioNTech 2020 Restricted Stock Unit Plan for North America Employees, or the North American Plan. Under the North American Plan, RSUs are offered to our employees. These RSUs vest over four years, with 25% vesting one year after the service commencement date and the remainder vesting in equal quarterly installments thereafter. The first awards under the North American Plan were granted in February 2021. The service date for these awards is the date as of which the employee became employed by BioNTech US. As these RSUs are intended to be cash-settled upon vesting, the awards were defined as a cash- settled share-based payment arrangement. During the years ended December 31, 2024, 2023 and 2022, the settlement of RSUs resulted in a cash outflow of €13.9 million, €10.0 million and €9.4 million, respectively.</w:t>
      </w:r>
    </w:p>
    <w:p>
      <w:pPr>
        <w:spacing w:after="0" w:line="5" w:lineRule="exact"/>
        <w:rPr>
          <w:sz w:val="20"/>
          <w:szCs w:val="20"/>
          <w:color w:val="auto"/>
        </w:rPr>
      </w:pPr>
    </w:p>
    <w:p>
      <w:pPr>
        <w:ind w:left="380" w:right="2380"/>
        <w:spacing w:after="0" w:line="210" w:lineRule="auto"/>
        <w:rPr>
          <w:sz w:val="20"/>
          <w:szCs w:val="20"/>
          <w:color w:val="auto"/>
        </w:rPr>
      </w:pPr>
      <w:r>
        <w:rPr>
          <w:rFonts w:ascii="Arial" w:cs="Arial" w:eastAsia="Arial" w:hAnsi="Arial"/>
          <w:sz w:val="13"/>
          <w:szCs w:val="13"/>
          <w:color w:val="auto"/>
        </w:rPr>
        <w:t>As of December 31, 2024, the liability related to these awards amounted to €11.2 million (€14.4 million as of December 31, 2023).</w:t>
      </w:r>
    </w:p>
    <w:p>
      <w:pPr>
        <w:ind w:left="380"/>
        <w:spacing w:after="0" w:line="212" w:lineRule="auto"/>
        <w:rPr>
          <w:sz w:val="20"/>
          <w:szCs w:val="20"/>
          <w:color w:val="auto"/>
        </w:rPr>
      </w:pPr>
      <w:r>
        <w:rPr>
          <w:rFonts w:ascii="Arial" w:cs="Arial" w:eastAsia="Arial" w:hAnsi="Arial"/>
          <w:sz w:val="13"/>
          <w:szCs w:val="13"/>
          <w:b w:val="1"/>
          <w:bCs w:val="1"/>
          <w:color w:val="005A64"/>
        </w:rPr>
        <w:t>16.2 Management Board Grant – Short-Term Incentive (Cash-Settled)</w:t>
      </w:r>
    </w:p>
    <w:p>
      <w:pPr>
        <w:spacing w:after="0" w:line="1" w:lineRule="exact"/>
        <w:rPr>
          <w:sz w:val="20"/>
          <w:szCs w:val="20"/>
          <w:color w:val="auto"/>
        </w:rPr>
      </w:pPr>
    </w:p>
    <w:p>
      <w:pPr>
        <w:ind w:left="380" w:right="2360"/>
        <w:spacing w:after="0" w:line="210" w:lineRule="auto"/>
        <w:rPr>
          <w:sz w:val="20"/>
          <w:szCs w:val="20"/>
          <w:color w:val="auto"/>
        </w:rPr>
      </w:pPr>
      <w:r>
        <w:rPr>
          <w:rFonts w:ascii="Arial" w:cs="Arial" w:eastAsia="Arial" w:hAnsi="Arial"/>
          <w:sz w:val="13"/>
          <w:szCs w:val="13"/>
          <w:color w:val="auto"/>
        </w:rPr>
        <w:t>Management Board’s service agreements also include an STI compensation component, which is an annual performance-related bonus for the years of their respective service periods.</w:t>
      </w:r>
    </w:p>
    <w:p>
      <w:pPr>
        <w:spacing w:after="0" w:line="1"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50% of each annual award is paid out at the end of the calendar month following the date on which the Supervisory Board has approved the consolidated financial statements of the Company for the financial / bonus year that is relevant for the determination of the STI (first installment). The remaining 50% of each annual award is paid out one year after the achievement of the performance targets for the respective bonus year has been determined, subject to an adjustment relative to the performance of the price of the American Depositary Shares representing our ordinary shares during that year (second installment). The second installments represent cash-settled share-based payment arrangements. The fair values of the liabilities are recognized over the awards’ vesting periods beginning when entering or renewing service agreements, i.e., the service commencement date, until each separate determination date and are remeasured until the settlement date. As of December 31, 2024, the liability related to these awards amounted to €2.8 million (€2.1 million as of December 31, 2023).</w:t>
      </w:r>
    </w:p>
    <w:p>
      <w:pPr>
        <w:spacing w:after="0" w:line="6" w:lineRule="exact"/>
        <w:rPr>
          <w:sz w:val="20"/>
          <w:szCs w:val="20"/>
          <w:color w:val="auto"/>
        </w:rPr>
      </w:pPr>
    </w:p>
    <w:p>
      <w:pPr>
        <w:ind w:left="380" w:right="2080"/>
        <w:spacing w:after="0" w:line="218" w:lineRule="auto"/>
        <w:rPr>
          <w:sz w:val="20"/>
          <w:szCs w:val="20"/>
          <w:color w:val="auto"/>
        </w:rPr>
      </w:pPr>
      <w:r>
        <w:rPr>
          <w:rFonts w:ascii="Arial" w:cs="Arial" w:eastAsia="Arial" w:hAnsi="Arial"/>
          <w:sz w:val="13"/>
          <w:szCs w:val="13"/>
          <w:b w:val="1"/>
          <w:bCs w:val="1"/>
          <w:color w:val="005A64"/>
        </w:rPr>
        <w:t xml:space="preserve">16.3 Management Board Grant Long-Term Incentive (Partly Equity-Settled, Partly Cash-Settled) </w:t>
      </w:r>
      <w:r>
        <w:rPr>
          <w:rFonts w:ascii="Arial" w:cs="Arial" w:eastAsia="Arial" w:hAnsi="Arial"/>
          <w:sz w:val="13"/>
          <w:szCs w:val="13"/>
          <w:color w:val="000000"/>
        </w:rPr>
        <w:t>Our Management Board’s service agreements provide for long-term, four-year incentive compensation (Management Board Grant - LTI) through an annual grant of options to acquire BioNTech shares at the end of the respective waiting periods of such agreements. The options are subject to the terms and conditions of the respective authorizations of the AGM creating our Employee Stock Ownership Plan, or ESOP, and the applicable option agreements.</w:t>
      </w:r>
    </w:p>
    <w:p>
      <w:pPr>
        <w:sectPr>
          <w:pgSz w:w="11900" w:h="16840" w:orient="portrait"/>
          <w:cols w:equalWidth="0" w:num="1">
            <w:col w:w="9020"/>
          </w:cols>
          <w:pgMar w:left="1440" w:top="560" w:right="1440" w:bottom="494" w:gutter="0" w:footer="0" w:header="0"/>
        </w:sectPr>
      </w:pPr>
    </w:p>
    <w:bookmarkStart w:id="222" w:name="page223"/>
    <w:bookmarkEnd w:id="2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F-62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2" w:lineRule="auto"/>
        <w:rPr>
          <w:sz w:val="20"/>
          <w:szCs w:val="20"/>
          <w:color w:val="auto"/>
        </w:rPr>
      </w:pPr>
      <w:r>
        <w:rPr>
          <w:rFonts w:ascii="Arial" w:cs="Arial" w:eastAsia="Arial" w:hAnsi="Arial"/>
          <w:sz w:val="13"/>
          <w:szCs w:val="13"/>
          <w:color w:val="auto"/>
        </w:rPr>
        <w:t>The options vest annually in equal installments over four years commencing on the first anniversary of the allocation date and are exercisable four years after the allocation date. Vested options can only be exercised if each of the following performance criteria has been achieved: (i) at the time of exercise, the current price is equal to or greater than the threshold amount (that is, the exercise price, provided that such amount increases by seven percentage points on each anniversary of the allocation date); (ii) at the time of exercise, the current price is at least equal to the target price (that is, (a) for the twelve-month period starting on the fourth anniversary of the allocation date, $8.5 billion divided by the total number of the ordinary shares outstanding immediately following the initial public offering (other than ordinary shares owned by BioNTech), and (b) for each twelve-month period starting on the fifth or subsequent anniversary of the allocation date, 107% of the target share price applicable for the prior twelve -month period); and (iii) the closing price for the fifth trading day prior to the start of the relevant exercise window is higher than the exercise price by at least the same percentage by which the Nasdaq Biotechnology Index (or a comparable successor index) is higher than it was on the last trading day before the allocation date. Following the expiry of the waiting period, option rights may be exercised during the exercise windows set out in the ESOP agreement. Option rights can be exercised up to ten years after the allocation date, after which they will be forfeited without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-1250950</wp:posOffset>
            </wp:positionV>
            <wp:extent cx="5231130" cy="63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56">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80"/>
        <w:spacing w:after="0" w:line="210" w:lineRule="auto"/>
        <w:rPr>
          <w:sz w:val="20"/>
          <w:szCs w:val="20"/>
          <w:color w:val="auto"/>
        </w:rPr>
      </w:pPr>
      <w:r>
        <w:rPr>
          <w:rFonts w:ascii="Arial" w:cs="Arial" w:eastAsia="Arial" w:hAnsi="Arial"/>
          <w:sz w:val="13"/>
          <w:szCs w:val="13"/>
          <w:color w:val="auto"/>
        </w:rPr>
        <w:t>The right to receive options generally represents an equity- settled share-based payment arrangement. The allocation of options in 2020 occurred in February 2020. In May 2021 and May 2022, Management Board members received phantom options equivalent to the number of options they would have been entitled to receive for 2021 and 2022, which led to a modification from equity -settled to cash- settled share-based payment arrangement and a reclassification of € 1.1 million and €3.3 million between equity and non- current other liabilities as of the respective allocation dates. During 2023 and 2024, options were granted in May 2023 and August 2024, respectively.</w:t>
      </w:r>
    </w:p>
    <w:p>
      <w:pPr>
        <w:spacing w:after="0" w:line="4" w:lineRule="exact"/>
        <w:rPr>
          <w:sz w:val="20"/>
          <w:szCs w:val="20"/>
          <w:color w:val="auto"/>
        </w:rPr>
      </w:pPr>
    </w:p>
    <w:p>
      <w:pPr>
        <w:ind w:left="380" w:right="2180"/>
        <w:spacing w:after="0" w:line="222" w:lineRule="auto"/>
        <w:rPr>
          <w:sz w:val="20"/>
          <w:szCs w:val="20"/>
          <w:color w:val="auto"/>
        </w:rPr>
      </w:pPr>
      <w:r>
        <w:rPr>
          <w:rFonts w:ascii="Arial" w:cs="Arial" w:eastAsia="Arial" w:hAnsi="Arial"/>
          <w:sz w:val="13"/>
          <w:szCs w:val="13"/>
          <w:color w:val="auto"/>
        </w:rPr>
        <w:t>A Monte-Carlo simulation model has been used to measure the fair values at the (estimated) allocation dates of the Management Board Grant. This model incorporates the impact of the performance criteria regarding share price and index development described above. The parameters used for measuring the fair values as of the respective (estimated) allocation dates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-12065</wp:posOffset>
            </wp:positionV>
            <wp:extent cx="4262120" cy="127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57">
                      <a:extLst>
                        <a:ext uri="{28A0092B-C50C-407E-A947-70E740481C1C}"/>
                      </a:extLst>
                    </a:blip>
                    <a:srcRect/>
                    <a:stretch>
                      <a:fillRect/>
                    </a:stretch>
                  </pic:blipFill>
                  <pic:spPr bwMode="auto">
                    <a:xfrm>
                      <a:off x="0" y="0"/>
                      <a:ext cx="4262120" cy="12700"/>
                    </a:xfrm>
                    <a:prstGeom prst="rect">
                      <a:avLst/>
                    </a:prstGeom>
                    <a:noFill/>
                  </pic:spPr>
                </pic:pic>
              </a:graphicData>
            </a:graphic>
          </wp:anchor>
        </w:drawing>
      </w:r>
    </w:p>
    <w:p>
      <w:pPr>
        <w:spacing w:after="0" w:line="82" w:lineRule="exact"/>
        <w:rPr>
          <w:sz w:val="20"/>
          <w:szCs w:val="20"/>
          <w:color w:val="auto"/>
        </w:rPr>
      </w:pPr>
    </w:p>
    <w:tbl>
      <w:tblPr>
        <w:tblLayout w:type="fixed"/>
        <w:tblInd w:w="380" w:type="dxa"/>
        <w:tblCellMar>
          <w:top w:w="0" w:type="dxa"/>
          <w:left w:w="0" w:type="dxa"/>
          <w:bottom w:w="0" w:type="dxa"/>
          <w:right w:w="0" w:type="dxa"/>
        </w:tblCellMar>
      </w:tblPr>
      <w:tr>
        <w:trPr>
          <w:trHeight w:val="111"/>
        </w:trPr>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Borders>
              <w:right w:val="single" w:sz="8" w:color="BECE33"/>
            </w:tcBorders>
          </w:tcPr>
          <w:p>
            <w:pPr>
              <w:spacing w:after="0"/>
              <w:rPr>
                <w:sz w:val="9"/>
                <w:szCs w:val="9"/>
                <w:color w:val="auto"/>
              </w:rPr>
            </w:pPr>
          </w:p>
        </w:tc>
        <w:tc>
          <w:tcPr>
            <w:tcW w:w="20" w:type="dxa"/>
            <w:vAlign w:val="bottom"/>
            <w:tcBorders>
              <w:top w:val="single" w:sz="8" w:color="BECE33"/>
            </w:tcBorders>
          </w:tcPr>
          <w:p>
            <w:pPr>
              <w:spacing w:after="0"/>
              <w:rPr>
                <w:sz w:val="9"/>
                <w:szCs w:val="9"/>
                <w:color w:val="auto"/>
              </w:rPr>
            </w:pPr>
          </w:p>
        </w:tc>
        <w:tc>
          <w:tcPr>
            <w:tcW w:w="860" w:type="dxa"/>
            <w:vAlign w:val="bottom"/>
            <w:tcBorders>
              <w:top w:val="single" w:sz="8" w:color="BECE33"/>
            </w:tcBorders>
          </w:tcPr>
          <w:p>
            <w:pPr>
              <w:spacing w:after="0" w:line="111" w:lineRule="exact"/>
              <w:rPr>
                <w:sz w:val="20"/>
                <w:szCs w:val="20"/>
                <w:color w:val="auto"/>
              </w:rPr>
            </w:pPr>
            <w:r>
              <w:rPr>
                <w:rFonts w:ascii="Arial" w:cs="Arial" w:eastAsia="Arial" w:hAnsi="Arial"/>
                <w:sz w:val="11"/>
                <w:szCs w:val="11"/>
                <w:b w:val="1"/>
                <w:bCs w:val="1"/>
                <w:color w:val="005A64"/>
              </w:rPr>
              <w:t>Allocation date</w:t>
            </w:r>
          </w:p>
        </w:tc>
        <w:tc>
          <w:tcPr>
            <w:tcW w:w="60" w:type="dxa"/>
            <w:vAlign w:val="bottom"/>
            <w:tcBorders>
              <w:top w:val="single" w:sz="8" w:color="BECE33"/>
            </w:tcBorders>
          </w:tcPr>
          <w:p>
            <w:pPr>
              <w:spacing w:after="0"/>
              <w:rPr>
                <w:sz w:val="9"/>
                <w:szCs w:val="9"/>
                <w:color w:val="auto"/>
              </w:rPr>
            </w:pPr>
          </w:p>
        </w:tc>
        <w:tc>
          <w:tcPr>
            <w:tcW w:w="860" w:type="dxa"/>
            <w:vAlign w:val="bottom"/>
            <w:tcBorders>
              <w:top w:val="single" w:sz="8" w:color="BECE33"/>
            </w:tcBorders>
          </w:tcPr>
          <w:p>
            <w:pPr>
              <w:spacing w:after="0" w:line="111" w:lineRule="exact"/>
              <w:rPr>
                <w:sz w:val="20"/>
                <w:szCs w:val="20"/>
                <w:color w:val="auto"/>
              </w:rPr>
            </w:pPr>
            <w:r>
              <w:rPr>
                <w:rFonts w:ascii="Arial" w:cs="Arial" w:eastAsia="Arial" w:hAnsi="Arial"/>
                <w:sz w:val="11"/>
                <w:szCs w:val="11"/>
                <w:b w:val="1"/>
                <w:bCs w:val="1"/>
                <w:color w:val="005A64"/>
              </w:rPr>
              <w:t>Allocation date</w:t>
            </w:r>
          </w:p>
        </w:tc>
        <w:tc>
          <w:tcPr>
            <w:tcW w:w="60" w:type="dxa"/>
            <w:vAlign w:val="bottom"/>
            <w:tcBorders>
              <w:top w:val="single" w:sz="8" w:color="BECE33"/>
            </w:tcBorders>
          </w:tcPr>
          <w:p>
            <w:pPr>
              <w:spacing w:after="0"/>
              <w:rPr>
                <w:sz w:val="9"/>
                <w:szCs w:val="9"/>
                <w:color w:val="auto"/>
              </w:rPr>
            </w:pPr>
          </w:p>
        </w:tc>
        <w:tc>
          <w:tcPr>
            <w:tcW w:w="860" w:type="dxa"/>
            <w:vAlign w:val="bottom"/>
            <w:tcBorders>
              <w:top w:val="single" w:sz="8" w:color="BECE33"/>
            </w:tcBorders>
          </w:tcPr>
          <w:p>
            <w:pPr>
              <w:spacing w:after="0" w:line="111" w:lineRule="exact"/>
              <w:rPr>
                <w:sz w:val="20"/>
                <w:szCs w:val="20"/>
                <w:color w:val="auto"/>
              </w:rPr>
            </w:pPr>
            <w:r>
              <w:rPr>
                <w:rFonts w:ascii="Arial" w:cs="Arial" w:eastAsia="Arial" w:hAnsi="Arial"/>
                <w:sz w:val="11"/>
                <w:szCs w:val="11"/>
                <w:b w:val="1"/>
                <w:bCs w:val="1"/>
                <w:color w:val="005A64"/>
              </w:rPr>
              <w:t>Allocation date</w:t>
            </w:r>
          </w:p>
        </w:tc>
        <w:tc>
          <w:tcPr>
            <w:tcW w:w="60" w:type="dxa"/>
            <w:vAlign w:val="bottom"/>
            <w:tcBorders>
              <w:top w:val="single" w:sz="8" w:color="BECE33"/>
            </w:tcBorders>
          </w:tcPr>
          <w:p>
            <w:pPr>
              <w:spacing w:after="0"/>
              <w:rPr>
                <w:sz w:val="9"/>
                <w:szCs w:val="9"/>
                <w:color w:val="auto"/>
              </w:rPr>
            </w:pPr>
          </w:p>
        </w:tc>
        <w:tc>
          <w:tcPr>
            <w:tcW w:w="880" w:type="dxa"/>
            <w:vAlign w:val="bottom"/>
            <w:tcBorders>
              <w:top w:val="single" w:sz="8" w:color="BECE33"/>
            </w:tcBorders>
            <w:gridSpan w:val="2"/>
          </w:tcPr>
          <w:p>
            <w:pPr>
              <w:ind w:left="20"/>
              <w:spacing w:after="0" w:line="111" w:lineRule="exact"/>
              <w:rPr>
                <w:sz w:val="20"/>
                <w:szCs w:val="20"/>
                <w:color w:val="auto"/>
              </w:rPr>
            </w:pPr>
            <w:r>
              <w:rPr>
                <w:rFonts w:ascii="Arial" w:cs="Arial" w:eastAsia="Arial" w:hAnsi="Arial"/>
                <w:sz w:val="11"/>
                <w:szCs w:val="11"/>
                <w:b w:val="1"/>
                <w:bCs w:val="1"/>
                <w:color w:val="005A64"/>
              </w:rPr>
              <w:t>Allocation date</w:t>
            </w:r>
          </w:p>
        </w:tc>
        <w:tc>
          <w:tcPr>
            <w:tcW w:w="60" w:type="dxa"/>
            <w:vAlign w:val="bottom"/>
            <w:tcBorders>
              <w:top w:val="single" w:sz="8" w:color="BECE33"/>
            </w:tcBorders>
          </w:tcPr>
          <w:p>
            <w:pPr>
              <w:spacing w:after="0"/>
              <w:rPr>
                <w:sz w:val="9"/>
                <w:szCs w:val="9"/>
                <w:color w:val="auto"/>
              </w:rPr>
            </w:pPr>
          </w:p>
        </w:tc>
        <w:tc>
          <w:tcPr>
            <w:tcW w:w="860" w:type="dxa"/>
            <w:vAlign w:val="bottom"/>
            <w:tcBorders>
              <w:top w:val="single" w:sz="8" w:color="BECE33"/>
            </w:tcBorders>
          </w:tcPr>
          <w:p>
            <w:pPr>
              <w:spacing w:after="0" w:line="111" w:lineRule="exact"/>
              <w:rPr>
                <w:sz w:val="20"/>
                <w:szCs w:val="20"/>
                <w:color w:val="auto"/>
              </w:rPr>
            </w:pPr>
            <w:r>
              <w:rPr>
                <w:rFonts w:ascii="Arial" w:cs="Arial" w:eastAsia="Arial" w:hAnsi="Arial"/>
                <w:sz w:val="11"/>
                <w:szCs w:val="11"/>
                <w:b w:val="1"/>
                <w:bCs w:val="1"/>
                <w:color w:val="005A64"/>
              </w:rPr>
              <w:t>Allocation date</w:t>
            </w:r>
          </w:p>
        </w:tc>
        <w:tc>
          <w:tcPr>
            <w:tcW w:w="60" w:type="dxa"/>
            <w:vAlign w:val="bottom"/>
            <w:tcBorders>
              <w:top w:val="single" w:sz="8" w:color="BECE33"/>
            </w:tcBorders>
          </w:tcPr>
          <w:p>
            <w:pPr>
              <w:spacing w:after="0"/>
              <w:rPr>
                <w:sz w:val="9"/>
                <w:szCs w:val="9"/>
                <w:color w:val="auto"/>
              </w:rPr>
            </w:pPr>
          </w:p>
        </w:tc>
        <w:tc>
          <w:tcPr>
            <w:tcW w:w="940" w:type="dxa"/>
            <w:vAlign w:val="bottom"/>
            <w:tcBorders>
              <w:top w:val="single" w:sz="8" w:color="BECE33"/>
              <w:right w:val="single" w:sz="8" w:color="BECE33"/>
            </w:tcBorders>
            <w:gridSpan w:val="2"/>
          </w:tcPr>
          <w:p>
            <w:pPr>
              <w:ind w:left="20"/>
              <w:spacing w:after="0" w:line="111" w:lineRule="exact"/>
              <w:rPr>
                <w:sz w:val="20"/>
                <w:szCs w:val="20"/>
                <w:color w:val="auto"/>
              </w:rPr>
            </w:pPr>
            <w:r>
              <w:rPr>
                <w:rFonts w:ascii="Arial" w:cs="Arial" w:eastAsia="Arial" w:hAnsi="Arial"/>
                <w:sz w:val="11"/>
                <w:szCs w:val="11"/>
                <w:b w:val="1"/>
                <w:bCs w:val="1"/>
                <w:color w:val="005A64"/>
              </w:rPr>
              <w:t>Allocation date</w:t>
            </w:r>
          </w:p>
        </w:tc>
        <w:tc>
          <w:tcPr>
            <w:tcW w:w="0" w:type="dxa"/>
            <w:vAlign w:val="bottom"/>
          </w:tcPr>
          <w:p>
            <w:pPr>
              <w:spacing w:after="0"/>
              <w:rPr>
                <w:sz w:val="1"/>
                <w:szCs w:val="1"/>
                <w:color w:val="auto"/>
              </w:rPr>
            </w:pPr>
          </w:p>
        </w:tc>
      </w:tr>
      <w:tr>
        <w:trPr>
          <w:trHeight w:val="101"/>
        </w:trPr>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Borders>
              <w:right w:val="single" w:sz="8" w:color="BECE33"/>
            </w:tcBorders>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line="101" w:lineRule="exact"/>
              <w:rPr>
                <w:sz w:val="20"/>
                <w:szCs w:val="20"/>
                <w:color w:val="auto"/>
              </w:rPr>
            </w:pPr>
            <w:r>
              <w:rPr>
                <w:rFonts w:ascii="Arial" w:cs="Arial" w:eastAsia="Arial" w:hAnsi="Arial"/>
                <w:sz w:val="11"/>
                <w:szCs w:val="11"/>
                <w:b w:val="1"/>
                <w:bCs w:val="1"/>
                <w:color w:val="005A64"/>
              </w:rPr>
              <w:t>February 2020</w:t>
            </w:r>
          </w:p>
        </w:tc>
        <w:tc>
          <w:tcPr>
            <w:tcW w:w="920" w:type="dxa"/>
            <w:vAlign w:val="bottom"/>
            <w:gridSpan w:val="2"/>
          </w:tcPr>
          <w:p>
            <w:pPr>
              <w:jc w:val="right"/>
              <w:ind w:right="46"/>
              <w:spacing w:after="0"/>
              <w:rPr>
                <w:sz w:val="20"/>
                <w:szCs w:val="20"/>
                <w:color w:val="auto"/>
              </w:rPr>
            </w:pPr>
            <w:r>
              <w:rPr>
                <w:rFonts w:ascii="Arial" w:cs="Arial" w:eastAsia="Arial" w:hAnsi="Arial"/>
                <w:sz w:val="7"/>
                <w:szCs w:val="7"/>
                <w:b w:val="1"/>
                <w:bCs w:val="1"/>
                <w:color w:val="005A64"/>
              </w:rPr>
              <w:t>(1)</w:t>
            </w:r>
          </w:p>
        </w:tc>
        <w:tc>
          <w:tcPr>
            <w:tcW w:w="920" w:type="dxa"/>
            <w:vAlign w:val="bottom"/>
            <w:gridSpan w:val="2"/>
          </w:tcPr>
          <w:p>
            <w:pPr>
              <w:jc w:val="right"/>
              <w:ind w:right="46"/>
              <w:spacing w:after="0"/>
              <w:rPr>
                <w:sz w:val="20"/>
                <w:szCs w:val="20"/>
                <w:color w:val="auto"/>
              </w:rPr>
            </w:pPr>
            <w:r>
              <w:rPr>
                <w:rFonts w:ascii="Arial" w:cs="Arial" w:eastAsia="Arial" w:hAnsi="Arial"/>
                <w:sz w:val="7"/>
                <w:szCs w:val="7"/>
                <w:b w:val="1"/>
                <w:bCs w:val="1"/>
                <w:color w:val="005A64"/>
              </w:rPr>
              <w:t>(1)</w:t>
            </w:r>
          </w:p>
        </w:tc>
        <w:tc>
          <w:tcPr>
            <w:tcW w:w="60" w:type="dxa"/>
            <w:vAlign w:val="bottom"/>
          </w:tcPr>
          <w:p>
            <w:pPr>
              <w:spacing w:after="0"/>
              <w:rPr>
                <w:sz w:val="8"/>
                <w:szCs w:val="8"/>
                <w:color w:val="auto"/>
              </w:rPr>
            </w:pP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005A64"/>
                <w:w w:val="98"/>
              </w:rPr>
              <w:t>May 2022</w:t>
            </w:r>
          </w:p>
        </w:tc>
        <w:tc>
          <w:tcPr>
            <w:tcW w:w="360" w:type="dxa"/>
            <w:vAlign w:val="bottom"/>
          </w:tcPr>
          <w:p>
            <w:pPr>
              <w:jc w:val="right"/>
              <w:ind w:right="251"/>
              <w:spacing w:after="0"/>
              <w:rPr>
                <w:sz w:val="20"/>
                <w:szCs w:val="20"/>
                <w:color w:val="auto"/>
              </w:rPr>
            </w:pPr>
            <w:r>
              <w:rPr>
                <w:rFonts w:ascii="Arial" w:cs="Arial" w:eastAsia="Arial" w:hAnsi="Arial"/>
                <w:sz w:val="6"/>
                <w:szCs w:val="6"/>
                <w:b w:val="1"/>
                <w:bCs w:val="1"/>
                <w:color w:val="005A64"/>
                <w:w w:val="81"/>
              </w:rPr>
              <w:t>(1)</w:t>
            </w:r>
          </w:p>
        </w:tc>
        <w:tc>
          <w:tcPr>
            <w:tcW w:w="60" w:type="dxa"/>
            <w:vAlign w:val="bottom"/>
          </w:tcPr>
          <w:p>
            <w:pPr>
              <w:spacing w:after="0"/>
              <w:rPr>
                <w:sz w:val="8"/>
                <w:szCs w:val="8"/>
                <w:color w:val="auto"/>
              </w:rPr>
            </w:pPr>
          </w:p>
        </w:tc>
        <w:tc>
          <w:tcPr>
            <w:tcW w:w="860" w:type="dxa"/>
            <w:vAlign w:val="bottom"/>
          </w:tcPr>
          <w:p>
            <w:pPr>
              <w:spacing w:after="0" w:line="101" w:lineRule="exact"/>
              <w:rPr>
                <w:sz w:val="20"/>
                <w:szCs w:val="20"/>
                <w:color w:val="auto"/>
              </w:rPr>
            </w:pPr>
            <w:r>
              <w:rPr>
                <w:rFonts w:ascii="Arial" w:cs="Arial" w:eastAsia="Arial" w:hAnsi="Arial"/>
                <w:sz w:val="11"/>
                <w:szCs w:val="11"/>
                <w:b w:val="1"/>
                <w:bCs w:val="1"/>
                <w:color w:val="005A64"/>
              </w:rPr>
              <w:t>May 2023</w:t>
            </w:r>
          </w:p>
        </w:tc>
        <w:tc>
          <w:tcPr>
            <w:tcW w:w="60" w:type="dxa"/>
            <w:vAlign w:val="bottom"/>
          </w:tcPr>
          <w:p>
            <w:pPr>
              <w:spacing w:after="0"/>
              <w:rPr>
                <w:sz w:val="8"/>
                <w:szCs w:val="8"/>
                <w:color w:val="auto"/>
              </w:rPr>
            </w:pPr>
          </w:p>
        </w:tc>
        <w:tc>
          <w:tcPr>
            <w:tcW w:w="940" w:type="dxa"/>
            <w:vAlign w:val="bottom"/>
            <w:tcBorders>
              <w:right w:val="single" w:sz="8" w:color="BECE33"/>
            </w:tcBorders>
            <w:gridSpan w:val="2"/>
          </w:tcPr>
          <w:p>
            <w:pPr>
              <w:ind w:left="20"/>
              <w:spacing w:after="0" w:line="101" w:lineRule="exact"/>
              <w:rPr>
                <w:sz w:val="20"/>
                <w:szCs w:val="20"/>
                <w:color w:val="auto"/>
              </w:rPr>
            </w:pPr>
            <w:r>
              <w:rPr>
                <w:rFonts w:ascii="Arial" w:cs="Arial" w:eastAsia="Arial" w:hAnsi="Arial"/>
                <w:sz w:val="11"/>
                <w:szCs w:val="11"/>
                <w:b w:val="1"/>
                <w:bCs w:val="1"/>
                <w:color w:val="005A64"/>
              </w:rPr>
              <w:t>August 2024</w:t>
            </w:r>
          </w:p>
        </w:tc>
        <w:tc>
          <w:tcPr>
            <w:tcW w:w="0" w:type="dxa"/>
            <w:vAlign w:val="bottom"/>
          </w:tcPr>
          <w:p>
            <w:pPr>
              <w:spacing w:after="0"/>
              <w:rPr>
                <w:sz w:val="1"/>
                <w:szCs w:val="1"/>
                <w:color w:val="auto"/>
              </w:rPr>
            </w:pPr>
          </w:p>
        </w:tc>
      </w:tr>
      <w:tr>
        <w:trPr>
          <w:trHeight w:val="121"/>
        </w:trPr>
        <w:tc>
          <w:tcPr>
            <w:tcW w:w="720" w:type="dxa"/>
            <w:vAlign w:val="bottom"/>
            <w:tcBorders>
              <w:bottom w:val="single" w:sz="8" w:color="005A64"/>
            </w:tcBorders>
          </w:tcPr>
          <w:p>
            <w:pPr>
              <w:spacing w:after="0"/>
              <w:rPr>
                <w:sz w:val="10"/>
                <w:szCs w:val="10"/>
                <w:color w:val="auto"/>
              </w:rPr>
            </w:pPr>
          </w:p>
        </w:tc>
        <w:tc>
          <w:tcPr>
            <w:tcW w:w="400" w:type="dxa"/>
            <w:vAlign w:val="bottom"/>
            <w:tcBorders>
              <w:bottom w:val="single" w:sz="8" w:color="005A64"/>
            </w:tcBorders>
          </w:tcPr>
          <w:p>
            <w:pPr>
              <w:spacing w:after="0"/>
              <w:rPr>
                <w:sz w:val="10"/>
                <w:szCs w:val="10"/>
                <w:color w:val="auto"/>
              </w:rPr>
            </w:pPr>
          </w:p>
        </w:tc>
        <w:tc>
          <w:tcPr>
            <w:tcW w:w="40" w:type="dxa"/>
            <w:vAlign w:val="bottom"/>
            <w:tcBorders>
              <w:right w:val="single" w:sz="8" w:color="BECE33"/>
            </w:tcBorders>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bottom w:val="single" w:sz="8" w:color="005A64"/>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bottom w:val="single" w:sz="8" w:color="005A64"/>
            </w:tcBorders>
          </w:tcPr>
          <w:p>
            <w:pPr>
              <w:spacing w:after="0" w:line="122" w:lineRule="exact"/>
              <w:rPr>
                <w:sz w:val="20"/>
                <w:szCs w:val="20"/>
                <w:color w:val="auto"/>
              </w:rPr>
            </w:pPr>
            <w:r>
              <w:rPr>
                <w:rFonts w:ascii="Arial" w:cs="Arial" w:eastAsia="Arial" w:hAnsi="Arial"/>
                <w:sz w:val="11"/>
                <w:szCs w:val="11"/>
                <w:b w:val="1"/>
                <w:bCs w:val="1"/>
                <w:color w:val="005A64"/>
              </w:rPr>
              <w:t>May 12, 2021</w:t>
            </w:r>
          </w:p>
        </w:tc>
        <w:tc>
          <w:tcPr>
            <w:tcW w:w="60" w:type="dxa"/>
            <w:vAlign w:val="bottom"/>
          </w:tcPr>
          <w:p>
            <w:pPr>
              <w:spacing w:after="0"/>
              <w:rPr>
                <w:sz w:val="10"/>
                <w:szCs w:val="10"/>
                <w:color w:val="auto"/>
              </w:rPr>
            </w:pPr>
          </w:p>
        </w:tc>
        <w:tc>
          <w:tcPr>
            <w:tcW w:w="860" w:type="dxa"/>
            <w:vAlign w:val="bottom"/>
            <w:tcBorders>
              <w:bottom w:val="single" w:sz="8" w:color="005A64"/>
            </w:tcBorders>
          </w:tcPr>
          <w:p>
            <w:pPr>
              <w:spacing w:after="0" w:line="122" w:lineRule="exact"/>
              <w:rPr>
                <w:sz w:val="20"/>
                <w:szCs w:val="20"/>
                <w:color w:val="auto"/>
              </w:rPr>
            </w:pPr>
            <w:r>
              <w:rPr>
                <w:rFonts w:ascii="Arial" w:cs="Arial" w:eastAsia="Arial" w:hAnsi="Arial"/>
                <w:sz w:val="11"/>
                <w:szCs w:val="11"/>
                <w:b w:val="1"/>
                <w:bCs w:val="1"/>
                <w:color w:val="005A64"/>
              </w:rPr>
              <w:t>May 17, 2021</w:t>
            </w:r>
          </w:p>
        </w:tc>
        <w:tc>
          <w:tcPr>
            <w:tcW w:w="60" w:type="dxa"/>
            <w:vAlign w:val="bottom"/>
          </w:tcPr>
          <w:p>
            <w:pPr>
              <w:spacing w:after="0"/>
              <w:rPr>
                <w:sz w:val="10"/>
                <w:szCs w:val="10"/>
                <w:color w:val="auto"/>
              </w:rPr>
            </w:pPr>
          </w:p>
        </w:tc>
        <w:tc>
          <w:tcPr>
            <w:tcW w:w="520" w:type="dxa"/>
            <w:vAlign w:val="bottom"/>
            <w:tcBorders>
              <w:bottom w:val="single" w:sz="8" w:color="005A64"/>
            </w:tcBorders>
            <w:vMerge w:val="continue"/>
          </w:tcPr>
          <w:p>
            <w:pPr>
              <w:spacing w:after="0"/>
              <w:rPr>
                <w:sz w:val="10"/>
                <w:szCs w:val="10"/>
                <w:color w:val="auto"/>
              </w:rPr>
            </w:pPr>
          </w:p>
        </w:tc>
        <w:tc>
          <w:tcPr>
            <w:tcW w:w="360" w:type="dxa"/>
            <w:vAlign w:val="bottom"/>
            <w:tcBorders>
              <w:bottom w:val="single" w:sz="8" w:color="005A64"/>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bottom w:val="single" w:sz="8" w:color="005A64"/>
            </w:tcBorders>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Borders>
              <w:bottom w:val="single" w:sz="8" w:color="005A64"/>
            </w:tcBorders>
          </w:tcPr>
          <w:p>
            <w:pPr>
              <w:spacing w:after="0"/>
              <w:rPr>
                <w:sz w:val="10"/>
                <w:szCs w:val="10"/>
                <w:color w:val="auto"/>
              </w:rPr>
            </w:pPr>
          </w:p>
        </w:tc>
        <w:tc>
          <w:tcPr>
            <w:tcW w:w="60" w:type="dxa"/>
            <w:vAlign w:val="bottom"/>
            <w:tcBorders>
              <w:right w:val="single" w:sz="8" w:color="BECE33"/>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120" w:type="dxa"/>
            <w:vAlign w:val="bottom"/>
            <w:gridSpan w:val="2"/>
          </w:tcPr>
          <w:p>
            <w:pPr>
              <w:ind w:left="20"/>
              <w:spacing w:after="0" w:line="92" w:lineRule="exact"/>
              <w:rPr>
                <w:sz w:val="20"/>
                <w:szCs w:val="20"/>
                <w:color w:val="auto"/>
              </w:rPr>
            </w:pPr>
            <w:r>
              <w:rPr>
                <w:rFonts w:ascii="Arial" w:cs="Arial" w:eastAsia="Arial" w:hAnsi="Arial"/>
                <w:sz w:val="10"/>
                <w:szCs w:val="10"/>
                <w:color w:val="005A64"/>
              </w:rPr>
              <w:t>Weighted average</w:t>
            </w:r>
          </w:p>
        </w:tc>
        <w:tc>
          <w:tcPr>
            <w:tcW w:w="40" w:type="dxa"/>
            <w:vAlign w:val="bottom"/>
            <w:tcBorders>
              <w:right w:val="single" w:sz="8" w:color="BECE33"/>
            </w:tcBorders>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line="92" w:lineRule="exact"/>
              <w:rPr>
                <w:sz w:val="20"/>
                <w:szCs w:val="20"/>
                <w:color w:val="auto"/>
              </w:rPr>
            </w:pPr>
            <w:r>
              <w:rPr>
                <w:rFonts w:ascii="Arial" w:cs="Arial" w:eastAsia="Arial" w:hAnsi="Arial"/>
                <w:sz w:val="10"/>
                <w:szCs w:val="10"/>
                <w:color w:val="005A64"/>
              </w:rPr>
              <w:t>€10.83</w:t>
            </w:r>
          </w:p>
        </w:tc>
        <w:tc>
          <w:tcPr>
            <w:tcW w:w="60" w:type="dxa"/>
            <w:vAlign w:val="bottom"/>
          </w:tcPr>
          <w:p>
            <w:pPr>
              <w:spacing w:after="0"/>
              <w:rPr>
                <w:sz w:val="7"/>
                <w:szCs w:val="7"/>
                <w:color w:val="auto"/>
              </w:rPr>
            </w:pPr>
          </w:p>
        </w:tc>
        <w:tc>
          <w:tcPr>
            <w:tcW w:w="860" w:type="dxa"/>
            <w:vAlign w:val="bottom"/>
          </w:tcPr>
          <w:p>
            <w:pPr>
              <w:spacing w:after="0" w:line="92" w:lineRule="exact"/>
              <w:rPr>
                <w:sz w:val="20"/>
                <w:szCs w:val="20"/>
                <w:color w:val="auto"/>
              </w:rPr>
            </w:pPr>
            <w:r>
              <w:rPr>
                <w:rFonts w:ascii="Arial" w:cs="Arial" w:eastAsia="Arial" w:hAnsi="Arial"/>
                <w:sz w:val="10"/>
                <w:szCs w:val="10"/>
                <w:color w:val="005A64"/>
              </w:rPr>
              <w:t>€36.13</w:t>
            </w:r>
          </w:p>
        </w:tc>
        <w:tc>
          <w:tcPr>
            <w:tcW w:w="60" w:type="dxa"/>
            <w:vAlign w:val="bottom"/>
          </w:tcPr>
          <w:p>
            <w:pPr>
              <w:spacing w:after="0"/>
              <w:rPr>
                <w:sz w:val="7"/>
                <w:szCs w:val="7"/>
                <w:color w:val="auto"/>
              </w:rPr>
            </w:pPr>
          </w:p>
        </w:tc>
        <w:tc>
          <w:tcPr>
            <w:tcW w:w="860" w:type="dxa"/>
            <w:vAlign w:val="bottom"/>
          </w:tcPr>
          <w:p>
            <w:pPr>
              <w:spacing w:after="0" w:line="92" w:lineRule="exact"/>
              <w:rPr>
                <w:sz w:val="20"/>
                <w:szCs w:val="20"/>
                <w:color w:val="auto"/>
              </w:rPr>
            </w:pPr>
            <w:r>
              <w:rPr>
                <w:rFonts w:ascii="Arial" w:cs="Arial" w:eastAsia="Arial" w:hAnsi="Arial"/>
                <w:sz w:val="10"/>
                <w:szCs w:val="10"/>
                <w:color w:val="005A64"/>
              </w:rPr>
              <w:t>€31.61</w:t>
            </w:r>
          </w:p>
        </w:tc>
        <w:tc>
          <w:tcPr>
            <w:tcW w:w="60" w:type="dxa"/>
            <w:vAlign w:val="bottom"/>
          </w:tcPr>
          <w:p>
            <w:pPr>
              <w:spacing w:after="0"/>
              <w:rPr>
                <w:sz w:val="7"/>
                <w:szCs w:val="7"/>
                <w:color w:val="auto"/>
              </w:rPr>
            </w:pPr>
          </w:p>
        </w:tc>
        <w:tc>
          <w:tcPr>
            <w:tcW w:w="520" w:type="dxa"/>
            <w:vAlign w:val="bottom"/>
          </w:tcPr>
          <w:p>
            <w:pPr>
              <w:ind w:left="20"/>
              <w:spacing w:after="0" w:line="92" w:lineRule="exact"/>
              <w:rPr>
                <w:sz w:val="20"/>
                <w:szCs w:val="20"/>
                <w:color w:val="auto"/>
              </w:rPr>
            </w:pPr>
            <w:r>
              <w:rPr>
                <w:rFonts w:ascii="Arial" w:cs="Arial" w:eastAsia="Arial" w:hAnsi="Arial"/>
                <w:sz w:val="10"/>
                <w:szCs w:val="10"/>
                <w:color w:val="005A64"/>
              </w:rPr>
              <w:t>€42.24</w:t>
            </w: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line="92" w:lineRule="exact"/>
              <w:rPr>
                <w:sz w:val="20"/>
                <w:szCs w:val="20"/>
                <w:color w:val="auto"/>
              </w:rPr>
            </w:pPr>
            <w:r>
              <w:rPr>
                <w:rFonts w:ascii="Arial" w:cs="Arial" w:eastAsia="Arial" w:hAnsi="Arial"/>
                <w:sz w:val="10"/>
                <w:szCs w:val="10"/>
                <w:color w:val="005A64"/>
              </w:rPr>
              <w:t>€45.73</w:t>
            </w:r>
          </w:p>
        </w:tc>
        <w:tc>
          <w:tcPr>
            <w:tcW w:w="60" w:type="dxa"/>
            <w:vAlign w:val="bottom"/>
          </w:tcPr>
          <w:p>
            <w:pPr>
              <w:spacing w:after="0"/>
              <w:rPr>
                <w:sz w:val="7"/>
                <w:szCs w:val="7"/>
                <w:color w:val="auto"/>
              </w:rPr>
            </w:pPr>
          </w:p>
        </w:tc>
        <w:tc>
          <w:tcPr>
            <w:tcW w:w="880" w:type="dxa"/>
            <w:vAlign w:val="bottom"/>
          </w:tcPr>
          <w:p>
            <w:pPr>
              <w:ind w:left="20"/>
              <w:spacing w:after="0" w:line="92" w:lineRule="exact"/>
              <w:rPr>
                <w:sz w:val="20"/>
                <w:szCs w:val="20"/>
                <w:color w:val="auto"/>
              </w:rPr>
            </w:pPr>
            <w:r>
              <w:rPr>
                <w:rFonts w:ascii="Arial" w:cs="Arial" w:eastAsia="Arial" w:hAnsi="Arial"/>
                <w:sz w:val="10"/>
                <w:szCs w:val="10"/>
                <w:color w:val="005A64"/>
              </w:rPr>
              <w:t>€37.88</w:t>
            </w:r>
          </w:p>
        </w:tc>
        <w:tc>
          <w:tcPr>
            <w:tcW w:w="60" w:type="dxa"/>
            <w:vAlign w:val="bottom"/>
            <w:tcBorders>
              <w:right w:val="single" w:sz="8" w:color="BECE33"/>
            </w:tcBorders>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20"/>
              <w:spacing w:after="0"/>
              <w:rPr>
                <w:sz w:val="20"/>
                <w:szCs w:val="20"/>
                <w:color w:val="auto"/>
              </w:rPr>
            </w:pPr>
            <w:r>
              <w:rPr>
                <w:rFonts w:ascii="Arial" w:cs="Arial" w:eastAsia="Arial" w:hAnsi="Arial"/>
                <w:sz w:val="11"/>
                <w:szCs w:val="11"/>
                <w:color w:val="005A64"/>
              </w:rPr>
              <w:t>fair value</w:t>
            </w:r>
          </w:p>
        </w:tc>
        <w:tc>
          <w:tcPr>
            <w:tcW w:w="400" w:type="dxa"/>
            <w:vAlign w:val="bottom"/>
          </w:tcPr>
          <w:p>
            <w:pPr>
              <w:spacing w:after="0"/>
              <w:rPr>
                <w:sz w:val="12"/>
                <w:szCs w:val="12"/>
                <w:color w:val="auto"/>
              </w:rPr>
            </w:pPr>
          </w:p>
        </w:tc>
        <w:tc>
          <w:tcPr>
            <w:tcW w:w="40" w:type="dxa"/>
            <w:vAlign w:val="bottom"/>
            <w:tcBorders>
              <w:right w:val="single" w:sz="8" w:color="BECE33"/>
            </w:tcBorders>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Borders>
              <w:right w:val="single" w:sz="8" w:color="BECE33"/>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160" w:type="dxa"/>
            <w:vAlign w:val="bottom"/>
            <w:tcBorders>
              <w:right w:val="single" w:sz="8" w:color="BECE33"/>
            </w:tcBorders>
            <w:gridSpan w:val="3"/>
          </w:tcPr>
          <w:p>
            <w:pPr>
              <w:ind w:left="20"/>
              <w:spacing w:after="0"/>
              <w:rPr>
                <w:sz w:val="20"/>
                <w:szCs w:val="20"/>
                <w:color w:val="auto"/>
              </w:rPr>
            </w:pPr>
            <w:r>
              <w:rPr>
                <w:rFonts w:ascii="Arial" w:cs="Arial" w:eastAsia="Arial" w:hAnsi="Arial"/>
                <w:sz w:val="11"/>
                <w:szCs w:val="11"/>
                <w:color w:val="005A64"/>
              </w:rPr>
              <w:t>Weighted average</w:t>
            </w:r>
          </w:p>
        </w:tc>
        <w:tc>
          <w:tcPr>
            <w:tcW w:w="2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1"/>
                <w:szCs w:val="11"/>
                <w:color w:val="005A64"/>
              </w:rPr>
              <w:t>€28.20</w:t>
            </w:r>
          </w:p>
        </w:tc>
        <w:tc>
          <w:tcPr>
            <w:tcW w:w="6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1"/>
                <w:szCs w:val="11"/>
                <w:color w:val="005A64"/>
              </w:rPr>
              <w:t>€179.16</w:t>
            </w:r>
          </w:p>
        </w:tc>
        <w:tc>
          <w:tcPr>
            <w:tcW w:w="6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1"/>
                <w:szCs w:val="11"/>
                <w:color w:val="005A64"/>
              </w:rPr>
              <w:t>€190.87</w:t>
            </w:r>
          </w:p>
        </w:tc>
        <w:tc>
          <w:tcPr>
            <w:tcW w:w="60" w:type="dxa"/>
            <w:vAlign w:val="bottom"/>
          </w:tcPr>
          <w:p>
            <w:pPr>
              <w:spacing w:after="0"/>
              <w:rPr>
                <w:sz w:val="15"/>
                <w:szCs w:val="15"/>
                <w:color w:val="auto"/>
              </w:rPr>
            </w:pPr>
          </w:p>
        </w:tc>
        <w:tc>
          <w:tcPr>
            <w:tcW w:w="520" w:type="dxa"/>
            <w:vAlign w:val="bottom"/>
          </w:tcPr>
          <w:p>
            <w:pPr>
              <w:ind w:left="20"/>
              <w:spacing w:after="0"/>
              <w:rPr>
                <w:sz w:val="20"/>
                <w:szCs w:val="20"/>
                <w:color w:val="auto"/>
              </w:rPr>
            </w:pPr>
            <w:r>
              <w:rPr>
                <w:rFonts w:ascii="Arial" w:cs="Arial" w:eastAsia="Arial" w:hAnsi="Arial"/>
                <w:sz w:val="11"/>
                <w:szCs w:val="11"/>
                <w:color w:val="005A64"/>
              </w:rPr>
              <w:t>€157.24</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1"/>
                <w:szCs w:val="11"/>
                <w:color w:val="005A64"/>
              </w:rPr>
              <w:t>€98.93</w:t>
            </w:r>
          </w:p>
        </w:tc>
        <w:tc>
          <w:tcPr>
            <w:tcW w:w="60" w:type="dxa"/>
            <w:vAlign w:val="bottom"/>
          </w:tcPr>
          <w:p>
            <w:pPr>
              <w:spacing w:after="0"/>
              <w:rPr>
                <w:sz w:val="15"/>
                <w:szCs w:val="15"/>
                <w:color w:val="auto"/>
              </w:rPr>
            </w:pPr>
          </w:p>
        </w:tc>
        <w:tc>
          <w:tcPr>
            <w:tcW w:w="940" w:type="dxa"/>
            <w:vAlign w:val="bottom"/>
            <w:tcBorders>
              <w:right w:val="single" w:sz="8" w:color="BECE33"/>
            </w:tcBorders>
            <w:gridSpan w:val="2"/>
          </w:tcPr>
          <w:p>
            <w:pPr>
              <w:ind w:left="20"/>
              <w:spacing w:after="0"/>
              <w:rPr>
                <w:sz w:val="20"/>
                <w:szCs w:val="20"/>
                <w:color w:val="auto"/>
              </w:rPr>
            </w:pPr>
            <w:r>
              <w:rPr>
                <w:rFonts w:ascii="Arial" w:cs="Arial" w:eastAsia="Arial" w:hAnsi="Arial"/>
                <w:sz w:val="11"/>
                <w:szCs w:val="11"/>
                <w:color w:val="005A64"/>
              </w:rPr>
              <w:t>€84.23</w:t>
            </w:r>
          </w:p>
        </w:tc>
        <w:tc>
          <w:tcPr>
            <w:tcW w:w="0" w:type="dxa"/>
            <w:vAlign w:val="bottom"/>
          </w:tcPr>
          <w:p>
            <w:pPr>
              <w:spacing w:after="0"/>
              <w:rPr>
                <w:sz w:val="1"/>
                <w:szCs w:val="1"/>
                <w:color w:val="auto"/>
              </w:rPr>
            </w:pPr>
          </w:p>
        </w:tc>
      </w:tr>
      <w:tr>
        <w:trPr>
          <w:trHeight w:val="147"/>
        </w:trPr>
        <w:tc>
          <w:tcPr>
            <w:tcW w:w="720" w:type="dxa"/>
            <w:vAlign w:val="bottom"/>
          </w:tcPr>
          <w:p>
            <w:pPr>
              <w:ind w:left="20"/>
              <w:spacing w:after="0"/>
              <w:rPr>
                <w:sz w:val="20"/>
                <w:szCs w:val="20"/>
                <w:color w:val="auto"/>
              </w:rPr>
            </w:pPr>
            <w:r>
              <w:rPr>
                <w:rFonts w:ascii="Arial" w:cs="Arial" w:eastAsia="Arial" w:hAnsi="Arial"/>
                <w:sz w:val="11"/>
                <w:szCs w:val="11"/>
                <w:color w:val="005A64"/>
              </w:rPr>
              <w:t>share price</w:t>
            </w:r>
          </w:p>
        </w:tc>
        <w:tc>
          <w:tcPr>
            <w:tcW w:w="400" w:type="dxa"/>
            <w:vAlign w:val="bottom"/>
          </w:tcPr>
          <w:p>
            <w:pPr>
              <w:spacing w:after="0"/>
              <w:rPr>
                <w:sz w:val="12"/>
                <w:szCs w:val="12"/>
                <w:color w:val="auto"/>
              </w:rPr>
            </w:pPr>
          </w:p>
        </w:tc>
        <w:tc>
          <w:tcPr>
            <w:tcW w:w="40" w:type="dxa"/>
            <w:vAlign w:val="bottom"/>
            <w:tcBorders>
              <w:right w:val="single" w:sz="8" w:color="BECE33"/>
            </w:tcBorders>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Borders>
              <w:right w:val="single" w:sz="8" w:color="BECE33"/>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20" w:type="dxa"/>
            <w:vAlign w:val="bottom"/>
            <w:vMerge w:val="restart"/>
          </w:tcPr>
          <w:p>
            <w:pPr>
              <w:ind w:left="20"/>
              <w:spacing w:after="0"/>
              <w:rPr>
                <w:sz w:val="20"/>
                <w:szCs w:val="20"/>
                <w:color w:val="auto"/>
              </w:rPr>
            </w:pPr>
            <w:r>
              <w:rPr>
                <w:rFonts w:ascii="Arial" w:cs="Arial" w:eastAsia="Arial" w:hAnsi="Arial"/>
                <w:sz w:val="11"/>
                <w:szCs w:val="11"/>
                <w:color w:val="005A64"/>
                <w:w w:val="98"/>
              </w:rPr>
              <w:t>Exercise price</w:t>
            </w:r>
          </w:p>
        </w:tc>
        <w:tc>
          <w:tcPr>
            <w:tcW w:w="400" w:type="dxa"/>
            <w:vAlign w:val="bottom"/>
          </w:tcPr>
          <w:p>
            <w:pPr>
              <w:jc w:val="right"/>
              <w:ind w:right="291"/>
              <w:spacing w:after="0"/>
              <w:rPr>
                <w:sz w:val="20"/>
                <w:szCs w:val="20"/>
                <w:color w:val="auto"/>
              </w:rPr>
            </w:pPr>
            <w:r>
              <w:rPr>
                <w:rFonts w:ascii="Arial" w:cs="Arial" w:eastAsia="Arial" w:hAnsi="Arial"/>
                <w:sz w:val="6"/>
                <w:szCs w:val="6"/>
                <w:color w:val="005A64"/>
                <w:w w:val="81"/>
              </w:rPr>
              <w:t>(2)</w:t>
            </w:r>
          </w:p>
        </w:tc>
        <w:tc>
          <w:tcPr>
            <w:tcW w:w="40" w:type="dxa"/>
            <w:vAlign w:val="bottom"/>
            <w:tcBorders>
              <w:right w:val="single" w:sz="8" w:color="BECE33"/>
            </w:tcBorders>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Arial" w:cs="Arial" w:eastAsia="Arial" w:hAnsi="Arial"/>
                <w:sz w:val="11"/>
                <w:szCs w:val="11"/>
                <w:color w:val="005A64"/>
              </w:rPr>
              <w:t>€28.32</w:t>
            </w:r>
          </w:p>
        </w:tc>
        <w:tc>
          <w:tcPr>
            <w:tcW w:w="6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Arial" w:cs="Arial" w:eastAsia="Arial" w:hAnsi="Arial"/>
                <w:sz w:val="11"/>
                <w:szCs w:val="11"/>
                <w:color w:val="005A64"/>
              </w:rPr>
              <w:t>€178.29</w:t>
            </w:r>
          </w:p>
        </w:tc>
        <w:tc>
          <w:tcPr>
            <w:tcW w:w="6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Arial" w:cs="Arial" w:eastAsia="Arial" w:hAnsi="Arial"/>
                <w:sz w:val="11"/>
                <w:szCs w:val="11"/>
                <w:color w:val="005A64"/>
              </w:rPr>
              <w:t>€179.83</w:t>
            </w:r>
          </w:p>
        </w:tc>
        <w:tc>
          <w:tcPr>
            <w:tcW w:w="6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Arial" w:cs="Arial" w:eastAsia="Arial" w:hAnsi="Arial"/>
                <w:sz w:val="11"/>
                <w:szCs w:val="11"/>
                <w:color w:val="005A64"/>
              </w:rPr>
              <w:t>€146.40</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Arial" w:cs="Arial" w:eastAsia="Arial" w:hAnsi="Arial"/>
                <w:sz w:val="11"/>
                <w:szCs w:val="11"/>
                <w:color w:val="005A64"/>
              </w:rPr>
              <w:t>€104.86</w:t>
            </w:r>
          </w:p>
        </w:tc>
        <w:tc>
          <w:tcPr>
            <w:tcW w:w="60" w:type="dxa"/>
            <w:vAlign w:val="bottom"/>
          </w:tcPr>
          <w:p>
            <w:pPr>
              <w:spacing w:after="0"/>
              <w:rPr>
                <w:sz w:val="19"/>
                <w:szCs w:val="19"/>
                <w:color w:val="auto"/>
              </w:rPr>
            </w:pPr>
          </w:p>
        </w:tc>
        <w:tc>
          <w:tcPr>
            <w:tcW w:w="940" w:type="dxa"/>
            <w:vAlign w:val="bottom"/>
            <w:tcBorders>
              <w:right w:val="single" w:sz="8" w:color="BECE33"/>
            </w:tcBorders>
            <w:gridSpan w:val="2"/>
          </w:tcPr>
          <w:p>
            <w:pPr>
              <w:ind w:left="20"/>
              <w:spacing w:after="0"/>
              <w:rPr>
                <w:sz w:val="20"/>
                <w:szCs w:val="20"/>
                <w:color w:val="auto"/>
              </w:rPr>
            </w:pPr>
            <w:r>
              <w:rPr>
                <w:rFonts w:ascii="Arial" w:cs="Arial" w:eastAsia="Arial" w:hAnsi="Arial"/>
                <w:sz w:val="11"/>
                <w:szCs w:val="11"/>
                <w:color w:val="005A64"/>
              </w:rPr>
              <w:t>€75.91</w:t>
            </w: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Borders>
              <w:right w:val="single" w:sz="8" w:color="BECE33"/>
            </w:tcBorders>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160" w:type="dxa"/>
            <w:vAlign w:val="bottom"/>
            <w:tcBorders>
              <w:right w:val="single" w:sz="8" w:color="BECE33"/>
            </w:tcBorders>
            <w:gridSpan w:val="3"/>
          </w:tcPr>
          <w:p>
            <w:pPr>
              <w:ind w:left="20"/>
              <w:spacing w:after="0"/>
              <w:rPr>
                <w:sz w:val="20"/>
                <w:szCs w:val="20"/>
                <w:color w:val="auto"/>
              </w:rPr>
            </w:pPr>
            <w:r>
              <w:rPr>
                <w:rFonts w:ascii="Arial" w:cs="Arial" w:eastAsia="Arial" w:hAnsi="Arial"/>
                <w:sz w:val="11"/>
                <w:szCs w:val="11"/>
                <w:color w:val="005A64"/>
              </w:rPr>
              <w:t>Expected volatility</w:t>
            </w:r>
          </w:p>
        </w:tc>
        <w:tc>
          <w:tcPr>
            <w:tcW w:w="880" w:type="dxa"/>
            <w:vAlign w:val="bottom"/>
            <w:gridSpan w:val="2"/>
          </w:tcPr>
          <w:p>
            <w:pPr>
              <w:ind w:left="20"/>
              <w:spacing w:after="0"/>
              <w:rPr>
                <w:sz w:val="20"/>
                <w:szCs w:val="20"/>
                <w:color w:val="auto"/>
              </w:rPr>
            </w:pPr>
            <w:r>
              <w:rPr>
                <w:rFonts w:ascii="Arial" w:cs="Arial" w:eastAsia="Arial" w:hAnsi="Arial"/>
                <w:sz w:val="11"/>
                <w:szCs w:val="11"/>
                <w:color w:val="005A64"/>
              </w:rPr>
              <w:t>36.6%</w:t>
            </w:r>
          </w:p>
        </w:tc>
        <w:tc>
          <w:tcPr>
            <w:tcW w:w="920" w:type="dxa"/>
            <w:vAlign w:val="bottom"/>
            <w:gridSpan w:val="2"/>
          </w:tcPr>
          <w:p>
            <w:pPr>
              <w:ind w:left="60"/>
              <w:spacing w:after="0"/>
              <w:rPr>
                <w:sz w:val="20"/>
                <w:szCs w:val="20"/>
                <w:color w:val="auto"/>
              </w:rPr>
            </w:pPr>
            <w:r>
              <w:rPr>
                <w:rFonts w:ascii="Arial" w:cs="Arial" w:eastAsia="Arial" w:hAnsi="Arial"/>
                <w:sz w:val="11"/>
                <w:szCs w:val="11"/>
                <w:color w:val="005A64"/>
              </w:rPr>
              <w:t>56.2%</w:t>
            </w:r>
          </w:p>
        </w:tc>
        <w:tc>
          <w:tcPr>
            <w:tcW w:w="920" w:type="dxa"/>
            <w:vAlign w:val="bottom"/>
            <w:gridSpan w:val="2"/>
          </w:tcPr>
          <w:p>
            <w:pPr>
              <w:ind w:left="60"/>
              <w:spacing w:after="0"/>
              <w:rPr>
                <w:sz w:val="20"/>
                <w:szCs w:val="20"/>
                <w:color w:val="auto"/>
              </w:rPr>
            </w:pPr>
            <w:r>
              <w:rPr>
                <w:rFonts w:ascii="Arial" w:cs="Arial" w:eastAsia="Arial" w:hAnsi="Arial"/>
                <w:sz w:val="11"/>
                <w:szCs w:val="11"/>
                <w:color w:val="005A64"/>
              </w:rPr>
              <w:t>52.3%</w:t>
            </w:r>
          </w:p>
        </w:tc>
        <w:tc>
          <w:tcPr>
            <w:tcW w:w="580" w:type="dxa"/>
            <w:vAlign w:val="bottom"/>
            <w:gridSpan w:val="2"/>
          </w:tcPr>
          <w:p>
            <w:pPr>
              <w:ind w:left="80"/>
              <w:spacing w:after="0"/>
              <w:rPr>
                <w:sz w:val="20"/>
                <w:szCs w:val="20"/>
                <w:color w:val="auto"/>
              </w:rPr>
            </w:pPr>
            <w:r>
              <w:rPr>
                <w:rFonts w:ascii="Arial" w:cs="Arial" w:eastAsia="Arial" w:hAnsi="Arial"/>
                <w:sz w:val="11"/>
                <w:szCs w:val="11"/>
                <w:color w:val="005A64"/>
              </w:rPr>
              <w:t>53.5%</w:t>
            </w:r>
          </w:p>
        </w:tc>
        <w:tc>
          <w:tcPr>
            <w:tcW w:w="3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color w:val="005A64"/>
              </w:rPr>
              <w:t>47.2%</w:t>
            </w:r>
          </w:p>
        </w:tc>
        <w:tc>
          <w:tcPr>
            <w:tcW w:w="940" w:type="dxa"/>
            <w:vAlign w:val="bottom"/>
            <w:gridSpan w:val="2"/>
          </w:tcPr>
          <w:p>
            <w:pPr>
              <w:ind w:left="80"/>
              <w:spacing w:after="0"/>
              <w:rPr>
                <w:sz w:val="20"/>
                <w:szCs w:val="20"/>
                <w:color w:val="auto"/>
              </w:rPr>
            </w:pPr>
            <w:r>
              <w:rPr>
                <w:rFonts w:ascii="Arial" w:cs="Arial" w:eastAsia="Arial" w:hAnsi="Arial"/>
                <w:sz w:val="11"/>
                <w:szCs w:val="11"/>
                <w:color w:val="005A64"/>
              </w:rPr>
              <w:t>48.9%</w:t>
            </w:r>
          </w:p>
        </w:tc>
        <w:tc>
          <w:tcPr>
            <w:tcW w:w="60" w:type="dxa"/>
            <w:vAlign w:val="bottom"/>
            <w:tcBorders>
              <w:right w:val="single" w:sz="8" w:color="BECE33"/>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160" w:type="dxa"/>
            <w:vAlign w:val="bottom"/>
            <w:tcBorders>
              <w:right w:val="single" w:sz="8" w:color="BECE33"/>
            </w:tcBorders>
            <w:gridSpan w:val="3"/>
          </w:tcPr>
          <w:p>
            <w:pPr>
              <w:ind w:left="20"/>
              <w:spacing w:after="0"/>
              <w:rPr>
                <w:sz w:val="20"/>
                <w:szCs w:val="20"/>
                <w:color w:val="auto"/>
              </w:rPr>
            </w:pPr>
            <w:r>
              <w:rPr>
                <w:rFonts w:ascii="Arial" w:cs="Arial" w:eastAsia="Arial" w:hAnsi="Arial"/>
                <w:sz w:val="11"/>
                <w:szCs w:val="11"/>
                <w:color w:val="005A64"/>
              </w:rPr>
              <w:t>Expected life (years)</w:t>
            </w:r>
          </w:p>
        </w:tc>
        <w:tc>
          <w:tcPr>
            <w:tcW w:w="880" w:type="dxa"/>
            <w:vAlign w:val="bottom"/>
            <w:gridSpan w:val="2"/>
          </w:tcPr>
          <w:p>
            <w:pPr>
              <w:ind w:left="20"/>
              <w:spacing w:after="0"/>
              <w:rPr>
                <w:sz w:val="20"/>
                <w:szCs w:val="20"/>
                <w:color w:val="auto"/>
              </w:rPr>
            </w:pPr>
            <w:r>
              <w:rPr>
                <w:rFonts w:ascii="Arial" w:cs="Arial" w:eastAsia="Arial" w:hAnsi="Arial"/>
                <w:sz w:val="11"/>
                <w:szCs w:val="11"/>
                <w:color w:val="005A64"/>
              </w:rPr>
              <w:t>4.8</w:t>
            </w:r>
          </w:p>
        </w:tc>
        <w:tc>
          <w:tcPr>
            <w:tcW w:w="920" w:type="dxa"/>
            <w:vAlign w:val="bottom"/>
            <w:gridSpan w:val="2"/>
          </w:tcPr>
          <w:p>
            <w:pPr>
              <w:ind w:left="60"/>
              <w:spacing w:after="0"/>
              <w:rPr>
                <w:sz w:val="20"/>
                <w:szCs w:val="20"/>
                <w:color w:val="auto"/>
              </w:rPr>
            </w:pPr>
            <w:r>
              <w:rPr>
                <w:rFonts w:ascii="Arial" w:cs="Arial" w:eastAsia="Arial" w:hAnsi="Arial"/>
                <w:sz w:val="11"/>
                <w:szCs w:val="11"/>
                <w:color w:val="005A64"/>
              </w:rPr>
              <w:t>4.6</w:t>
            </w:r>
          </w:p>
        </w:tc>
        <w:tc>
          <w:tcPr>
            <w:tcW w:w="920" w:type="dxa"/>
            <w:vAlign w:val="bottom"/>
            <w:gridSpan w:val="2"/>
          </w:tcPr>
          <w:p>
            <w:pPr>
              <w:ind w:left="60"/>
              <w:spacing w:after="0"/>
              <w:rPr>
                <w:sz w:val="20"/>
                <w:szCs w:val="20"/>
                <w:color w:val="auto"/>
              </w:rPr>
            </w:pPr>
            <w:r>
              <w:rPr>
                <w:rFonts w:ascii="Arial" w:cs="Arial" w:eastAsia="Arial" w:hAnsi="Arial"/>
                <w:sz w:val="11"/>
                <w:szCs w:val="11"/>
                <w:color w:val="005A64"/>
              </w:rPr>
              <w:t>4.6</w:t>
            </w:r>
          </w:p>
        </w:tc>
        <w:tc>
          <w:tcPr>
            <w:tcW w:w="580" w:type="dxa"/>
            <w:vAlign w:val="bottom"/>
            <w:gridSpan w:val="2"/>
          </w:tcPr>
          <w:p>
            <w:pPr>
              <w:ind w:left="80"/>
              <w:spacing w:after="0"/>
              <w:rPr>
                <w:sz w:val="20"/>
                <w:szCs w:val="20"/>
                <w:color w:val="auto"/>
              </w:rPr>
            </w:pPr>
            <w:r>
              <w:rPr>
                <w:rFonts w:ascii="Arial" w:cs="Arial" w:eastAsia="Arial" w:hAnsi="Arial"/>
                <w:sz w:val="11"/>
                <w:szCs w:val="11"/>
                <w:color w:val="005A64"/>
              </w:rPr>
              <w:t>5.8</w:t>
            </w:r>
          </w:p>
        </w:tc>
        <w:tc>
          <w:tcPr>
            <w:tcW w:w="3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color w:val="005A64"/>
              </w:rPr>
              <w:t>5.8</w:t>
            </w:r>
          </w:p>
        </w:tc>
        <w:tc>
          <w:tcPr>
            <w:tcW w:w="940" w:type="dxa"/>
            <w:vAlign w:val="bottom"/>
            <w:gridSpan w:val="2"/>
          </w:tcPr>
          <w:p>
            <w:pPr>
              <w:ind w:left="80"/>
              <w:spacing w:after="0"/>
              <w:rPr>
                <w:sz w:val="20"/>
                <w:szCs w:val="20"/>
                <w:color w:val="auto"/>
              </w:rPr>
            </w:pPr>
            <w:r>
              <w:rPr>
                <w:rFonts w:ascii="Arial" w:cs="Arial" w:eastAsia="Arial" w:hAnsi="Arial"/>
                <w:sz w:val="11"/>
                <w:szCs w:val="11"/>
                <w:color w:val="005A64"/>
              </w:rPr>
              <w:t>5.8</w:t>
            </w:r>
          </w:p>
        </w:tc>
        <w:tc>
          <w:tcPr>
            <w:tcW w:w="6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160" w:type="dxa"/>
            <w:vAlign w:val="bottom"/>
            <w:tcBorders>
              <w:right w:val="single" w:sz="8" w:color="BECE33"/>
            </w:tcBorders>
            <w:gridSpan w:val="3"/>
          </w:tcPr>
          <w:p>
            <w:pPr>
              <w:ind w:left="20"/>
              <w:spacing w:after="0"/>
              <w:rPr>
                <w:sz w:val="20"/>
                <w:szCs w:val="20"/>
                <w:color w:val="auto"/>
              </w:rPr>
            </w:pPr>
            <w:r>
              <w:rPr>
                <w:rFonts w:ascii="Arial" w:cs="Arial" w:eastAsia="Arial" w:hAnsi="Arial"/>
                <w:sz w:val="11"/>
                <w:szCs w:val="11"/>
                <w:color w:val="005A64"/>
              </w:rPr>
              <w:t>Risk-free interest</w:t>
            </w:r>
          </w:p>
        </w:tc>
        <w:tc>
          <w:tcPr>
            <w:tcW w:w="880" w:type="dxa"/>
            <w:vAlign w:val="bottom"/>
            <w:gridSpan w:val="2"/>
          </w:tcPr>
          <w:p>
            <w:pPr>
              <w:ind w:left="20"/>
              <w:spacing w:after="0"/>
              <w:rPr>
                <w:sz w:val="20"/>
                <w:szCs w:val="20"/>
                <w:color w:val="auto"/>
              </w:rPr>
            </w:pPr>
            <w:r>
              <w:rPr>
                <w:rFonts w:ascii="Arial" w:cs="Arial" w:eastAsia="Arial" w:hAnsi="Arial"/>
                <w:sz w:val="11"/>
                <w:szCs w:val="11"/>
                <w:color w:val="005A64"/>
              </w:rPr>
              <w:t>1.6%</w:t>
            </w:r>
          </w:p>
        </w:tc>
        <w:tc>
          <w:tcPr>
            <w:tcW w:w="920" w:type="dxa"/>
            <w:vAlign w:val="bottom"/>
            <w:gridSpan w:val="2"/>
          </w:tcPr>
          <w:p>
            <w:pPr>
              <w:ind w:left="60"/>
              <w:spacing w:after="0"/>
              <w:rPr>
                <w:sz w:val="20"/>
                <w:szCs w:val="20"/>
                <w:color w:val="auto"/>
              </w:rPr>
            </w:pPr>
            <w:r>
              <w:rPr>
                <w:rFonts w:ascii="Arial" w:cs="Arial" w:eastAsia="Arial" w:hAnsi="Arial"/>
                <w:sz w:val="11"/>
                <w:szCs w:val="11"/>
                <w:color w:val="005A64"/>
              </w:rPr>
              <w:t>4.5%</w:t>
            </w:r>
          </w:p>
        </w:tc>
        <w:tc>
          <w:tcPr>
            <w:tcW w:w="920" w:type="dxa"/>
            <w:vAlign w:val="bottom"/>
            <w:gridSpan w:val="2"/>
          </w:tcPr>
          <w:p>
            <w:pPr>
              <w:ind w:left="60"/>
              <w:spacing w:after="0"/>
              <w:rPr>
                <w:sz w:val="20"/>
                <w:szCs w:val="20"/>
                <w:color w:val="auto"/>
              </w:rPr>
            </w:pPr>
            <w:r>
              <w:rPr>
                <w:rFonts w:ascii="Arial" w:cs="Arial" w:eastAsia="Arial" w:hAnsi="Arial"/>
                <w:sz w:val="11"/>
                <w:szCs w:val="11"/>
                <w:color w:val="005A64"/>
              </w:rPr>
              <w:t>4.2%</w:t>
            </w:r>
          </w:p>
        </w:tc>
        <w:tc>
          <w:tcPr>
            <w:tcW w:w="580" w:type="dxa"/>
            <w:vAlign w:val="bottom"/>
            <w:gridSpan w:val="2"/>
          </w:tcPr>
          <w:p>
            <w:pPr>
              <w:ind w:left="80"/>
              <w:spacing w:after="0"/>
              <w:rPr>
                <w:sz w:val="20"/>
                <w:szCs w:val="20"/>
                <w:color w:val="auto"/>
              </w:rPr>
            </w:pPr>
            <w:r>
              <w:rPr>
                <w:rFonts w:ascii="Arial" w:cs="Arial" w:eastAsia="Arial" w:hAnsi="Arial"/>
                <w:sz w:val="11"/>
                <w:szCs w:val="11"/>
                <w:color w:val="005A64"/>
              </w:rPr>
              <w:t>4.5%</w:t>
            </w:r>
          </w:p>
        </w:tc>
        <w:tc>
          <w:tcPr>
            <w:tcW w:w="3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color w:val="005A64"/>
              </w:rPr>
              <w:t>3.7%</w:t>
            </w:r>
          </w:p>
        </w:tc>
        <w:tc>
          <w:tcPr>
            <w:tcW w:w="940" w:type="dxa"/>
            <w:vAlign w:val="bottom"/>
            <w:gridSpan w:val="2"/>
          </w:tcPr>
          <w:p>
            <w:pPr>
              <w:ind w:left="80"/>
              <w:spacing w:after="0"/>
              <w:rPr>
                <w:sz w:val="20"/>
                <w:szCs w:val="20"/>
                <w:color w:val="auto"/>
              </w:rPr>
            </w:pPr>
            <w:r>
              <w:rPr>
                <w:rFonts w:ascii="Arial" w:cs="Arial" w:eastAsia="Arial" w:hAnsi="Arial"/>
                <w:sz w:val="11"/>
                <w:szCs w:val="11"/>
                <w:color w:val="005A64"/>
              </w:rPr>
              <w:t>3.8%</w:t>
            </w:r>
          </w:p>
        </w:tc>
        <w:tc>
          <w:tcPr>
            <w:tcW w:w="60" w:type="dxa"/>
            <w:vAlign w:val="bottom"/>
            <w:tcBorders>
              <w:right w:val="single" w:sz="8" w:color="BECE33"/>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20"/>
              <w:spacing w:after="0"/>
              <w:rPr>
                <w:sz w:val="20"/>
                <w:szCs w:val="20"/>
                <w:color w:val="auto"/>
              </w:rPr>
            </w:pPr>
            <w:r>
              <w:rPr>
                <w:rFonts w:ascii="Arial" w:cs="Arial" w:eastAsia="Arial" w:hAnsi="Arial"/>
                <w:sz w:val="11"/>
                <w:szCs w:val="11"/>
                <w:color w:val="005A64"/>
              </w:rPr>
              <w:t>rate</w:t>
            </w:r>
          </w:p>
        </w:tc>
        <w:tc>
          <w:tcPr>
            <w:tcW w:w="400" w:type="dxa"/>
            <w:vAlign w:val="bottom"/>
          </w:tcPr>
          <w:p>
            <w:pPr>
              <w:spacing w:after="0"/>
              <w:rPr>
                <w:sz w:val="12"/>
                <w:szCs w:val="12"/>
                <w:color w:val="auto"/>
              </w:rPr>
            </w:pPr>
          </w:p>
        </w:tc>
        <w:tc>
          <w:tcPr>
            <w:tcW w:w="40" w:type="dxa"/>
            <w:vAlign w:val="bottom"/>
            <w:tcBorders>
              <w:right w:val="single" w:sz="8" w:color="BECE33"/>
            </w:tcBorders>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Borders>
              <w:right w:val="single" w:sz="8" w:color="BECE33"/>
            </w:tcBorders>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720" w:type="dxa"/>
            <w:vAlign w:val="bottom"/>
            <w:tcBorders>
              <w:bottom w:val="single" w:sz="8" w:color="005A64"/>
            </w:tcBorders>
          </w:tcPr>
          <w:p>
            <w:pPr>
              <w:spacing w:after="0"/>
              <w:rPr>
                <w:sz w:val="7"/>
                <w:szCs w:val="7"/>
                <w:color w:val="auto"/>
              </w:rPr>
            </w:pPr>
          </w:p>
        </w:tc>
        <w:tc>
          <w:tcPr>
            <w:tcW w:w="400" w:type="dxa"/>
            <w:vAlign w:val="bottom"/>
            <w:tcBorders>
              <w:bottom w:val="single" w:sz="8" w:color="005A64"/>
            </w:tcBorders>
          </w:tcPr>
          <w:p>
            <w:pPr>
              <w:spacing w:after="0"/>
              <w:rPr>
                <w:sz w:val="7"/>
                <w:szCs w:val="7"/>
                <w:color w:val="auto"/>
              </w:rPr>
            </w:pPr>
          </w:p>
        </w:tc>
        <w:tc>
          <w:tcPr>
            <w:tcW w:w="40" w:type="dxa"/>
            <w:vAlign w:val="bottom"/>
            <w:tcBorders>
              <w:right w:val="single" w:sz="8" w:color="BECE33"/>
            </w:tcBorders>
          </w:tcPr>
          <w:p>
            <w:pPr>
              <w:spacing w:after="0"/>
              <w:rPr>
                <w:sz w:val="7"/>
                <w:szCs w:val="7"/>
                <w:color w:val="auto"/>
              </w:rPr>
            </w:pPr>
          </w:p>
        </w:tc>
        <w:tc>
          <w:tcPr>
            <w:tcW w:w="20" w:type="dxa"/>
            <w:vAlign w:val="bottom"/>
            <w:tcBorders>
              <w:bottom w:val="single" w:sz="8" w:color="BECE33"/>
            </w:tcBorders>
          </w:tcPr>
          <w:p>
            <w:pPr>
              <w:spacing w:after="0"/>
              <w:rPr>
                <w:sz w:val="7"/>
                <w:szCs w:val="7"/>
                <w:color w:val="auto"/>
              </w:rPr>
            </w:pPr>
          </w:p>
        </w:tc>
        <w:tc>
          <w:tcPr>
            <w:tcW w:w="860" w:type="dxa"/>
            <w:vAlign w:val="bottom"/>
            <w:tcBorders>
              <w:bottom w:val="single" w:sz="8" w:color="BECE33"/>
            </w:tcBorders>
          </w:tcPr>
          <w:p>
            <w:pPr>
              <w:spacing w:after="0"/>
              <w:rPr>
                <w:sz w:val="7"/>
                <w:szCs w:val="7"/>
                <w:color w:val="auto"/>
              </w:rPr>
            </w:pPr>
          </w:p>
        </w:tc>
        <w:tc>
          <w:tcPr>
            <w:tcW w:w="60" w:type="dxa"/>
            <w:vAlign w:val="bottom"/>
            <w:tcBorders>
              <w:bottom w:val="single" w:sz="8" w:color="BECE33"/>
            </w:tcBorders>
          </w:tcPr>
          <w:p>
            <w:pPr>
              <w:spacing w:after="0"/>
              <w:rPr>
                <w:sz w:val="7"/>
                <w:szCs w:val="7"/>
                <w:color w:val="auto"/>
              </w:rPr>
            </w:pPr>
          </w:p>
        </w:tc>
        <w:tc>
          <w:tcPr>
            <w:tcW w:w="860" w:type="dxa"/>
            <w:vAlign w:val="bottom"/>
            <w:tcBorders>
              <w:bottom w:val="single" w:sz="8" w:color="BECE33"/>
            </w:tcBorders>
          </w:tcPr>
          <w:p>
            <w:pPr>
              <w:spacing w:after="0"/>
              <w:rPr>
                <w:sz w:val="7"/>
                <w:szCs w:val="7"/>
                <w:color w:val="auto"/>
              </w:rPr>
            </w:pPr>
          </w:p>
        </w:tc>
        <w:tc>
          <w:tcPr>
            <w:tcW w:w="60" w:type="dxa"/>
            <w:vAlign w:val="bottom"/>
            <w:tcBorders>
              <w:bottom w:val="single" w:sz="8" w:color="BECE33"/>
            </w:tcBorders>
          </w:tcPr>
          <w:p>
            <w:pPr>
              <w:spacing w:after="0"/>
              <w:rPr>
                <w:sz w:val="7"/>
                <w:szCs w:val="7"/>
                <w:color w:val="auto"/>
              </w:rPr>
            </w:pPr>
          </w:p>
        </w:tc>
        <w:tc>
          <w:tcPr>
            <w:tcW w:w="860" w:type="dxa"/>
            <w:vAlign w:val="bottom"/>
            <w:tcBorders>
              <w:bottom w:val="single" w:sz="8" w:color="BECE33"/>
            </w:tcBorders>
          </w:tcPr>
          <w:p>
            <w:pPr>
              <w:spacing w:after="0"/>
              <w:rPr>
                <w:sz w:val="7"/>
                <w:szCs w:val="7"/>
                <w:color w:val="auto"/>
              </w:rPr>
            </w:pPr>
          </w:p>
        </w:tc>
        <w:tc>
          <w:tcPr>
            <w:tcW w:w="60" w:type="dxa"/>
            <w:vAlign w:val="bottom"/>
            <w:tcBorders>
              <w:bottom w:val="single" w:sz="8" w:color="BECE33"/>
            </w:tcBorders>
          </w:tcPr>
          <w:p>
            <w:pPr>
              <w:spacing w:after="0"/>
              <w:rPr>
                <w:sz w:val="7"/>
                <w:szCs w:val="7"/>
                <w:color w:val="auto"/>
              </w:rPr>
            </w:pPr>
          </w:p>
        </w:tc>
        <w:tc>
          <w:tcPr>
            <w:tcW w:w="520" w:type="dxa"/>
            <w:vAlign w:val="bottom"/>
            <w:tcBorders>
              <w:bottom w:val="single" w:sz="8" w:color="BECE33"/>
            </w:tcBorders>
          </w:tcPr>
          <w:p>
            <w:pPr>
              <w:spacing w:after="0"/>
              <w:rPr>
                <w:sz w:val="7"/>
                <w:szCs w:val="7"/>
                <w:color w:val="auto"/>
              </w:rPr>
            </w:pPr>
          </w:p>
        </w:tc>
        <w:tc>
          <w:tcPr>
            <w:tcW w:w="360" w:type="dxa"/>
            <w:vAlign w:val="bottom"/>
            <w:tcBorders>
              <w:bottom w:val="single" w:sz="8" w:color="BECE33"/>
            </w:tcBorders>
          </w:tcPr>
          <w:p>
            <w:pPr>
              <w:spacing w:after="0"/>
              <w:rPr>
                <w:sz w:val="7"/>
                <w:szCs w:val="7"/>
                <w:color w:val="auto"/>
              </w:rPr>
            </w:pPr>
          </w:p>
        </w:tc>
        <w:tc>
          <w:tcPr>
            <w:tcW w:w="60" w:type="dxa"/>
            <w:vAlign w:val="bottom"/>
            <w:tcBorders>
              <w:bottom w:val="single" w:sz="8" w:color="BECE33"/>
            </w:tcBorders>
          </w:tcPr>
          <w:p>
            <w:pPr>
              <w:spacing w:after="0"/>
              <w:rPr>
                <w:sz w:val="7"/>
                <w:szCs w:val="7"/>
                <w:color w:val="auto"/>
              </w:rPr>
            </w:pPr>
          </w:p>
        </w:tc>
        <w:tc>
          <w:tcPr>
            <w:tcW w:w="860" w:type="dxa"/>
            <w:vAlign w:val="bottom"/>
            <w:tcBorders>
              <w:bottom w:val="single" w:sz="8" w:color="BECE33"/>
            </w:tcBorders>
          </w:tcPr>
          <w:p>
            <w:pPr>
              <w:spacing w:after="0"/>
              <w:rPr>
                <w:sz w:val="7"/>
                <w:szCs w:val="7"/>
                <w:color w:val="auto"/>
              </w:rPr>
            </w:pPr>
          </w:p>
        </w:tc>
        <w:tc>
          <w:tcPr>
            <w:tcW w:w="60" w:type="dxa"/>
            <w:vAlign w:val="bottom"/>
            <w:tcBorders>
              <w:bottom w:val="single" w:sz="8" w:color="BECE33"/>
            </w:tcBorders>
          </w:tcPr>
          <w:p>
            <w:pPr>
              <w:spacing w:after="0"/>
              <w:rPr>
                <w:sz w:val="7"/>
                <w:szCs w:val="7"/>
                <w:color w:val="auto"/>
              </w:rPr>
            </w:pPr>
          </w:p>
        </w:tc>
        <w:tc>
          <w:tcPr>
            <w:tcW w:w="880" w:type="dxa"/>
            <w:vAlign w:val="bottom"/>
            <w:tcBorders>
              <w:bottom w:val="single" w:sz="8" w:color="BECE33"/>
            </w:tcBorders>
          </w:tcPr>
          <w:p>
            <w:pPr>
              <w:spacing w:after="0"/>
              <w:rPr>
                <w:sz w:val="7"/>
                <w:szCs w:val="7"/>
                <w:color w:val="auto"/>
              </w:rPr>
            </w:pPr>
          </w:p>
        </w:tc>
        <w:tc>
          <w:tcPr>
            <w:tcW w:w="60" w:type="dxa"/>
            <w:vAlign w:val="bottom"/>
            <w:tcBorders>
              <w:bottom w:val="single" w:sz="8" w:color="BECE33"/>
              <w:right w:val="single" w:sz="8" w:color="BECE33"/>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80" w:right="2440" w:firstLine="3"/>
        <w:spacing w:after="0" w:line="209" w:lineRule="auto"/>
        <w:tabs>
          <w:tab w:leader="none" w:pos="582" w:val="left"/>
        </w:tabs>
        <w:numPr>
          <w:ilvl w:val="0"/>
          <w:numId w:val="56"/>
        </w:numPr>
        <w:rPr>
          <w:rFonts w:ascii="Arial" w:cs="Arial" w:eastAsia="Arial" w:hAnsi="Arial"/>
          <w:sz w:val="16"/>
          <w:szCs w:val="16"/>
          <w:color w:val="005A64"/>
          <w:vertAlign w:val="superscript"/>
        </w:rPr>
      </w:pPr>
      <w:r>
        <w:rPr>
          <w:rFonts w:ascii="Arial" w:cs="Arial" w:eastAsia="Arial" w:hAnsi="Arial"/>
          <w:sz w:val="12"/>
          <w:szCs w:val="12"/>
          <w:color w:val="005A64"/>
        </w:rPr>
        <w:t>Classified as cash-settled share-based payment arrangement; all other share-based payment arrangements are classified as equity-settled.</w:t>
      </w:r>
    </w:p>
    <w:p>
      <w:pPr>
        <w:spacing w:after="0" w:line="12" w:lineRule="exact"/>
        <w:rPr>
          <w:rFonts w:ascii="Arial" w:cs="Arial" w:eastAsia="Arial" w:hAnsi="Arial"/>
          <w:sz w:val="16"/>
          <w:szCs w:val="16"/>
          <w:color w:val="005A64"/>
          <w:vertAlign w:val="superscript"/>
        </w:rPr>
      </w:pPr>
    </w:p>
    <w:p>
      <w:pPr>
        <w:ind w:left="380" w:right="2180" w:firstLine="3"/>
        <w:spacing w:after="0" w:line="190" w:lineRule="auto"/>
        <w:tabs>
          <w:tab w:leader="none" w:pos="582" w:val="left"/>
        </w:tabs>
        <w:numPr>
          <w:ilvl w:val="0"/>
          <w:numId w:val="56"/>
        </w:numPr>
        <w:rPr>
          <w:rFonts w:ascii="Arial" w:cs="Arial" w:eastAsia="Arial" w:hAnsi="Arial"/>
          <w:sz w:val="16"/>
          <w:szCs w:val="16"/>
          <w:color w:val="005A64"/>
          <w:vertAlign w:val="superscript"/>
        </w:rPr>
      </w:pPr>
      <w:r>
        <w:rPr>
          <w:rFonts w:ascii="Arial" w:cs="Arial" w:eastAsia="Arial" w:hAnsi="Arial"/>
          <w:sz w:val="12"/>
          <w:szCs w:val="12"/>
          <w:color w:val="005A64"/>
        </w:rPr>
        <w:t>The share options allocated as of February 2020 and May 2023 as well as the phantom share options allocated as of May 2021 and 2022 are subject to an effective exercise price cap.</w:t>
      </w:r>
    </w:p>
    <w:p>
      <w:pPr>
        <w:ind w:left="380" w:right="2380"/>
        <w:spacing w:after="0" w:line="226" w:lineRule="auto"/>
        <w:rPr>
          <w:rFonts w:ascii="Arial" w:cs="Arial" w:eastAsia="Arial" w:hAnsi="Arial"/>
          <w:sz w:val="16"/>
          <w:szCs w:val="16"/>
          <w:color w:val="005A64"/>
          <w:vertAlign w:val="superscript"/>
        </w:rPr>
      </w:pPr>
      <w:r>
        <w:rPr>
          <w:rFonts w:ascii="Arial" w:cs="Arial" w:eastAsia="Arial" w:hAnsi="Arial"/>
          <w:sz w:val="13"/>
          <w:szCs w:val="13"/>
          <w:color w:val="auto"/>
        </w:rPr>
        <w:t>For the awards with estimated allocation dates, the exercise prices of options expected to be allocated have been derived from the Monte-Carlo simulation model. Those will be adjusted until the actual allocation has occurred and the exercise price has ultimately been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F-63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sectPr>
          <w:pgSz w:w="11900" w:h="16840" w:orient="portrait"/>
          <w:cols w:equalWidth="0" w:num="1">
            <w:col w:w="9020"/>
          </w:cols>
          <w:pgMar w:left="1440" w:top="1440" w:right="1440" w:bottom="643" w:gutter="0" w:footer="0" w:header="0"/>
        </w:sectPr>
      </w:pPr>
    </w:p>
    <w:p>
      <w:pPr>
        <w:ind w:left="1120"/>
        <w:spacing w:after="0"/>
        <w:rPr>
          <w:rFonts w:ascii="Arial" w:cs="Arial" w:eastAsia="Arial" w:hAnsi="Arial"/>
          <w:sz w:val="9"/>
          <w:szCs w:val="9"/>
          <w:b w:val="1"/>
          <w:bCs w:val="1"/>
          <w:color w:val="005A64"/>
        </w:rPr>
      </w:pPr>
      <w:hyperlink w:anchor="page3">
        <w:r>
          <w:rPr>
            <w:rFonts w:ascii="Arial" w:cs="Arial" w:eastAsia="Arial" w:hAnsi="Arial"/>
            <w:sz w:val="9"/>
            <w:szCs w:val="9"/>
            <w:b w:val="1"/>
            <w:bCs w:val="1"/>
            <w:color w:val="005A64"/>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37465</wp:posOffset>
            </wp:positionV>
            <wp:extent cx="5231130" cy="63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5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sectPr>
          <w:pgSz w:w="11900" w:h="16840" w:orient="portrait"/>
          <w:cols w:equalWidth="0" w:num="1">
            <w:col w:w="9020"/>
          </w:cols>
          <w:pgMar w:left="1440" w:top="1440" w:right="1440" w:bottom="643" w:gutter="0" w:footer="0" w:header="0"/>
          <w:type w:val="continuous"/>
        </w:sectPr>
      </w:pPr>
    </w:p>
    <w:bookmarkStart w:id="223" w:name="page224"/>
    <w:bookmarkEnd w:id="223"/>
    <w:p>
      <w:pPr>
        <w:spacing w:after="0" w:line="3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1157605</wp:posOffset>
            </wp:positionH>
            <wp:positionV relativeFrom="page">
              <wp:posOffset>663575</wp:posOffset>
            </wp:positionV>
            <wp:extent cx="1193800" cy="63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9">
                      <a:extLst>
                        <a:ext uri="{28A0092B-C50C-407E-A947-70E740481C1C}"/>
                      </a:extLst>
                    </a:blip>
                    <a:srcRect/>
                    <a:stretch>
                      <a:fillRect/>
                    </a:stretch>
                  </pic:blipFill>
                  <pic:spPr bwMode="auto">
                    <a:xfrm>
                      <a:off x="0" y="0"/>
                      <a:ext cx="1193800" cy="635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1"/>
          <w:szCs w:val="11"/>
          <w:color w:val="005A64"/>
        </w:rPr>
        <w:t>Weighted average fair value</w:t>
      </w:r>
      <w:r>
        <w:rPr>
          <w:rFonts w:ascii="Arial" w:cs="Arial" w:eastAsia="Arial" w:hAnsi="Arial"/>
          <w:sz w:val="14"/>
          <w:szCs w:val="14"/>
          <w:color w:val="005A64"/>
          <w:vertAlign w:val="superscript"/>
        </w:rPr>
        <w:t>(1)</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0"/>
          <w:szCs w:val="10"/>
          <w:color w:val="005A64"/>
        </w:rPr>
        <w:t>Weighted average share price</w:t>
      </w:r>
      <w:r>
        <w:rPr>
          <w:rFonts w:ascii="Arial" w:cs="Arial" w:eastAsia="Arial" w:hAnsi="Arial"/>
          <w:sz w:val="13"/>
          <w:szCs w:val="13"/>
          <w:color w:val="005A64"/>
          <w:vertAlign w:val="superscript"/>
        </w:rPr>
        <w:t>(1)</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1"/>
          <w:szCs w:val="11"/>
          <w:color w:val="005A64"/>
        </w:rPr>
        <w:t>Exercise price</w:t>
      </w:r>
      <w:r>
        <w:rPr>
          <w:rFonts w:ascii="Arial" w:cs="Arial" w:eastAsia="Arial" w:hAnsi="Arial"/>
          <w:sz w:val="14"/>
          <w:szCs w:val="14"/>
          <w:color w:val="005A64"/>
          <w:vertAlign w:val="superscript"/>
        </w:rPr>
        <w:t>(1)</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1"/>
          <w:szCs w:val="11"/>
          <w:color w:val="005A64"/>
        </w:rPr>
        <w:t>Expected volatility</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1"/>
          <w:szCs w:val="11"/>
          <w:color w:val="005A64"/>
        </w:rPr>
        <w:t>Expected life (years)</w:t>
      </w:r>
      <w:r>
        <w:rPr>
          <w:rFonts w:ascii="Arial" w:cs="Arial" w:eastAsia="Arial" w:hAnsi="Arial"/>
          <w:sz w:val="14"/>
          <w:szCs w:val="14"/>
          <w:color w:val="005A64"/>
          <w:vertAlign w:val="superscript"/>
        </w:rPr>
        <w:t>(1)</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1"/>
          <w:szCs w:val="11"/>
          <w:color w:val="005A64"/>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50165</wp:posOffset>
            </wp:positionV>
            <wp:extent cx="1193800" cy="63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60">
                      <a:extLst>
                        <a:ext uri="{28A0092B-C50C-407E-A947-70E740481C1C}"/>
                      </a:extLst>
                    </a:blip>
                    <a:srcRect/>
                    <a:stretch>
                      <a:fillRect/>
                    </a:stretch>
                  </pic:blipFill>
                  <pic:spPr bwMode="auto">
                    <a:xfrm>
                      <a:off x="0" y="0"/>
                      <a:ext cx="119380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11"/>
        </w:trPr>
        <w:tc>
          <w:tcPr>
            <w:tcW w:w="40" w:type="dxa"/>
            <w:vAlign w:val="bottom"/>
            <w:tcBorders>
              <w:top w:val="single" w:sz="8" w:color="BECE33"/>
              <w:left w:val="single" w:sz="8" w:color="BECE33"/>
            </w:tcBorders>
          </w:tcPr>
          <w:p>
            <w:pPr>
              <w:spacing w:after="0"/>
              <w:rPr>
                <w:sz w:val="9"/>
                <w:szCs w:val="9"/>
                <w:color w:val="auto"/>
              </w:rPr>
            </w:pPr>
          </w:p>
        </w:tc>
        <w:tc>
          <w:tcPr>
            <w:tcW w:w="1140" w:type="dxa"/>
            <w:vAlign w:val="bottom"/>
            <w:tcBorders>
              <w:top w:val="single" w:sz="8" w:color="BECE33"/>
            </w:tcBorders>
          </w:tcPr>
          <w:p>
            <w:pPr>
              <w:ind w:left="20"/>
              <w:spacing w:after="0" w:line="111" w:lineRule="exact"/>
              <w:rPr>
                <w:sz w:val="20"/>
                <w:szCs w:val="20"/>
                <w:color w:val="auto"/>
              </w:rPr>
            </w:pPr>
            <w:r>
              <w:rPr>
                <w:rFonts w:ascii="Arial" w:cs="Arial" w:eastAsia="Arial" w:hAnsi="Arial"/>
                <w:sz w:val="11"/>
                <w:szCs w:val="11"/>
                <w:b w:val="1"/>
                <w:bCs w:val="1"/>
                <w:color w:val="005A64"/>
              </w:rPr>
              <w:t>Estimated allocation</w:t>
            </w:r>
          </w:p>
        </w:tc>
        <w:tc>
          <w:tcPr>
            <w:tcW w:w="60" w:type="dxa"/>
            <w:vAlign w:val="bottom"/>
            <w:tcBorders>
              <w:top w:val="single" w:sz="8" w:color="BECE33"/>
            </w:tcBorders>
          </w:tcPr>
          <w:p>
            <w:pPr>
              <w:spacing w:after="0"/>
              <w:rPr>
                <w:sz w:val="9"/>
                <w:szCs w:val="9"/>
                <w:color w:val="auto"/>
              </w:rPr>
            </w:pPr>
          </w:p>
        </w:tc>
        <w:tc>
          <w:tcPr>
            <w:tcW w:w="1140" w:type="dxa"/>
            <w:vAlign w:val="bottom"/>
            <w:tcBorders>
              <w:top w:val="single" w:sz="8" w:color="BECE33"/>
            </w:tcBorders>
          </w:tcPr>
          <w:p>
            <w:pPr>
              <w:spacing w:after="0" w:line="111" w:lineRule="exact"/>
              <w:rPr>
                <w:sz w:val="20"/>
                <w:szCs w:val="20"/>
                <w:color w:val="auto"/>
              </w:rPr>
            </w:pPr>
            <w:r>
              <w:rPr>
                <w:rFonts w:ascii="Arial" w:cs="Arial" w:eastAsia="Arial" w:hAnsi="Arial"/>
                <w:sz w:val="11"/>
                <w:szCs w:val="11"/>
                <w:b w:val="1"/>
                <w:bCs w:val="1"/>
                <w:color w:val="005A64"/>
              </w:rPr>
              <w:t>Estimated allocation</w:t>
            </w:r>
          </w:p>
        </w:tc>
        <w:tc>
          <w:tcPr>
            <w:tcW w:w="40" w:type="dxa"/>
            <w:vAlign w:val="bottom"/>
            <w:tcBorders>
              <w:top w:val="single" w:sz="8" w:color="BECE33"/>
            </w:tcBorders>
          </w:tcPr>
          <w:p>
            <w:pPr>
              <w:spacing w:after="0"/>
              <w:rPr>
                <w:sz w:val="9"/>
                <w:szCs w:val="9"/>
                <w:color w:val="auto"/>
              </w:rPr>
            </w:pPr>
          </w:p>
        </w:tc>
        <w:tc>
          <w:tcPr>
            <w:tcW w:w="1160" w:type="dxa"/>
            <w:vAlign w:val="bottom"/>
            <w:tcBorders>
              <w:top w:val="single" w:sz="8" w:color="BECE33"/>
            </w:tcBorders>
          </w:tcPr>
          <w:p>
            <w:pPr>
              <w:ind w:left="20"/>
              <w:spacing w:after="0" w:line="111" w:lineRule="exact"/>
              <w:rPr>
                <w:sz w:val="20"/>
                <w:szCs w:val="20"/>
                <w:color w:val="auto"/>
              </w:rPr>
            </w:pPr>
            <w:r>
              <w:rPr>
                <w:rFonts w:ascii="Arial" w:cs="Arial" w:eastAsia="Arial" w:hAnsi="Arial"/>
                <w:sz w:val="11"/>
                <w:szCs w:val="11"/>
                <w:b w:val="1"/>
                <w:bCs w:val="1"/>
                <w:color w:val="005A64"/>
              </w:rPr>
              <w:t>Estimated allocation</w:t>
            </w:r>
          </w:p>
        </w:tc>
        <w:tc>
          <w:tcPr>
            <w:tcW w:w="60" w:type="dxa"/>
            <w:vAlign w:val="bottom"/>
            <w:tcBorders>
              <w:top w:val="single" w:sz="8" w:color="BECE33"/>
            </w:tcBorders>
          </w:tcPr>
          <w:p>
            <w:pPr>
              <w:spacing w:after="0"/>
              <w:rPr>
                <w:sz w:val="9"/>
                <w:szCs w:val="9"/>
                <w:color w:val="auto"/>
              </w:rPr>
            </w:pPr>
          </w:p>
        </w:tc>
        <w:tc>
          <w:tcPr>
            <w:tcW w:w="1200" w:type="dxa"/>
            <w:vAlign w:val="bottom"/>
            <w:tcBorders>
              <w:top w:val="single" w:sz="8" w:color="BECE33"/>
              <w:right w:val="single" w:sz="8" w:color="BECE33"/>
            </w:tcBorders>
            <w:gridSpan w:val="2"/>
          </w:tcPr>
          <w:p>
            <w:pPr>
              <w:spacing w:after="0" w:line="111" w:lineRule="exact"/>
              <w:rPr>
                <w:sz w:val="20"/>
                <w:szCs w:val="20"/>
                <w:color w:val="auto"/>
              </w:rPr>
            </w:pPr>
            <w:r>
              <w:rPr>
                <w:rFonts w:ascii="Arial" w:cs="Arial" w:eastAsia="Arial" w:hAnsi="Arial"/>
                <w:sz w:val="11"/>
                <w:szCs w:val="11"/>
                <w:b w:val="1"/>
                <w:bCs w:val="1"/>
                <w:color w:val="005A64"/>
              </w:rPr>
              <w:t>Estimated allocation</w:t>
            </w:r>
          </w:p>
        </w:tc>
      </w:tr>
      <w:tr>
        <w:trPr>
          <w:trHeight w:val="151"/>
        </w:trPr>
        <w:tc>
          <w:tcPr>
            <w:tcW w:w="40" w:type="dxa"/>
            <w:vAlign w:val="bottom"/>
            <w:tcBorders>
              <w:left w:val="single" w:sz="8" w:color="BECE33"/>
            </w:tcBorders>
          </w:tcPr>
          <w:p>
            <w:pPr>
              <w:spacing w:after="0"/>
              <w:rPr>
                <w:sz w:val="13"/>
                <w:szCs w:val="13"/>
                <w:color w:val="auto"/>
              </w:rPr>
            </w:pPr>
          </w:p>
        </w:tc>
        <w:tc>
          <w:tcPr>
            <w:tcW w:w="1140" w:type="dxa"/>
            <w:vAlign w:val="bottom"/>
          </w:tcPr>
          <w:p>
            <w:pPr>
              <w:ind w:left="20"/>
              <w:spacing w:after="0"/>
              <w:rPr>
                <w:sz w:val="20"/>
                <w:szCs w:val="20"/>
                <w:color w:val="auto"/>
              </w:rPr>
            </w:pPr>
            <w:r>
              <w:rPr>
                <w:rFonts w:ascii="Arial" w:cs="Arial" w:eastAsia="Arial" w:hAnsi="Arial"/>
                <w:sz w:val="11"/>
                <w:szCs w:val="11"/>
                <w:b w:val="1"/>
                <w:bCs w:val="1"/>
                <w:color w:val="005A64"/>
              </w:rPr>
              <w:t>date 2025</w:t>
            </w:r>
          </w:p>
        </w:tc>
        <w:tc>
          <w:tcPr>
            <w:tcW w:w="6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1"/>
                <w:szCs w:val="11"/>
                <w:b w:val="1"/>
                <w:bCs w:val="1"/>
                <w:color w:val="005A64"/>
              </w:rPr>
              <w:t>date 2026</w:t>
            </w:r>
          </w:p>
        </w:tc>
        <w:tc>
          <w:tcPr>
            <w:tcW w:w="40" w:type="dxa"/>
            <w:vAlign w:val="bottom"/>
          </w:tcPr>
          <w:p>
            <w:pPr>
              <w:spacing w:after="0"/>
              <w:rPr>
                <w:sz w:val="13"/>
                <w:szCs w:val="13"/>
                <w:color w:val="auto"/>
              </w:rPr>
            </w:pPr>
          </w:p>
        </w:tc>
        <w:tc>
          <w:tcPr>
            <w:tcW w:w="1160" w:type="dxa"/>
            <w:vAlign w:val="bottom"/>
          </w:tcPr>
          <w:p>
            <w:pPr>
              <w:ind w:left="20"/>
              <w:spacing w:after="0"/>
              <w:rPr>
                <w:sz w:val="20"/>
                <w:szCs w:val="20"/>
                <w:color w:val="auto"/>
              </w:rPr>
            </w:pPr>
            <w:r>
              <w:rPr>
                <w:rFonts w:ascii="Arial" w:cs="Arial" w:eastAsia="Arial" w:hAnsi="Arial"/>
                <w:sz w:val="11"/>
                <w:szCs w:val="11"/>
                <w:b w:val="1"/>
                <w:bCs w:val="1"/>
                <w:color w:val="005A64"/>
              </w:rPr>
              <w:t>date 2027</w:t>
            </w:r>
          </w:p>
        </w:tc>
        <w:tc>
          <w:tcPr>
            <w:tcW w:w="60" w:type="dxa"/>
            <w:vAlign w:val="bottom"/>
          </w:tcPr>
          <w:p>
            <w:pPr>
              <w:spacing w:after="0"/>
              <w:rPr>
                <w:sz w:val="13"/>
                <w:szCs w:val="13"/>
                <w:color w:val="auto"/>
              </w:rPr>
            </w:pPr>
          </w:p>
        </w:tc>
        <w:tc>
          <w:tcPr>
            <w:tcW w:w="1200" w:type="dxa"/>
            <w:vAlign w:val="bottom"/>
            <w:tcBorders>
              <w:right w:val="single" w:sz="8" w:color="BECE33"/>
            </w:tcBorders>
            <w:gridSpan w:val="2"/>
          </w:tcPr>
          <w:p>
            <w:pPr>
              <w:spacing w:after="0"/>
              <w:rPr>
                <w:sz w:val="20"/>
                <w:szCs w:val="20"/>
                <w:color w:val="auto"/>
              </w:rPr>
            </w:pPr>
            <w:r>
              <w:rPr>
                <w:rFonts w:ascii="Arial" w:cs="Arial" w:eastAsia="Arial" w:hAnsi="Arial"/>
                <w:sz w:val="11"/>
                <w:szCs w:val="11"/>
                <w:b w:val="1"/>
                <w:bCs w:val="1"/>
                <w:color w:val="005A64"/>
              </w:rPr>
              <w:t>date 2028</w:t>
            </w:r>
          </w:p>
        </w:tc>
      </w:tr>
      <w:tr>
        <w:trPr>
          <w:trHeight w:val="72"/>
        </w:trPr>
        <w:tc>
          <w:tcPr>
            <w:tcW w:w="40" w:type="dxa"/>
            <w:vAlign w:val="bottom"/>
            <w:tcBorders>
              <w:left w:val="single" w:sz="8" w:color="BECE33"/>
            </w:tcBorders>
          </w:tcPr>
          <w:p>
            <w:pPr>
              <w:spacing w:after="0"/>
              <w:rPr>
                <w:sz w:val="6"/>
                <w:szCs w:val="6"/>
                <w:color w:val="auto"/>
              </w:rPr>
            </w:pPr>
          </w:p>
        </w:tc>
        <w:tc>
          <w:tcPr>
            <w:tcW w:w="1140" w:type="dxa"/>
            <w:vAlign w:val="bottom"/>
            <w:tcBorders>
              <w:bottom w:val="single" w:sz="8" w:color="005A64"/>
            </w:tcBorders>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tcBorders>
              <w:bottom w:val="single" w:sz="8" w:color="005A64"/>
            </w:tcBorders>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tcBorders>
              <w:bottom w:val="single" w:sz="8" w:color="005A64"/>
            </w:tcBorders>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tcBorders>
              <w:bottom w:val="single" w:sz="8" w:color="005A64"/>
            </w:tcBorders>
          </w:tcPr>
          <w:p>
            <w:pPr>
              <w:spacing w:after="0"/>
              <w:rPr>
                <w:sz w:val="6"/>
                <w:szCs w:val="6"/>
                <w:color w:val="auto"/>
              </w:rPr>
            </w:pPr>
          </w:p>
        </w:tc>
        <w:tc>
          <w:tcPr>
            <w:tcW w:w="60" w:type="dxa"/>
            <w:vAlign w:val="bottom"/>
            <w:tcBorders>
              <w:right w:val="single" w:sz="8" w:color="BECE33"/>
            </w:tcBorders>
          </w:tcPr>
          <w:p>
            <w:pPr>
              <w:spacing w:after="0"/>
              <w:rPr>
                <w:sz w:val="6"/>
                <w:szCs w:val="6"/>
                <w:color w:val="auto"/>
              </w:rPr>
            </w:pPr>
          </w:p>
        </w:tc>
      </w:tr>
      <w:tr>
        <w:trPr>
          <w:trHeight w:val="137"/>
        </w:trPr>
        <w:tc>
          <w:tcPr>
            <w:tcW w:w="40" w:type="dxa"/>
            <w:vAlign w:val="bottom"/>
            <w:tcBorders>
              <w:left w:val="single" w:sz="8" w:color="BECE33"/>
            </w:tcBorders>
          </w:tcPr>
          <w:p>
            <w:pPr>
              <w:spacing w:after="0"/>
              <w:rPr>
                <w:sz w:val="11"/>
                <w:szCs w:val="11"/>
                <w:color w:val="auto"/>
              </w:rPr>
            </w:pPr>
          </w:p>
        </w:tc>
        <w:tc>
          <w:tcPr>
            <w:tcW w:w="1140" w:type="dxa"/>
            <w:vAlign w:val="bottom"/>
          </w:tcPr>
          <w:p>
            <w:pPr>
              <w:ind w:left="20"/>
              <w:spacing w:after="0"/>
              <w:rPr>
                <w:sz w:val="20"/>
                <w:szCs w:val="20"/>
                <w:color w:val="auto"/>
              </w:rPr>
            </w:pPr>
            <w:r>
              <w:rPr>
                <w:rFonts w:ascii="Arial" w:cs="Arial" w:eastAsia="Arial" w:hAnsi="Arial"/>
                <w:sz w:val="11"/>
                <w:szCs w:val="11"/>
                <w:color w:val="005A64"/>
              </w:rPr>
              <w:t>€49.89</w:t>
            </w:r>
          </w:p>
        </w:tc>
        <w:tc>
          <w:tcPr>
            <w:tcW w:w="60" w:type="dxa"/>
            <w:vAlign w:val="bottom"/>
          </w:tcPr>
          <w:p>
            <w:pPr>
              <w:spacing w:after="0"/>
              <w:rPr>
                <w:sz w:val="11"/>
                <w:szCs w:val="11"/>
                <w:color w:val="auto"/>
              </w:rPr>
            </w:pPr>
          </w:p>
        </w:tc>
        <w:tc>
          <w:tcPr>
            <w:tcW w:w="1140" w:type="dxa"/>
            <w:vAlign w:val="bottom"/>
          </w:tcPr>
          <w:p>
            <w:pPr>
              <w:spacing w:after="0"/>
              <w:rPr>
                <w:sz w:val="20"/>
                <w:szCs w:val="20"/>
                <w:color w:val="auto"/>
              </w:rPr>
            </w:pPr>
            <w:r>
              <w:rPr>
                <w:rFonts w:ascii="Arial" w:cs="Arial" w:eastAsia="Arial" w:hAnsi="Arial"/>
                <w:sz w:val="11"/>
                <w:szCs w:val="11"/>
                <w:color w:val="005A64"/>
              </w:rPr>
              <w:t>€45.98</w:t>
            </w:r>
          </w:p>
        </w:tc>
        <w:tc>
          <w:tcPr>
            <w:tcW w:w="40" w:type="dxa"/>
            <w:vAlign w:val="bottom"/>
          </w:tcPr>
          <w:p>
            <w:pPr>
              <w:spacing w:after="0"/>
              <w:rPr>
                <w:sz w:val="11"/>
                <w:szCs w:val="11"/>
                <w:color w:val="auto"/>
              </w:rPr>
            </w:pPr>
          </w:p>
        </w:tc>
        <w:tc>
          <w:tcPr>
            <w:tcW w:w="1160" w:type="dxa"/>
            <w:vAlign w:val="bottom"/>
          </w:tcPr>
          <w:p>
            <w:pPr>
              <w:ind w:left="20"/>
              <w:spacing w:after="0"/>
              <w:rPr>
                <w:sz w:val="20"/>
                <w:szCs w:val="20"/>
                <w:color w:val="auto"/>
              </w:rPr>
            </w:pPr>
            <w:r>
              <w:rPr>
                <w:rFonts w:ascii="Arial" w:cs="Arial" w:eastAsia="Arial" w:hAnsi="Arial"/>
                <w:sz w:val="11"/>
                <w:szCs w:val="11"/>
                <w:color w:val="005A64"/>
              </w:rPr>
              <w:t>€43.98</w:t>
            </w:r>
          </w:p>
        </w:tc>
        <w:tc>
          <w:tcPr>
            <w:tcW w:w="60" w:type="dxa"/>
            <w:vAlign w:val="bottom"/>
          </w:tcPr>
          <w:p>
            <w:pPr>
              <w:spacing w:after="0"/>
              <w:rPr>
                <w:sz w:val="11"/>
                <w:szCs w:val="11"/>
                <w:color w:val="auto"/>
              </w:rPr>
            </w:pPr>
          </w:p>
        </w:tc>
        <w:tc>
          <w:tcPr>
            <w:tcW w:w="1140" w:type="dxa"/>
            <w:vAlign w:val="bottom"/>
          </w:tcPr>
          <w:p>
            <w:pPr>
              <w:spacing w:after="0"/>
              <w:rPr>
                <w:sz w:val="20"/>
                <w:szCs w:val="20"/>
                <w:color w:val="auto"/>
              </w:rPr>
            </w:pPr>
            <w:r>
              <w:rPr>
                <w:rFonts w:ascii="Arial" w:cs="Arial" w:eastAsia="Arial" w:hAnsi="Arial"/>
                <w:sz w:val="11"/>
                <w:szCs w:val="11"/>
                <w:color w:val="005A64"/>
              </w:rPr>
              <w:t>34.74</w:t>
            </w:r>
          </w:p>
        </w:tc>
        <w:tc>
          <w:tcPr>
            <w:tcW w:w="60" w:type="dxa"/>
            <w:vAlign w:val="bottom"/>
            <w:tcBorders>
              <w:right w:val="single" w:sz="8" w:color="BECE33"/>
            </w:tcBorders>
          </w:tcPr>
          <w:p>
            <w:pPr>
              <w:spacing w:after="0"/>
              <w:rPr>
                <w:sz w:val="11"/>
                <w:szCs w:val="11"/>
                <w:color w:val="auto"/>
              </w:rPr>
            </w:pPr>
          </w:p>
        </w:tc>
      </w:tr>
      <w:tr>
        <w:trPr>
          <w:trHeight w:val="183"/>
        </w:trPr>
        <w:tc>
          <w:tcPr>
            <w:tcW w:w="40" w:type="dxa"/>
            <w:vAlign w:val="bottom"/>
            <w:tcBorders>
              <w:left w:val="single" w:sz="8" w:color="BECE33"/>
            </w:tcBorders>
          </w:tcPr>
          <w:p>
            <w:pPr>
              <w:spacing w:after="0"/>
              <w:rPr>
                <w:sz w:val="15"/>
                <w:szCs w:val="15"/>
                <w:color w:val="auto"/>
              </w:rPr>
            </w:pPr>
          </w:p>
        </w:tc>
        <w:tc>
          <w:tcPr>
            <w:tcW w:w="1140" w:type="dxa"/>
            <w:vAlign w:val="bottom"/>
          </w:tcPr>
          <w:p>
            <w:pPr>
              <w:ind w:left="20"/>
              <w:spacing w:after="0"/>
              <w:rPr>
                <w:sz w:val="20"/>
                <w:szCs w:val="20"/>
                <w:color w:val="auto"/>
              </w:rPr>
            </w:pPr>
            <w:r>
              <w:rPr>
                <w:rFonts w:ascii="Arial" w:cs="Arial" w:eastAsia="Arial" w:hAnsi="Arial"/>
                <w:sz w:val="11"/>
                <w:szCs w:val="11"/>
                <w:color w:val="005A64"/>
              </w:rPr>
              <w:t>€109.68</w:t>
            </w:r>
          </w:p>
        </w:tc>
        <w:tc>
          <w:tcPr>
            <w:tcW w:w="6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1"/>
                <w:szCs w:val="11"/>
                <w:color w:val="005A64"/>
              </w:rPr>
              <w:t>€109.68</w:t>
            </w:r>
          </w:p>
        </w:tc>
        <w:tc>
          <w:tcPr>
            <w:tcW w:w="40" w:type="dxa"/>
            <w:vAlign w:val="bottom"/>
          </w:tcPr>
          <w:p>
            <w:pPr>
              <w:spacing w:after="0"/>
              <w:rPr>
                <w:sz w:val="15"/>
                <w:szCs w:val="15"/>
                <w:color w:val="auto"/>
              </w:rPr>
            </w:pPr>
          </w:p>
        </w:tc>
        <w:tc>
          <w:tcPr>
            <w:tcW w:w="1160" w:type="dxa"/>
            <w:vAlign w:val="bottom"/>
          </w:tcPr>
          <w:p>
            <w:pPr>
              <w:ind w:left="20"/>
              <w:spacing w:after="0"/>
              <w:rPr>
                <w:sz w:val="20"/>
                <w:szCs w:val="20"/>
                <w:color w:val="auto"/>
              </w:rPr>
            </w:pPr>
            <w:r>
              <w:rPr>
                <w:rFonts w:ascii="Arial" w:cs="Arial" w:eastAsia="Arial" w:hAnsi="Arial"/>
                <w:sz w:val="11"/>
                <w:szCs w:val="11"/>
                <w:color w:val="005A64"/>
              </w:rPr>
              <w:t>€109.68</w:t>
            </w:r>
          </w:p>
        </w:tc>
        <w:tc>
          <w:tcPr>
            <w:tcW w:w="60" w:type="dxa"/>
            <w:vAlign w:val="bottom"/>
          </w:tcPr>
          <w:p>
            <w:pPr>
              <w:spacing w:after="0"/>
              <w:rPr>
                <w:sz w:val="15"/>
                <w:szCs w:val="15"/>
                <w:color w:val="auto"/>
              </w:rPr>
            </w:pPr>
          </w:p>
        </w:tc>
        <w:tc>
          <w:tcPr>
            <w:tcW w:w="1200" w:type="dxa"/>
            <w:vAlign w:val="bottom"/>
            <w:tcBorders>
              <w:right w:val="single" w:sz="8" w:color="BECE33"/>
            </w:tcBorders>
            <w:gridSpan w:val="2"/>
          </w:tcPr>
          <w:p>
            <w:pPr>
              <w:spacing w:after="0"/>
              <w:rPr>
                <w:sz w:val="20"/>
                <w:szCs w:val="20"/>
                <w:color w:val="auto"/>
              </w:rPr>
            </w:pPr>
            <w:r>
              <w:rPr>
                <w:rFonts w:ascii="Arial" w:cs="Arial" w:eastAsia="Arial" w:hAnsi="Arial"/>
                <w:sz w:val="11"/>
                <w:szCs w:val="11"/>
                <w:color w:val="005A64"/>
              </w:rPr>
              <w:t>€109.68</w:t>
            </w:r>
          </w:p>
        </w:tc>
      </w:tr>
      <w:tr>
        <w:trPr>
          <w:trHeight w:val="202"/>
        </w:trPr>
        <w:tc>
          <w:tcPr>
            <w:tcW w:w="40" w:type="dxa"/>
            <w:vAlign w:val="bottom"/>
            <w:tcBorders>
              <w:left w:val="single" w:sz="8" w:color="BECE33"/>
            </w:tcBorders>
          </w:tcPr>
          <w:p>
            <w:pPr>
              <w:spacing w:after="0"/>
              <w:rPr>
                <w:sz w:val="17"/>
                <w:szCs w:val="17"/>
                <w:color w:val="auto"/>
              </w:rPr>
            </w:pPr>
          </w:p>
        </w:tc>
        <w:tc>
          <w:tcPr>
            <w:tcW w:w="1140" w:type="dxa"/>
            <w:vAlign w:val="bottom"/>
          </w:tcPr>
          <w:p>
            <w:pPr>
              <w:ind w:left="20"/>
              <w:spacing w:after="0"/>
              <w:rPr>
                <w:sz w:val="20"/>
                <w:szCs w:val="20"/>
                <w:color w:val="auto"/>
              </w:rPr>
            </w:pPr>
            <w:r>
              <w:rPr>
                <w:rFonts w:ascii="Arial" w:cs="Arial" w:eastAsia="Arial" w:hAnsi="Arial"/>
                <w:sz w:val="11"/>
                <w:szCs w:val="11"/>
                <w:color w:val="005A64"/>
              </w:rPr>
              <w:t>€112.63</w:t>
            </w:r>
          </w:p>
        </w:tc>
        <w:tc>
          <w:tcPr>
            <w:tcW w:w="60" w:type="dxa"/>
            <w:vAlign w:val="bottom"/>
          </w:tcPr>
          <w:p>
            <w:pPr>
              <w:spacing w:after="0"/>
              <w:rPr>
                <w:sz w:val="17"/>
                <w:szCs w:val="17"/>
                <w:color w:val="auto"/>
              </w:rPr>
            </w:pPr>
          </w:p>
        </w:tc>
        <w:tc>
          <w:tcPr>
            <w:tcW w:w="1140" w:type="dxa"/>
            <w:vAlign w:val="bottom"/>
          </w:tcPr>
          <w:p>
            <w:pPr>
              <w:spacing w:after="0"/>
              <w:rPr>
                <w:sz w:val="20"/>
                <w:szCs w:val="20"/>
                <w:color w:val="auto"/>
              </w:rPr>
            </w:pPr>
            <w:r>
              <w:rPr>
                <w:rFonts w:ascii="Arial" w:cs="Arial" w:eastAsia="Arial" w:hAnsi="Arial"/>
                <w:sz w:val="11"/>
                <w:szCs w:val="11"/>
                <w:color w:val="005A64"/>
              </w:rPr>
              <w:t>€119.48</w:t>
            </w:r>
          </w:p>
        </w:tc>
        <w:tc>
          <w:tcPr>
            <w:tcW w:w="40" w:type="dxa"/>
            <w:vAlign w:val="bottom"/>
          </w:tcPr>
          <w:p>
            <w:pPr>
              <w:spacing w:after="0"/>
              <w:rPr>
                <w:sz w:val="17"/>
                <w:szCs w:val="17"/>
                <w:color w:val="auto"/>
              </w:rPr>
            </w:pPr>
          </w:p>
        </w:tc>
        <w:tc>
          <w:tcPr>
            <w:tcW w:w="1160" w:type="dxa"/>
            <w:vAlign w:val="bottom"/>
          </w:tcPr>
          <w:p>
            <w:pPr>
              <w:ind w:left="20"/>
              <w:spacing w:after="0"/>
              <w:rPr>
                <w:sz w:val="20"/>
                <w:szCs w:val="20"/>
                <w:color w:val="auto"/>
              </w:rPr>
            </w:pPr>
            <w:r>
              <w:rPr>
                <w:rFonts w:ascii="Arial" w:cs="Arial" w:eastAsia="Arial" w:hAnsi="Arial"/>
                <w:sz w:val="11"/>
                <w:szCs w:val="11"/>
                <w:color w:val="005A64"/>
              </w:rPr>
              <w:t>€123.00</w:t>
            </w:r>
          </w:p>
        </w:tc>
        <w:tc>
          <w:tcPr>
            <w:tcW w:w="60" w:type="dxa"/>
            <w:vAlign w:val="bottom"/>
          </w:tcPr>
          <w:p>
            <w:pPr>
              <w:spacing w:after="0"/>
              <w:rPr>
                <w:sz w:val="17"/>
                <w:szCs w:val="17"/>
                <w:color w:val="auto"/>
              </w:rPr>
            </w:pPr>
          </w:p>
        </w:tc>
        <w:tc>
          <w:tcPr>
            <w:tcW w:w="1200" w:type="dxa"/>
            <w:vAlign w:val="bottom"/>
            <w:tcBorders>
              <w:right w:val="single" w:sz="8" w:color="BECE33"/>
            </w:tcBorders>
            <w:gridSpan w:val="2"/>
          </w:tcPr>
          <w:p>
            <w:pPr>
              <w:spacing w:after="0"/>
              <w:rPr>
                <w:sz w:val="20"/>
                <w:szCs w:val="20"/>
                <w:color w:val="auto"/>
              </w:rPr>
            </w:pPr>
            <w:r>
              <w:rPr>
                <w:rFonts w:ascii="Arial" w:cs="Arial" w:eastAsia="Arial" w:hAnsi="Arial"/>
                <w:sz w:val="11"/>
                <w:szCs w:val="11"/>
                <w:color w:val="005A64"/>
              </w:rPr>
              <w:t>€130.37</w:t>
            </w:r>
          </w:p>
        </w:tc>
      </w:tr>
      <w:tr>
        <w:trPr>
          <w:trHeight w:val="202"/>
        </w:trPr>
        <w:tc>
          <w:tcPr>
            <w:tcW w:w="1180" w:type="dxa"/>
            <w:vAlign w:val="bottom"/>
            <w:tcBorders>
              <w:left w:val="single" w:sz="8" w:color="BECE33"/>
            </w:tcBorders>
            <w:gridSpan w:val="2"/>
          </w:tcPr>
          <w:p>
            <w:pPr>
              <w:ind w:left="60"/>
              <w:spacing w:after="0"/>
              <w:rPr>
                <w:sz w:val="20"/>
                <w:szCs w:val="20"/>
                <w:color w:val="auto"/>
              </w:rPr>
            </w:pPr>
            <w:r>
              <w:rPr>
                <w:rFonts w:ascii="Arial" w:cs="Arial" w:eastAsia="Arial" w:hAnsi="Arial"/>
                <w:sz w:val="11"/>
                <w:szCs w:val="11"/>
                <w:color w:val="005A64"/>
              </w:rPr>
              <w:t>49.2%</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47.8%</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47.8%</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43.7 %</w:t>
            </w:r>
          </w:p>
        </w:tc>
        <w:tc>
          <w:tcPr>
            <w:tcW w:w="60" w:type="dxa"/>
            <w:vAlign w:val="bottom"/>
            <w:tcBorders>
              <w:right w:val="single" w:sz="8" w:color="BECE33"/>
            </w:tcBorders>
          </w:tcPr>
          <w:p>
            <w:pPr>
              <w:spacing w:after="0"/>
              <w:rPr>
                <w:sz w:val="17"/>
                <w:szCs w:val="17"/>
                <w:color w:val="auto"/>
              </w:rPr>
            </w:pPr>
          </w:p>
        </w:tc>
      </w:tr>
      <w:tr>
        <w:trPr>
          <w:trHeight w:val="202"/>
        </w:trPr>
        <w:tc>
          <w:tcPr>
            <w:tcW w:w="1180" w:type="dxa"/>
            <w:vAlign w:val="bottom"/>
            <w:tcBorders>
              <w:left w:val="single" w:sz="8" w:color="BECE33"/>
            </w:tcBorders>
            <w:gridSpan w:val="2"/>
          </w:tcPr>
          <w:p>
            <w:pPr>
              <w:ind w:left="60"/>
              <w:spacing w:after="0"/>
              <w:rPr>
                <w:sz w:val="20"/>
                <w:szCs w:val="20"/>
                <w:color w:val="auto"/>
              </w:rPr>
            </w:pPr>
            <w:r>
              <w:rPr>
                <w:rFonts w:ascii="Arial" w:cs="Arial" w:eastAsia="Arial" w:hAnsi="Arial"/>
                <w:sz w:val="11"/>
                <w:szCs w:val="11"/>
                <w:color w:val="005A64"/>
              </w:rPr>
              <w:t>5.8</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5.8</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5.8</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5.8</w:t>
            </w:r>
          </w:p>
        </w:tc>
        <w:tc>
          <w:tcPr>
            <w:tcW w:w="60" w:type="dxa"/>
            <w:vAlign w:val="bottom"/>
            <w:tcBorders>
              <w:right w:val="single" w:sz="8" w:color="BECE33"/>
            </w:tcBorders>
          </w:tcPr>
          <w:p>
            <w:pPr>
              <w:spacing w:after="0"/>
              <w:rPr>
                <w:sz w:val="17"/>
                <w:szCs w:val="17"/>
                <w:color w:val="auto"/>
              </w:rPr>
            </w:pPr>
          </w:p>
        </w:tc>
      </w:tr>
      <w:tr>
        <w:trPr>
          <w:trHeight w:val="202"/>
        </w:trPr>
        <w:tc>
          <w:tcPr>
            <w:tcW w:w="1180" w:type="dxa"/>
            <w:vAlign w:val="bottom"/>
            <w:tcBorders>
              <w:left w:val="single" w:sz="8" w:color="BECE33"/>
            </w:tcBorders>
            <w:gridSpan w:val="2"/>
          </w:tcPr>
          <w:p>
            <w:pPr>
              <w:ind w:left="60"/>
              <w:spacing w:after="0"/>
              <w:rPr>
                <w:sz w:val="20"/>
                <w:szCs w:val="20"/>
                <w:color w:val="auto"/>
              </w:rPr>
            </w:pPr>
            <w:r>
              <w:rPr>
                <w:rFonts w:ascii="Arial" w:cs="Arial" w:eastAsia="Arial" w:hAnsi="Arial"/>
                <w:sz w:val="11"/>
                <w:szCs w:val="11"/>
                <w:color w:val="005A64"/>
              </w:rPr>
              <w:t>4.6%</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4.7%</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4.7%</w:t>
            </w:r>
          </w:p>
        </w:tc>
        <w:tc>
          <w:tcPr>
            <w:tcW w:w="1200" w:type="dxa"/>
            <w:vAlign w:val="bottom"/>
            <w:gridSpan w:val="2"/>
          </w:tcPr>
          <w:p>
            <w:pPr>
              <w:ind w:left="60"/>
              <w:spacing w:after="0"/>
              <w:rPr>
                <w:sz w:val="20"/>
                <w:szCs w:val="20"/>
                <w:color w:val="auto"/>
              </w:rPr>
            </w:pPr>
            <w:r>
              <w:rPr>
                <w:rFonts w:ascii="Arial" w:cs="Arial" w:eastAsia="Arial" w:hAnsi="Arial"/>
                <w:sz w:val="11"/>
                <w:szCs w:val="11"/>
                <w:color w:val="005A64"/>
              </w:rPr>
              <w:t>4.8%</w:t>
            </w:r>
          </w:p>
        </w:tc>
        <w:tc>
          <w:tcPr>
            <w:tcW w:w="60" w:type="dxa"/>
            <w:vAlign w:val="bottom"/>
            <w:tcBorders>
              <w:right w:val="single" w:sz="8" w:color="BECE33"/>
            </w:tcBorders>
          </w:tcPr>
          <w:p>
            <w:pPr>
              <w:spacing w:after="0"/>
              <w:rPr>
                <w:sz w:val="17"/>
                <w:szCs w:val="17"/>
                <w:color w:val="auto"/>
              </w:rPr>
            </w:pPr>
          </w:p>
        </w:tc>
      </w:tr>
      <w:tr>
        <w:trPr>
          <w:trHeight w:val="65"/>
        </w:trPr>
        <w:tc>
          <w:tcPr>
            <w:tcW w:w="40" w:type="dxa"/>
            <w:vAlign w:val="bottom"/>
            <w:tcBorders>
              <w:left w:val="single" w:sz="8" w:color="BECE33"/>
              <w:bottom w:val="single" w:sz="8" w:color="BECE33"/>
            </w:tcBorders>
          </w:tcPr>
          <w:p>
            <w:pPr>
              <w:spacing w:after="0"/>
              <w:rPr>
                <w:sz w:val="5"/>
                <w:szCs w:val="5"/>
                <w:color w:val="auto"/>
              </w:rPr>
            </w:pPr>
          </w:p>
        </w:tc>
        <w:tc>
          <w:tcPr>
            <w:tcW w:w="1140" w:type="dxa"/>
            <w:vAlign w:val="bottom"/>
            <w:tcBorders>
              <w:bottom w:val="single" w:sz="8" w:color="BECE33"/>
            </w:tcBorders>
          </w:tcPr>
          <w:p>
            <w:pPr>
              <w:spacing w:after="0"/>
              <w:rPr>
                <w:sz w:val="5"/>
                <w:szCs w:val="5"/>
                <w:color w:val="auto"/>
              </w:rPr>
            </w:pPr>
          </w:p>
        </w:tc>
        <w:tc>
          <w:tcPr>
            <w:tcW w:w="60" w:type="dxa"/>
            <w:vAlign w:val="bottom"/>
            <w:tcBorders>
              <w:bottom w:val="single" w:sz="8" w:color="BECE33"/>
            </w:tcBorders>
          </w:tcPr>
          <w:p>
            <w:pPr>
              <w:spacing w:after="0"/>
              <w:rPr>
                <w:sz w:val="5"/>
                <w:szCs w:val="5"/>
                <w:color w:val="auto"/>
              </w:rPr>
            </w:pPr>
          </w:p>
        </w:tc>
        <w:tc>
          <w:tcPr>
            <w:tcW w:w="1140" w:type="dxa"/>
            <w:vAlign w:val="bottom"/>
            <w:tcBorders>
              <w:bottom w:val="single" w:sz="8" w:color="BECE33"/>
            </w:tcBorders>
          </w:tcPr>
          <w:p>
            <w:pPr>
              <w:spacing w:after="0"/>
              <w:rPr>
                <w:sz w:val="5"/>
                <w:szCs w:val="5"/>
                <w:color w:val="auto"/>
              </w:rPr>
            </w:pPr>
          </w:p>
        </w:tc>
        <w:tc>
          <w:tcPr>
            <w:tcW w:w="40" w:type="dxa"/>
            <w:vAlign w:val="bottom"/>
            <w:tcBorders>
              <w:bottom w:val="single" w:sz="8" w:color="BECE33"/>
            </w:tcBorders>
          </w:tcPr>
          <w:p>
            <w:pPr>
              <w:spacing w:after="0"/>
              <w:rPr>
                <w:sz w:val="5"/>
                <w:szCs w:val="5"/>
                <w:color w:val="auto"/>
              </w:rPr>
            </w:pPr>
          </w:p>
        </w:tc>
        <w:tc>
          <w:tcPr>
            <w:tcW w:w="1160" w:type="dxa"/>
            <w:vAlign w:val="bottom"/>
            <w:tcBorders>
              <w:bottom w:val="single" w:sz="8" w:color="BECE33"/>
            </w:tcBorders>
          </w:tcPr>
          <w:p>
            <w:pPr>
              <w:spacing w:after="0"/>
              <w:rPr>
                <w:sz w:val="5"/>
                <w:szCs w:val="5"/>
                <w:color w:val="auto"/>
              </w:rPr>
            </w:pPr>
          </w:p>
        </w:tc>
        <w:tc>
          <w:tcPr>
            <w:tcW w:w="60" w:type="dxa"/>
            <w:vAlign w:val="bottom"/>
            <w:tcBorders>
              <w:bottom w:val="single" w:sz="8" w:color="BECE33"/>
            </w:tcBorders>
          </w:tcPr>
          <w:p>
            <w:pPr>
              <w:spacing w:after="0"/>
              <w:rPr>
                <w:sz w:val="5"/>
                <w:szCs w:val="5"/>
                <w:color w:val="auto"/>
              </w:rPr>
            </w:pPr>
          </w:p>
        </w:tc>
        <w:tc>
          <w:tcPr>
            <w:tcW w:w="1140" w:type="dxa"/>
            <w:vAlign w:val="bottom"/>
            <w:tcBorders>
              <w:bottom w:val="single" w:sz="8" w:color="BECE33"/>
            </w:tcBorders>
          </w:tcPr>
          <w:p>
            <w:pPr>
              <w:spacing w:after="0"/>
              <w:rPr>
                <w:sz w:val="5"/>
                <w:szCs w:val="5"/>
                <w:color w:val="auto"/>
              </w:rPr>
            </w:pPr>
          </w:p>
        </w:tc>
        <w:tc>
          <w:tcPr>
            <w:tcW w:w="60" w:type="dxa"/>
            <w:vAlign w:val="bottom"/>
            <w:tcBorders>
              <w:bottom w:val="single" w:sz="8" w:color="BECE33"/>
              <w:right w:val="single" w:sz="8" w:color="BECE33"/>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-1077595</wp:posOffset>
            </wp:positionV>
            <wp:extent cx="4262120" cy="127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61">
                      <a:extLst>
                        <a:ext uri="{28A0092B-C50C-407E-A947-70E740481C1C}"/>
                      </a:extLst>
                    </a:blip>
                    <a:srcRect/>
                    <a:stretch>
                      <a:fillRect/>
                    </a:stretch>
                  </pic:blipFill>
                  <pic:spPr bwMode="auto">
                    <a:xfrm>
                      <a:off x="0" y="0"/>
                      <a:ext cx="4262120" cy="12700"/>
                    </a:xfrm>
                    <a:prstGeom prst="rect">
                      <a:avLst/>
                    </a:prstGeom>
                    <a:noFill/>
                  </pic:spPr>
                </pic:pic>
              </a:graphicData>
            </a:graphic>
          </wp:anchor>
        </w:drawing>
      </w:r>
    </w:p>
    <w:p>
      <w:pPr>
        <w:spacing w:after="0" w:line="1" w:lineRule="exact"/>
        <w:rPr>
          <w:sz w:val="20"/>
          <w:szCs w:val="20"/>
          <w:color w:val="auto"/>
        </w:rPr>
      </w:pPr>
    </w:p>
    <w:p>
      <w:pPr>
        <w:sectPr>
          <w:pgSz w:w="11900" w:h="16840" w:orient="portrait"/>
          <w:cols w:equalWidth="0" w:num="2">
            <w:col w:w="1960" w:space="320"/>
            <w:col w:w="6740"/>
          </w:cols>
          <w:pgMar w:left="1440" w:top="691" w:right="1440" w:bottom="7" w:gutter="0" w:footer="0" w:header="0"/>
        </w:sectPr>
      </w:pPr>
    </w:p>
    <w:p>
      <w:pPr>
        <w:ind w:left="580" w:hanging="197"/>
        <w:spacing w:after="0" w:line="214" w:lineRule="auto"/>
        <w:tabs>
          <w:tab w:leader="none" w:pos="580" w:val="left"/>
        </w:tabs>
        <w:numPr>
          <w:ilvl w:val="0"/>
          <w:numId w:val="57"/>
        </w:numPr>
        <w:rPr>
          <w:rFonts w:ascii="Arial" w:cs="Arial" w:eastAsia="Arial" w:hAnsi="Arial"/>
          <w:sz w:val="16"/>
          <w:szCs w:val="16"/>
          <w:color w:val="005A64"/>
          <w:vertAlign w:val="superscript"/>
        </w:rPr>
      </w:pPr>
      <w:r>
        <w:rPr>
          <w:rFonts w:ascii="Arial" w:cs="Arial" w:eastAsia="Arial" w:hAnsi="Arial"/>
          <w:sz w:val="12"/>
          <w:szCs w:val="12"/>
          <w:color w:val="005A64"/>
        </w:rPr>
        <w:t>Valuation parameter for estimated allocation dates derived from the Monte-Carlo simulation model.</w:t>
      </w:r>
    </w:p>
    <w:p>
      <w:pPr>
        <w:ind w:left="380" w:right="2100"/>
        <w:spacing w:after="0" w:line="210" w:lineRule="auto"/>
        <w:rPr>
          <w:sz w:val="20"/>
          <w:szCs w:val="20"/>
          <w:color w:val="auto"/>
        </w:rPr>
      </w:pPr>
      <w:r>
        <w:rPr>
          <w:rFonts w:ascii="Arial" w:cs="Arial" w:eastAsia="Arial" w:hAnsi="Arial"/>
          <w:sz w:val="13"/>
          <w:szCs w:val="13"/>
          <w:color w:val="auto"/>
        </w:rPr>
        <w:t>All options are subject to an effective exercise price cap, which means that the exercise price shall be adjusted to ensure that the current price of an ADS as of the exercise date does not exceed 800% of the exercise price. For the LTI 2020, the maximum economic benefit receivable is capped at $246.24, and the effective exercise price is capped at a Euro amount equivalent to $30.78. For the phantom share options issued under the LTI 2021 and 2022 programs and the options issued under the LTI 2023 and 2024 programs, the maximum compensation that each member is entitled to receive, together with other compensation components received in the respective grant year, shall not exceed €20.0 million for Ugur Sahin and €10.0 million for all others. Expected volatility was based on an evaluation of the historical volatilities of comparable companies over the historical period commensurate with the expected option term. The expected term was based on general option holder behavior for employee options.</w:t>
      </w:r>
    </w:p>
    <w:p>
      <w:pPr>
        <w:spacing w:after="0" w:line="6" w:lineRule="exact"/>
        <w:rPr>
          <w:sz w:val="20"/>
          <w:szCs w:val="20"/>
          <w:color w:val="auto"/>
        </w:rPr>
      </w:pPr>
    </w:p>
    <w:p>
      <w:pPr>
        <w:ind w:left="380" w:right="2540"/>
        <w:spacing w:after="0" w:line="234" w:lineRule="auto"/>
        <w:rPr>
          <w:sz w:val="20"/>
          <w:szCs w:val="20"/>
          <w:color w:val="auto"/>
        </w:rPr>
      </w:pPr>
      <w:r>
        <w:rPr>
          <w:rFonts w:ascii="Arial" w:cs="Arial" w:eastAsia="Arial" w:hAnsi="Arial"/>
          <w:sz w:val="13"/>
          <w:szCs w:val="13"/>
          <w:color w:val="auto"/>
        </w:rPr>
        <w:t>The share options (including phantom share options) allocated to our Management Board as of the dates indicated are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-12700</wp:posOffset>
            </wp:positionV>
            <wp:extent cx="4262120" cy="127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2">
                      <a:extLst>
                        <a:ext uri="{28A0092B-C50C-407E-A947-70E740481C1C}"/>
                      </a:extLst>
                    </a:blip>
                    <a:srcRect/>
                    <a:stretch>
                      <a:fillRect/>
                    </a:stretch>
                  </pic:blipFill>
                  <pic:spPr bwMode="auto">
                    <a:xfrm>
                      <a:off x="0" y="0"/>
                      <a:ext cx="4262120" cy="12700"/>
                    </a:xfrm>
                    <a:prstGeom prst="rect">
                      <a:avLst/>
                    </a:prstGeom>
                    <a:noFill/>
                  </pic:spPr>
                </pic:pic>
              </a:graphicData>
            </a:graphic>
          </wp:anchor>
        </w:drawing>
      </w:r>
    </w:p>
    <w:p>
      <w:pPr>
        <w:spacing w:after="0" w:line="81" w:lineRule="exact"/>
        <w:rPr>
          <w:sz w:val="20"/>
          <w:szCs w:val="20"/>
          <w:color w:val="auto"/>
        </w:rPr>
      </w:pPr>
    </w:p>
    <w:tbl>
      <w:tblPr>
        <w:tblLayout w:type="fixed"/>
        <w:tblInd w:w="380" w:type="dxa"/>
        <w:tblCellMar>
          <w:top w:w="0" w:type="dxa"/>
          <w:left w:w="0" w:type="dxa"/>
          <w:bottom w:w="0" w:type="dxa"/>
          <w:right w:w="0" w:type="dxa"/>
        </w:tblCellMar>
      </w:tblPr>
      <w:tr>
        <w:trPr>
          <w:trHeight w:val="111"/>
        </w:trPr>
        <w:tc>
          <w:tcPr>
            <w:tcW w:w="2020" w:type="dxa"/>
            <w:vAlign w:val="bottom"/>
          </w:tcPr>
          <w:p>
            <w:pPr>
              <w:spacing w:after="0"/>
              <w:rPr>
                <w:sz w:val="9"/>
                <w:szCs w:val="9"/>
                <w:color w:val="auto"/>
              </w:rPr>
            </w:pPr>
          </w:p>
        </w:tc>
        <w:tc>
          <w:tcPr>
            <w:tcW w:w="40" w:type="dxa"/>
            <w:vAlign w:val="bottom"/>
            <w:tcBorders>
              <w:right w:val="single" w:sz="8" w:color="BECE33"/>
            </w:tcBorders>
          </w:tcPr>
          <w:p>
            <w:pPr>
              <w:spacing w:after="0"/>
              <w:rPr>
                <w:sz w:val="9"/>
                <w:szCs w:val="9"/>
                <w:color w:val="auto"/>
              </w:rPr>
            </w:pPr>
          </w:p>
        </w:tc>
        <w:tc>
          <w:tcPr>
            <w:tcW w:w="20" w:type="dxa"/>
            <w:vAlign w:val="bottom"/>
            <w:tcBorders>
              <w:top w:val="single" w:sz="8" w:color="BECE33"/>
            </w:tcBorders>
          </w:tcPr>
          <w:p>
            <w:pPr>
              <w:spacing w:after="0"/>
              <w:rPr>
                <w:sz w:val="9"/>
                <w:szCs w:val="9"/>
                <w:color w:val="auto"/>
              </w:rPr>
            </w:pPr>
          </w:p>
        </w:tc>
        <w:tc>
          <w:tcPr>
            <w:tcW w:w="720" w:type="dxa"/>
            <w:vAlign w:val="bottom"/>
            <w:tcBorders>
              <w:top w:val="single" w:sz="8" w:color="BECE33"/>
            </w:tcBorders>
          </w:tcPr>
          <w:p>
            <w:pPr>
              <w:ind w:left="20"/>
              <w:spacing w:after="0" w:line="111" w:lineRule="exact"/>
              <w:rPr>
                <w:sz w:val="20"/>
                <w:szCs w:val="20"/>
                <w:color w:val="auto"/>
              </w:rPr>
            </w:pPr>
            <w:r>
              <w:rPr>
                <w:rFonts w:ascii="Arial" w:cs="Arial" w:eastAsia="Arial" w:hAnsi="Arial"/>
                <w:sz w:val="11"/>
                <w:szCs w:val="11"/>
                <w:b w:val="1"/>
                <w:bCs w:val="1"/>
                <w:color w:val="005A64"/>
              </w:rPr>
              <w:t>Allocation</w:t>
            </w:r>
          </w:p>
        </w:tc>
        <w:tc>
          <w:tcPr>
            <w:tcW w:w="40" w:type="dxa"/>
            <w:vAlign w:val="bottom"/>
            <w:tcBorders>
              <w:top w:val="single" w:sz="8" w:color="BECE33"/>
            </w:tcBorders>
          </w:tcPr>
          <w:p>
            <w:pPr>
              <w:spacing w:after="0"/>
              <w:rPr>
                <w:sz w:val="9"/>
                <w:szCs w:val="9"/>
                <w:color w:val="auto"/>
              </w:rPr>
            </w:pPr>
          </w:p>
        </w:tc>
        <w:tc>
          <w:tcPr>
            <w:tcW w:w="740" w:type="dxa"/>
            <w:vAlign w:val="bottom"/>
            <w:tcBorders>
              <w:top w:val="single" w:sz="8" w:color="BECE33"/>
            </w:tcBorders>
          </w:tcPr>
          <w:p>
            <w:pPr>
              <w:ind w:left="20"/>
              <w:spacing w:after="0" w:line="111" w:lineRule="exact"/>
              <w:rPr>
                <w:sz w:val="20"/>
                <w:szCs w:val="20"/>
                <w:color w:val="auto"/>
              </w:rPr>
            </w:pPr>
            <w:r>
              <w:rPr>
                <w:rFonts w:ascii="Arial" w:cs="Arial" w:eastAsia="Arial" w:hAnsi="Arial"/>
                <w:sz w:val="11"/>
                <w:szCs w:val="11"/>
                <w:b w:val="1"/>
                <w:bCs w:val="1"/>
                <w:color w:val="005A64"/>
              </w:rPr>
              <w:t>Allocation</w:t>
            </w:r>
          </w:p>
        </w:tc>
        <w:tc>
          <w:tcPr>
            <w:tcW w:w="60" w:type="dxa"/>
            <w:vAlign w:val="bottom"/>
            <w:tcBorders>
              <w:top w:val="single" w:sz="8" w:color="BECE33"/>
            </w:tcBorders>
          </w:tcPr>
          <w:p>
            <w:pPr>
              <w:spacing w:after="0"/>
              <w:rPr>
                <w:sz w:val="9"/>
                <w:szCs w:val="9"/>
                <w:color w:val="auto"/>
              </w:rPr>
            </w:pPr>
          </w:p>
        </w:tc>
        <w:tc>
          <w:tcPr>
            <w:tcW w:w="740" w:type="dxa"/>
            <w:vAlign w:val="bottom"/>
            <w:tcBorders>
              <w:top w:val="single" w:sz="8" w:color="BECE33"/>
            </w:tcBorders>
          </w:tcPr>
          <w:p>
            <w:pPr>
              <w:spacing w:after="0" w:line="111" w:lineRule="exact"/>
              <w:rPr>
                <w:sz w:val="20"/>
                <w:szCs w:val="20"/>
                <w:color w:val="auto"/>
              </w:rPr>
            </w:pPr>
            <w:r>
              <w:rPr>
                <w:rFonts w:ascii="Arial" w:cs="Arial" w:eastAsia="Arial" w:hAnsi="Arial"/>
                <w:sz w:val="11"/>
                <w:szCs w:val="11"/>
                <w:b w:val="1"/>
                <w:bCs w:val="1"/>
                <w:color w:val="005A64"/>
              </w:rPr>
              <w:t>Allocation</w:t>
            </w:r>
          </w:p>
        </w:tc>
        <w:tc>
          <w:tcPr>
            <w:tcW w:w="60" w:type="dxa"/>
            <w:vAlign w:val="bottom"/>
            <w:tcBorders>
              <w:top w:val="single" w:sz="8" w:color="BECE33"/>
            </w:tcBorders>
          </w:tcPr>
          <w:p>
            <w:pPr>
              <w:spacing w:after="0"/>
              <w:rPr>
                <w:sz w:val="9"/>
                <w:szCs w:val="9"/>
                <w:color w:val="auto"/>
              </w:rPr>
            </w:pPr>
          </w:p>
        </w:tc>
        <w:tc>
          <w:tcPr>
            <w:tcW w:w="680" w:type="dxa"/>
            <w:vAlign w:val="bottom"/>
            <w:tcBorders>
              <w:top w:val="single" w:sz="8" w:color="BECE33"/>
            </w:tcBorders>
          </w:tcPr>
          <w:p>
            <w:pPr>
              <w:spacing w:after="0" w:line="111" w:lineRule="exact"/>
              <w:rPr>
                <w:sz w:val="20"/>
                <w:szCs w:val="20"/>
                <w:color w:val="auto"/>
              </w:rPr>
            </w:pPr>
            <w:r>
              <w:rPr>
                <w:rFonts w:ascii="Arial" w:cs="Arial" w:eastAsia="Arial" w:hAnsi="Arial"/>
                <w:sz w:val="11"/>
                <w:szCs w:val="11"/>
                <w:b w:val="1"/>
                <w:bCs w:val="1"/>
                <w:color w:val="005A64"/>
              </w:rPr>
              <w:t>Allocation</w:t>
            </w:r>
          </w:p>
        </w:tc>
        <w:tc>
          <w:tcPr>
            <w:tcW w:w="60" w:type="dxa"/>
            <w:vAlign w:val="bottom"/>
            <w:tcBorders>
              <w:top w:val="single" w:sz="8" w:color="BECE33"/>
            </w:tcBorders>
          </w:tcPr>
          <w:p>
            <w:pPr>
              <w:spacing w:after="0"/>
              <w:rPr>
                <w:sz w:val="9"/>
                <w:szCs w:val="9"/>
                <w:color w:val="auto"/>
              </w:rPr>
            </w:pPr>
          </w:p>
        </w:tc>
        <w:tc>
          <w:tcPr>
            <w:tcW w:w="720" w:type="dxa"/>
            <w:vAlign w:val="bottom"/>
            <w:tcBorders>
              <w:top w:val="single" w:sz="8" w:color="BECE33"/>
            </w:tcBorders>
          </w:tcPr>
          <w:p>
            <w:pPr>
              <w:ind w:left="20"/>
              <w:spacing w:after="0" w:line="111" w:lineRule="exact"/>
              <w:rPr>
                <w:sz w:val="20"/>
                <w:szCs w:val="20"/>
                <w:color w:val="auto"/>
              </w:rPr>
            </w:pPr>
            <w:r>
              <w:rPr>
                <w:rFonts w:ascii="Arial" w:cs="Arial" w:eastAsia="Arial" w:hAnsi="Arial"/>
                <w:sz w:val="11"/>
                <w:szCs w:val="11"/>
                <w:b w:val="1"/>
                <w:bCs w:val="1"/>
                <w:color w:val="005A64"/>
              </w:rPr>
              <w:t>Allocation</w:t>
            </w:r>
          </w:p>
        </w:tc>
        <w:tc>
          <w:tcPr>
            <w:tcW w:w="60" w:type="dxa"/>
            <w:vAlign w:val="bottom"/>
            <w:tcBorders>
              <w:top w:val="single" w:sz="8" w:color="BECE33"/>
            </w:tcBorders>
          </w:tcPr>
          <w:p>
            <w:pPr>
              <w:spacing w:after="0"/>
              <w:rPr>
                <w:sz w:val="9"/>
                <w:szCs w:val="9"/>
                <w:color w:val="auto"/>
              </w:rPr>
            </w:pPr>
          </w:p>
        </w:tc>
        <w:tc>
          <w:tcPr>
            <w:tcW w:w="780" w:type="dxa"/>
            <w:vAlign w:val="bottom"/>
            <w:tcBorders>
              <w:top w:val="single" w:sz="8" w:color="BECE33"/>
              <w:right w:val="single" w:sz="8" w:color="BECE33"/>
            </w:tcBorders>
            <w:gridSpan w:val="2"/>
          </w:tcPr>
          <w:p>
            <w:pPr>
              <w:spacing w:after="0" w:line="111" w:lineRule="exact"/>
              <w:rPr>
                <w:sz w:val="20"/>
                <w:szCs w:val="20"/>
                <w:color w:val="auto"/>
              </w:rPr>
            </w:pPr>
            <w:r>
              <w:rPr>
                <w:rFonts w:ascii="Arial" w:cs="Arial" w:eastAsia="Arial" w:hAnsi="Arial"/>
                <w:sz w:val="11"/>
                <w:szCs w:val="11"/>
                <w:b w:val="1"/>
                <w:bCs w:val="1"/>
                <w:color w:val="005A64"/>
              </w:rPr>
              <w:t>Allocation</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40" w:type="dxa"/>
            <w:vAlign w:val="bottom"/>
            <w:tcBorders>
              <w:right w:val="single" w:sz="8" w:color="BECE33"/>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ind w:left="20"/>
              <w:spacing w:after="0" w:line="101" w:lineRule="exact"/>
              <w:rPr>
                <w:sz w:val="20"/>
                <w:szCs w:val="20"/>
                <w:color w:val="auto"/>
              </w:rPr>
            </w:pPr>
            <w:r>
              <w:rPr>
                <w:rFonts w:ascii="Arial" w:cs="Arial" w:eastAsia="Arial" w:hAnsi="Arial"/>
                <w:sz w:val="11"/>
                <w:szCs w:val="11"/>
                <w:b w:val="1"/>
                <w:bCs w:val="1"/>
                <w:color w:val="005A64"/>
              </w:rPr>
              <w:t>date</w:t>
            </w:r>
          </w:p>
        </w:tc>
        <w:tc>
          <w:tcPr>
            <w:tcW w:w="40" w:type="dxa"/>
            <w:vAlign w:val="bottom"/>
          </w:tcPr>
          <w:p>
            <w:pPr>
              <w:spacing w:after="0"/>
              <w:rPr>
                <w:sz w:val="8"/>
                <w:szCs w:val="8"/>
                <w:color w:val="auto"/>
              </w:rPr>
            </w:pPr>
          </w:p>
        </w:tc>
        <w:tc>
          <w:tcPr>
            <w:tcW w:w="740" w:type="dxa"/>
            <w:vAlign w:val="bottom"/>
          </w:tcPr>
          <w:p>
            <w:pPr>
              <w:ind w:left="20"/>
              <w:spacing w:after="0" w:line="101" w:lineRule="exact"/>
              <w:rPr>
                <w:sz w:val="20"/>
                <w:szCs w:val="20"/>
                <w:color w:val="auto"/>
              </w:rPr>
            </w:pPr>
            <w:r>
              <w:rPr>
                <w:rFonts w:ascii="Arial" w:cs="Arial" w:eastAsia="Arial" w:hAnsi="Arial"/>
                <w:sz w:val="11"/>
                <w:szCs w:val="11"/>
                <w:b w:val="1"/>
                <w:bCs w:val="1"/>
                <w:color w:val="005A64"/>
              </w:rPr>
              <w:t>date May 12,</w:t>
            </w:r>
          </w:p>
        </w:tc>
        <w:tc>
          <w:tcPr>
            <w:tcW w:w="60" w:type="dxa"/>
            <w:vAlign w:val="bottom"/>
          </w:tcPr>
          <w:p>
            <w:pPr>
              <w:spacing w:after="0"/>
              <w:rPr>
                <w:sz w:val="8"/>
                <w:szCs w:val="8"/>
                <w:color w:val="auto"/>
              </w:rPr>
            </w:pPr>
          </w:p>
        </w:tc>
        <w:tc>
          <w:tcPr>
            <w:tcW w:w="740" w:type="dxa"/>
            <w:vAlign w:val="bottom"/>
          </w:tcPr>
          <w:p>
            <w:pPr>
              <w:spacing w:after="0" w:line="101" w:lineRule="exact"/>
              <w:rPr>
                <w:sz w:val="20"/>
                <w:szCs w:val="20"/>
                <w:color w:val="auto"/>
              </w:rPr>
            </w:pPr>
            <w:r>
              <w:rPr>
                <w:rFonts w:ascii="Arial" w:cs="Arial" w:eastAsia="Arial" w:hAnsi="Arial"/>
                <w:sz w:val="11"/>
                <w:szCs w:val="11"/>
                <w:b w:val="1"/>
                <w:bCs w:val="1"/>
                <w:color w:val="005A64"/>
              </w:rPr>
              <w:t>date May 17,</w:t>
            </w:r>
          </w:p>
        </w:tc>
        <w:tc>
          <w:tcPr>
            <w:tcW w:w="60" w:type="dxa"/>
            <w:vAlign w:val="bottom"/>
          </w:tcPr>
          <w:p>
            <w:pPr>
              <w:spacing w:after="0"/>
              <w:rPr>
                <w:sz w:val="8"/>
                <w:szCs w:val="8"/>
                <w:color w:val="auto"/>
              </w:rPr>
            </w:pPr>
          </w:p>
        </w:tc>
        <w:tc>
          <w:tcPr>
            <w:tcW w:w="680" w:type="dxa"/>
            <w:vAlign w:val="bottom"/>
          </w:tcPr>
          <w:p>
            <w:pPr>
              <w:spacing w:after="0" w:line="101" w:lineRule="exact"/>
              <w:rPr>
                <w:sz w:val="20"/>
                <w:szCs w:val="20"/>
                <w:color w:val="auto"/>
              </w:rPr>
            </w:pPr>
            <w:r>
              <w:rPr>
                <w:rFonts w:ascii="Arial" w:cs="Arial" w:eastAsia="Arial" w:hAnsi="Arial"/>
                <w:sz w:val="11"/>
                <w:szCs w:val="11"/>
                <w:b w:val="1"/>
                <w:bCs w:val="1"/>
                <w:color w:val="005A64"/>
              </w:rPr>
              <w:t>date May</w:t>
            </w:r>
          </w:p>
        </w:tc>
        <w:tc>
          <w:tcPr>
            <w:tcW w:w="60" w:type="dxa"/>
            <w:vAlign w:val="bottom"/>
          </w:tcPr>
          <w:p>
            <w:pPr>
              <w:spacing w:after="0"/>
              <w:rPr>
                <w:sz w:val="8"/>
                <w:szCs w:val="8"/>
                <w:color w:val="auto"/>
              </w:rPr>
            </w:pPr>
          </w:p>
        </w:tc>
        <w:tc>
          <w:tcPr>
            <w:tcW w:w="720" w:type="dxa"/>
            <w:vAlign w:val="bottom"/>
          </w:tcPr>
          <w:p>
            <w:pPr>
              <w:ind w:left="20"/>
              <w:spacing w:after="0" w:line="101" w:lineRule="exact"/>
              <w:rPr>
                <w:sz w:val="20"/>
                <w:szCs w:val="20"/>
                <w:color w:val="auto"/>
              </w:rPr>
            </w:pPr>
            <w:r>
              <w:rPr>
                <w:rFonts w:ascii="Arial" w:cs="Arial" w:eastAsia="Arial" w:hAnsi="Arial"/>
                <w:sz w:val="11"/>
                <w:szCs w:val="11"/>
                <w:b w:val="1"/>
                <w:bCs w:val="1"/>
                <w:color w:val="005A64"/>
              </w:rPr>
              <w:t>date May</w:t>
            </w:r>
          </w:p>
        </w:tc>
        <w:tc>
          <w:tcPr>
            <w:tcW w:w="60" w:type="dxa"/>
            <w:vAlign w:val="bottom"/>
          </w:tcPr>
          <w:p>
            <w:pPr>
              <w:spacing w:after="0"/>
              <w:rPr>
                <w:sz w:val="8"/>
                <w:szCs w:val="8"/>
                <w:color w:val="auto"/>
              </w:rPr>
            </w:pPr>
          </w:p>
        </w:tc>
        <w:tc>
          <w:tcPr>
            <w:tcW w:w="780" w:type="dxa"/>
            <w:vAlign w:val="bottom"/>
            <w:tcBorders>
              <w:right w:val="single" w:sz="8" w:color="BECE33"/>
            </w:tcBorders>
            <w:gridSpan w:val="2"/>
          </w:tcPr>
          <w:p>
            <w:pPr>
              <w:spacing w:after="0" w:line="101" w:lineRule="exact"/>
              <w:rPr>
                <w:sz w:val="20"/>
                <w:szCs w:val="20"/>
                <w:color w:val="auto"/>
              </w:rPr>
            </w:pPr>
            <w:r>
              <w:rPr>
                <w:rFonts w:ascii="Arial" w:cs="Arial" w:eastAsia="Arial" w:hAnsi="Arial"/>
                <w:sz w:val="11"/>
                <w:szCs w:val="11"/>
                <w:b w:val="1"/>
                <w:bCs w:val="1"/>
                <w:color w:val="005A64"/>
              </w:rPr>
              <w:t>date August</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40" w:type="dxa"/>
            <w:vAlign w:val="bottom"/>
            <w:tcBorders>
              <w:right w:val="single" w:sz="8" w:color="BECE33"/>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ind w:left="20"/>
              <w:spacing w:after="0" w:line="101" w:lineRule="exact"/>
              <w:rPr>
                <w:sz w:val="20"/>
                <w:szCs w:val="20"/>
                <w:color w:val="auto"/>
              </w:rPr>
            </w:pPr>
            <w:r>
              <w:rPr>
                <w:rFonts w:ascii="Arial" w:cs="Arial" w:eastAsia="Arial" w:hAnsi="Arial"/>
                <w:sz w:val="11"/>
                <w:szCs w:val="11"/>
                <w:b w:val="1"/>
                <w:bCs w:val="1"/>
                <w:color w:val="005A64"/>
              </w:rPr>
              <w:t>February</w:t>
            </w:r>
          </w:p>
        </w:tc>
        <w:tc>
          <w:tcPr>
            <w:tcW w:w="780" w:type="dxa"/>
            <w:vAlign w:val="bottom"/>
            <w:gridSpan w:val="2"/>
          </w:tcPr>
          <w:p>
            <w:pPr>
              <w:jc w:val="right"/>
              <w:ind w:right="346"/>
              <w:spacing w:after="0"/>
              <w:rPr>
                <w:sz w:val="20"/>
                <w:szCs w:val="20"/>
                <w:color w:val="auto"/>
              </w:rPr>
            </w:pPr>
            <w:r>
              <w:rPr>
                <w:rFonts w:ascii="Arial" w:cs="Arial" w:eastAsia="Arial" w:hAnsi="Arial"/>
                <w:sz w:val="7"/>
                <w:szCs w:val="7"/>
                <w:b w:val="1"/>
                <w:bCs w:val="1"/>
                <w:color w:val="005A64"/>
              </w:rPr>
              <w:t>(1)</w:t>
            </w:r>
          </w:p>
        </w:tc>
        <w:tc>
          <w:tcPr>
            <w:tcW w:w="800" w:type="dxa"/>
            <w:vAlign w:val="bottom"/>
            <w:gridSpan w:val="2"/>
          </w:tcPr>
          <w:p>
            <w:pPr>
              <w:jc w:val="right"/>
              <w:ind w:right="346"/>
              <w:spacing w:after="0"/>
              <w:rPr>
                <w:sz w:val="20"/>
                <w:szCs w:val="20"/>
                <w:color w:val="auto"/>
              </w:rPr>
            </w:pPr>
            <w:r>
              <w:rPr>
                <w:rFonts w:ascii="Arial" w:cs="Arial" w:eastAsia="Arial" w:hAnsi="Arial"/>
                <w:sz w:val="7"/>
                <w:szCs w:val="7"/>
                <w:b w:val="1"/>
                <w:bCs w:val="1"/>
                <w:color w:val="005A64"/>
              </w:rPr>
              <w:t>(1)</w:t>
            </w:r>
          </w:p>
        </w:tc>
        <w:tc>
          <w:tcPr>
            <w:tcW w:w="740" w:type="dxa"/>
            <w:vAlign w:val="bottom"/>
            <w:gridSpan w:val="2"/>
          </w:tcPr>
          <w:p>
            <w:pPr>
              <w:jc w:val="right"/>
              <w:ind w:right="306"/>
              <w:spacing w:after="0"/>
              <w:rPr>
                <w:sz w:val="20"/>
                <w:szCs w:val="20"/>
                <w:color w:val="auto"/>
              </w:rPr>
            </w:pPr>
            <w:r>
              <w:rPr>
                <w:rFonts w:ascii="Arial" w:cs="Arial" w:eastAsia="Arial" w:hAnsi="Arial"/>
                <w:sz w:val="7"/>
                <w:szCs w:val="7"/>
                <w:b w:val="1"/>
                <w:bCs w:val="1"/>
                <w:color w:val="005A64"/>
              </w:rPr>
              <w:t>(1)</w:t>
            </w:r>
          </w:p>
        </w:tc>
        <w:tc>
          <w:tcPr>
            <w:tcW w:w="780" w:type="dxa"/>
            <w:vAlign w:val="bottom"/>
            <w:gridSpan w:val="2"/>
          </w:tcPr>
          <w:p>
            <w:pPr>
              <w:ind w:left="80"/>
              <w:spacing w:after="0" w:line="101" w:lineRule="exact"/>
              <w:rPr>
                <w:sz w:val="20"/>
                <w:szCs w:val="20"/>
                <w:color w:val="auto"/>
              </w:rPr>
            </w:pPr>
            <w:r>
              <w:rPr>
                <w:rFonts w:ascii="Arial" w:cs="Arial" w:eastAsia="Arial" w:hAnsi="Arial"/>
                <w:sz w:val="11"/>
                <w:szCs w:val="11"/>
                <w:b w:val="1"/>
                <w:bCs w:val="1"/>
                <w:color w:val="005A64"/>
              </w:rPr>
              <w:t>2023</w:t>
            </w:r>
          </w:p>
        </w:tc>
        <w:tc>
          <w:tcPr>
            <w:tcW w:w="780" w:type="dxa"/>
            <w:vAlign w:val="bottom"/>
            <w:gridSpan w:val="2"/>
          </w:tcPr>
          <w:p>
            <w:pPr>
              <w:ind w:left="60"/>
              <w:spacing w:after="0" w:line="101" w:lineRule="exact"/>
              <w:rPr>
                <w:sz w:val="20"/>
                <w:szCs w:val="20"/>
                <w:color w:val="auto"/>
              </w:rPr>
            </w:pPr>
            <w:r>
              <w:rPr>
                <w:rFonts w:ascii="Arial" w:cs="Arial" w:eastAsia="Arial" w:hAnsi="Arial"/>
                <w:sz w:val="11"/>
                <w:szCs w:val="11"/>
                <w:b w:val="1"/>
                <w:bCs w:val="1"/>
                <w:color w:val="005A64"/>
              </w:rPr>
              <w:t>2024</w:t>
            </w:r>
          </w:p>
        </w:tc>
        <w:tc>
          <w:tcPr>
            <w:tcW w:w="60" w:type="dxa"/>
            <w:vAlign w:val="bottom"/>
            <w:tcBorders>
              <w:right w:val="single" w:sz="8" w:color="BECE33"/>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40" w:type="dxa"/>
            <w:vAlign w:val="bottom"/>
            <w:tcBorders>
              <w:right w:val="single" w:sz="8" w:color="BECE33"/>
            </w:tcBorders>
          </w:tcPr>
          <w:p>
            <w:pPr>
              <w:spacing w:after="0"/>
              <w:rPr>
                <w:sz w:val="8"/>
                <w:szCs w:val="8"/>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005A64"/>
              </w:rPr>
              <w:t>2020</w:t>
            </w:r>
          </w:p>
        </w:tc>
        <w:tc>
          <w:tcPr>
            <w:tcW w:w="780" w:type="dxa"/>
            <w:vAlign w:val="bottom"/>
            <w:gridSpan w:val="2"/>
          </w:tcPr>
          <w:p>
            <w:pPr>
              <w:ind w:left="60"/>
              <w:spacing w:after="0" w:line="101" w:lineRule="exact"/>
              <w:rPr>
                <w:sz w:val="20"/>
                <w:szCs w:val="20"/>
                <w:color w:val="auto"/>
              </w:rPr>
            </w:pPr>
            <w:r>
              <w:rPr>
                <w:rFonts w:ascii="Arial" w:cs="Arial" w:eastAsia="Arial" w:hAnsi="Arial"/>
                <w:sz w:val="11"/>
                <w:szCs w:val="11"/>
                <w:b w:val="1"/>
                <w:bCs w:val="1"/>
                <w:color w:val="005A64"/>
              </w:rPr>
              <w:t>2021</w:t>
            </w:r>
          </w:p>
        </w:tc>
        <w:tc>
          <w:tcPr>
            <w:tcW w:w="800" w:type="dxa"/>
            <w:vAlign w:val="bottom"/>
            <w:gridSpan w:val="2"/>
          </w:tcPr>
          <w:p>
            <w:pPr>
              <w:ind w:left="60"/>
              <w:spacing w:after="0" w:line="101" w:lineRule="exact"/>
              <w:rPr>
                <w:sz w:val="20"/>
                <w:szCs w:val="20"/>
                <w:color w:val="auto"/>
              </w:rPr>
            </w:pPr>
            <w:r>
              <w:rPr>
                <w:rFonts w:ascii="Arial" w:cs="Arial" w:eastAsia="Arial" w:hAnsi="Arial"/>
                <w:sz w:val="11"/>
                <w:szCs w:val="11"/>
                <w:b w:val="1"/>
                <w:bCs w:val="1"/>
                <w:color w:val="005A64"/>
              </w:rPr>
              <w:t>2021</w:t>
            </w:r>
          </w:p>
        </w:tc>
        <w:tc>
          <w:tcPr>
            <w:tcW w:w="740" w:type="dxa"/>
            <w:vAlign w:val="bottom"/>
            <w:gridSpan w:val="2"/>
          </w:tcPr>
          <w:p>
            <w:pPr>
              <w:ind w:left="60"/>
              <w:spacing w:after="0" w:line="101" w:lineRule="exact"/>
              <w:rPr>
                <w:sz w:val="20"/>
                <w:szCs w:val="20"/>
                <w:color w:val="auto"/>
              </w:rPr>
            </w:pPr>
            <w:r>
              <w:rPr>
                <w:rFonts w:ascii="Arial" w:cs="Arial" w:eastAsia="Arial" w:hAnsi="Arial"/>
                <w:sz w:val="11"/>
                <w:szCs w:val="11"/>
                <w:b w:val="1"/>
                <w:bCs w:val="1"/>
                <w:color w:val="005A64"/>
              </w:rPr>
              <w:t>2022</w:t>
            </w: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Borders>
              <w:right w:val="single" w:sz="8" w:color="BECE33"/>
            </w:tcBorders>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2020" w:type="dxa"/>
            <w:vAlign w:val="bottom"/>
          </w:tcPr>
          <w:p>
            <w:pPr>
              <w:spacing w:after="0"/>
              <w:rPr>
                <w:sz w:val="4"/>
                <w:szCs w:val="4"/>
                <w:color w:val="auto"/>
              </w:rPr>
            </w:pPr>
          </w:p>
        </w:tc>
        <w:tc>
          <w:tcPr>
            <w:tcW w:w="40" w:type="dxa"/>
            <w:vAlign w:val="bottom"/>
            <w:tcBorders>
              <w:right w:val="single" w:sz="8" w:color="BECE33"/>
            </w:tcBorders>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60" w:type="dxa"/>
            <w:vAlign w:val="bottom"/>
            <w:tcBorders>
              <w:right w:val="single" w:sz="8" w:color="BECE33"/>
            </w:tcBorders>
            <w:gridSpan w:val="2"/>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Borders>
              <w:right w:val="single" w:sz="8" w:color="BECE33"/>
            </w:tcBorders>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020" w:type="dxa"/>
            <w:vAlign w:val="bottom"/>
            <w:tcBorders>
              <w:top w:val="single" w:sz="8" w:color="005A64"/>
            </w:tcBorders>
          </w:tcPr>
          <w:p>
            <w:pPr>
              <w:ind w:left="20"/>
              <w:spacing w:after="0" w:line="92" w:lineRule="exact"/>
              <w:rPr>
                <w:sz w:val="20"/>
                <w:szCs w:val="20"/>
                <w:color w:val="auto"/>
              </w:rPr>
            </w:pPr>
            <w:r>
              <w:rPr>
                <w:rFonts w:ascii="Arial" w:cs="Arial" w:eastAsia="Arial" w:hAnsi="Arial"/>
                <w:sz w:val="10"/>
                <w:szCs w:val="10"/>
                <w:b w:val="1"/>
                <w:bCs w:val="1"/>
                <w:color w:val="005A64"/>
              </w:rPr>
              <w:t>(Phantom) share options outstanding</w:t>
            </w:r>
          </w:p>
        </w:tc>
        <w:tc>
          <w:tcPr>
            <w:tcW w:w="40" w:type="dxa"/>
            <w:vAlign w:val="bottom"/>
            <w:tcBorders>
              <w:right w:val="single" w:sz="8" w:color="BECE33"/>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Borders>
              <w:top w:val="single" w:sz="8" w:color="005A64"/>
            </w:tcBorders>
          </w:tcPr>
          <w:p>
            <w:pPr>
              <w:ind w:left="20"/>
              <w:spacing w:after="0" w:line="92" w:lineRule="exact"/>
              <w:rPr>
                <w:sz w:val="20"/>
                <w:szCs w:val="20"/>
                <w:color w:val="auto"/>
              </w:rPr>
            </w:pPr>
            <w:r>
              <w:rPr>
                <w:rFonts w:ascii="Arial" w:cs="Arial" w:eastAsia="Arial" w:hAnsi="Arial"/>
                <w:sz w:val="10"/>
                <w:szCs w:val="10"/>
                <w:b w:val="1"/>
                <w:bCs w:val="1"/>
                <w:color w:val="005A64"/>
              </w:rPr>
              <w:t>248,096</w:t>
            </w:r>
          </w:p>
        </w:tc>
        <w:tc>
          <w:tcPr>
            <w:tcW w:w="40" w:type="dxa"/>
            <w:vAlign w:val="bottom"/>
          </w:tcPr>
          <w:p>
            <w:pPr>
              <w:spacing w:after="0"/>
              <w:rPr>
                <w:sz w:val="7"/>
                <w:szCs w:val="7"/>
                <w:color w:val="auto"/>
              </w:rPr>
            </w:pPr>
          </w:p>
        </w:tc>
        <w:tc>
          <w:tcPr>
            <w:tcW w:w="740" w:type="dxa"/>
            <w:vAlign w:val="bottom"/>
            <w:tcBorders>
              <w:top w:val="single" w:sz="8" w:color="005A64"/>
            </w:tcBorders>
          </w:tcPr>
          <w:p>
            <w:pPr>
              <w:ind w:left="20"/>
              <w:spacing w:after="0" w:line="92" w:lineRule="exact"/>
              <w:rPr>
                <w:sz w:val="20"/>
                <w:szCs w:val="20"/>
                <w:color w:val="auto"/>
              </w:rPr>
            </w:pPr>
            <w:r>
              <w:rPr>
                <w:rFonts w:ascii="Arial" w:cs="Arial" w:eastAsia="Arial" w:hAnsi="Arial"/>
                <w:sz w:val="10"/>
                <w:szCs w:val="10"/>
                <w:b w:val="1"/>
                <w:bCs w:val="1"/>
                <w:color w:val="005A64"/>
              </w:rPr>
              <w:t>45,279</w:t>
            </w:r>
          </w:p>
        </w:tc>
        <w:tc>
          <w:tcPr>
            <w:tcW w:w="60" w:type="dxa"/>
            <w:vAlign w:val="bottom"/>
          </w:tcPr>
          <w:p>
            <w:pPr>
              <w:spacing w:after="0"/>
              <w:rPr>
                <w:sz w:val="7"/>
                <w:szCs w:val="7"/>
                <w:color w:val="auto"/>
              </w:rPr>
            </w:pPr>
          </w:p>
        </w:tc>
        <w:tc>
          <w:tcPr>
            <w:tcW w:w="740" w:type="dxa"/>
            <w:vAlign w:val="bottom"/>
            <w:tcBorders>
              <w:top w:val="single" w:sz="8" w:color="005A64"/>
            </w:tcBorders>
          </w:tcPr>
          <w:p>
            <w:pPr>
              <w:spacing w:after="0" w:line="92" w:lineRule="exact"/>
              <w:rPr>
                <w:sz w:val="20"/>
                <w:szCs w:val="20"/>
                <w:color w:val="auto"/>
              </w:rPr>
            </w:pPr>
            <w:r>
              <w:rPr>
                <w:rFonts w:ascii="Arial" w:cs="Arial" w:eastAsia="Arial" w:hAnsi="Arial"/>
                <w:sz w:val="10"/>
                <w:szCs w:val="10"/>
                <w:b w:val="1"/>
                <w:bCs w:val="1"/>
                <w:color w:val="005A64"/>
              </w:rPr>
              <w:t>6,463</w:t>
            </w:r>
          </w:p>
        </w:tc>
        <w:tc>
          <w:tcPr>
            <w:tcW w:w="60" w:type="dxa"/>
            <w:vAlign w:val="bottom"/>
          </w:tcPr>
          <w:p>
            <w:pPr>
              <w:spacing w:after="0"/>
              <w:rPr>
                <w:sz w:val="7"/>
                <w:szCs w:val="7"/>
                <w:color w:val="auto"/>
              </w:rPr>
            </w:pPr>
          </w:p>
        </w:tc>
        <w:tc>
          <w:tcPr>
            <w:tcW w:w="680" w:type="dxa"/>
            <w:vAlign w:val="bottom"/>
            <w:tcBorders>
              <w:top w:val="single" w:sz="8" w:color="005A64"/>
            </w:tcBorders>
          </w:tcPr>
          <w:p>
            <w:pPr>
              <w:spacing w:after="0" w:line="92" w:lineRule="exact"/>
              <w:rPr>
                <w:sz w:val="20"/>
                <w:szCs w:val="20"/>
                <w:color w:val="auto"/>
              </w:rPr>
            </w:pPr>
            <w:r>
              <w:rPr>
                <w:rFonts w:ascii="Arial" w:cs="Arial" w:eastAsia="Arial" w:hAnsi="Arial"/>
                <w:sz w:val="10"/>
                <w:szCs w:val="10"/>
                <w:b w:val="1"/>
                <w:bCs w:val="1"/>
                <w:color w:val="005A64"/>
              </w:rPr>
              <w:t>86,118</w:t>
            </w:r>
          </w:p>
        </w:tc>
        <w:tc>
          <w:tcPr>
            <w:tcW w:w="60" w:type="dxa"/>
            <w:vAlign w:val="bottom"/>
          </w:tcPr>
          <w:p>
            <w:pPr>
              <w:spacing w:after="0"/>
              <w:rPr>
                <w:sz w:val="7"/>
                <w:szCs w:val="7"/>
                <w:color w:val="auto"/>
              </w:rPr>
            </w:pPr>
          </w:p>
        </w:tc>
        <w:tc>
          <w:tcPr>
            <w:tcW w:w="720" w:type="dxa"/>
            <w:vAlign w:val="bottom"/>
            <w:tcBorders>
              <w:top w:val="single" w:sz="8" w:color="005A64"/>
            </w:tcBorders>
          </w:tcPr>
          <w:p>
            <w:pPr>
              <w:ind w:left="20"/>
              <w:spacing w:after="0" w:line="92" w:lineRule="exact"/>
              <w:rPr>
                <w:sz w:val="20"/>
                <w:szCs w:val="20"/>
                <w:color w:val="auto"/>
              </w:rPr>
            </w:pPr>
            <w:r>
              <w:rPr>
                <w:rFonts w:ascii="Arial" w:cs="Arial" w:eastAsia="Arial" w:hAnsi="Arial"/>
                <w:sz w:val="10"/>
                <w:szCs w:val="10"/>
                <w:b w:val="1"/>
                <w:bCs w:val="1"/>
                <w:color w:val="005A64"/>
              </w:rPr>
              <w:t>—</w:t>
            </w:r>
          </w:p>
        </w:tc>
        <w:tc>
          <w:tcPr>
            <w:tcW w:w="60" w:type="dxa"/>
            <w:vAlign w:val="bottom"/>
          </w:tcPr>
          <w:p>
            <w:pPr>
              <w:spacing w:after="0"/>
              <w:rPr>
                <w:sz w:val="7"/>
                <w:szCs w:val="7"/>
                <w:color w:val="auto"/>
              </w:rPr>
            </w:pPr>
          </w:p>
        </w:tc>
        <w:tc>
          <w:tcPr>
            <w:tcW w:w="720" w:type="dxa"/>
            <w:vAlign w:val="bottom"/>
            <w:tcBorders>
              <w:top w:val="single" w:sz="8" w:color="005A64"/>
            </w:tcBorders>
          </w:tcPr>
          <w:p>
            <w:pPr>
              <w:spacing w:after="0" w:line="92" w:lineRule="exact"/>
              <w:rPr>
                <w:sz w:val="20"/>
                <w:szCs w:val="20"/>
                <w:color w:val="auto"/>
              </w:rPr>
            </w:pPr>
            <w:r>
              <w:rPr>
                <w:rFonts w:ascii="Arial" w:cs="Arial" w:eastAsia="Arial" w:hAnsi="Arial"/>
                <w:sz w:val="10"/>
                <w:szCs w:val="10"/>
                <w:b w:val="1"/>
                <w:bCs w:val="1"/>
                <w:color w:val="005A64"/>
              </w:rPr>
              <w:t>—</w:t>
            </w:r>
          </w:p>
        </w:tc>
        <w:tc>
          <w:tcPr>
            <w:tcW w:w="60" w:type="dxa"/>
            <w:vAlign w:val="bottom"/>
            <w:tcBorders>
              <w:right w:val="single" w:sz="8" w:color="BECE33"/>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060" w:type="dxa"/>
            <w:vAlign w:val="bottom"/>
            <w:tcBorders>
              <w:right w:val="single" w:sz="8" w:color="BECE33"/>
            </w:tcBorders>
            <w:gridSpan w:val="2"/>
          </w:tcPr>
          <w:p>
            <w:pPr>
              <w:ind w:left="20"/>
              <w:spacing w:after="0"/>
              <w:rPr>
                <w:sz w:val="20"/>
                <w:szCs w:val="20"/>
                <w:color w:val="auto"/>
              </w:rPr>
            </w:pPr>
            <w:r>
              <w:rPr>
                <w:rFonts w:ascii="Arial" w:cs="Arial" w:eastAsia="Arial" w:hAnsi="Arial"/>
                <w:sz w:val="11"/>
                <w:szCs w:val="11"/>
                <w:b w:val="1"/>
                <w:bCs w:val="1"/>
                <w:color w:val="005A64"/>
              </w:rPr>
              <w:t>as of January 1, 2023</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Borders>
              <w:right w:val="single" w:sz="8" w:color="BECE33"/>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60" w:type="dxa"/>
            <w:vAlign w:val="bottom"/>
            <w:tcBorders>
              <w:right w:val="single" w:sz="8" w:color="BECE33"/>
            </w:tcBorders>
            <w:gridSpan w:val="2"/>
          </w:tcPr>
          <w:p>
            <w:pPr>
              <w:ind w:left="20"/>
              <w:spacing w:after="0"/>
              <w:rPr>
                <w:sz w:val="20"/>
                <w:szCs w:val="20"/>
                <w:color w:val="auto"/>
              </w:rPr>
            </w:pPr>
            <w:r>
              <w:rPr>
                <w:rFonts w:ascii="Arial" w:cs="Arial" w:eastAsia="Arial" w:hAnsi="Arial"/>
                <w:sz w:val="11"/>
                <w:szCs w:val="11"/>
                <w:color w:val="005A64"/>
              </w:rPr>
              <w:t>Granted / Allocated</w:t>
            </w:r>
          </w:p>
        </w:tc>
        <w:tc>
          <w:tcPr>
            <w:tcW w:w="2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Arial" w:cs="Arial" w:eastAsia="Arial" w:hAnsi="Arial"/>
                <w:sz w:val="11"/>
                <w:szCs w:val="11"/>
                <w:color w:val="005A64"/>
              </w:rPr>
              <w:t>—</w:t>
            </w:r>
          </w:p>
        </w:tc>
        <w:tc>
          <w:tcPr>
            <w:tcW w:w="4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005A64"/>
              </w:rPr>
              <w:t>—</w:t>
            </w:r>
          </w:p>
        </w:tc>
        <w:tc>
          <w:tcPr>
            <w:tcW w:w="6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1"/>
                <w:szCs w:val="11"/>
                <w:color w:val="005A64"/>
              </w:rPr>
              <w:t>—</w:t>
            </w:r>
          </w:p>
        </w:tc>
        <w:tc>
          <w:tcPr>
            <w:tcW w:w="6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1"/>
                <w:szCs w:val="11"/>
                <w:color w:val="005A64"/>
              </w:rPr>
              <w:t>—</w:t>
            </w:r>
          </w:p>
        </w:tc>
        <w:tc>
          <w:tcPr>
            <w:tcW w:w="780" w:type="dxa"/>
            <w:vAlign w:val="bottom"/>
            <w:gridSpan w:val="2"/>
          </w:tcPr>
          <w:p>
            <w:pPr>
              <w:ind w:left="80"/>
              <w:spacing w:after="0"/>
              <w:rPr>
                <w:sz w:val="20"/>
                <w:szCs w:val="20"/>
                <w:color w:val="auto"/>
              </w:rPr>
            </w:pPr>
            <w:r>
              <w:rPr>
                <w:rFonts w:ascii="Arial" w:cs="Arial" w:eastAsia="Arial" w:hAnsi="Arial"/>
                <w:sz w:val="11"/>
                <w:szCs w:val="11"/>
                <w:color w:val="005A64"/>
              </w:rPr>
              <w:t>130,586</w:t>
            </w:r>
          </w:p>
        </w:tc>
        <w:tc>
          <w:tcPr>
            <w:tcW w:w="60" w:type="dxa"/>
            <w:vAlign w:val="bottom"/>
          </w:tcPr>
          <w:p>
            <w:pPr>
              <w:spacing w:after="0"/>
              <w:rPr>
                <w:sz w:val="18"/>
                <w:szCs w:val="18"/>
                <w:color w:val="auto"/>
              </w:rPr>
            </w:pPr>
          </w:p>
        </w:tc>
        <w:tc>
          <w:tcPr>
            <w:tcW w:w="780" w:type="dxa"/>
            <w:vAlign w:val="bottom"/>
            <w:tcBorders>
              <w:right w:val="single" w:sz="8" w:color="BECE33"/>
            </w:tcBorders>
            <w:gridSpan w:val="2"/>
          </w:tcPr>
          <w:p>
            <w:pPr>
              <w:spacing w:after="0"/>
              <w:rPr>
                <w:sz w:val="20"/>
                <w:szCs w:val="20"/>
                <w:color w:val="auto"/>
              </w:rPr>
            </w:pPr>
            <w:r>
              <w:rPr>
                <w:rFonts w:ascii="Arial" w:cs="Arial" w:eastAsia="Arial" w:hAnsi="Arial"/>
                <w:sz w:val="11"/>
                <w:szCs w:val="11"/>
                <w:color w:val="005A64"/>
              </w:rPr>
              <w:t>—</w:t>
            </w:r>
          </w:p>
        </w:tc>
        <w:tc>
          <w:tcPr>
            <w:tcW w:w="0" w:type="dxa"/>
            <w:vAlign w:val="bottom"/>
          </w:tcPr>
          <w:p>
            <w:pPr>
              <w:spacing w:after="0"/>
              <w:rPr>
                <w:sz w:val="1"/>
                <w:szCs w:val="1"/>
                <w:color w:val="auto"/>
              </w:rPr>
            </w:pPr>
          </w:p>
        </w:tc>
      </w:tr>
      <w:tr>
        <w:trPr>
          <w:trHeight w:val="166"/>
        </w:trPr>
        <w:tc>
          <w:tcPr>
            <w:tcW w:w="2060" w:type="dxa"/>
            <w:vAlign w:val="bottom"/>
            <w:tcBorders>
              <w:right w:val="single" w:sz="8" w:color="BECE33"/>
            </w:tcBorders>
            <w:gridSpan w:val="2"/>
          </w:tcPr>
          <w:p>
            <w:pPr>
              <w:ind w:left="20"/>
              <w:spacing w:after="0"/>
              <w:rPr>
                <w:sz w:val="20"/>
                <w:szCs w:val="20"/>
                <w:color w:val="auto"/>
              </w:rPr>
            </w:pPr>
            <w:r>
              <w:rPr>
                <w:rFonts w:ascii="Arial" w:cs="Arial" w:eastAsia="Arial" w:hAnsi="Arial"/>
                <w:sz w:val="11"/>
                <w:szCs w:val="11"/>
                <w:b w:val="1"/>
                <w:bCs w:val="1"/>
                <w:color w:val="005A64"/>
              </w:rPr>
              <w:t>(Phantom) share options outstanding</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005A64"/>
              </w:rPr>
              <w:t>248,096</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005A64"/>
              </w:rPr>
              <w:t>45,279</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005A64"/>
              </w:rPr>
              <w:t>6,463</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005A64"/>
              </w:rPr>
              <w:t>86,118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005A64"/>
              </w:rPr>
              <w:t>130,586</w:t>
            </w:r>
          </w:p>
        </w:tc>
        <w:tc>
          <w:tcPr>
            <w:tcW w:w="60" w:type="dxa"/>
            <w:vAlign w:val="bottom"/>
          </w:tcPr>
          <w:p>
            <w:pPr>
              <w:spacing w:after="0"/>
              <w:rPr>
                <w:sz w:val="14"/>
                <w:szCs w:val="14"/>
                <w:color w:val="auto"/>
              </w:rPr>
            </w:pPr>
          </w:p>
        </w:tc>
        <w:tc>
          <w:tcPr>
            <w:tcW w:w="780" w:type="dxa"/>
            <w:vAlign w:val="bottom"/>
            <w:tcBorders>
              <w:right w:val="single" w:sz="8" w:color="BECE33"/>
            </w:tcBorders>
            <w:gridSpan w:val="2"/>
          </w:tcPr>
          <w:p>
            <w:pPr>
              <w:spacing w:after="0"/>
              <w:rPr>
                <w:sz w:val="20"/>
                <w:szCs w:val="20"/>
                <w:color w:val="auto"/>
              </w:rPr>
            </w:pPr>
            <w:r>
              <w:rPr>
                <w:rFonts w:ascii="Arial" w:cs="Arial" w:eastAsia="Arial" w:hAnsi="Arial"/>
                <w:sz w:val="11"/>
                <w:szCs w:val="11"/>
                <w:b w:val="1"/>
                <w:bCs w:val="1"/>
                <w:color w:val="005A64"/>
              </w:rPr>
              <w:t>—</w:t>
            </w:r>
          </w:p>
        </w:tc>
        <w:tc>
          <w:tcPr>
            <w:tcW w:w="0" w:type="dxa"/>
            <w:vAlign w:val="bottom"/>
          </w:tcPr>
          <w:p>
            <w:pPr>
              <w:spacing w:after="0"/>
              <w:rPr>
                <w:sz w:val="1"/>
                <w:szCs w:val="1"/>
                <w:color w:val="auto"/>
              </w:rPr>
            </w:pPr>
          </w:p>
        </w:tc>
      </w:tr>
      <w:tr>
        <w:trPr>
          <w:trHeight w:val="151"/>
        </w:trPr>
        <w:tc>
          <w:tcPr>
            <w:tcW w:w="2060" w:type="dxa"/>
            <w:vAlign w:val="bottom"/>
            <w:tcBorders>
              <w:right w:val="single" w:sz="8" w:color="BECE33"/>
            </w:tcBorders>
            <w:gridSpan w:val="2"/>
          </w:tcPr>
          <w:p>
            <w:pPr>
              <w:ind w:left="20"/>
              <w:spacing w:after="0"/>
              <w:rPr>
                <w:sz w:val="20"/>
                <w:szCs w:val="20"/>
                <w:color w:val="auto"/>
              </w:rPr>
            </w:pPr>
            <w:r>
              <w:rPr>
                <w:rFonts w:ascii="Arial" w:cs="Arial" w:eastAsia="Arial" w:hAnsi="Arial"/>
                <w:sz w:val="11"/>
                <w:szCs w:val="11"/>
                <w:b w:val="1"/>
                <w:bCs w:val="1"/>
                <w:color w:val="005A64"/>
              </w:rPr>
              <w:t>as of December 31, 2023</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Borders>
              <w:right w:val="single" w:sz="8" w:color="BECE33"/>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60" w:type="dxa"/>
            <w:vAlign w:val="bottom"/>
            <w:tcBorders>
              <w:right w:val="single" w:sz="8" w:color="BECE33"/>
            </w:tcBorders>
            <w:gridSpan w:val="2"/>
          </w:tcPr>
          <w:p>
            <w:pPr>
              <w:spacing w:after="0"/>
              <w:rPr>
                <w:sz w:val="7"/>
                <w:szCs w:val="7"/>
                <w:color w:val="auto"/>
              </w:rPr>
            </w:pPr>
          </w:p>
        </w:tc>
        <w:tc>
          <w:tcPr>
            <w:tcW w:w="740" w:type="dxa"/>
            <w:vAlign w:val="bottom"/>
            <w:gridSpan w:val="2"/>
          </w:tcPr>
          <w:p>
            <w:pPr>
              <w:spacing w:after="0"/>
              <w:rPr>
                <w:sz w:val="7"/>
                <w:szCs w:val="7"/>
                <w:color w:val="auto"/>
              </w:rPr>
            </w:pPr>
          </w:p>
        </w:tc>
        <w:tc>
          <w:tcPr>
            <w:tcW w:w="780" w:type="dxa"/>
            <w:vAlign w:val="bottom"/>
            <w:gridSpan w:val="2"/>
          </w:tcPr>
          <w:p>
            <w:pPr>
              <w:spacing w:after="0"/>
              <w:rPr>
                <w:sz w:val="7"/>
                <w:szCs w:val="7"/>
                <w:color w:val="auto"/>
              </w:rPr>
            </w:pPr>
          </w:p>
        </w:tc>
        <w:tc>
          <w:tcPr>
            <w:tcW w:w="800" w:type="dxa"/>
            <w:vAlign w:val="bottom"/>
            <w:gridSpan w:val="2"/>
          </w:tcPr>
          <w:p>
            <w:pPr>
              <w:spacing w:after="0"/>
              <w:rPr>
                <w:sz w:val="7"/>
                <w:szCs w:val="7"/>
                <w:color w:val="auto"/>
              </w:rPr>
            </w:pPr>
          </w:p>
        </w:tc>
        <w:tc>
          <w:tcPr>
            <w:tcW w:w="740" w:type="dxa"/>
            <w:vAlign w:val="bottom"/>
            <w:gridSpan w:val="2"/>
          </w:tcPr>
          <w:p>
            <w:pPr>
              <w:spacing w:after="0"/>
              <w:rPr>
                <w:sz w:val="7"/>
                <w:szCs w:val="7"/>
                <w:color w:val="auto"/>
              </w:rPr>
            </w:pPr>
          </w:p>
        </w:tc>
        <w:tc>
          <w:tcPr>
            <w:tcW w:w="78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right w:val="single" w:sz="8" w:color="BECE33"/>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20" w:type="dxa"/>
            <w:vAlign w:val="bottom"/>
            <w:tcBorders>
              <w:top w:val="single" w:sz="8" w:color="005A64"/>
            </w:tcBorders>
          </w:tcPr>
          <w:p>
            <w:pPr>
              <w:ind w:left="20"/>
              <w:spacing w:after="0" w:line="92" w:lineRule="exact"/>
              <w:rPr>
                <w:sz w:val="20"/>
                <w:szCs w:val="20"/>
                <w:color w:val="auto"/>
              </w:rPr>
            </w:pPr>
            <w:r>
              <w:rPr>
                <w:rFonts w:ascii="Arial" w:cs="Arial" w:eastAsia="Arial" w:hAnsi="Arial"/>
                <w:sz w:val="10"/>
                <w:szCs w:val="10"/>
                <w:b w:val="1"/>
                <w:bCs w:val="1"/>
                <w:color w:val="005A64"/>
              </w:rPr>
              <w:t>(Phantom) share options outstanding</w:t>
            </w:r>
          </w:p>
        </w:tc>
        <w:tc>
          <w:tcPr>
            <w:tcW w:w="40" w:type="dxa"/>
            <w:vAlign w:val="bottom"/>
            <w:tcBorders>
              <w:right w:val="single" w:sz="8" w:color="BECE33"/>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Borders>
              <w:top w:val="single" w:sz="8" w:color="005A64"/>
            </w:tcBorders>
          </w:tcPr>
          <w:p>
            <w:pPr>
              <w:ind w:left="20"/>
              <w:spacing w:after="0" w:line="92" w:lineRule="exact"/>
              <w:rPr>
                <w:sz w:val="20"/>
                <w:szCs w:val="20"/>
                <w:color w:val="auto"/>
              </w:rPr>
            </w:pPr>
            <w:r>
              <w:rPr>
                <w:rFonts w:ascii="Arial" w:cs="Arial" w:eastAsia="Arial" w:hAnsi="Arial"/>
                <w:sz w:val="10"/>
                <w:szCs w:val="10"/>
                <w:b w:val="1"/>
                <w:bCs w:val="1"/>
                <w:color w:val="005A64"/>
              </w:rPr>
              <w:t>248,096</w:t>
            </w:r>
          </w:p>
        </w:tc>
        <w:tc>
          <w:tcPr>
            <w:tcW w:w="40" w:type="dxa"/>
            <w:vAlign w:val="bottom"/>
          </w:tcPr>
          <w:p>
            <w:pPr>
              <w:spacing w:after="0"/>
              <w:rPr>
                <w:sz w:val="7"/>
                <w:szCs w:val="7"/>
                <w:color w:val="auto"/>
              </w:rPr>
            </w:pPr>
          </w:p>
        </w:tc>
        <w:tc>
          <w:tcPr>
            <w:tcW w:w="740" w:type="dxa"/>
            <w:vAlign w:val="bottom"/>
            <w:tcBorders>
              <w:top w:val="single" w:sz="8" w:color="005A64"/>
            </w:tcBorders>
          </w:tcPr>
          <w:p>
            <w:pPr>
              <w:ind w:left="20"/>
              <w:spacing w:after="0" w:line="92" w:lineRule="exact"/>
              <w:rPr>
                <w:sz w:val="20"/>
                <w:szCs w:val="20"/>
                <w:color w:val="auto"/>
              </w:rPr>
            </w:pPr>
            <w:r>
              <w:rPr>
                <w:rFonts w:ascii="Arial" w:cs="Arial" w:eastAsia="Arial" w:hAnsi="Arial"/>
                <w:sz w:val="10"/>
                <w:szCs w:val="10"/>
                <w:b w:val="1"/>
                <w:bCs w:val="1"/>
                <w:color w:val="005A64"/>
              </w:rPr>
              <w:t>45,279</w:t>
            </w:r>
          </w:p>
        </w:tc>
        <w:tc>
          <w:tcPr>
            <w:tcW w:w="60" w:type="dxa"/>
            <w:vAlign w:val="bottom"/>
          </w:tcPr>
          <w:p>
            <w:pPr>
              <w:spacing w:after="0"/>
              <w:rPr>
                <w:sz w:val="7"/>
                <w:szCs w:val="7"/>
                <w:color w:val="auto"/>
              </w:rPr>
            </w:pPr>
          </w:p>
        </w:tc>
        <w:tc>
          <w:tcPr>
            <w:tcW w:w="740" w:type="dxa"/>
            <w:vAlign w:val="bottom"/>
            <w:tcBorders>
              <w:top w:val="single" w:sz="8" w:color="005A64"/>
            </w:tcBorders>
          </w:tcPr>
          <w:p>
            <w:pPr>
              <w:spacing w:after="0" w:line="92" w:lineRule="exact"/>
              <w:rPr>
                <w:sz w:val="20"/>
                <w:szCs w:val="20"/>
                <w:color w:val="auto"/>
              </w:rPr>
            </w:pPr>
            <w:r>
              <w:rPr>
                <w:rFonts w:ascii="Arial" w:cs="Arial" w:eastAsia="Arial" w:hAnsi="Arial"/>
                <w:sz w:val="10"/>
                <w:szCs w:val="10"/>
                <w:b w:val="1"/>
                <w:bCs w:val="1"/>
                <w:color w:val="005A64"/>
              </w:rPr>
              <w:t>6,463</w:t>
            </w:r>
          </w:p>
        </w:tc>
        <w:tc>
          <w:tcPr>
            <w:tcW w:w="60" w:type="dxa"/>
            <w:vAlign w:val="bottom"/>
          </w:tcPr>
          <w:p>
            <w:pPr>
              <w:spacing w:after="0"/>
              <w:rPr>
                <w:sz w:val="7"/>
                <w:szCs w:val="7"/>
                <w:color w:val="auto"/>
              </w:rPr>
            </w:pPr>
          </w:p>
        </w:tc>
        <w:tc>
          <w:tcPr>
            <w:tcW w:w="680" w:type="dxa"/>
            <w:vAlign w:val="bottom"/>
            <w:tcBorders>
              <w:top w:val="single" w:sz="8" w:color="005A64"/>
            </w:tcBorders>
          </w:tcPr>
          <w:p>
            <w:pPr>
              <w:spacing w:after="0" w:line="92" w:lineRule="exact"/>
              <w:rPr>
                <w:sz w:val="20"/>
                <w:szCs w:val="20"/>
                <w:color w:val="auto"/>
              </w:rPr>
            </w:pPr>
            <w:r>
              <w:rPr>
                <w:rFonts w:ascii="Arial" w:cs="Arial" w:eastAsia="Arial" w:hAnsi="Arial"/>
                <w:sz w:val="10"/>
                <w:szCs w:val="10"/>
                <w:b w:val="1"/>
                <w:bCs w:val="1"/>
                <w:color w:val="005A64"/>
              </w:rPr>
              <w:t>86,118</w:t>
            </w:r>
          </w:p>
        </w:tc>
        <w:tc>
          <w:tcPr>
            <w:tcW w:w="60" w:type="dxa"/>
            <w:vAlign w:val="bottom"/>
          </w:tcPr>
          <w:p>
            <w:pPr>
              <w:spacing w:after="0"/>
              <w:rPr>
                <w:sz w:val="7"/>
                <w:szCs w:val="7"/>
                <w:color w:val="auto"/>
              </w:rPr>
            </w:pPr>
          </w:p>
        </w:tc>
        <w:tc>
          <w:tcPr>
            <w:tcW w:w="720" w:type="dxa"/>
            <w:vAlign w:val="bottom"/>
            <w:tcBorders>
              <w:top w:val="single" w:sz="8" w:color="005A64"/>
            </w:tcBorders>
          </w:tcPr>
          <w:p>
            <w:pPr>
              <w:ind w:left="20"/>
              <w:spacing w:after="0" w:line="92" w:lineRule="exact"/>
              <w:rPr>
                <w:sz w:val="20"/>
                <w:szCs w:val="20"/>
                <w:color w:val="auto"/>
              </w:rPr>
            </w:pPr>
            <w:r>
              <w:rPr>
                <w:rFonts w:ascii="Arial" w:cs="Arial" w:eastAsia="Arial" w:hAnsi="Arial"/>
                <w:sz w:val="10"/>
                <w:szCs w:val="10"/>
                <w:b w:val="1"/>
                <w:bCs w:val="1"/>
                <w:color w:val="005A64"/>
              </w:rPr>
              <w:t>130,586</w:t>
            </w:r>
          </w:p>
        </w:tc>
        <w:tc>
          <w:tcPr>
            <w:tcW w:w="60" w:type="dxa"/>
            <w:vAlign w:val="bottom"/>
          </w:tcPr>
          <w:p>
            <w:pPr>
              <w:spacing w:after="0"/>
              <w:rPr>
                <w:sz w:val="7"/>
                <w:szCs w:val="7"/>
                <w:color w:val="auto"/>
              </w:rPr>
            </w:pPr>
          </w:p>
        </w:tc>
        <w:tc>
          <w:tcPr>
            <w:tcW w:w="720" w:type="dxa"/>
            <w:vAlign w:val="bottom"/>
            <w:tcBorders>
              <w:top w:val="single" w:sz="8" w:color="005A64"/>
            </w:tcBorders>
          </w:tcPr>
          <w:p>
            <w:pPr>
              <w:spacing w:after="0" w:line="92" w:lineRule="exact"/>
              <w:rPr>
                <w:sz w:val="20"/>
                <w:szCs w:val="20"/>
                <w:color w:val="auto"/>
              </w:rPr>
            </w:pPr>
            <w:r>
              <w:rPr>
                <w:rFonts w:ascii="Arial" w:cs="Arial" w:eastAsia="Arial" w:hAnsi="Arial"/>
                <w:sz w:val="10"/>
                <w:szCs w:val="10"/>
                <w:b w:val="1"/>
                <w:bCs w:val="1"/>
                <w:color w:val="005A64"/>
              </w:rPr>
              <w:t>—</w:t>
            </w:r>
          </w:p>
        </w:tc>
        <w:tc>
          <w:tcPr>
            <w:tcW w:w="60" w:type="dxa"/>
            <w:vAlign w:val="bottom"/>
            <w:tcBorders>
              <w:right w:val="single" w:sz="8" w:color="BECE33"/>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060" w:type="dxa"/>
            <w:vAlign w:val="bottom"/>
            <w:tcBorders>
              <w:right w:val="single" w:sz="8" w:color="BECE33"/>
            </w:tcBorders>
            <w:gridSpan w:val="2"/>
          </w:tcPr>
          <w:p>
            <w:pPr>
              <w:ind w:left="20"/>
              <w:spacing w:after="0"/>
              <w:rPr>
                <w:sz w:val="20"/>
                <w:szCs w:val="20"/>
                <w:color w:val="auto"/>
              </w:rPr>
            </w:pPr>
            <w:r>
              <w:rPr>
                <w:rFonts w:ascii="Arial" w:cs="Arial" w:eastAsia="Arial" w:hAnsi="Arial"/>
                <w:sz w:val="11"/>
                <w:szCs w:val="11"/>
                <w:b w:val="1"/>
                <w:bCs w:val="1"/>
                <w:color w:val="005A64"/>
              </w:rPr>
              <w:t>as of January 1, 2024</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Borders>
              <w:right w:val="single" w:sz="8" w:color="BECE33"/>
            </w:tcBorders>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60" w:type="dxa"/>
            <w:vAlign w:val="bottom"/>
            <w:tcBorders>
              <w:right w:val="single" w:sz="8" w:color="BECE33"/>
            </w:tcBorders>
            <w:gridSpan w:val="2"/>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gridSpan w:val="2"/>
          </w:tcPr>
          <w:p>
            <w:pPr>
              <w:spacing w:after="0"/>
              <w:rPr>
                <w:sz w:val="6"/>
                <w:szCs w:val="6"/>
                <w:color w:val="auto"/>
              </w:rPr>
            </w:pPr>
          </w:p>
        </w:tc>
        <w:tc>
          <w:tcPr>
            <w:tcW w:w="60" w:type="dxa"/>
            <w:vAlign w:val="bottom"/>
            <w:tcBorders>
              <w:right w:val="single" w:sz="8" w:color="BECE33"/>
            </w:tcBorders>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20" w:type="dxa"/>
            <w:vAlign w:val="bottom"/>
            <w:tcBorders>
              <w:top w:val="single" w:sz="8" w:color="005A64"/>
            </w:tcBorders>
          </w:tcPr>
          <w:p>
            <w:pPr>
              <w:ind w:left="20"/>
              <w:spacing w:after="0"/>
              <w:rPr>
                <w:sz w:val="20"/>
                <w:szCs w:val="20"/>
                <w:color w:val="auto"/>
              </w:rPr>
            </w:pPr>
            <w:r>
              <w:rPr>
                <w:rFonts w:ascii="Arial" w:cs="Arial" w:eastAsia="Arial" w:hAnsi="Arial"/>
                <w:sz w:val="11"/>
                <w:szCs w:val="11"/>
                <w:color w:val="005A64"/>
              </w:rPr>
              <w:t>Granted / Allocated</w:t>
            </w:r>
          </w:p>
        </w:tc>
        <w:tc>
          <w:tcPr>
            <w:tcW w:w="40" w:type="dxa"/>
            <w:vAlign w:val="bottom"/>
            <w:tcBorders>
              <w:right w:val="single" w:sz="8" w:color="BECE33"/>
            </w:tcBorders>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Borders>
              <w:top w:val="single" w:sz="8" w:color="005A64"/>
            </w:tcBorders>
          </w:tcPr>
          <w:p>
            <w:pPr>
              <w:ind w:left="20"/>
              <w:spacing w:after="0"/>
              <w:rPr>
                <w:sz w:val="20"/>
                <w:szCs w:val="20"/>
                <w:color w:val="auto"/>
              </w:rPr>
            </w:pPr>
            <w:r>
              <w:rPr>
                <w:rFonts w:ascii="Arial" w:cs="Arial" w:eastAsia="Arial" w:hAnsi="Arial"/>
                <w:sz w:val="11"/>
                <w:szCs w:val="11"/>
                <w:color w:val="005A64"/>
              </w:rPr>
              <w:t>—</w:t>
            </w:r>
          </w:p>
        </w:tc>
        <w:tc>
          <w:tcPr>
            <w:tcW w:w="40" w:type="dxa"/>
            <w:vAlign w:val="bottom"/>
          </w:tcPr>
          <w:p>
            <w:pPr>
              <w:spacing w:after="0"/>
              <w:rPr>
                <w:sz w:val="11"/>
                <w:szCs w:val="11"/>
                <w:color w:val="auto"/>
              </w:rPr>
            </w:pPr>
          </w:p>
        </w:tc>
        <w:tc>
          <w:tcPr>
            <w:tcW w:w="740" w:type="dxa"/>
            <w:vAlign w:val="bottom"/>
            <w:tcBorders>
              <w:top w:val="single" w:sz="8" w:color="005A64"/>
            </w:tcBorders>
          </w:tcPr>
          <w:p>
            <w:pPr>
              <w:ind w:left="20"/>
              <w:spacing w:after="0"/>
              <w:rPr>
                <w:sz w:val="20"/>
                <w:szCs w:val="20"/>
                <w:color w:val="auto"/>
              </w:rPr>
            </w:pPr>
            <w:r>
              <w:rPr>
                <w:rFonts w:ascii="Arial" w:cs="Arial" w:eastAsia="Arial" w:hAnsi="Arial"/>
                <w:sz w:val="11"/>
                <w:szCs w:val="11"/>
                <w:color w:val="005A64"/>
              </w:rPr>
              <w:t>—</w:t>
            </w:r>
          </w:p>
        </w:tc>
        <w:tc>
          <w:tcPr>
            <w:tcW w:w="60" w:type="dxa"/>
            <w:vAlign w:val="bottom"/>
          </w:tcPr>
          <w:p>
            <w:pPr>
              <w:spacing w:after="0"/>
              <w:rPr>
                <w:sz w:val="11"/>
                <w:szCs w:val="11"/>
                <w:color w:val="auto"/>
              </w:rPr>
            </w:pPr>
          </w:p>
        </w:tc>
        <w:tc>
          <w:tcPr>
            <w:tcW w:w="74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w:t>
            </w:r>
          </w:p>
        </w:tc>
        <w:tc>
          <w:tcPr>
            <w:tcW w:w="60" w:type="dxa"/>
            <w:vAlign w:val="bottom"/>
          </w:tcPr>
          <w:p>
            <w:pPr>
              <w:spacing w:after="0"/>
              <w:rPr>
                <w:sz w:val="11"/>
                <w:szCs w:val="11"/>
                <w:color w:val="auto"/>
              </w:rPr>
            </w:pPr>
          </w:p>
        </w:tc>
        <w:tc>
          <w:tcPr>
            <w:tcW w:w="68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w:t>
            </w:r>
          </w:p>
        </w:tc>
        <w:tc>
          <w:tcPr>
            <w:tcW w:w="60" w:type="dxa"/>
            <w:vAlign w:val="bottom"/>
          </w:tcPr>
          <w:p>
            <w:pPr>
              <w:spacing w:after="0"/>
              <w:rPr>
                <w:sz w:val="11"/>
                <w:szCs w:val="11"/>
                <w:color w:val="auto"/>
              </w:rPr>
            </w:pPr>
          </w:p>
        </w:tc>
        <w:tc>
          <w:tcPr>
            <w:tcW w:w="720" w:type="dxa"/>
            <w:vAlign w:val="bottom"/>
            <w:tcBorders>
              <w:top w:val="single" w:sz="8" w:color="005A64"/>
            </w:tcBorders>
          </w:tcPr>
          <w:p>
            <w:pPr>
              <w:ind w:left="20"/>
              <w:spacing w:after="0"/>
              <w:rPr>
                <w:sz w:val="20"/>
                <w:szCs w:val="20"/>
                <w:color w:val="auto"/>
              </w:rPr>
            </w:pPr>
            <w:r>
              <w:rPr>
                <w:rFonts w:ascii="Arial" w:cs="Arial" w:eastAsia="Arial" w:hAnsi="Arial"/>
                <w:sz w:val="11"/>
                <w:szCs w:val="11"/>
                <w:color w:val="005A64"/>
              </w:rPr>
              <w:t>—</w:t>
            </w:r>
          </w:p>
        </w:tc>
        <w:tc>
          <w:tcPr>
            <w:tcW w:w="60" w:type="dxa"/>
            <w:vAlign w:val="bottom"/>
          </w:tcPr>
          <w:p>
            <w:pPr>
              <w:spacing w:after="0"/>
              <w:rPr>
                <w:sz w:val="11"/>
                <w:szCs w:val="11"/>
                <w:color w:val="auto"/>
              </w:rPr>
            </w:pPr>
          </w:p>
        </w:tc>
        <w:tc>
          <w:tcPr>
            <w:tcW w:w="720" w:type="dxa"/>
            <w:vAlign w:val="bottom"/>
            <w:tcBorders>
              <w:top w:val="single" w:sz="8" w:color="005A64"/>
            </w:tcBorders>
          </w:tcPr>
          <w:p>
            <w:pPr>
              <w:spacing w:after="0"/>
              <w:rPr>
                <w:sz w:val="20"/>
                <w:szCs w:val="20"/>
                <w:color w:val="auto"/>
              </w:rPr>
            </w:pPr>
            <w:r>
              <w:rPr>
                <w:rFonts w:ascii="Arial" w:cs="Arial" w:eastAsia="Arial" w:hAnsi="Arial"/>
                <w:sz w:val="11"/>
                <w:szCs w:val="11"/>
                <w:color w:val="005A64"/>
              </w:rPr>
              <w:t>193,257</w:t>
            </w:r>
          </w:p>
        </w:tc>
        <w:tc>
          <w:tcPr>
            <w:tcW w:w="60" w:type="dxa"/>
            <w:vAlign w:val="bottom"/>
            <w:tcBorders>
              <w:right w:val="single" w:sz="8" w:color="BECE33"/>
            </w:tcBorders>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2060" w:type="dxa"/>
            <w:vAlign w:val="bottom"/>
            <w:tcBorders>
              <w:right w:val="single" w:sz="8" w:color="BECE33"/>
            </w:tcBorders>
            <w:gridSpan w:val="2"/>
          </w:tcPr>
          <w:p>
            <w:pPr>
              <w:ind w:left="20"/>
              <w:spacing w:after="0"/>
              <w:rPr>
                <w:sz w:val="20"/>
                <w:szCs w:val="20"/>
                <w:color w:val="auto"/>
              </w:rPr>
            </w:pPr>
            <w:r>
              <w:rPr>
                <w:rFonts w:ascii="Arial" w:cs="Arial" w:eastAsia="Arial" w:hAnsi="Arial"/>
                <w:sz w:val="11"/>
                <w:szCs w:val="11"/>
                <w:color w:val="005A64"/>
              </w:rPr>
              <w:t>Exercised</w:t>
            </w:r>
            <w:r>
              <w:rPr>
                <w:rFonts w:ascii="Arial" w:cs="Arial" w:eastAsia="Arial" w:hAnsi="Arial"/>
                <w:sz w:val="16"/>
                <w:szCs w:val="16"/>
                <w:color w:val="005A64"/>
                <w:vertAlign w:val="superscript"/>
              </w:rPr>
              <w:t>(2)</w:t>
            </w:r>
          </w:p>
        </w:tc>
        <w:tc>
          <w:tcPr>
            <w:tcW w:w="740" w:type="dxa"/>
            <w:vAlign w:val="bottom"/>
            <w:gridSpan w:val="2"/>
          </w:tcPr>
          <w:p>
            <w:pPr>
              <w:ind w:left="40"/>
              <w:spacing w:after="0"/>
              <w:rPr>
                <w:sz w:val="20"/>
                <w:szCs w:val="20"/>
                <w:color w:val="auto"/>
              </w:rPr>
            </w:pPr>
            <w:r>
              <w:rPr>
                <w:rFonts w:ascii="Arial" w:cs="Arial" w:eastAsia="Arial" w:hAnsi="Arial"/>
                <w:sz w:val="11"/>
                <w:szCs w:val="11"/>
                <w:color w:val="005A64"/>
              </w:rPr>
              <w:t>(209,128)</w:t>
            </w:r>
          </w:p>
        </w:tc>
        <w:tc>
          <w:tcPr>
            <w:tcW w:w="4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11"/>
                <w:szCs w:val="11"/>
                <w:color w:val="005A64"/>
              </w:rPr>
              <w: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1"/>
                <w:szCs w:val="11"/>
                <w:color w:val="005A64"/>
              </w:rPr>
              <w:t>—</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1"/>
                <w:szCs w:val="11"/>
                <w:color w:val="005A64"/>
              </w:rPr>
              <w:t>—</w:t>
            </w:r>
          </w:p>
        </w:tc>
        <w:tc>
          <w:tcPr>
            <w:tcW w:w="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1"/>
                <w:szCs w:val="11"/>
                <w:color w:val="005A64"/>
              </w:rPr>
              <w:t>—</w:t>
            </w:r>
          </w:p>
        </w:tc>
        <w:tc>
          <w:tcPr>
            <w:tcW w:w="60" w:type="dxa"/>
            <w:vAlign w:val="bottom"/>
          </w:tcPr>
          <w:p>
            <w:pPr>
              <w:spacing w:after="0"/>
              <w:rPr>
                <w:sz w:val="20"/>
                <w:szCs w:val="20"/>
                <w:color w:val="auto"/>
              </w:rPr>
            </w:pPr>
          </w:p>
        </w:tc>
        <w:tc>
          <w:tcPr>
            <w:tcW w:w="780" w:type="dxa"/>
            <w:vAlign w:val="bottom"/>
            <w:tcBorders>
              <w:right w:val="single" w:sz="8" w:color="BECE33"/>
            </w:tcBorders>
            <w:gridSpan w:val="2"/>
          </w:tcPr>
          <w:p>
            <w:pPr>
              <w:spacing w:after="0"/>
              <w:rPr>
                <w:sz w:val="20"/>
                <w:szCs w:val="20"/>
                <w:color w:val="auto"/>
              </w:rPr>
            </w:pPr>
            <w:r>
              <w:rPr>
                <w:rFonts w:ascii="Arial" w:cs="Arial" w:eastAsia="Arial" w:hAnsi="Arial"/>
                <w:sz w:val="11"/>
                <w:szCs w:val="11"/>
                <w:color w:val="005A64"/>
              </w:rPr>
              <w:t>—</w:t>
            </w:r>
          </w:p>
        </w:tc>
        <w:tc>
          <w:tcPr>
            <w:tcW w:w="0" w:type="dxa"/>
            <w:vAlign w:val="bottom"/>
          </w:tcPr>
          <w:p>
            <w:pPr>
              <w:spacing w:after="0"/>
              <w:rPr>
                <w:sz w:val="1"/>
                <w:szCs w:val="1"/>
                <w:color w:val="auto"/>
              </w:rPr>
            </w:pPr>
          </w:p>
        </w:tc>
      </w:tr>
      <w:tr>
        <w:trPr>
          <w:trHeight w:val="147"/>
        </w:trPr>
        <w:tc>
          <w:tcPr>
            <w:tcW w:w="2060" w:type="dxa"/>
            <w:vAlign w:val="bottom"/>
            <w:tcBorders>
              <w:right w:val="single" w:sz="8" w:color="BECE33"/>
            </w:tcBorders>
            <w:gridSpan w:val="2"/>
          </w:tcPr>
          <w:p>
            <w:pPr>
              <w:ind w:left="20"/>
              <w:spacing w:after="0"/>
              <w:rPr>
                <w:sz w:val="20"/>
                <w:szCs w:val="20"/>
                <w:color w:val="auto"/>
              </w:rPr>
            </w:pPr>
            <w:r>
              <w:rPr>
                <w:rFonts w:ascii="Arial" w:cs="Arial" w:eastAsia="Arial" w:hAnsi="Arial"/>
                <w:sz w:val="11"/>
                <w:szCs w:val="11"/>
                <w:color w:val="005A64"/>
              </w:rPr>
              <w:t>Forfeited / Modified</w:t>
            </w:r>
          </w:p>
        </w:tc>
        <w:tc>
          <w:tcPr>
            <w:tcW w:w="20" w:type="dxa"/>
            <w:vAlign w:val="bottom"/>
          </w:tcPr>
          <w:p>
            <w:pPr>
              <w:spacing w:after="0"/>
              <w:rPr>
                <w:sz w:val="12"/>
                <w:szCs w:val="12"/>
                <w:color w:val="auto"/>
              </w:rPr>
            </w:pPr>
          </w:p>
        </w:tc>
        <w:tc>
          <w:tcPr>
            <w:tcW w:w="720" w:type="dxa"/>
            <w:vAlign w:val="bottom"/>
          </w:tcPr>
          <w:p>
            <w:pPr>
              <w:ind w:left="20"/>
              <w:spacing w:after="0"/>
              <w:rPr>
                <w:sz w:val="20"/>
                <w:szCs w:val="20"/>
                <w:color w:val="auto"/>
              </w:rPr>
            </w:pPr>
            <w:r>
              <w:rPr>
                <w:rFonts w:ascii="Arial" w:cs="Arial" w:eastAsia="Arial" w:hAnsi="Arial"/>
                <w:sz w:val="11"/>
                <w:szCs w:val="11"/>
                <w:color w:val="005A64"/>
              </w:rPr>
              <w:t>—</w:t>
            </w:r>
          </w:p>
        </w:tc>
        <w:tc>
          <w:tcPr>
            <w:tcW w:w="780" w:type="dxa"/>
            <w:vAlign w:val="bottom"/>
            <w:gridSpan w:val="2"/>
          </w:tcPr>
          <w:p>
            <w:pPr>
              <w:ind w:left="60"/>
              <w:spacing w:after="0"/>
              <w:rPr>
                <w:sz w:val="20"/>
                <w:szCs w:val="20"/>
                <w:color w:val="auto"/>
              </w:rPr>
            </w:pPr>
            <w:r>
              <w:rPr>
                <w:rFonts w:ascii="Arial" w:cs="Arial" w:eastAsia="Arial" w:hAnsi="Arial"/>
                <w:sz w:val="11"/>
                <w:szCs w:val="11"/>
                <w:color w:val="005A64"/>
              </w:rPr>
              <w:t>(1,778)</w:t>
            </w:r>
          </w:p>
        </w:tc>
        <w:tc>
          <w:tcPr>
            <w:tcW w:w="6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1"/>
                <w:szCs w:val="11"/>
                <w:color w:val="005A64"/>
              </w:rPr>
              <w:t>—</w:t>
            </w:r>
          </w:p>
        </w:tc>
        <w:tc>
          <w:tcPr>
            <w:tcW w:w="740" w:type="dxa"/>
            <w:vAlign w:val="bottom"/>
            <w:gridSpan w:val="2"/>
          </w:tcPr>
          <w:p>
            <w:pPr>
              <w:ind w:left="60"/>
              <w:spacing w:after="0"/>
              <w:rPr>
                <w:sz w:val="20"/>
                <w:szCs w:val="20"/>
                <w:color w:val="auto"/>
              </w:rPr>
            </w:pPr>
            <w:r>
              <w:rPr>
                <w:rFonts w:ascii="Arial" w:cs="Arial" w:eastAsia="Arial" w:hAnsi="Arial"/>
                <w:sz w:val="11"/>
                <w:szCs w:val="11"/>
                <w:color w:val="005A64"/>
              </w:rPr>
              <w:t>(7,332)</w:t>
            </w:r>
          </w:p>
        </w:tc>
        <w:tc>
          <w:tcPr>
            <w:tcW w:w="780" w:type="dxa"/>
            <w:vAlign w:val="bottom"/>
            <w:gridSpan w:val="2"/>
          </w:tcPr>
          <w:p>
            <w:pPr>
              <w:ind w:left="80"/>
              <w:spacing w:after="0"/>
              <w:rPr>
                <w:sz w:val="20"/>
                <w:szCs w:val="20"/>
                <w:color w:val="auto"/>
              </w:rPr>
            </w:pPr>
            <w:r>
              <w:rPr>
                <w:rFonts w:ascii="Arial" w:cs="Arial" w:eastAsia="Arial" w:hAnsi="Arial"/>
                <w:sz w:val="11"/>
                <w:szCs w:val="11"/>
                <w:color w:val="005A64"/>
              </w:rPr>
              <w:t>(13,812)</w:t>
            </w:r>
          </w:p>
        </w:tc>
        <w:tc>
          <w:tcPr>
            <w:tcW w:w="780" w:type="dxa"/>
            <w:vAlign w:val="bottom"/>
            <w:gridSpan w:val="2"/>
          </w:tcPr>
          <w:p>
            <w:pPr>
              <w:ind w:left="60"/>
              <w:spacing w:after="0"/>
              <w:rPr>
                <w:sz w:val="20"/>
                <w:szCs w:val="20"/>
                <w:color w:val="auto"/>
              </w:rPr>
            </w:pPr>
            <w:r>
              <w:rPr>
                <w:rFonts w:ascii="Arial" w:cs="Arial" w:eastAsia="Arial" w:hAnsi="Arial"/>
                <w:sz w:val="11"/>
                <w:szCs w:val="11"/>
                <w:color w:val="005A64"/>
              </w:rPr>
              <w:t>(12,729)</w:t>
            </w:r>
          </w:p>
        </w:tc>
        <w:tc>
          <w:tcPr>
            <w:tcW w:w="60" w:type="dxa"/>
            <w:vAlign w:val="bottom"/>
            <w:tcBorders>
              <w:right w:val="single" w:sz="8" w:color="BECE33"/>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60" w:type="dxa"/>
            <w:vAlign w:val="bottom"/>
            <w:tcBorders>
              <w:right w:val="single" w:sz="8" w:color="BECE33"/>
            </w:tcBorders>
            <w:gridSpan w:val="2"/>
          </w:tcPr>
          <w:p>
            <w:pPr>
              <w:ind w:left="20"/>
              <w:spacing w:after="0"/>
              <w:rPr>
                <w:sz w:val="20"/>
                <w:szCs w:val="20"/>
                <w:color w:val="auto"/>
              </w:rPr>
            </w:pPr>
            <w:r>
              <w:rPr>
                <w:rFonts w:ascii="Arial" w:cs="Arial" w:eastAsia="Arial" w:hAnsi="Arial"/>
                <w:sz w:val="11"/>
                <w:szCs w:val="11"/>
                <w:b w:val="1"/>
                <w:bCs w:val="1"/>
                <w:color w:val="005A64"/>
              </w:rPr>
              <w:t>(Phantom) share options outstanding</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005A64"/>
              </w:rPr>
              <w:t>38,968</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005A64"/>
              </w:rPr>
              <w:t>43,501</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005A64"/>
              </w:rPr>
              <w:t>6,463</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005A64"/>
              </w:rPr>
              <w:t>78,786</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005A64"/>
              </w:rPr>
              <w:t>116,774</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005A64"/>
              </w:rPr>
              <w:t>180,528</w:t>
            </w:r>
          </w:p>
        </w:tc>
        <w:tc>
          <w:tcPr>
            <w:tcW w:w="60" w:type="dxa"/>
            <w:vAlign w:val="bottom"/>
            <w:tcBorders>
              <w:right w:val="single" w:sz="8" w:color="BECE33"/>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60" w:type="dxa"/>
            <w:vAlign w:val="bottom"/>
            <w:tcBorders>
              <w:right w:val="single" w:sz="8" w:color="BECE33"/>
            </w:tcBorders>
            <w:gridSpan w:val="2"/>
          </w:tcPr>
          <w:p>
            <w:pPr>
              <w:ind w:left="20"/>
              <w:spacing w:after="0"/>
              <w:rPr>
                <w:sz w:val="20"/>
                <w:szCs w:val="20"/>
                <w:color w:val="auto"/>
              </w:rPr>
            </w:pPr>
            <w:r>
              <w:rPr>
                <w:rFonts w:ascii="Arial" w:cs="Arial" w:eastAsia="Arial" w:hAnsi="Arial"/>
                <w:sz w:val="11"/>
                <w:szCs w:val="11"/>
                <w:b w:val="1"/>
                <w:bCs w:val="1"/>
                <w:color w:val="005A64"/>
              </w:rPr>
              <w:t>as of December 31, 2024</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Borders>
              <w:right w:val="single" w:sz="8" w:color="BECE33"/>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60" w:type="dxa"/>
            <w:vAlign w:val="bottom"/>
            <w:tcBorders>
              <w:right w:val="single" w:sz="8" w:color="BECE33"/>
            </w:tcBorders>
            <w:gridSpan w:val="2"/>
          </w:tcPr>
          <w:p>
            <w:pPr>
              <w:spacing w:after="0"/>
              <w:rPr>
                <w:sz w:val="7"/>
                <w:szCs w:val="7"/>
                <w:color w:val="auto"/>
              </w:rPr>
            </w:pPr>
          </w:p>
        </w:tc>
        <w:tc>
          <w:tcPr>
            <w:tcW w:w="740" w:type="dxa"/>
            <w:vAlign w:val="bottom"/>
            <w:gridSpan w:val="2"/>
          </w:tcPr>
          <w:p>
            <w:pPr>
              <w:spacing w:after="0"/>
              <w:rPr>
                <w:sz w:val="7"/>
                <w:szCs w:val="7"/>
                <w:color w:val="auto"/>
              </w:rPr>
            </w:pPr>
          </w:p>
        </w:tc>
        <w:tc>
          <w:tcPr>
            <w:tcW w:w="780" w:type="dxa"/>
            <w:vAlign w:val="bottom"/>
            <w:gridSpan w:val="2"/>
          </w:tcPr>
          <w:p>
            <w:pPr>
              <w:spacing w:after="0"/>
              <w:rPr>
                <w:sz w:val="7"/>
                <w:szCs w:val="7"/>
                <w:color w:val="auto"/>
              </w:rPr>
            </w:pPr>
          </w:p>
        </w:tc>
        <w:tc>
          <w:tcPr>
            <w:tcW w:w="800" w:type="dxa"/>
            <w:vAlign w:val="bottom"/>
            <w:gridSpan w:val="2"/>
          </w:tcPr>
          <w:p>
            <w:pPr>
              <w:spacing w:after="0"/>
              <w:rPr>
                <w:sz w:val="7"/>
                <w:szCs w:val="7"/>
                <w:color w:val="auto"/>
              </w:rPr>
            </w:pPr>
          </w:p>
        </w:tc>
        <w:tc>
          <w:tcPr>
            <w:tcW w:w="740" w:type="dxa"/>
            <w:vAlign w:val="bottom"/>
            <w:gridSpan w:val="2"/>
          </w:tcPr>
          <w:p>
            <w:pPr>
              <w:spacing w:after="0"/>
              <w:rPr>
                <w:sz w:val="7"/>
                <w:szCs w:val="7"/>
                <w:color w:val="auto"/>
              </w:rPr>
            </w:pPr>
          </w:p>
        </w:tc>
        <w:tc>
          <w:tcPr>
            <w:tcW w:w="78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right w:val="single" w:sz="8" w:color="BECE33"/>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20" w:type="dxa"/>
            <w:vAlign w:val="bottom"/>
            <w:tcBorders>
              <w:top w:val="single" w:sz="8" w:color="005A64"/>
            </w:tcBorders>
          </w:tcPr>
          <w:p>
            <w:pPr>
              <w:ind w:left="20"/>
              <w:spacing w:after="0" w:line="92" w:lineRule="exact"/>
              <w:rPr>
                <w:sz w:val="20"/>
                <w:szCs w:val="20"/>
                <w:color w:val="auto"/>
              </w:rPr>
            </w:pPr>
            <w:r>
              <w:rPr>
                <w:rFonts w:ascii="Arial" w:cs="Arial" w:eastAsia="Arial" w:hAnsi="Arial"/>
                <w:sz w:val="10"/>
                <w:szCs w:val="10"/>
                <w:color w:val="005A64"/>
              </w:rPr>
              <w:t>thereof allocated and vested but</w:t>
            </w:r>
          </w:p>
        </w:tc>
        <w:tc>
          <w:tcPr>
            <w:tcW w:w="40" w:type="dxa"/>
            <w:vAlign w:val="bottom"/>
            <w:tcBorders>
              <w:right w:val="single" w:sz="8" w:color="BECE33"/>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Borders>
              <w:top w:val="single" w:sz="8" w:color="005A64"/>
            </w:tcBorders>
          </w:tcPr>
          <w:p>
            <w:pPr>
              <w:ind w:left="20"/>
              <w:spacing w:after="0" w:line="92" w:lineRule="exact"/>
              <w:rPr>
                <w:sz w:val="20"/>
                <w:szCs w:val="20"/>
                <w:color w:val="auto"/>
              </w:rPr>
            </w:pPr>
            <w:r>
              <w:rPr>
                <w:rFonts w:ascii="Arial" w:cs="Arial" w:eastAsia="Arial" w:hAnsi="Arial"/>
                <w:sz w:val="10"/>
                <w:szCs w:val="10"/>
                <w:color w:val="005A64"/>
              </w:rPr>
              <w:t>38,968</w:t>
            </w:r>
          </w:p>
        </w:tc>
        <w:tc>
          <w:tcPr>
            <w:tcW w:w="40" w:type="dxa"/>
            <w:vAlign w:val="bottom"/>
          </w:tcPr>
          <w:p>
            <w:pPr>
              <w:spacing w:after="0"/>
              <w:rPr>
                <w:sz w:val="7"/>
                <w:szCs w:val="7"/>
                <w:color w:val="auto"/>
              </w:rPr>
            </w:pPr>
          </w:p>
        </w:tc>
        <w:tc>
          <w:tcPr>
            <w:tcW w:w="740" w:type="dxa"/>
            <w:vAlign w:val="bottom"/>
            <w:tcBorders>
              <w:top w:val="single" w:sz="8" w:color="005A64"/>
            </w:tcBorders>
          </w:tcPr>
          <w:p>
            <w:pPr>
              <w:ind w:left="20"/>
              <w:spacing w:after="0" w:line="92" w:lineRule="exact"/>
              <w:rPr>
                <w:sz w:val="20"/>
                <w:szCs w:val="20"/>
                <w:color w:val="auto"/>
              </w:rPr>
            </w:pPr>
            <w:r>
              <w:rPr>
                <w:rFonts w:ascii="Arial" w:cs="Arial" w:eastAsia="Arial" w:hAnsi="Arial"/>
                <w:sz w:val="10"/>
                <w:szCs w:val="10"/>
                <w:color w:val="005A64"/>
              </w:rPr>
              <w:t>30,878</w:t>
            </w:r>
          </w:p>
        </w:tc>
        <w:tc>
          <w:tcPr>
            <w:tcW w:w="60" w:type="dxa"/>
            <w:vAlign w:val="bottom"/>
          </w:tcPr>
          <w:p>
            <w:pPr>
              <w:spacing w:after="0"/>
              <w:rPr>
                <w:sz w:val="7"/>
                <w:szCs w:val="7"/>
                <w:color w:val="auto"/>
              </w:rPr>
            </w:pPr>
          </w:p>
        </w:tc>
        <w:tc>
          <w:tcPr>
            <w:tcW w:w="740" w:type="dxa"/>
            <w:vAlign w:val="bottom"/>
            <w:tcBorders>
              <w:top w:val="single" w:sz="8" w:color="005A64"/>
            </w:tcBorders>
          </w:tcPr>
          <w:p>
            <w:pPr>
              <w:spacing w:after="0" w:line="92" w:lineRule="exact"/>
              <w:rPr>
                <w:sz w:val="20"/>
                <w:szCs w:val="20"/>
                <w:color w:val="auto"/>
              </w:rPr>
            </w:pPr>
            <w:r>
              <w:rPr>
                <w:rFonts w:ascii="Arial" w:cs="Arial" w:eastAsia="Arial" w:hAnsi="Arial"/>
                <w:sz w:val="10"/>
                <w:szCs w:val="10"/>
                <w:color w:val="005A64"/>
              </w:rPr>
              <w:t>4,848</w:t>
            </w:r>
          </w:p>
        </w:tc>
        <w:tc>
          <w:tcPr>
            <w:tcW w:w="60" w:type="dxa"/>
            <w:vAlign w:val="bottom"/>
          </w:tcPr>
          <w:p>
            <w:pPr>
              <w:spacing w:after="0"/>
              <w:rPr>
                <w:sz w:val="7"/>
                <w:szCs w:val="7"/>
                <w:color w:val="auto"/>
              </w:rPr>
            </w:pPr>
          </w:p>
        </w:tc>
        <w:tc>
          <w:tcPr>
            <w:tcW w:w="680" w:type="dxa"/>
            <w:vAlign w:val="bottom"/>
            <w:tcBorders>
              <w:top w:val="single" w:sz="8" w:color="005A64"/>
            </w:tcBorders>
          </w:tcPr>
          <w:p>
            <w:pPr>
              <w:spacing w:after="0" w:line="92" w:lineRule="exact"/>
              <w:rPr>
                <w:sz w:val="20"/>
                <w:szCs w:val="20"/>
                <w:color w:val="auto"/>
              </w:rPr>
            </w:pPr>
            <w:r>
              <w:rPr>
                <w:rFonts w:ascii="Arial" w:cs="Arial" w:eastAsia="Arial" w:hAnsi="Arial"/>
                <w:sz w:val="10"/>
                <w:szCs w:val="10"/>
                <w:color w:val="005A64"/>
              </w:rPr>
              <w:t>43,060</w:t>
            </w:r>
          </w:p>
        </w:tc>
        <w:tc>
          <w:tcPr>
            <w:tcW w:w="60" w:type="dxa"/>
            <w:vAlign w:val="bottom"/>
          </w:tcPr>
          <w:p>
            <w:pPr>
              <w:spacing w:after="0"/>
              <w:rPr>
                <w:sz w:val="7"/>
                <w:szCs w:val="7"/>
                <w:color w:val="auto"/>
              </w:rPr>
            </w:pPr>
          </w:p>
        </w:tc>
        <w:tc>
          <w:tcPr>
            <w:tcW w:w="720" w:type="dxa"/>
            <w:vAlign w:val="bottom"/>
            <w:tcBorders>
              <w:top w:val="single" w:sz="8" w:color="005A64"/>
            </w:tcBorders>
          </w:tcPr>
          <w:p>
            <w:pPr>
              <w:ind w:left="20"/>
              <w:spacing w:after="0" w:line="92" w:lineRule="exact"/>
              <w:rPr>
                <w:sz w:val="20"/>
                <w:szCs w:val="20"/>
                <w:color w:val="auto"/>
              </w:rPr>
            </w:pPr>
            <w:r>
              <w:rPr>
                <w:rFonts w:ascii="Arial" w:cs="Arial" w:eastAsia="Arial" w:hAnsi="Arial"/>
                <w:sz w:val="10"/>
                <w:szCs w:val="10"/>
                <w:color w:val="005A64"/>
              </w:rPr>
              <w:t>32,646</w:t>
            </w:r>
          </w:p>
        </w:tc>
        <w:tc>
          <w:tcPr>
            <w:tcW w:w="60" w:type="dxa"/>
            <w:vAlign w:val="bottom"/>
          </w:tcPr>
          <w:p>
            <w:pPr>
              <w:spacing w:after="0"/>
              <w:rPr>
                <w:sz w:val="7"/>
                <w:szCs w:val="7"/>
                <w:color w:val="auto"/>
              </w:rPr>
            </w:pPr>
          </w:p>
        </w:tc>
        <w:tc>
          <w:tcPr>
            <w:tcW w:w="720" w:type="dxa"/>
            <w:vAlign w:val="bottom"/>
            <w:tcBorders>
              <w:top w:val="single" w:sz="8" w:color="005A64"/>
            </w:tcBorders>
          </w:tcPr>
          <w:p>
            <w:pPr>
              <w:spacing w:after="0" w:line="92" w:lineRule="exact"/>
              <w:rPr>
                <w:sz w:val="20"/>
                <w:szCs w:val="20"/>
                <w:color w:val="auto"/>
              </w:rPr>
            </w:pPr>
            <w:r>
              <w:rPr>
                <w:rFonts w:ascii="Arial" w:cs="Arial" w:eastAsia="Arial" w:hAnsi="Arial"/>
                <w:sz w:val="10"/>
                <w:szCs w:val="10"/>
                <w:color w:val="005A64"/>
              </w:rPr>
              <w:t>—</w:t>
            </w:r>
          </w:p>
        </w:tc>
        <w:tc>
          <w:tcPr>
            <w:tcW w:w="60" w:type="dxa"/>
            <w:vAlign w:val="bottom"/>
            <w:tcBorders>
              <w:right w:val="single" w:sz="8" w:color="BECE33"/>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60" w:type="dxa"/>
            <w:vAlign w:val="bottom"/>
            <w:tcBorders>
              <w:right w:val="single" w:sz="8" w:color="BECE33"/>
            </w:tcBorders>
            <w:gridSpan w:val="2"/>
          </w:tcPr>
          <w:p>
            <w:pPr>
              <w:ind w:left="20"/>
              <w:spacing w:after="0" w:line="101" w:lineRule="exact"/>
              <w:rPr>
                <w:sz w:val="20"/>
                <w:szCs w:val="20"/>
                <w:color w:val="auto"/>
              </w:rPr>
            </w:pPr>
            <w:r>
              <w:rPr>
                <w:rFonts w:ascii="Arial" w:cs="Arial" w:eastAsia="Arial" w:hAnsi="Arial"/>
                <w:sz w:val="11"/>
                <w:szCs w:val="11"/>
                <w:color w:val="005A64"/>
              </w:rPr>
              <w:t>subject to performance and/or waiting</w:t>
            </w: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Borders>
              <w:right w:val="single" w:sz="8" w:color="BECE33"/>
            </w:tcBorders>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60" w:type="dxa"/>
            <w:vAlign w:val="bottom"/>
            <w:tcBorders>
              <w:right w:val="single" w:sz="8" w:color="BECE33"/>
            </w:tcBorders>
            <w:gridSpan w:val="2"/>
          </w:tcPr>
          <w:p>
            <w:pPr>
              <w:ind w:left="20"/>
              <w:spacing w:after="0"/>
              <w:rPr>
                <w:sz w:val="20"/>
                <w:szCs w:val="20"/>
                <w:color w:val="auto"/>
              </w:rPr>
            </w:pPr>
            <w:r>
              <w:rPr>
                <w:rFonts w:ascii="Arial" w:cs="Arial" w:eastAsia="Arial" w:hAnsi="Arial"/>
                <w:sz w:val="11"/>
                <w:szCs w:val="11"/>
                <w:color w:val="005A64"/>
              </w:rPr>
              <w:t>requirements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Borders>
              <w:right w:val="single" w:sz="8" w:color="BECE33"/>
            </w:tcBorders>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60" w:type="dxa"/>
            <w:vAlign w:val="bottom"/>
            <w:tcBorders>
              <w:right w:val="single" w:sz="8" w:color="BECE33"/>
            </w:tcBorders>
            <w:gridSpan w:val="2"/>
          </w:tcPr>
          <w:p>
            <w:pPr>
              <w:ind w:left="20"/>
              <w:spacing w:after="0"/>
              <w:rPr>
                <w:sz w:val="20"/>
                <w:szCs w:val="20"/>
                <w:color w:val="auto"/>
              </w:rPr>
            </w:pPr>
            <w:r>
              <w:rPr>
                <w:rFonts w:ascii="Arial" w:cs="Arial" w:eastAsia="Arial" w:hAnsi="Arial"/>
                <w:sz w:val="11"/>
                <w:szCs w:val="11"/>
                <w:color w:val="005A64"/>
              </w:rPr>
              <w:t>thereof allocated and unvested</w:t>
            </w:r>
          </w:p>
        </w:tc>
        <w:tc>
          <w:tcPr>
            <w:tcW w:w="2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11"/>
                <w:szCs w:val="11"/>
                <w:color w:val="005A64"/>
              </w:rPr>
              <w:t>—</w:t>
            </w:r>
          </w:p>
        </w:tc>
        <w:tc>
          <w:tcPr>
            <w:tcW w:w="780" w:type="dxa"/>
            <w:vAlign w:val="bottom"/>
            <w:gridSpan w:val="2"/>
          </w:tcPr>
          <w:p>
            <w:pPr>
              <w:ind w:left="60"/>
              <w:spacing w:after="0"/>
              <w:rPr>
                <w:sz w:val="20"/>
                <w:szCs w:val="20"/>
                <w:color w:val="auto"/>
              </w:rPr>
            </w:pPr>
            <w:r>
              <w:rPr>
                <w:rFonts w:ascii="Arial" w:cs="Arial" w:eastAsia="Arial" w:hAnsi="Arial"/>
                <w:sz w:val="11"/>
                <w:szCs w:val="11"/>
                <w:color w:val="005A64"/>
              </w:rPr>
              <w:t>12,623</w:t>
            </w:r>
          </w:p>
        </w:tc>
        <w:tc>
          <w:tcPr>
            <w:tcW w:w="800" w:type="dxa"/>
            <w:vAlign w:val="bottom"/>
            <w:gridSpan w:val="2"/>
          </w:tcPr>
          <w:p>
            <w:pPr>
              <w:ind w:left="60"/>
              <w:spacing w:after="0"/>
              <w:rPr>
                <w:sz w:val="20"/>
                <w:szCs w:val="20"/>
                <w:color w:val="auto"/>
              </w:rPr>
            </w:pPr>
            <w:r>
              <w:rPr>
                <w:rFonts w:ascii="Arial" w:cs="Arial" w:eastAsia="Arial" w:hAnsi="Arial"/>
                <w:sz w:val="11"/>
                <w:szCs w:val="11"/>
                <w:color w:val="005A64"/>
              </w:rPr>
              <w:t>1,615</w:t>
            </w:r>
          </w:p>
        </w:tc>
        <w:tc>
          <w:tcPr>
            <w:tcW w:w="740" w:type="dxa"/>
            <w:vAlign w:val="bottom"/>
            <w:gridSpan w:val="2"/>
          </w:tcPr>
          <w:p>
            <w:pPr>
              <w:ind w:left="60"/>
              <w:spacing w:after="0"/>
              <w:rPr>
                <w:sz w:val="20"/>
                <w:szCs w:val="20"/>
                <w:color w:val="auto"/>
              </w:rPr>
            </w:pPr>
            <w:r>
              <w:rPr>
                <w:rFonts w:ascii="Arial" w:cs="Arial" w:eastAsia="Arial" w:hAnsi="Arial"/>
                <w:sz w:val="11"/>
                <w:szCs w:val="11"/>
                <w:color w:val="005A64"/>
              </w:rPr>
              <w:t>35,726</w:t>
            </w:r>
          </w:p>
        </w:tc>
        <w:tc>
          <w:tcPr>
            <w:tcW w:w="780" w:type="dxa"/>
            <w:vAlign w:val="bottom"/>
            <w:gridSpan w:val="2"/>
          </w:tcPr>
          <w:p>
            <w:pPr>
              <w:ind w:left="80"/>
              <w:spacing w:after="0"/>
              <w:rPr>
                <w:sz w:val="20"/>
                <w:szCs w:val="20"/>
                <w:color w:val="auto"/>
              </w:rPr>
            </w:pPr>
            <w:r>
              <w:rPr>
                <w:rFonts w:ascii="Arial" w:cs="Arial" w:eastAsia="Arial" w:hAnsi="Arial"/>
                <w:sz w:val="11"/>
                <w:szCs w:val="11"/>
                <w:color w:val="005A64"/>
              </w:rPr>
              <w:t>84,128</w:t>
            </w:r>
          </w:p>
        </w:tc>
        <w:tc>
          <w:tcPr>
            <w:tcW w:w="780" w:type="dxa"/>
            <w:vAlign w:val="bottom"/>
            <w:gridSpan w:val="2"/>
          </w:tcPr>
          <w:p>
            <w:pPr>
              <w:ind w:left="60"/>
              <w:spacing w:after="0"/>
              <w:rPr>
                <w:sz w:val="20"/>
                <w:szCs w:val="20"/>
                <w:color w:val="auto"/>
              </w:rPr>
            </w:pPr>
            <w:r>
              <w:rPr>
                <w:rFonts w:ascii="Arial" w:cs="Arial" w:eastAsia="Arial" w:hAnsi="Arial"/>
                <w:sz w:val="11"/>
                <w:szCs w:val="11"/>
                <w:color w:val="005A64"/>
              </w:rPr>
              <w:t>180,528</w:t>
            </w:r>
          </w:p>
        </w:tc>
        <w:tc>
          <w:tcPr>
            <w:tcW w:w="60" w:type="dxa"/>
            <w:vAlign w:val="bottom"/>
            <w:tcBorders>
              <w:right w:val="single" w:sz="8" w:color="BECE33"/>
            </w:tcBorders>
          </w:tcPr>
          <w:p>
            <w:pPr>
              <w:spacing w:after="0"/>
              <w:rPr>
                <w:sz w:val="22"/>
                <w:szCs w:val="22"/>
                <w:color w:val="auto"/>
              </w:rPr>
            </w:pPr>
          </w:p>
        </w:tc>
        <w:tc>
          <w:tcPr>
            <w:tcW w:w="0" w:type="dxa"/>
            <w:vAlign w:val="bottom"/>
          </w:tcPr>
          <w:p>
            <w:pPr>
              <w:spacing w:after="0"/>
              <w:rPr>
                <w:sz w:val="1"/>
                <w:szCs w:val="1"/>
                <w:color w:val="auto"/>
              </w:rPr>
            </w:pPr>
          </w:p>
        </w:tc>
      </w:tr>
      <w:tr>
        <w:trPr>
          <w:trHeight w:val="65"/>
        </w:trPr>
        <w:tc>
          <w:tcPr>
            <w:tcW w:w="2020" w:type="dxa"/>
            <w:vAlign w:val="bottom"/>
            <w:tcBorders>
              <w:bottom w:val="single" w:sz="8" w:color="005A64"/>
            </w:tcBorders>
          </w:tcPr>
          <w:p>
            <w:pPr>
              <w:spacing w:after="0"/>
              <w:rPr>
                <w:sz w:val="5"/>
                <w:szCs w:val="5"/>
                <w:color w:val="auto"/>
              </w:rPr>
            </w:pPr>
          </w:p>
        </w:tc>
        <w:tc>
          <w:tcPr>
            <w:tcW w:w="40" w:type="dxa"/>
            <w:vAlign w:val="bottom"/>
            <w:tcBorders>
              <w:right w:val="single" w:sz="8" w:color="BECE33"/>
            </w:tcBorders>
          </w:tcPr>
          <w:p>
            <w:pPr>
              <w:spacing w:after="0"/>
              <w:rPr>
                <w:sz w:val="5"/>
                <w:szCs w:val="5"/>
                <w:color w:val="auto"/>
              </w:rPr>
            </w:pPr>
          </w:p>
        </w:tc>
        <w:tc>
          <w:tcPr>
            <w:tcW w:w="20" w:type="dxa"/>
            <w:vAlign w:val="bottom"/>
            <w:tcBorders>
              <w:bottom w:val="single" w:sz="8" w:color="BECE33"/>
            </w:tcBorders>
          </w:tcPr>
          <w:p>
            <w:pPr>
              <w:spacing w:after="0"/>
              <w:rPr>
                <w:sz w:val="5"/>
                <w:szCs w:val="5"/>
                <w:color w:val="auto"/>
              </w:rPr>
            </w:pPr>
          </w:p>
        </w:tc>
        <w:tc>
          <w:tcPr>
            <w:tcW w:w="720" w:type="dxa"/>
            <w:vAlign w:val="bottom"/>
            <w:tcBorders>
              <w:bottom w:val="single" w:sz="8" w:color="BECE33"/>
            </w:tcBorders>
          </w:tcPr>
          <w:p>
            <w:pPr>
              <w:spacing w:after="0"/>
              <w:rPr>
                <w:sz w:val="5"/>
                <w:szCs w:val="5"/>
                <w:color w:val="auto"/>
              </w:rPr>
            </w:pPr>
          </w:p>
        </w:tc>
        <w:tc>
          <w:tcPr>
            <w:tcW w:w="40" w:type="dxa"/>
            <w:vAlign w:val="bottom"/>
            <w:tcBorders>
              <w:bottom w:val="single" w:sz="8" w:color="BECE33"/>
            </w:tcBorders>
          </w:tcPr>
          <w:p>
            <w:pPr>
              <w:spacing w:after="0"/>
              <w:rPr>
                <w:sz w:val="5"/>
                <w:szCs w:val="5"/>
                <w:color w:val="auto"/>
              </w:rPr>
            </w:pPr>
          </w:p>
        </w:tc>
        <w:tc>
          <w:tcPr>
            <w:tcW w:w="740" w:type="dxa"/>
            <w:vAlign w:val="bottom"/>
            <w:tcBorders>
              <w:bottom w:val="single" w:sz="8" w:color="BECE33"/>
            </w:tcBorders>
          </w:tcPr>
          <w:p>
            <w:pPr>
              <w:spacing w:after="0"/>
              <w:rPr>
                <w:sz w:val="5"/>
                <w:szCs w:val="5"/>
                <w:color w:val="auto"/>
              </w:rPr>
            </w:pPr>
          </w:p>
        </w:tc>
        <w:tc>
          <w:tcPr>
            <w:tcW w:w="60" w:type="dxa"/>
            <w:vAlign w:val="bottom"/>
            <w:tcBorders>
              <w:bottom w:val="single" w:sz="8" w:color="BECE33"/>
            </w:tcBorders>
          </w:tcPr>
          <w:p>
            <w:pPr>
              <w:spacing w:after="0"/>
              <w:rPr>
                <w:sz w:val="5"/>
                <w:szCs w:val="5"/>
                <w:color w:val="auto"/>
              </w:rPr>
            </w:pPr>
          </w:p>
        </w:tc>
        <w:tc>
          <w:tcPr>
            <w:tcW w:w="740" w:type="dxa"/>
            <w:vAlign w:val="bottom"/>
            <w:tcBorders>
              <w:bottom w:val="single" w:sz="8" w:color="BECE33"/>
            </w:tcBorders>
          </w:tcPr>
          <w:p>
            <w:pPr>
              <w:spacing w:after="0"/>
              <w:rPr>
                <w:sz w:val="5"/>
                <w:szCs w:val="5"/>
                <w:color w:val="auto"/>
              </w:rPr>
            </w:pPr>
          </w:p>
        </w:tc>
        <w:tc>
          <w:tcPr>
            <w:tcW w:w="60" w:type="dxa"/>
            <w:vAlign w:val="bottom"/>
            <w:tcBorders>
              <w:bottom w:val="single" w:sz="8" w:color="BECE33"/>
            </w:tcBorders>
          </w:tcPr>
          <w:p>
            <w:pPr>
              <w:spacing w:after="0"/>
              <w:rPr>
                <w:sz w:val="5"/>
                <w:szCs w:val="5"/>
                <w:color w:val="auto"/>
              </w:rPr>
            </w:pPr>
          </w:p>
        </w:tc>
        <w:tc>
          <w:tcPr>
            <w:tcW w:w="680" w:type="dxa"/>
            <w:vAlign w:val="bottom"/>
            <w:tcBorders>
              <w:bottom w:val="single" w:sz="8" w:color="BECE33"/>
            </w:tcBorders>
          </w:tcPr>
          <w:p>
            <w:pPr>
              <w:spacing w:after="0"/>
              <w:rPr>
                <w:sz w:val="5"/>
                <w:szCs w:val="5"/>
                <w:color w:val="auto"/>
              </w:rPr>
            </w:pPr>
          </w:p>
        </w:tc>
        <w:tc>
          <w:tcPr>
            <w:tcW w:w="60" w:type="dxa"/>
            <w:vAlign w:val="bottom"/>
            <w:tcBorders>
              <w:bottom w:val="single" w:sz="8" w:color="BECE33"/>
            </w:tcBorders>
          </w:tcPr>
          <w:p>
            <w:pPr>
              <w:spacing w:after="0"/>
              <w:rPr>
                <w:sz w:val="5"/>
                <w:szCs w:val="5"/>
                <w:color w:val="auto"/>
              </w:rPr>
            </w:pPr>
          </w:p>
        </w:tc>
        <w:tc>
          <w:tcPr>
            <w:tcW w:w="720" w:type="dxa"/>
            <w:vAlign w:val="bottom"/>
            <w:tcBorders>
              <w:bottom w:val="single" w:sz="8" w:color="BECE33"/>
            </w:tcBorders>
          </w:tcPr>
          <w:p>
            <w:pPr>
              <w:spacing w:after="0"/>
              <w:rPr>
                <w:sz w:val="5"/>
                <w:szCs w:val="5"/>
                <w:color w:val="auto"/>
              </w:rPr>
            </w:pPr>
          </w:p>
        </w:tc>
        <w:tc>
          <w:tcPr>
            <w:tcW w:w="60" w:type="dxa"/>
            <w:vAlign w:val="bottom"/>
            <w:tcBorders>
              <w:bottom w:val="single" w:sz="8" w:color="BECE33"/>
            </w:tcBorders>
          </w:tcPr>
          <w:p>
            <w:pPr>
              <w:spacing w:after="0"/>
              <w:rPr>
                <w:sz w:val="5"/>
                <w:szCs w:val="5"/>
                <w:color w:val="auto"/>
              </w:rPr>
            </w:pPr>
          </w:p>
        </w:tc>
        <w:tc>
          <w:tcPr>
            <w:tcW w:w="720" w:type="dxa"/>
            <w:vAlign w:val="bottom"/>
            <w:tcBorders>
              <w:bottom w:val="single" w:sz="8" w:color="BECE33"/>
            </w:tcBorders>
          </w:tcPr>
          <w:p>
            <w:pPr>
              <w:spacing w:after="0"/>
              <w:rPr>
                <w:sz w:val="5"/>
                <w:szCs w:val="5"/>
                <w:color w:val="auto"/>
              </w:rPr>
            </w:pPr>
          </w:p>
        </w:tc>
        <w:tc>
          <w:tcPr>
            <w:tcW w:w="60" w:type="dxa"/>
            <w:vAlign w:val="bottom"/>
            <w:tcBorders>
              <w:bottom w:val="single" w:sz="8" w:color="BECE33"/>
              <w:right w:val="single" w:sz="8" w:color="BECE3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80" w:right="2440" w:firstLine="3"/>
        <w:spacing w:after="0" w:line="209" w:lineRule="auto"/>
        <w:tabs>
          <w:tab w:leader="none" w:pos="582" w:val="left"/>
        </w:tabs>
        <w:numPr>
          <w:ilvl w:val="0"/>
          <w:numId w:val="58"/>
        </w:numPr>
        <w:rPr>
          <w:rFonts w:ascii="Arial" w:cs="Arial" w:eastAsia="Arial" w:hAnsi="Arial"/>
          <w:sz w:val="16"/>
          <w:szCs w:val="16"/>
          <w:color w:val="005A64"/>
          <w:vertAlign w:val="superscript"/>
        </w:rPr>
      </w:pPr>
      <w:r>
        <w:rPr>
          <w:rFonts w:ascii="Arial" w:cs="Arial" w:eastAsia="Arial" w:hAnsi="Arial"/>
          <w:sz w:val="12"/>
          <w:szCs w:val="12"/>
          <w:color w:val="005A64"/>
        </w:rPr>
        <w:t>Classified as cash-settled share-based payment arrangement; all other share-based payment arrangements are classified as equity-settled.</w:t>
      </w:r>
    </w:p>
    <w:p>
      <w:pPr>
        <w:spacing w:after="0" w:line="12" w:lineRule="exact"/>
        <w:rPr>
          <w:rFonts w:ascii="Arial" w:cs="Arial" w:eastAsia="Arial" w:hAnsi="Arial"/>
          <w:sz w:val="16"/>
          <w:szCs w:val="16"/>
          <w:color w:val="005A64"/>
          <w:vertAlign w:val="superscript"/>
        </w:rPr>
      </w:pPr>
    </w:p>
    <w:p>
      <w:pPr>
        <w:ind w:left="380" w:right="2160" w:firstLine="3"/>
        <w:spacing w:after="0" w:line="209" w:lineRule="auto"/>
        <w:tabs>
          <w:tab w:leader="none" w:pos="582" w:val="left"/>
        </w:tabs>
        <w:numPr>
          <w:ilvl w:val="0"/>
          <w:numId w:val="58"/>
        </w:numPr>
        <w:rPr>
          <w:rFonts w:ascii="Arial" w:cs="Arial" w:eastAsia="Arial" w:hAnsi="Arial"/>
          <w:sz w:val="16"/>
          <w:szCs w:val="16"/>
          <w:color w:val="005A64"/>
          <w:vertAlign w:val="superscript"/>
        </w:rPr>
      </w:pPr>
      <w:r>
        <w:rPr>
          <w:rFonts w:ascii="Arial" w:cs="Arial" w:eastAsia="Arial" w:hAnsi="Arial"/>
          <w:sz w:val="12"/>
          <w:szCs w:val="12"/>
          <w:color w:val="005A64"/>
        </w:rPr>
        <w:t>The average closing price of an American Depositary Share of BioNTech on Nasdaq weighted over the various dates immediately preceding the settlement dates, converted from USD to Euro using the exchange rate published by the German Central Bank (Deutsche Bundesbank) on the same days was €75.00 for all options exercised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F-64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20"/>
        <w:spacing w:after="0" w:line="217" w:lineRule="auto"/>
        <w:rPr>
          <w:sz w:val="20"/>
          <w:szCs w:val="20"/>
          <w:color w:val="auto"/>
        </w:rPr>
      </w:pPr>
      <w:r>
        <w:rPr>
          <w:rFonts w:ascii="Arial" w:cs="Arial" w:eastAsia="Arial" w:hAnsi="Arial"/>
          <w:sz w:val="13"/>
          <w:szCs w:val="13"/>
          <w:color w:val="auto"/>
        </w:rPr>
        <w:t>For the awards with estimated allocation dates, the numbers of options expected to be allocated have been derived from a Monte- Carlo simulation model. Those will be adjusted until the actual allocation has occurred and the number of options granted has ultimately been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6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20"/>
        <w:spacing w:after="0" w:line="234" w:lineRule="auto"/>
        <w:rPr>
          <w:sz w:val="20"/>
          <w:szCs w:val="20"/>
          <w:color w:val="auto"/>
        </w:rPr>
      </w:pPr>
      <w:r>
        <w:rPr>
          <w:rFonts w:ascii="Arial" w:cs="Arial" w:eastAsia="Arial" w:hAnsi="Arial"/>
          <w:sz w:val="13"/>
          <w:szCs w:val="13"/>
          <w:color w:val="auto"/>
        </w:rPr>
        <w:t>The share options expected to be allocated to our Management Board as of the dates indicated are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-12700</wp:posOffset>
            </wp:positionV>
            <wp:extent cx="4262120" cy="127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64">
                      <a:extLst>
                        <a:ext uri="{28A0092B-C50C-407E-A947-70E740481C1C}"/>
                      </a:extLst>
                    </a:blip>
                    <a:srcRect/>
                    <a:stretch>
                      <a:fillRect/>
                    </a:stretch>
                  </pic:blipFill>
                  <pic:spPr bwMode="auto">
                    <a:xfrm>
                      <a:off x="0" y="0"/>
                      <a:ext cx="4262120" cy="12700"/>
                    </a:xfrm>
                    <a:prstGeom prst="rect">
                      <a:avLst/>
                    </a:prstGeom>
                    <a:noFill/>
                  </pic:spPr>
                </pic:pic>
              </a:graphicData>
            </a:graphic>
          </wp:anchor>
        </w:drawing>
      </w:r>
    </w:p>
    <w:p>
      <w:pPr>
        <w:spacing w:after="0" w:line="81" w:lineRule="exact"/>
        <w:rPr>
          <w:sz w:val="20"/>
          <w:szCs w:val="20"/>
          <w:color w:val="auto"/>
        </w:rPr>
      </w:pPr>
    </w:p>
    <w:tbl>
      <w:tblPr>
        <w:tblLayout w:type="fixed"/>
        <w:tblInd w:w="380" w:type="dxa"/>
        <w:tblCellMar>
          <w:top w:w="0" w:type="dxa"/>
          <w:left w:w="0" w:type="dxa"/>
          <w:bottom w:w="0" w:type="dxa"/>
          <w:right w:w="0" w:type="dxa"/>
        </w:tblCellMar>
      </w:tblPr>
      <w:tr>
        <w:trPr>
          <w:trHeight w:val="121"/>
        </w:trPr>
        <w:tc>
          <w:tcPr>
            <w:tcW w:w="2280" w:type="dxa"/>
            <w:vAlign w:val="bottom"/>
          </w:tcPr>
          <w:p>
            <w:pPr>
              <w:spacing w:after="0"/>
              <w:rPr>
                <w:sz w:val="10"/>
                <w:szCs w:val="10"/>
                <w:color w:val="auto"/>
              </w:rPr>
            </w:pPr>
          </w:p>
        </w:tc>
        <w:tc>
          <w:tcPr>
            <w:tcW w:w="40" w:type="dxa"/>
            <w:vAlign w:val="bottom"/>
            <w:tcBorders>
              <w:right w:val="single" w:sz="8" w:color="BECE33"/>
            </w:tcBorders>
          </w:tcPr>
          <w:p>
            <w:pPr>
              <w:spacing w:after="0"/>
              <w:rPr>
                <w:sz w:val="10"/>
                <w:szCs w:val="10"/>
                <w:color w:val="auto"/>
              </w:rPr>
            </w:pPr>
          </w:p>
        </w:tc>
        <w:tc>
          <w:tcPr>
            <w:tcW w:w="20" w:type="dxa"/>
            <w:vAlign w:val="bottom"/>
            <w:tcBorders>
              <w:top w:val="single" w:sz="8" w:color="BECE33"/>
            </w:tcBorders>
          </w:tcPr>
          <w:p>
            <w:pPr>
              <w:spacing w:after="0"/>
              <w:rPr>
                <w:sz w:val="10"/>
                <w:szCs w:val="10"/>
                <w:color w:val="auto"/>
              </w:rPr>
            </w:pPr>
          </w:p>
        </w:tc>
        <w:tc>
          <w:tcPr>
            <w:tcW w:w="1040" w:type="dxa"/>
            <w:vAlign w:val="bottom"/>
            <w:tcBorders>
              <w:top w:val="single" w:sz="8" w:color="BECE33"/>
            </w:tcBorders>
          </w:tcPr>
          <w:p>
            <w:pPr>
              <w:ind w:left="20"/>
              <w:spacing w:after="0" w:line="121" w:lineRule="exact"/>
              <w:rPr>
                <w:sz w:val="20"/>
                <w:szCs w:val="20"/>
                <w:color w:val="auto"/>
              </w:rPr>
            </w:pPr>
            <w:r>
              <w:rPr>
                <w:rFonts w:ascii="Arial" w:cs="Arial" w:eastAsia="Arial" w:hAnsi="Arial"/>
                <w:sz w:val="12"/>
                <w:szCs w:val="12"/>
                <w:b w:val="1"/>
                <w:bCs w:val="1"/>
                <w:color w:val="005A64"/>
              </w:rPr>
              <w:t>Estimated</w:t>
            </w:r>
          </w:p>
        </w:tc>
        <w:tc>
          <w:tcPr>
            <w:tcW w:w="60" w:type="dxa"/>
            <w:vAlign w:val="bottom"/>
            <w:tcBorders>
              <w:top w:val="single" w:sz="8" w:color="BECE33"/>
            </w:tcBorders>
          </w:tcPr>
          <w:p>
            <w:pPr>
              <w:spacing w:after="0"/>
              <w:rPr>
                <w:sz w:val="10"/>
                <w:szCs w:val="10"/>
                <w:color w:val="auto"/>
              </w:rPr>
            </w:pPr>
          </w:p>
        </w:tc>
        <w:tc>
          <w:tcPr>
            <w:tcW w:w="1040" w:type="dxa"/>
            <w:vAlign w:val="bottom"/>
            <w:tcBorders>
              <w:top w:val="single" w:sz="8" w:color="BECE33"/>
            </w:tcBorders>
          </w:tcPr>
          <w:p>
            <w:pPr>
              <w:ind w:left="20"/>
              <w:spacing w:after="0" w:line="121" w:lineRule="exact"/>
              <w:rPr>
                <w:sz w:val="20"/>
                <w:szCs w:val="20"/>
                <w:color w:val="auto"/>
              </w:rPr>
            </w:pPr>
            <w:r>
              <w:rPr>
                <w:rFonts w:ascii="Arial" w:cs="Arial" w:eastAsia="Arial" w:hAnsi="Arial"/>
                <w:sz w:val="12"/>
                <w:szCs w:val="12"/>
                <w:b w:val="1"/>
                <w:bCs w:val="1"/>
                <w:color w:val="005A64"/>
              </w:rPr>
              <w:t>Estimated</w:t>
            </w:r>
          </w:p>
        </w:tc>
        <w:tc>
          <w:tcPr>
            <w:tcW w:w="60" w:type="dxa"/>
            <w:vAlign w:val="bottom"/>
            <w:tcBorders>
              <w:top w:val="single" w:sz="8" w:color="BECE33"/>
            </w:tcBorders>
          </w:tcPr>
          <w:p>
            <w:pPr>
              <w:spacing w:after="0"/>
              <w:rPr>
                <w:sz w:val="10"/>
                <w:szCs w:val="10"/>
                <w:color w:val="auto"/>
              </w:rPr>
            </w:pPr>
          </w:p>
        </w:tc>
        <w:tc>
          <w:tcPr>
            <w:tcW w:w="1040" w:type="dxa"/>
            <w:vAlign w:val="bottom"/>
            <w:tcBorders>
              <w:top w:val="single" w:sz="8" w:color="BECE33"/>
            </w:tcBorders>
          </w:tcPr>
          <w:p>
            <w:pPr>
              <w:spacing w:after="0" w:line="121" w:lineRule="exact"/>
              <w:rPr>
                <w:sz w:val="20"/>
                <w:szCs w:val="20"/>
                <w:color w:val="auto"/>
              </w:rPr>
            </w:pPr>
            <w:r>
              <w:rPr>
                <w:rFonts w:ascii="Arial" w:cs="Arial" w:eastAsia="Arial" w:hAnsi="Arial"/>
                <w:sz w:val="12"/>
                <w:szCs w:val="12"/>
                <w:b w:val="1"/>
                <w:bCs w:val="1"/>
                <w:color w:val="005A64"/>
              </w:rPr>
              <w:t>Estimated</w:t>
            </w:r>
          </w:p>
        </w:tc>
        <w:tc>
          <w:tcPr>
            <w:tcW w:w="60" w:type="dxa"/>
            <w:vAlign w:val="bottom"/>
            <w:tcBorders>
              <w:top w:val="single" w:sz="8" w:color="BECE33"/>
            </w:tcBorders>
          </w:tcPr>
          <w:p>
            <w:pPr>
              <w:spacing w:after="0"/>
              <w:rPr>
                <w:sz w:val="10"/>
                <w:szCs w:val="10"/>
                <w:color w:val="auto"/>
              </w:rPr>
            </w:pPr>
          </w:p>
        </w:tc>
        <w:tc>
          <w:tcPr>
            <w:tcW w:w="1100" w:type="dxa"/>
            <w:vAlign w:val="bottom"/>
            <w:tcBorders>
              <w:top w:val="single" w:sz="8" w:color="BECE33"/>
              <w:right w:val="single" w:sz="8" w:color="BECE33"/>
            </w:tcBorders>
            <w:gridSpan w:val="2"/>
          </w:tcPr>
          <w:p>
            <w:pPr>
              <w:spacing w:after="0" w:line="121" w:lineRule="exact"/>
              <w:rPr>
                <w:sz w:val="20"/>
                <w:szCs w:val="20"/>
                <w:color w:val="auto"/>
              </w:rPr>
            </w:pPr>
            <w:r>
              <w:rPr>
                <w:rFonts w:ascii="Arial" w:cs="Arial" w:eastAsia="Arial" w:hAnsi="Arial"/>
                <w:sz w:val="12"/>
                <w:szCs w:val="12"/>
                <w:b w:val="1"/>
                <w:bCs w:val="1"/>
                <w:color w:val="005A64"/>
              </w:rPr>
              <w:t>Estimated</w:t>
            </w:r>
          </w:p>
        </w:tc>
      </w:tr>
      <w:tr>
        <w:trPr>
          <w:trHeight w:val="151"/>
        </w:trPr>
        <w:tc>
          <w:tcPr>
            <w:tcW w:w="2280" w:type="dxa"/>
            <w:vAlign w:val="bottom"/>
          </w:tcPr>
          <w:p>
            <w:pPr>
              <w:spacing w:after="0"/>
              <w:rPr>
                <w:sz w:val="13"/>
                <w:szCs w:val="13"/>
                <w:color w:val="auto"/>
              </w:rPr>
            </w:pPr>
          </w:p>
        </w:tc>
        <w:tc>
          <w:tcPr>
            <w:tcW w:w="40" w:type="dxa"/>
            <w:vAlign w:val="bottom"/>
            <w:tcBorders>
              <w:right w:val="single" w:sz="8" w:color="BECE33"/>
            </w:tcBorders>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ind w:left="20"/>
              <w:spacing w:after="0"/>
              <w:rPr>
                <w:sz w:val="20"/>
                <w:szCs w:val="20"/>
                <w:color w:val="auto"/>
              </w:rPr>
            </w:pPr>
            <w:r>
              <w:rPr>
                <w:rFonts w:ascii="Arial" w:cs="Arial" w:eastAsia="Arial" w:hAnsi="Arial"/>
                <w:sz w:val="12"/>
                <w:szCs w:val="12"/>
                <w:b w:val="1"/>
                <w:bCs w:val="1"/>
                <w:color w:val="005A64"/>
              </w:rPr>
              <w:t>allocation date</w:t>
            </w:r>
          </w:p>
        </w:tc>
        <w:tc>
          <w:tcPr>
            <w:tcW w:w="60" w:type="dxa"/>
            <w:vAlign w:val="bottom"/>
          </w:tcPr>
          <w:p>
            <w:pPr>
              <w:spacing w:after="0"/>
              <w:rPr>
                <w:sz w:val="13"/>
                <w:szCs w:val="13"/>
                <w:color w:val="auto"/>
              </w:rPr>
            </w:pPr>
          </w:p>
        </w:tc>
        <w:tc>
          <w:tcPr>
            <w:tcW w:w="1040" w:type="dxa"/>
            <w:vAlign w:val="bottom"/>
          </w:tcPr>
          <w:p>
            <w:pPr>
              <w:ind w:left="20"/>
              <w:spacing w:after="0"/>
              <w:rPr>
                <w:sz w:val="20"/>
                <w:szCs w:val="20"/>
                <w:color w:val="auto"/>
              </w:rPr>
            </w:pPr>
            <w:r>
              <w:rPr>
                <w:rFonts w:ascii="Arial" w:cs="Arial" w:eastAsia="Arial" w:hAnsi="Arial"/>
                <w:sz w:val="12"/>
                <w:szCs w:val="12"/>
                <w:b w:val="1"/>
                <w:bCs w:val="1"/>
                <w:color w:val="005A64"/>
              </w:rPr>
              <w:t>allocation date</w:t>
            </w:r>
          </w:p>
        </w:tc>
        <w:tc>
          <w:tcPr>
            <w:tcW w:w="6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005A64"/>
              </w:rPr>
              <w:t>allocation date</w:t>
            </w:r>
          </w:p>
        </w:tc>
        <w:tc>
          <w:tcPr>
            <w:tcW w:w="60" w:type="dxa"/>
            <w:vAlign w:val="bottom"/>
          </w:tcPr>
          <w:p>
            <w:pPr>
              <w:spacing w:after="0"/>
              <w:rPr>
                <w:sz w:val="13"/>
                <w:szCs w:val="13"/>
                <w:color w:val="auto"/>
              </w:rPr>
            </w:pPr>
          </w:p>
        </w:tc>
        <w:tc>
          <w:tcPr>
            <w:tcW w:w="1100" w:type="dxa"/>
            <w:vAlign w:val="bottom"/>
            <w:tcBorders>
              <w:right w:val="single" w:sz="8" w:color="BECE33"/>
            </w:tcBorders>
            <w:gridSpan w:val="2"/>
          </w:tcPr>
          <w:p>
            <w:pPr>
              <w:spacing w:after="0"/>
              <w:rPr>
                <w:sz w:val="20"/>
                <w:szCs w:val="20"/>
                <w:color w:val="auto"/>
              </w:rPr>
            </w:pPr>
            <w:r>
              <w:rPr>
                <w:rFonts w:ascii="Arial" w:cs="Arial" w:eastAsia="Arial" w:hAnsi="Arial"/>
                <w:sz w:val="12"/>
                <w:szCs w:val="12"/>
                <w:b w:val="1"/>
                <w:bCs w:val="1"/>
                <w:color w:val="005A64"/>
              </w:rPr>
              <w:t>allocation date</w:t>
            </w:r>
          </w:p>
        </w:tc>
      </w:tr>
      <w:tr>
        <w:trPr>
          <w:trHeight w:val="202"/>
        </w:trPr>
        <w:tc>
          <w:tcPr>
            <w:tcW w:w="2280" w:type="dxa"/>
            <w:vAlign w:val="bottom"/>
          </w:tcPr>
          <w:p>
            <w:pPr>
              <w:spacing w:after="0"/>
              <w:rPr>
                <w:sz w:val="17"/>
                <w:szCs w:val="17"/>
                <w:color w:val="auto"/>
              </w:rPr>
            </w:pPr>
          </w:p>
        </w:tc>
        <w:tc>
          <w:tcPr>
            <w:tcW w:w="40" w:type="dxa"/>
            <w:vAlign w:val="bottom"/>
            <w:tcBorders>
              <w:right w:val="single" w:sz="8" w:color="BECE33"/>
            </w:tcBorders>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005A64"/>
              </w:rPr>
              <w:t>2025</w:t>
            </w:r>
            <w:r>
              <w:rPr>
                <w:rFonts w:ascii="Arial" w:cs="Arial" w:eastAsia="Arial" w:hAnsi="Arial"/>
                <w:sz w:val="16"/>
                <w:szCs w:val="16"/>
                <w:b w:val="1"/>
                <w:bCs w:val="1"/>
                <w:color w:val="005A64"/>
                <w:vertAlign w:val="superscript"/>
              </w:rPr>
              <w:t>(1)</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005A64"/>
              </w:rPr>
              <w:t>2026</w:t>
            </w:r>
            <w:r>
              <w:rPr>
                <w:rFonts w:ascii="Arial" w:cs="Arial" w:eastAsia="Arial" w:hAnsi="Arial"/>
                <w:sz w:val="16"/>
                <w:szCs w:val="16"/>
                <w:b w:val="1"/>
                <w:bCs w:val="1"/>
                <w:color w:val="005A64"/>
                <w:vertAlign w:val="superscript"/>
              </w:rPr>
              <w:t>(1)</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005A64"/>
              </w:rPr>
              <w:t>2027</w:t>
            </w:r>
            <w:r>
              <w:rPr>
                <w:rFonts w:ascii="Arial" w:cs="Arial" w:eastAsia="Arial" w:hAnsi="Arial"/>
                <w:sz w:val="16"/>
                <w:szCs w:val="16"/>
                <w:b w:val="1"/>
                <w:bCs w:val="1"/>
                <w:color w:val="005A64"/>
                <w:vertAlign w:val="superscript"/>
              </w:rPr>
              <w:t>(1)</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005A64"/>
              </w:rPr>
              <w:t>2028</w:t>
            </w:r>
            <w:r>
              <w:rPr>
                <w:rFonts w:ascii="Arial" w:cs="Arial" w:eastAsia="Arial" w:hAnsi="Arial"/>
                <w:sz w:val="16"/>
                <w:szCs w:val="16"/>
                <w:b w:val="1"/>
                <w:bCs w:val="1"/>
                <w:color w:val="005A64"/>
                <w:vertAlign w:val="superscript"/>
              </w:rPr>
              <w:t>(1)</w:t>
            </w:r>
          </w:p>
        </w:tc>
        <w:tc>
          <w:tcPr>
            <w:tcW w:w="60" w:type="dxa"/>
            <w:vAlign w:val="bottom"/>
            <w:tcBorders>
              <w:right w:val="single" w:sz="8" w:color="BECE33"/>
            </w:tcBorders>
          </w:tcPr>
          <w:p>
            <w:pPr>
              <w:spacing w:after="0"/>
              <w:rPr>
                <w:sz w:val="17"/>
                <w:szCs w:val="17"/>
                <w:color w:val="auto"/>
              </w:rPr>
            </w:pPr>
          </w:p>
        </w:tc>
      </w:tr>
      <w:tr>
        <w:trPr>
          <w:trHeight w:val="150"/>
        </w:trPr>
        <w:tc>
          <w:tcPr>
            <w:tcW w:w="2280" w:type="dxa"/>
            <w:vAlign w:val="bottom"/>
            <w:tcBorders>
              <w:top w:val="single" w:sz="8" w:color="005A64"/>
            </w:tcBorders>
          </w:tcPr>
          <w:p>
            <w:pPr>
              <w:ind w:left="20"/>
              <w:spacing w:after="0"/>
              <w:rPr>
                <w:sz w:val="20"/>
                <w:szCs w:val="20"/>
                <w:color w:val="auto"/>
              </w:rPr>
            </w:pPr>
            <w:r>
              <w:rPr>
                <w:rFonts w:ascii="Arial" w:cs="Arial" w:eastAsia="Arial" w:hAnsi="Arial"/>
                <w:sz w:val="12"/>
                <w:szCs w:val="12"/>
                <w:color w:val="005A64"/>
              </w:rPr>
              <w:t>Share options estimated to be allocated</w:t>
            </w:r>
          </w:p>
        </w:tc>
        <w:tc>
          <w:tcPr>
            <w:tcW w:w="40" w:type="dxa"/>
            <w:vAlign w:val="bottom"/>
            <w:tcBorders>
              <w:right w:val="single" w:sz="8" w:color="BECE33"/>
            </w:tcBorders>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Borders>
              <w:top w:val="single" w:sz="8" w:color="005A64"/>
            </w:tcBorders>
          </w:tcPr>
          <w:p>
            <w:pPr>
              <w:ind w:left="20"/>
              <w:spacing w:after="0"/>
              <w:rPr>
                <w:sz w:val="20"/>
                <w:szCs w:val="20"/>
                <w:color w:val="auto"/>
              </w:rPr>
            </w:pPr>
            <w:r>
              <w:rPr>
                <w:rFonts w:ascii="Arial" w:cs="Arial" w:eastAsia="Arial" w:hAnsi="Arial"/>
                <w:sz w:val="12"/>
                <w:szCs w:val="12"/>
                <w:color w:val="005A64"/>
              </w:rPr>
              <w:t>122,211</w:t>
            </w:r>
          </w:p>
        </w:tc>
        <w:tc>
          <w:tcPr>
            <w:tcW w:w="60" w:type="dxa"/>
            <w:vAlign w:val="bottom"/>
          </w:tcPr>
          <w:p>
            <w:pPr>
              <w:spacing w:after="0"/>
              <w:rPr>
                <w:sz w:val="13"/>
                <w:szCs w:val="13"/>
                <w:color w:val="auto"/>
              </w:rPr>
            </w:pPr>
          </w:p>
        </w:tc>
        <w:tc>
          <w:tcPr>
            <w:tcW w:w="1040" w:type="dxa"/>
            <w:vAlign w:val="bottom"/>
            <w:tcBorders>
              <w:top w:val="single" w:sz="8" w:color="005A64"/>
            </w:tcBorders>
          </w:tcPr>
          <w:p>
            <w:pPr>
              <w:ind w:left="20"/>
              <w:spacing w:after="0"/>
              <w:rPr>
                <w:sz w:val="20"/>
                <w:szCs w:val="20"/>
                <w:color w:val="auto"/>
              </w:rPr>
            </w:pPr>
            <w:r>
              <w:rPr>
                <w:rFonts w:ascii="Arial" w:cs="Arial" w:eastAsia="Arial" w:hAnsi="Arial"/>
                <w:sz w:val="12"/>
                <w:szCs w:val="12"/>
                <w:color w:val="005A64"/>
              </w:rPr>
              <w:t>98,760</w:t>
            </w:r>
          </w:p>
        </w:tc>
        <w:tc>
          <w:tcPr>
            <w:tcW w:w="60" w:type="dxa"/>
            <w:vAlign w:val="bottom"/>
          </w:tcPr>
          <w:p>
            <w:pPr>
              <w:spacing w:after="0"/>
              <w:rPr>
                <w:sz w:val="13"/>
                <w:szCs w:val="13"/>
                <w:color w:val="auto"/>
              </w:rPr>
            </w:pPr>
          </w:p>
        </w:tc>
        <w:tc>
          <w:tcPr>
            <w:tcW w:w="1040" w:type="dxa"/>
            <w:vAlign w:val="bottom"/>
            <w:tcBorders>
              <w:top w:val="single" w:sz="8" w:color="005A64"/>
            </w:tcBorders>
          </w:tcPr>
          <w:p>
            <w:pPr>
              <w:spacing w:after="0"/>
              <w:rPr>
                <w:sz w:val="20"/>
                <w:szCs w:val="20"/>
                <w:color w:val="auto"/>
              </w:rPr>
            </w:pPr>
            <w:r>
              <w:rPr>
                <w:rFonts w:ascii="Arial" w:cs="Arial" w:eastAsia="Arial" w:hAnsi="Arial"/>
                <w:sz w:val="12"/>
                <w:szCs w:val="12"/>
                <w:color w:val="005A64"/>
              </w:rPr>
              <w:t>26,616</w:t>
            </w:r>
          </w:p>
        </w:tc>
        <w:tc>
          <w:tcPr>
            <w:tcW w:w="60" w:type="dxa"/>
            <w:vAlign w:val="bottom"/>
          </w:tcPr>
          <w:p>
            <w:pPr>
              <w:spacing w:after="0"/>
              <w:rPr>
                <w:sz w:val="13"/>
                <w:szCs w:val="13"/>
                <w:color w:val="auto"/>
              </w:rPr>
            </w:pPr>
          </w:p>
        </w:tc>
        <w:tc>
          <w:tcPr>
            <w:tcW w:w="1040" w:type="dxa"/>
            <w:vAlign w:val="bottom"/>
            <w:tcBorders>
              <w:top w:val="single" w:sz="8" w:color="005A64"/>
            </w:tcBorders>
          </w:tcPr>
          <w:p>
            <w:pPr>
              <w:spacing w:after="0"/>
              <w:rPr>
                <w:sz w:val="20"/>
                <w:szCs w:val="20"/>
                <w:color w:val="auto"/>
              </w:rPr>
            </w:pPr>
            <w:r>
              <w:rPr>
                <w:rFonts w:ascii="Arial" w:cs="Arial" w:eastAsia="Arial" w:hAnsi="Arial"/>
                <w:sz w:val="12"/>
                <w:szCs w:val="12"/>
                <w:color w:val="005A64"/>
              </w:rPr>
              <w:t>7,533</w:t>
            </w:r>
          </w:p>
        </w:tc>
        <w:tc>
          <w:tcPr>
            <w:tcW w:w="60" w:type="dxa"/>
            <w:vAlign w:val="bottom"/>
            <w:tcBorders>
              <w:right w:val="single" w:sz="8" w:color="BECE33"/>
            </w:tcBorders>
          </w:tcPr>
          <w:p>
            <w:pPr>
              <w:spacing w:after="0"/>
              <w:rPr>
                <w:sz w:val="13"/>
                <w:szCs w:val="13"/>
                <w:color w:val="auto"/>
              </w:rPr>
            </w:pPr>
          </w:p>
        </w:tc>
      </w:tr>
      <w:tr>
        <w:trPr>
          <w:trHeight w:val="32"/>
        </w:trPr>
        <w:tc>
          <w:tcPr>
            <w:tcW w:w="2280" w:type="dxa"/>
            <w:vAlign w:val="bottom"/>
            <w:tcBorders>
              <w:bottom w:val="single" w:sz="8" w:color="005A64"/>
            </w:tcBorders>
          </w:tcPr>
          <w:p>
            <w:pPr>
              <w:spacing w:after="0"/>
              <w:rPr>
                <w:sz w:val="2"/>
                <w:szCs w:val="2"/>
                <w:color w:val="auto"/>
              </w:rPr>
            </w:pPr>
          </w:p>
        </w:tc>
        <w:tc>
          <w:tcPr>
            <w:tcW w:w="40" w:type="dxa"/>
            <w:vAlign w:val="bottom"/>
            <w:tcBorders>
              <w:right w:val="single" w:sz="8" w:color="BECE33"/>
            </w:tcBorders>
          </w:tcPr>
          <w:p>
            <w:pPr>
              <w:spacing w:after="0"/>
              <w:rPr>
                <w:sz w:val="2"/>
                <w:szCs w:val="2"/>
                <w:color w:val="auto"/>
              </w:rPr>
            </w:pPr>
          </w:p>
        </w:tc>
        <w:tc>
          <w:tcPr>
            <w:tcW w:w="20" w:type="dxa"/>
            <w:vAlign w:val="bottom"/>
            <w:tcBorders>
              <w:bottom w:val="single" w:sz="8" w:color="BECE33"/>
            </w:tcBorders>
          </w:tcPr>
          <w:p>
            <w:pPr>
              <w:spacing w:after="0"/>
              <w:rPr>
                <w:sz w:val="2"/>
                <w:szCs w:val="2"/>
                <w:color w:val="auto"/>
              </w:rPr>
            </w:pPr>
          </w:p>
        </w:tc>
        <w:tc>
          <w:tcPr>
            <w:tcW w:w="1040" w:type="dxa"/>
            <w:vAlign w:val="bottom"/>
            <w:tcBorders>
              <w:bottom w:val="single" w:sz="8" w:color="BECE33"/>
            </w:tcBorders>
          </w:tcPr>
          <w:p>
            <w:pPr>
              <w:spacing w:after="0"/>
              <w:rPr>
                <w:sz w:val="2"/>
                <w:szCs w:val="2"/>
                <w:color w:val="auto"/>
              </w:rPr>
            </w:pPr>
          </w:p>
        </w:tc>
        <w:tc>
          <w:tcPr>
            <w:tcW w:w="60" w:type="dxa"/>
            <w:vAlign w:val="bottom"/>
            <w:tcBorders>
              <w:bottom w:val="single" w:sz="8" w:color="BECE33"/>
            </w:tcBorders>
          </w:tcPr>
          <w:p>
            <w:pPr>
              <w:spacing w:after="0"/>
              <w:rPr>
                <w:sz w:val="2"/>
                <w:szCs w:val="2"/>
                <w:color w:val="auto"/>
              </w:rPr>
            </w:pPr>
          </w:p>
        </w:tc>
        <w:tc>
          <w:tcPr>
            <w:tcW w:w="1040" w:type="dxa"/>
            <w:vAlign w:val="bottom"/>
            <w:tcBorders>
              <w:bottom w:val="single" w:sz="8" w:color="BECE33"/>
            </w:tcBorders>
          </w:tcPr>
          <w:p>
            <w:pPr>
              <w:spacing w:after="0"/>
              <w:rPr>
                <w:sz w:val="2"/>
                <w:szCs w:val="2"/>
                <w:color w:val="auto"/>
              </w:rPr>
            </w:pPr>
          </w:p>
        </w:tc>
        <w:tc>
          <w:tcPr>
            <w:tcW w:w="60" w:type="dxa"/>
            <w:vAlign w:val="bottom"/>
            <w:tcBorders>
              <w:bottom w:val="single" w:sz="8" w:color="BECE33"/>
            </w:tcBorders>
          </w:tcPr>
          <w:p>
            <w:pPr>
              <w:spacing w:after="0"/>
              <w:rPr>
                <w:sz w:val="2"/>
                <w:szCs w:val="2"/>
                <w:color w:val="auto"/>
              </w:rPr>
            </w:pPr>
          </w:p>
        </w:tc>
        <w:tc>
          <w:tcPr>
            <w:tcW w:w="1040" w:type="dxa"/>
            <w:vAlign w:val="bottom"/>
            <w:tcBorders>
              <w:bottom w:val="single" w:sz="8" w:color="BECE33"/>
            </w:tcBorders>
          </w:tcPr>
          <w:p>
            <w:pPr>
              <w:spacing w:after="0"/>
              <w:rPr>
                <w:sz w:val="2"/>
                <w:szCs w:val="2"/>
                <w:color w:val="auto"/>
              </w:rPr>
            </w:pPr>
          </w:p>
        </w:tc>
        <w:tc>
          <w:tcPr>
            <w:tcW w:w="60" w:type="dxa"/>
            <w:vAlign w:val="bottom"/>
            <w:tcBorders>
              <w:bottom w:val="single" w:sz="8" w:color="BECE33"/>
            </w:tcBorders>
          </w:tcPr>
          <w:p>
            <w:pPr>
              <w:spacing w:after="0"/>
              <w:rPr>
                <w:sz w:val="2"/>
                <w:szCs w:val="2"/>
                <w:color w:val="auto"/>
              </w:rPr>
            </w:pPr>
          </w:p>
        </w:tc>
        <w:tc>
          <w:tcPr>
            <w:tcW w:w="1040" w:type="dxa"/>
            <w:vAlign w:val="bottom"/>
            <w:tcBorders>
              <w:bottom w:val="single" w:sz="8" w:color="BECE33"/>
            </w:tcBorders>
          </w:tcPr>
          <w:p>
            <w:pPr>
              <w:spacing w:after="0"/>
              <w:rPr>
                <w:sz w:val="2"/>
                <w:szCs w:val="2"/>
                <w:color w:val="auto"/>
              </w:rPr>
            </w:pPr>
          </w:p>
        </w:tc>
        <w:tc>
          <w:tcPr>
            <w:tcW w:w="60" w:type="dxa"/>
            <w:vAlign w:val="bottom"/>
            <w:tcBorders>
              <w:bottom w:val="single" w:sz="8" w:color="BECE33"/>
              <w:right w:val="single" w:sz="8" w:color="BECE33"/>
            </w:tcBorders>
          </w:tcPr>
          <w:p>
            <w:pPr>
              <w:spacing w:after="0"/>
              <w:rPr>
                <w:sz w:val="2"/>
                <w:szCs w:val="2"/>
                <w:color w:val="auto"/>
              </w:rPr>
            </w:pPr>
          </w:p>
        </w:tc>
      </w:tr>
    </w:tbl>
    <w:p>
      <w:pPr>
        <w:ind w:left="580" w:hanging="197"/>
        <w:spacing w:after="0" w:line="214" w:lineRule="auto"/>
        <w:tabs>
          <w:tab w:leader="none" w:pos="580" w:val="left"/>
        </w:tabs>
        <w:numPr>
          <w:ilvl w:val="0"/>
          <w:numId w:val="59"/>
        </w:numPr>
        <w:rPr>
          <w:rFonts w:ascii="Arial" w:cs="Arial" w:eastAsia="Arial" w:hAnsi="Arial"/>
          <w:sz w:val="16"/>
          <w:szCs w:val="16"/>
          <w:color w:val="005A64"/>
          <w:vertAlign w:val="superscript"/>
        </w:rPr>
      </w:pPr>
      <w:r>
        <w:rPr>
          <w:rFonts w:ascii="Arial" w:cs="Arial" w:eastAsia="Arial" w:hAnsi="Arial"/>
          <w:sz w:val="12"/>
          <w:szCs w:val="12"/>
          <w:color w:val="005A64"/>
        </w:rPr>
        <w:t>Valuation parameter derived from the Monte-Carlo simulation model.</w:t>
      </w:r>
    </w:p>
    <w:p>
      <w:pPr>
        <w:ind w:left="380" w:right="2380"/>
        <w:spacing w:after="0" w:line="210" w:lineRule="auto"/>
        <w:rPr>
          <w:sz w:val="20"/>
          <w:szCs w:val="20"/>
          <w:color w:val="auto"/>
        </w:rPr>
      </w:pPr>
      <w:r>
        <w:rPr>
          <w:rFonts w:ascii="Arial" w:cs="Arial" w:eastAsia="Arial" w:hAnsi="Arial"/>
          <w:sz w:val="13"/>
          <w:szCs w:val="13"/>
          <w:color w:val="auto"/>
        </w:rPr>
        <w:t>As of December 31, 2024, the share options allocated and expected to be allocated under our equity-settled share-based payment arrangements had a remaining weighted average expected life of 5.0 years (as of December 31, 2023: 4.1 years).</w:t>
      </w:r>
    </w:p>
    <w:p>
      <w:pPr>
        <w:spacing w:after="0" w:line="2" w:lineRule="exact"/>
        <w:rPr>
          <w:sz w:val="20"/>
          <w:szCs w:val="20"/>
          <w:color w:val="auto"/>
        </w:rPr>
      </w:pPr>
    </w:p>
    <w:p>
      <w:pPr>
        <w:ind w:left="380" w:right="2460"/>
        <w:spacing w:after="0" w:line="210" w:lineRule="auto"/>
        <w:rPr>
          <w:sz w:val="20"/>
          <w:szCs w:val="20"/>
          <w:color w:val="auto"/>
        </w:rPr>
      </w:pPr>
      <w:r>
        <w:rPr>
          <w:rFonts w:ascii="Arial" w:cs="Arial" w:eastAsia="Arial" w:hAnsi="Arial"/>
          <w:sz w:val="13"/>
          <w:szCs w:val="13"/>
          <w:color w:val="auto"/>
        </w:rPr>
        <w:t>As of December 31, 2024, the liability related to the phantom option awards amounted to €5.1 million (€3.6 million as of December 31, 2023).</w:t>
      </w:r>
    </w:p>
    <w:p>
      <w:pPr>
        <w:ind w:left="380"/>
        <w:spacing w:after="0" w:line="212" w:lineRule="auto"/>
        <w:rPr>
          <w:sz w:val="20"/>
          <w:szCs w:val="20"/>
          <w:color w:val="auto"/>
        </w:rPr>
      </w:pPr>
      <w:r>
        <w:rPr>
          <w:rFonts w:ascii="Arial" w:cs="Arial" w:eastAsia="Arial" w:hAnsi="Arial"/>
          <w:sz w:val="13"/>
          <w:szCs w:val="13"/>
          <w:b w:val="1"/>
          <w:bCs w:val="1"/>
          <w:color w:val="005A64"/>
        </w:rPr>
        <w:t>16.4 Chief Executive Officer Grant (Equity-Settled)</w:t>
      </w:r>
    </w:p>
    <w:p>
      <w:pPr>
        <w:spacing w:after="0" w:line="1" w:lineRule="exact"/>
        <w:rPr>
          <w:sz w:val="20"/>
          <w:szCs w:val="20"/>
          <w:color w:val="auto"/>
        </w:rPr>
      </w:pPr>
    </w:p>
    <w:p>
      <w:pPr>
        <w:ind w:left="380" w:right="2080"/>
        <w:spacing w:after="0" w:line="210" w:lineRule="auto"/>
        <w:rPr>
          <w:sz w:val="20"/>
          <w:szCs w:val="20"/>
          <w:color w:val="auto"/>
        </w:rPr>
      </w:pPr>
      <w:r>
        <w:rPr>
          <w:rFonts w:ascii="Arial" w:cs="Arial" w:eastAsia="Arial" w:hAnsi="Arial"/>
          <w:sz w:val="13"/>
          <w:szCs w:val="13"/>
          <w:color w:val="auto"/>
        </w:rPr>
        <w:t>In September 2019, we granted Prof. Ugur Sahin, M.D., an option to purchase 4,374,963 of our shares under the ESOP 2017/2019 program. All of these option rights vested and became exercisable in 2023, and were exercised on August 9, 2024, with an exercise price for each option of €13.74 ($15.00) calculated using the foreign exchange rate published by the German Central Bank (Deutsche Bundesbank) on the day before the exercise date and by applying the effective exercise cap and the maximum cap mechanism as disclosed above. The closing price of one ADS on Nasdaq on the settlement date converted from U.S. Dollars to Euro using the exchange rate published by the German Central Bank (Deutsche Bundesbank) on the same day was €73.68 and led to an intrinsic value of the exercised options of €259.5 million.</w:t>
      </w:r>
    </w:p>
    <w:p>
      <w:pPr>
        <w:spacing w:after="0" w:line="5"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In August 2024, the Supervisory Board determined that the award would be settled by the delivery of treasury shares (in the form of ADSs) equal to the net value of the exercised option rights after deduction of (i) the exercise price and (ii) the applicable wage taxes (including solidarity surcharge and church tax, if applicable) and social security contributions resulting from the exercise. The applicable taxes and social security contributions resulting from and withheld upon the exercise amounted to €123.2 million and were paid by us in September 2024 in cash directly to the respective authorities. The settlement mechanism decision changed neither the rights nor the classification of the grant as equity-settled. As a result of the settlement, no additional share-based payments under IFRS 2 were recorded during the year ended December 31, 2024.</w:t>
      </w:r>
    </w:p>
    <w:p>
      <w:pPr>
        <w:ind w:left="380"/>
        <w:spacing w:after="0" w:line="218" w:lineRule="auto"/>
        <w:rPr>
          <w:sz w:val="20"/>
          <w:szCs w:val="20"/>
          <w:color w:val="auto"/>
        </w:rPr>
      </w:pPr>
      <w:r>
        <w:rPr>
          <w:rFonts w:ascii="Arial" w:cs="Arial" w:eastAsia="Arial" w:hAnsi="Arial"/>
          <w:sz w:val="13"/>
          <w:szCs w:val="13"/>
          <w:b w:val="1"/>
          <w:bCs w:val="1"/>
          <w:color w:val="005A64"/>
        </w:rPr>
        <w:t>16.5 Employee Stock Ownership Plan (Partly Equity-Settled, Partly Cash-Settled)</w:t>
      </w:r>
    </w:p>
    <w:p>
      <w:pPr>
        <w:ind w:left="380"/>
        <w:spacing w:after="0" w:line="211" w:lineRule="auto"/>
        <w:rPr>
          <w:sz w:val="20"/>
          <w:szCs w:val="20"/>
          <w:color w:val="auto"/>
        </w:rPr>
      </w:pPr>
      <w:r>
        <w:rPr>
          <w:rFonts w:ascii="Arial" w:cs="Arial" w:eastAsia="Arial" w:hAnsi="Arial"/>
          <w:sz w:val="13"/>
          <w:szCs w:val="13"/>
          <w:color w:val="005A64"/>
        </w:rPr>
        <w:t>Employee Stock Ownership Plan (Equity-Settled)</w:t>
      </w:r>
    </w:p>
    <w:p>
      <w:pPr>
        <w:ind w:left="380" w:right="2100"/>
        <w:spacing w:after="0" w:line="220" w:lineRule="auto"/>
        <w:rPr>
          <w:sz w:val="20"/>
          <w:szCs w:val="20"/>
          <w:color w:val="auto"/>
        </w:rPr>
      </w:pPr>
      <w:r>
        <w:rPr>
          <w:rFonts w:ascii="Arial" w:cs="Arial" w:eastAsia="Arial" w:hAnsi="Arial"/>
          <w:sz w:val="13"/>
          <w:szCs w:val="13"/>
          <w:color w:val="auto"/>
        </w:rPr>
        <w:t>Based on an authorization of the general meeting on August 18, 2017, we established a share option program under which we granted selected employees options to receive our shares. The program is designed as an Employee Stock Ownership Plan, or ESOP. We offered participants a certain number of option rights by their explicit acceptance of an option rights agreement. The exercise of option rights in accordance with the agreement gives the participants the right to obtain shares against payment of the exercise price. With respect to</w:t>
      </w:r>
    </w:p>
    <w:p>
      <w:pPr>
        <w:sectPr>
          <w:pgSz w:w="11900" w:h="16840" w:orient="portrait"/>
          <w:cols w:equalWidth="0" w:num="1">
            <w:col w:w="9020"/>
          </w:cols>
          <w:pgMar w:left="1440" w:top="691" w:right="1440" w:bottom="7" w:gutter="0" w:footer="0" w:header="0"/>
          <w:type w:val="continuous"/>
        </w:sectPr>
      </w:pPr>
    </w:p>
    <w:bookmarkStart w:id="224" w:name="page225"/>
    <w:bookmarkEnd w:id="224"/>
    <w:p>
      <w:pPr>
        <w:ind w:left="380" w:right="2100"/>
        <w:spacing w:after="0" w:line="220" w:lineRule="auto"/>
        <w:rPr>
          <w:sz w:val="20"/>
          <w:szCs w:val="20"/>
          <w:color w:val="auto"/>
        </w:rPr>
      </w:pPr>
      <w:r>
        <w:rPr>
          <w:rFonts w:ascii="Arial" w:cs="Arial" w:eastAsia="Arial" w:hAnsi="Arial"/>
          <w:sz w:val="13"/>
          <w:szCs w:val="13"/>
          <w:color w:val="auto"/>
        </w:rPr>
        <w:t>the Management Board members serving at the time of allocation, the options are subject to the effective exercise price cap and maximum cap mechanisms. Under the exercise price cap, the exercise price shall be adjusted to ensure that the current price of an ADS as of the exercise date does not exceed 800% of the exercise price. Under the maximum cap mechanism, the maximum economic benefit receivable in respect of any exercised option, was capped at $240.00, with the effective exercise price being capped at a Euro amount equivalent to $30.00. Under the ESOP, the option rights (other than Özlem Türeci’s, and Ryan Richardson’s options) fully vest after four years and can be exercised if: (i) the waiting period of four years has elapsed;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F-65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firstLine="3"/>
        <w:spacing w:after="0" w:line="213" w:lineRule="auto"/>
        <w:tabs>
          <w:tab w:leader="none" w:pos="562" w:val="left"/>
        </w:tabs>
        <w:numPr>
          <w:ilvl w:val="0"/>
          <w:numId w:val="60"/>
        </w:numPr>
        <w:rPr>
          <w:rFonts w:ascii="Arial" w:cs="Arial" w:eastAsia="Arial" w:hAnsi="Arial"/>
          <w:sz w:val="13"/>
          <w:szCs w:val="13"/>
          <w:color w:val="auto"/>
        </w:rPr>
      </w:pPr>
      <w:r>
        <w:rPr>
          <w:rFonts w:ascii="Arial" w:cs="Arial" w:eastAsia="Arial" w:hAnsi="Arial"/>
          <w:sz w:val="13"/>
          <w:szCs w:val="13"/>
          <w:color w:val="auto"/>
        </w:rPr>
        <w:t>at the time of exercise, the average closing price of the shares of the Company or the average closing price of the right or certificate to be converted into an amount per share on the previous ten trading days preceding the exercise of the option right exceeds the strike price by a minimum of 32%, with this percentage increasing by eight percentage points as of the fifth anniversary of the respective issue date and as of each subsequent anniversary date. Following the expiry of the waiting period, option rights may be exercised within a period of four weeks from the date of the Annual General Meeting or the publication of the annual financial statements, the semi-annual report or our most recent quarterly report or interim report (exercise windows). The option rights can be exercised up to eight years after the allocation date. If they have not been exercised by that date, they will be forfeited without compensation.</w:t>
      </w:r>
    </w:p>
    <w:p>
      <w:pPr>
        <w:ind w:left="380" w:right="2100"/>
        <w:spacing w:after="0" w:line="210" w:lineRule="auto"/>
        <w:rPr>
          <w:rFonts w:ascii="Arial" w:cs="Arial" w:eastAsia="Arial" w:hAnsi="Arial"/>
          <w:sz w:val="13"/>
          <w:szCs w:val="13"/>
          <w:color w:val="auto"/>
        </w:rPr>
      </w:pPr>
      <w:r>
        <w:rPr>
          <w:rFonts w:ascii="Arial" w:cs="Arial" w:eastAsia="Arial" w:hAnsi="Arial"/>
          <w:sz w:val="13"/>
          <w:szCs w:val="13"/>
          <w:color w:val="auto"/>
        </w:rPr>
        <w:t>By way of a shareholders’ resolution of the general meeting on August 19, 2019, the authorization to issue such option rights was amended such that, in order for the options to be exercisable, the average closing price of the Company’s shares or the average closing price of the right or certificate to be converted into an amount per share on the ten trading days immediately preceding the exercise must exceed the strike price by a minimum of 28%, with this percentage increasing by seven percentage points as of the fifth anniversary of the issue date and as of each subsequent anniversary date. Furthermore, in addition to the aforementioned requirements, the exercise is only possible if the share price (calculated by reference to the price of the ordinary share underlying the ADS) has performed similar to or better than the Nasdaq Biotechnology Index. The changes made do not affect option rights already issued.</w:t>
      </w:r>
    </w:p>
    <w:p>
      <w:pPr>
        <w:spacing w:after="0" w:line="5" w:lineRule="exact"/>
        <w:rPr>
          <w:rFonts w:ascii="Arial" w:cs="Arial" w:eastAsia="Arial" w:hAnsi="Arial"/>
          <w:sz w:val="13"/>
          <w:szCs w:val="13"/>
          <w:color w:val="auto"/>
        </w:rPr>
      </w:pPr>
    </w:p>
    <w:p>
      <w:pPr>
        <w:ind w:left="380" w:right="2460"/>
        <w:spacing w:after="0" w:line="210" w:lineRule="auto"/>
        <w:rPr>
          <w:rFonts w:ascii="Arial" w:cs="Arial" w:eastAsia="Arial" w:hAnsi="Arial"/>
          <w:sz w:val="13"/>
          <w:szCs w:val="13"/>
          <w:color w:val="auto"/>
        </w:rPr>
      </w:pPr>
      <w:r>
        <w:rPr>
          <w:rFonts w:ascii="Arial" w:cs="Arial" w:eastAsia="Arial" w:hAnsi="Arial"/>
          <w:sz w:val="13"/>
          <w:szCs w:val="13"/>
          <w:color w:val="auto"/>
        </w:rPr>
        <w:t>The fair value of the ESOP has been measured using a binomial model. Service conditions attached to the arrangement were not taken into account in measuring the fair value.</w:t>
      </w:r>
    </w:p>
    <w:p>
      <w:pPr>
        <w:spacing w:after="0" w:line="1" w:lineRule="exact"/>
        <w:rPr>
          <w:rFonts w:ascii="Arial" w:cs="Arial" w:eastAsia="Arial" w:hAnsi="Arial"/>
          <w:sz w:val="13"/>
          <w:szCs w:val="13"/>
          <w:color w:val="auto"/>
        </w:rPr>
      </w:pPr>
    </w:p>
    <w:p>
      <w:pPr>
        <w:ind w:left="380" w:right="2300"/>
        <w:spacing w:after="0" w:line="210" w:lineRule="auto"/>
        <w:rPr>
          <w:rFonts w:ascii="Arial" w:cs="Arial" w:eastAsia="Arial" w:hAnsi="Arial"/>
          <w:sz w:val="13"/>
          <w:szCs w:val="13"/>
          <w:color w:val="auto"/>
        </w:rPr>
      </w:pPr>
      <w:r>
        <w:rPr>
          <w:rFonts w:ascii="Arial" w:cs="Arial" w:eastAsia="Arial" w:hAnsi="Arial"/>
          <w:sz w:val="13"/>
          <w:szCs w:val="13"/>
          <w:color w:val="auto"/>
        </w:rPr>
        <w:t>The share options can only be exercised by the grantee if the price of the share is equal or greater to the threshold amount as defined in the ESOP agreement. Moreover, the option rights can only be exercised if the IPO has occurred. Both conditions have been incorporated into the fair value at the grant date.</w:t>
      </w:r>
    </w:p>
    <w:p>
      <w:pPr>
        <w:spacing w:after="0" w:line="1" w:lineRule="exact"/>
        <w:rPr>
          <w:rFonts w:ascii="Arial" w:cs="Arial" w:eastAsia="Arial" w:hAnsi="Arial"/>
          <w:sz w:val="13"/>
          <w:szCs w:val="13"/>
          <w:color w:val="auto"/>
        </w:rPr>
      </w:pPr>
    </w:p>
    <w:p>
      <w:pPr>
        <w:ind w:left="380"/>
        <w:spacing w:after="0"/>
        <w:rPr>
          <w:rFonts w:ascii="Arial" w:cs="Arial" w:eastAsia="Arial" w:hAnsi="Arial"/>
          <w:sz w:val="13"/>
          <w:szCs w:val="13"/>
          <w:color w:val="auto"/>
        </w:rPr>
      </w:pPr>
      <w:r>
        <w:rPr>
          <w:rFonts w:ascii="Arial" w:cs="Arial" w:eastAsia="Arial" w:hAnsi="Arial"/>
          <w:sz w:val="13"/>
          <w:szCs w:val="13"/>
          <w:color w:val="auto"/>
        </w:rPr>
        <w:t>The inputs used in the measurement of the fair values at the grant date of the ESOP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-2014855</wp:posOffset>
            </wp:positionV>
            <wp:extent cx="5231130" cy="63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65">
                      <a:extLst>
                        <a:ext uri="{28A0092B-C50C-407E-A947-70E740481C1C}"/>
                      </a:extLst>
                    </a:blip>
                    <a:srcRect/>
                    <a:stretch>
                      <a:fillRect/>
                    </a:stretch>
                  </pic:blipFill>
                  <pic:spPr bwMode="auto">
                    <a:xfrm>
                      <a:off x="0" y="0"/>
                      <a:ext cx="5231130" cy="635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-5715</wp:posOffset>
            </wp:positionV>
            <wp:extent cx="4268470" cy="127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66">
                      <a:extLst>
                        <a:ext uri="{28A0092B-C50C-407E-A947-70E740481C1C}"/>
                      </a:extLst>
                    </a:blip>
                    <a:srcRect/>
                    <a:stretch>
                      <a:fillRect/>
                    </a:stretch>
                  </pic:blipFill>
                  <pic:spPr bwMode="auto">
                    <a:xfrm>
                      <a:off x="0" y="0"/>
                      <a:ext cx="4268470" cy="12700"/>
                    </a:xfrm>
                    <a:prstGeom prst="rect">
                      <a:avLst/>
                    </a:prstGeom>
                    <a:noFill/>
                  </pic:spPr>
                </pic:pic>
              </a:graphicData>
            </a:graphic>
          </wp:anchor>
        </w:drawing>
      </w:r>
    </w:p>
    <w:p>
      <w:pPr>
        <w:spacing w:after="0" w:line="91" w:lineRule="exact"/>
        <w:rPr>
          <w:sz w:val="20"/>
          <w:szCs w:val="20"/>
          <w:color w:val="auto"/>
        </w:rPr>
      </w:pPr>
    </w:p>
    <w:tbl>
      <w:tblPr>
        <w:tblLayout w:type="fixed"/>
        <w:tblInd w:w="380" w:type="dxa"/>
        <w:tblCellMar>
          <w:top w:w="0" w:type="dxa"/>
          <w:left w:w="0" w:type="dxa"/>
          <w:bottom w:w="0" w:type="dxa"/>
          <w:right w:w="0" w:type="dxa"/>
        </w:tblCellMar>
      </w:tblPr>
      <w:tr>
        <w:trPr>
          <w:trHeight w:val="121"/>
        </w:trPr>
        <w:tc>
          <w:tcPr>
            <w:tcW w:w="4020" w:type="dxa"/>
            <w:vAlign w:val="bottom"/>
          </w:tcPr>
          <w:p>
            <w:pPr>
              <w:spacing w:after="0"/>
              <w:rPr>
                <w:sz w:val="10"/>
                <w:szCs w:val="10"/>
                <w:color w:val="auto"/>
              </w:rPr>
            </w:pPr>
          </w:p>
        </w:tc>
        <w:tc>
          <w:tcPr>
            <w:tcW w:w="40" w:type="dxa"/>
            <w:vAlign w:val="bottom"/>
            <w:tcBorders>
              <w:right w:val="single" w:sz="8" w:color="BECE33"/>
            </w:tcBorders>
          </w:tcPr>
          <w:p>
            <w:pPr>
              <w:spacing w:after="0"/>
              <w:rPr>
                <w:sz w:val="10"/>
                <w:szCs w:val="10"/>
                <w:color w:val="auto"/>
              </w:rPr>
            </w:pPr>
          </w:p>
        </w:tc>
        <w:tc>
          <w:tcPr>
            <w:tcW w:w="20" w:type="dxa"/>
            <w:vAlign w:val="bottom"/>
            <w:tcBorders>
              <w:top w:val="single" w:sz="8" w:color="BECE33"/>
            </w:tcBorders>
          </w:tcPr>
          <w:p>
            <w:pPr>
              <w:spacing w:after="0"/>
              <w:rPr>
                <w:sz w:val="10"/>
                <w:szCs w:val="10"/>
                <w:color w:val="auto"/>
              </w:rPr>
            </w:pPr>
          </w:p>
        </w:tc>
        <w:tc>
          <w:tcPr>
            <w:tcW w:w="1280" w:type="dxa"/>
            <w:vAlign w:val="bottom"/>
            <w:tcBorders>
              <w:top w:val="single" w:sz="8" w:color="BECE33"/>
            </w:tcBorders>
          </w:tcPr>
          <w:p>
            <w:pPr>
              <w:spacing w:after="0" w:line="121" w:lineRule="exact"/>
              <w:rPr>
                <w:sz w:val="20"/>
                <w:szCs w:val="20"/>
                <w:color w:val="auto"/>
              </w:rPr>
            </w:pPr>
            <w:r>
              <w:rPr>
                <w:rFonts w:ascii="Arial" w:cs="Arial" w:eastAsia="Arial" w:hAnsi="Arial"/>
                <w:sz w:val="12"/>
                <w:szCs w:val="12"/>
                <w:b w:val="1"/>
                <w:bCs w:val="1"/>
                <w:color w:val="005A64"/>
              </w:rPr>
              <w:t>Grant date</w:t>
            </w:r>
          </w:p>
        </w:tc>
        <w:tc>
          <w:tcPr>
            <w:tcW w:w="60" w:type="dxa"/>
            <w:vAlign w:val="bottom"/>
            <w:tcBorders>
              <w:top w:val="single" w:sz="8" w:color="BECE33"/>
            </w:tcBorders>
          </w:tcPr>
          <w:p>
            <w:pPr>
              <w:spacing w:after="0"/>
              <w:rPr>
                <w:sz w:val="10"/>
                <w:szCs w:val="10"/>
                <w:color w:val="auto"/>
              </w:rPr>
            </w:pPr>
          </w:p>
        </w:tc>
        <w:tc>
          <w:tcPr>
            <w:tcW w:w="1320" w:type="dxa"/>
            <w:vAlign w:val="bottom"/>
            <w:tcBorders>
              <w:top w:val="single" w:sz="8" w:color="BECE33"/>
              <w:right w:val="single" w:sz="8" w:color="BECE33"/>
            </w:tcBorders>
            <w:gridSpan w:val="2"/>
          </w:tcPr>
          <w:p>
            <w:pPr>
              <w:spacing w:after="0" w:line="121" w:lineRule="exact"/>
              <w:rPr>
                <w:sz w:val="20"/>
                <w:szCs w:val="20"/>
                <w:color w:val="auto"/>
              </w:rPr>
            </w:pPr>
            <w:r>
              <w:rPr>
                <w:rFonts w:ascii="Arial" w:cs="Arial" w:eastAsia="Arial" w:hAnsi="Arial"/>
                <w:sz w:val="12"/>
                <w:szCs w:val="12"/>
                <w:b w:val="1"/>
                <w:bCs w:val="1"/>
                <w:color w:val="005A64"/>
              </w:rPr>
              <w:t>Grant dates between</w:t>
            </w:r>
          </w:p>
        </w:tc>
        <w:tc>
          <w:tcPr>
            <w:tcW w:w="0" w:type="dxa"/>
            <w:vAlign w:val="bottom"/>
          </w:tcPr>
          <w:p>
            <w:pPr>
              <w:spacing w:after="0"/>
              <w:rPr>
                <w:sz w:val="1"/>
                <w:szCs w:val="1"/>
                <w:color w:val="auto"/>
              </w:rPr>
            </w:pPr>
          </w:p>
        </w:tc>
      </w:tr>
      <w:tr>
        <w:trPr>
          <w:trHeight w:val="121"/>
        </w:trPr>
        <w:tc>
          <w:tcPr>
            <w:tcW w:w="4020" w:type="dxa"/>
            <w:vAlign w:val="bottom"/>
          </w:tcPr>
          <w:p>
            <w:pPr>
              <w:spacing w:after="0"/>
              <w:rPr>
                <w:sz w:val="10"/>
                <w:szCs w:val="10"/>
                <w:color w:val="auto"/>
              </w:rPr>
            </w:pPr>
          </w:p>
        </w:tc>
        <w:tc>
          <w:tcPr>
            <w:tcW w:w="40" w:type="dxa"/>
            <w:vAlign w:val="bottom"/>
            <w:tcBorders>
              <w:right w:val="single" w:sz="8" w:color="BECE33"/>
            </w:tcBorders>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line="121" w:lineRule="exact"/>
              <w:rPr>
                <w:sz w:val="20"/>
                <w:szCs w:val="20"/>
                <w:color w:val="auto"/>
              </w:rPr>
            </w:pPr>
            <w:r>
              <w:rPr>
                <w:rFonts w:ascii="Arial" w:cs="Arial" w:eastAsia="Arial" w:hAnsi="Arial"/>
                <w:sz w:val="12"/>
                <w:szCs w:val="12"/>
                <w:b w:val="1"/>
                <w:bCs w:val="1"/>
                <w:color w:val="005A64"/>
              </w:rPr>
              <w:t>November 15, 2018</w:t>
            </w:r>
          </w:p>
        </w:tc>
        <w:tc>
          <w:tcPr>
            <w:tcW w:w="60" w:type="dxa"/>
            <w:vAlign w:val="bottom"/>
          </w:tcPr>
          <w:p>
            <w:pPr>
              <w:spacing w:after="0"/>
              <w:rPr>
                <w:sz w:val="10"/>
                <w:szCs w:val="10"/>
                <w:color w:val="auto"/>
              </w:rPr>
            </w:pPr>
          </w:p>
        </w:tc>
        <w:tc>
          <w:tcPr>
            <w:tcW w:w="1320" w:type="dxa"/>
            <w:vAlign w:val="bottom"/>
            <w:tcBorders>
              <w:right w:val="single" w:sz="8" w:color="BECE33"/>
            </w:tcBorders>
            <w:gridSpan w:val="2"/>
          </w:tcPr>
          <w:p>
            <w:pPr>
              <w:spacing w:after="0" w:line="121" w:lineRule="exact"/>
              <w:rPr>
                <w:sz w:val="20"/>
                <w:szCs w:val="20"/>
                <w:color w:val="auto"/>
              </w:rPr>
            </w:pPr>
            <w:r>
              <w:rPr>
                <w:rFonts w:ascii="Arial" w:cs="Arial" w:eastAsia="Arial" w:hAnsi="Arial"/>
                <w:sz w:val="12"/>
                <w:szCs w:val="12"/>
                <w:b w:val="1"/>
                <w:bCs w:val="1"/>
                <w:color w:val="005A64"/>
              </w:rPr>
              <w:t>February 21 and</w:t>
            </w:r>
          </w:p>
        </w:tc>
        <w:tc>
          <w:tcPr>
            <w:tcW w:w="0" w:type="dxa"/>
            <w:vAlign w:val="bottom"/>
          </w:tcPr>
          <w:p>
            <w:pPr>
              <w:spacing w:after="0"/>
              <w:rPr>
                <w:sz w:val="1"/>
                <w:szCs w:val="1"/>
                <w:color w:val="auto"/>
              </w:rPr>
            </w:pPr>
          </w:p>
        </w:tc>
      </w:tr>
      <w:tr>
        <w:trPr>
          <w:trHeight w:val="166"/>
        </w:trPr>
        <w:tc>
          <w:tcPr>
            <w:tcW w:w="4020" w:type="dxa"/>
            <w:vAlign w:val="bottom"/>
          </w:tcPr>
          <w:p>
            <w:pPr>
              <w:spacing w:after="0"/>
              <w:rPr>
                <w:sz w:val="14"/>
                <w:szCs w:val="14"/>
                <w:color w:val="auto"/>
              </w:rPr>
            </w:pPr>
          </w:p>
        </w:tc>
        <w:tc>
          <w:tcPr>
            <w:tcW w:w="40" w:type="dxa"/>
            <w:vAlign w:val="bottom"/>
            <w:tcBorders>
              <w:right w:val="single" w:sz="8" w:color="BECE33"/>
            </w:tcBorders>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Borders>
              <w:right w:val="single" w:sz="8" w:color="BECE33"/>
            </w:tcBorders>
            <w:gridSpan w:val="2"/>
          </w:tcPr>
          <w:p>
            <w:pPr>
              <w:spacing w:after="0"/>
              <w:rPr>
                <w:sz w:val="20"/>
                <w:szCs w:val="20"/>
                <w:color w:val="auto"/>
              </w:rPr>
            </w:pPr>
            <w:r>
              <w:rPr>
                <w:rFonts w:ascii="Arial" w:cs="Arial" w:eastAsia="Arial" w:hAnsi="Arial"/>
                <w:sz w:val="12"/>
                <w:szCs w:val="12"/>
                <w:b w:val="1"/>
                <w:bCs w:val="1"/>
                <w:color w:val="005A64"/>
              </w:rPr>
              <w:t>April 3, 2019</w:t>
            </w:r>
          </w:p>
        </w:tc>
        <w:tc>
          <w:tcPr>
            <w:tcW w:w="0" w:type="dxa"/>
            <w:vAlign w:val="bottom"/>
          </w:tcPr>
          <w:p>
            <w:pPr>
              <w:spacing w:after="0"/>
              <w:rPr>
                <w:sz w:val="1"/>
                <w:szCs w:val="1"/>
                <w:color w:val="auto"/>
              </w:rPr>
            </w:pPr>
          </w:p>
        </w:tc>
      </w:tr>
      <w:tr>
        <w:trPr>
          <w:trHeight w:val="67"/>
        </w:trPr>
        <w:tc>
          <w:tcPr>
            <w:tcW w:w="4020" w:type="dxa"/>
            <w:vAlign w:val="bottom"/>
            <w:tcBorders>
              <w:bottom w:val="single" w:sz="8" w:color="005A64"/>
            </w:tcBorders>
          </w:tcPr>
          <w:p>
            <w:pPr>
              <w:spacing w:after="0"/>
              <w:rPr>
                <w:sz w:val="5"/>
                <w:szCs w:val="5"/>
                <w:color w:val="auto"/>
              </w:rPr>
            </w:pPr>
          </w:p>
        </w:tc>
        <w:tc>
          <w:tcPr>
            <w:tcW w:w="40" w:type="dxa"/>
            <w:vAlign w:val="bottom"/>
            <w:tcBorders>
              <w:right w:val="single" w:sz="8" w:color="BECE33"/>
            </w:tcBorders>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280" w:type="dxa"/>
            <w:vAlign w:val="bottom"/>
            <w:tcBorders>
              <w:bottom w:val="single" w:sz="8" w:color="005A64"/>
            </w:tcBorders>
          </w:tcPr>
          <w:p>
            <w:pPr>
              <w:spacing w:after="0"/>
              <w:rPr>
                <w:sz w:val="5"/>
                <w:szCs w:val="5"/>
                <w:color w:val="auto"/>
              </w:rPr>
            </w:pPr>
          </w:p>
        </w:tc>
        <w:tc>
          <w:tcPr>
            <w:tcW w:w="60" w:type="dxa"/>
            <w:vAlign w:val="bottom"/>
            <w:vMerge w:val="restart"/>
          </w:tcPr>
          <w:p>
            <w:pPr>
              <w:spacing w:after="0"/>
              <w:rPr>
                <w:sz w:val="5"/>
                <w:szCs w:val="5"/>
                <w:color w:val="auto"/>
              </w:rPr>
            </w:pPr>
          </w:p>
        </w:tc>
        <w:tc>
          <w:tcPr>
            <w:tcW w:w="1280" w:type="dxa"/>
            <w:vAlign w:val="bottom"/>
            <w:tcBorders>
              <w:bottom w:val="single" w:sz="8" w:color="005A64"/>
            </w:tcBorders>
          </w:tcPr>
          <w:p>
            <w:pPr>
              <w:spacing w:after="0"/>
              <w:rPr>
                <w:sz w:val="5"/>
                <w:szCs w:val="5"/>
                <w:color w:val="auto"/>
              </w:rPr>
            </w:pPr>
          </w:p>
        </w:tc>
        <w:tc>
          <w:tcPr>
            <w:tcW w:w="40" w:type="dxa"/>
            <w:vAlign w:val="bottom"/>
            <w:tcBorders>
              <w:right w:val="single" w:sz="8" w:color="BECE33"/>
            </w:tcBorders>
            <w:vMerge w:val="restart"/>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020" w:type="dxa"/>
            <w:vAlign w:val="bottom"/>
          </w:tcPr>
          <w:p>
            <w:pPr>
              <w:ind w:left="20"/>
              <w:spacing w:after="0"/>
              <w:rPr>
                <w:sz w:val="20"/>
                <w:szCs w:val="20"/>
                <w:color w:val="auto"/>
              </w:rPr>
            </w:pPr>
            <w:r>
              <w:rPr>
                <w:rFonts w:ascii="Arial" w:cs="Arial" w:eastAsia="Arial" w:hAnsi="Arial"/>
                <w:sz w:val="12"/>
                <w:szCs w:val="12"/>
                <w:color w:val="005A64"/>
              </w:rPr>
              <w:t>Weighted average fair value</w:t>
            </w:r>
          </w:p>
        </w:tc>
        <w:tc>
          <w:tcPr>
            <w:tcW w:w="40" w:type="dxa"/>
            <w:vAlign w:val="bottom"/>
            <w:tcBorders>
              <w:right w:val="single" w:sz="8" w:color="BECE33"/>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2"/>
                <w:szCs w:val="12"/>
                <w:color w:val="005A64"/>
              </w:rPr>
              <w:t>€7.41</w:t>
            </w:r>
          </w:p>
        </w:tc>
        <w:tc>
          <w:tcPr>
            <w:tcW w:w="60" w:type="dxa"/>
            <w:vAlign w:val="bottom"/>
            <w:vMerge w:val="continue"/>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2"/>
                <w:szCs w:val="12"/>
                <w:color w:val="005A64"/>
              </w:rPr>
              <w:t>€6.93</w:t>
            </w:r>
          </w:p>
        </w:tc>
        <w:tc>
          <w:tcPr>
            <w:tcW w:w="40" w:type="dxa"/>
            <w:vAlign w:val="bottom"/>
            <w:tcBorders>
              <w:right w:val="single" w:sz="8" w:color="BECE33"/>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6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color w:val="005A64"/>
              </w:rPr>
              <w:t>Weighted average share price</w:t>
            </w:r>
          </w:p>
        </w:tc>
        <w:tc>
          <w:tcPr>
            <w:tcW w:w="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2"/>
                <w:szCs w:val="12"/>
                <w:color w:val="005A64"/>
              </w:rPr>
              <w:t>€14.40</w:t>
            </w:r>
          </w:p>
        </w:tc>
        <w:tc>
          <w:tcPr>
            <w:tcW w:w="60" w:type="dxa"/>
            <w:vAlign w:val="bottom"/>
          </w:tcPr>
          <w:p>
            <w:pPr>
              <w:spacing w:after="0"/>
              <w:rPr>
                <w:sz w:val="15"/>
                <w:szCs w:val="15"/>
                <w:color w:val="auto"/>
              </w:rPr>
            </w:pPr>
          </w:p>
        </w:tc>
        <w:tc>
          <w:tcPr>
            <w:tcW w:w="1320" w:type="dxa"/>
            <w:vAlign w:val="bottom"/>
            <w:tcBorders>
              <w:right w:val="single" w:sz="8" w:color="BECE33"/>
            </w:tcBorders>
            <w:gridSpan w:val="2"/>
          </w:tcPr>
          <w:p>
            <w:pPr>
              <w:spacing w:after="0"/>
              <w:rPr>
                <w:sz w:val="20"/>
                <w:szCs w:val="20"/>
                <w:color w:val="auto"/>
              </w:rPr>
            </w:pPr>
            <w:r>
              <w:rPr>
                <w:rFonts w:ascii="Arial" w:cs="Arial" w:eastAsia="Arial" w:hAnsi="Arial"/>
                <w:sz w:val="12"/>
                <w:szCs w:val="12"/>
                <w:color w:val="005A64"/>
              </w:rPr>
              <w:t>€15.72</w:t>
            </w:r>
          </w:p>
        </w:tc>
        <w:tc>
          <w:tcPr>
            <w:tcW w:w="0" w:type="dxa"/>
            <w:vAlign w:val="bottom"/>
          </w:tcPr>
          <w:p>
            <w:pPr>
              <w:spacing w:after="0"/>
              <w:rPr>
                <w:sz w:val="1"/>
                <w:szCs w:val="1"/>
                <w:color w:val="auto"/>
              </w:rPr>
            </w:pPr>
          </w:p>
        </w:tc>
      </w:tr>
      <w:tr>
        <w:trPr>
          <w:trHeight w:val="164"/>
        </w:trPr>
        <w:tc>
          <w:tcPr>
            <w:tcW w:w="4020" w:type="dxa"/>
            <w:vAlign w:val="bottom"/>
          </w:tcPr>
          <w:p>
            <w:pPr>
              <w:ind w:left="780"/>
              <w:spacing w:after="0"/>
              <w:rPr>
                <w:sz w:val="20"/>
                <w:szCs w:val="20"/>
                <w:color w:val="auto"/>
              </w:rPr>
            </w:pPr>
            <w:r>
              <w:rPr>
                <w:rFonts w:ascii="Arial" w:cs="Arial" w:eastAsia="Arial" w:hAnsi="Arial"/>
                <w:sz w:val="8"/>
                <w:szCs w:val="8"/>
                <w:color w:val="005A64"/>
              </w:rPr>
              <w:t>(1)</w:t>
            </w:r>
          </w:p>
        </w:tc>
        <w:tc>
          <w:tcPr>
            <w:tcW w:w="40" w:type="dxa"/>
            <w:vAlign w:val="bottom"/>
            <w:tcBorders>
              <w:right w:val="single" w:sz="8" w:color="BECE33"/>
            </w:tcBorders>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2"/>
                <w:szCs w:val="12"/>
                <w:color w:val="005A64"/>
              </w:rPr>
              <w:t>€10.14</w:t>
            </w:r>
          </w:p>
        </w:tc>
        <w:tc>
          <w:tcPr>
            <w:tcW w:w="60" w:type="dxa"/>
            <w:vAlign w:val="bottom"/>
          </w:tcPr>
          <w:p>
            <w:pPr>
              <w:spacing w:after="0"/>
              <w:rPr>
                <w:sz w:val="14"/>
                <w:szCs w:val="14"/>
                <w:color w:val="auto"/>
              </w:rPr>
            </w:pPr>
          </w:p>
        </w:tc>
        <w:tc>
          <w:tcPr>
            <w:tcW w:w="1320" w:type="dxa"/>
            <w:vAlign w:val="bottom"/>
            <w:tcBorders>
              <w:right w:val="single" w:sz="8" w:color="BECE33"/>
            </w:tcBorders>
            <w:gridSpan w:val="2"/>
          </w:tcPr>
          <w:p>
            <w:pPr>
              <w:spacing w:after="0"/>
              <w:rPr>
                <w:sz w:val="20"/>
                <w:szCs w:val="20"/>
                <w:color w:val="auto"/>
              </w:rPr>
            </w:pPr>
            <w:r>
              <w:rPr>
                <w:rFonts w:ascii="Arial" w:cs="Arial" w:eastAsia="Arial" w:hAnsi="Arial"/>
                <w:sz w:val="12"/>
                <w:szCs w:val="12"/>
                <w:color w:val="005A64"/>
              </w:rPr>
              <w:t>€15.03</w:t>
            </w:r>
          </w:p>
        </w:tc>
        <w:tc>
          <w:tcPr>
            <w:tcW w:w="0" w:type="dxa"/>
            <w:vAlign w:val="bottom"/>
          </w:tcPr>
          <w:p>
            <w:pPr>
              <w:spacing w:after="0"/>
              <w:rPr>
                <w:sz w:val="1"/>
                <w:szCs w:val="1"/>
                <w:color w:val="auto"/>
              </w:rPr>
            </w:pPr>
          </w:p>
        </w:tc>
      </w:tr>
      <w:tr>
        <w:trPr>
          <w:trHeight w:val="80"/>
        </w:trPr>
        <w:tc>
          <w:tcPr>
            <w:tcW w:w="4060" w:type="dxa"/>
            <w:vAlign w:val="bottom"/>
            <w:tcBorders>
              <w:right w:val="single" w:sz="8" w:color="BECE33"/>
            </w:tcBorders>
            <w:gridSpan w:val="2"/>
          </w:tcPr>
          <w:p>
            <w:pPr>
              <w:ind w:left="20"/>
              <w:spacing w:after="0" w:line="81" w:lineRule="exact"/>
              <w:rPr>
                <w:sz w:val="20"/>
                <w:szCs w:val="20"/>
                <w:color w:val="auto"/>
              </w:rPr>
            </w:pPr>
            <w:r>
              <w:rPr>
                <w:rFonts w:ascii="Arial" w:cs="Arial" w:eastAsia="Arial" w:hAnsi="Arial"/>
                <w:sz w:val="9"/>
                <w:szCs w:val="9"/>
                <w:color w:val="005A64"/>
              </w:rPr>
              <w:t>Exercise price</w:t>
            </w:r>
          </w:p>
        </w:tc>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0" w:type="dxa"/>
            <w:vAlign w:val="bottom"/>
            <w:tcBorders>
              <w:right w:val="single" w:sz="8" w:color="BECE33"/>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406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color w:val="005A64"/>
              </w:rPr>
              <w:t>Expected volatility</w:t>
            </w:r>
          </w:p>
        </w:tc>
        <w:tc>
          <w:tcPr>
            <w:tcW w:w="1300" w:type="dxa"/>
            <w:vAlign w:val="bottom"/>
            <w:gridSpan w:val="2"/>
          </w:tcPr>
          <w:p>
            <w:pPr>
              <w:ind w:left="20"/>
              <w:spacing w:after="0"/>
              <w:rPr>
                <w:sz w:val="20"/>
                <w:szCs w:val="20"/>
                <w:color w:val="auto"/>
              </w:rPr>
            </w:pPr>
            <w:r>
              <w:rPr>
                <w:rFonts w:ascii="Arial" w:cs="Arial" w:eastAsia="Arial" w:hAnsi="Arial"/>
                <w:sz w:val="12"/>
                <w:szCs w:val="12"/>
                <w:color w:val="005A64"/>
              </w:rPr>
              <w:t>46.0%</w:t>
            </w:r>
          </w:p>
        </w:tc>
        <w:tc>
          <w:tcPr>
            <w:tcW w:w="1340" w:type="dxa"/>
            <w:vAlign w:val="bottom"/>
            <w:gridSpan w:val="2"/>
          </w:tcPr>
          <w:p>
            <w:pPr>
              <w:ind w:left="60"/>
              <w:spacing w:after="0"/>
              <w:rPr>
                <w:sz w:val="20"/>
                <w:szCs w:val="20"/>
                <w:color w:val="auto"/>
              </w:rPr>
            </w:pPr>
            <w:r>
              <w:rPr>
                <w:rFonts w:ascii="Arial" w:cs="Arial" w:eastAsia="Arial" w:hAnsi="Arial"/>
                <w:sz w:val="12"/>
                <w:szCs w:val="12"/>
                <w:color w:val="005A64"/>
              </w:rPr>
              <w:t>46.0%</w:t>
            </w:r>
          </w:p>
        </w:tc>
        <w:tc>
          <w:tcPr>
            <w:tcW w:w="40" w:type="dxa"/>
            <w:vAlign w:val="bottom"/>
            <w:tcBorders>
              <w:right w:val="single" w:sz="8" w:color="BECE33"/>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06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color w:val="005A64"/>
              </w:rPr>
              <w:t>Expected life (years)</w:t>
            </w:r>
          </w:p>
        </w:tc>
        <w:tc>
          <w:tcPr>
            <w:tcW w:w="1300" w:type="dxa"/>
            <w:vAlign w:val="bottom"/>
            <w:gridSpan w:val="2"/>
          </w:tcPr>
          <w:p>
            <w:pPr>
              <w:ind w:left="20"/>
              <w:spacing w:after="0"/>
              <w:rPr>
                <w:sz w:val="20"/>
                <w:szCs w:val="20"/>
                <w:color w:val="auto"/>
              </w:rPr>
            </w:pPr>
            <w:r>
              <w:rPr>
                <w:rFonts w:ascii="Arial" w:cs="Arial" w:eastAsia="Arial" w:hAnsi="Arial"/>
                <w:sz w:val="12"/>
                <w:szCs w:val="12"/>
                <w:color w:val="005A64"/>
              </w:rPr>
              <w:t>5.8</w:t>
            </w:r>
          </w:p>
        </w:tc>
        <w:tc>
          <w:tcPr>
            <w:tcW w:w="1340" w:type="dxa"/>
            <w:vAlign w:val="bottom"/>
            <w:gridSpan w:val="2"/>
          </w:tcPr>
          <w:p>
            <w:pPr>
              <w:ind w:left="60"/>
              <w:spacing w:after="0"/>
              <w:rPr>
                <w:sz w:val="20"/>
                <w:szCs w:val="20"/>
                <w:color w:val="auto"/>
              </w:rPr>
            </w:pPr>
            <w:r>
              <w:rPr>
                <w:rFonts w:ascii="Arial" w:cs="Arial" w:eastAsia="Arial" w:hAnsi="Arial"/>
                <w:sz w:val="12"/>
                <w:szCs w:val="12"/>
                <w:color w:val="005A64"/>
              </w:rPr>
              <w:t>6.0</w:t>
            </w:r>
          </w:p>
        </w:tc>
        <w:tc>
          <w:tcPr>
            <w:tcW w:w="4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color w:val="005A64"/>
              </w:rPr>
              <w:t>Risk-free interest rate</w:t>
            </w:r>
          </w:p>
        </w:tc>
        <w:tc>
          <w:tcPr>
            <w:tcW w:w="1300" w:type="dxa"/>
            <w:vAlign w:val="bottom"/>
            <w:gridSpan w:val="2"/>
          </w:tcPr>
          <w:p>
            <w:pPr>
              <w:ind w:left="20"/>
              <w:spacing w:after="0"/>
              <w:rPr>
                <w:sz w:val="20"/>
                <w:szCs w:val="20"/>
                <w:color w:val="auto"/>
              </w:rPr>
            </w:pPr>
            <w:r>
              <w:rPr>
                <w:rFonts w:ascii="Arial" w:cs="Arial" w:eastAsia="Arial" w:hAnsi="Arial"/>
                <w:sz w:val="12"/>
                <w:szCs w:val="12"/>
                <w:color w:val="005A64"/>
              </w:rPr>
              <w:t>0.1%</w:t>
            </w:r>
          </w:p>
        </w:tc>
        <w:tc>
          <w:tcPr>
            <w:tcW w:w="1340" w:type="dxa"/>
            <w:vAlign w:val="bottom"/>
            <w:gridSpan w:val="2"/>
          </w:tcPr>
          <w:p>
            <w:pPr>
              <w:ind w:left="60"/>
              <w:spacing w:after="0"/>
              <w:rPr>
                <w:sz w:val="20"/>
                <w:szCs w:val="20"/>
                <w:color w:val="auto"/>
              </w:rPr>
            </w:pPr>
            <w:r>
              <w:rPr>
                <w:rFonts w:ascii="Arial" w:cs="Arial" w:eastAsia="Arial" w:hAnsi="Arial"/>
                <w:sz w:val="12"/>
                <w:szCs w:val="12"/>
                <w:color w:val="005A64"/>
              </w:rPr>
              <w:t>0.1%</w:t>
            </w:r>
          </w:p>
        </w:tc>
        <w:tc>
          <w:tcPr>
            <w:tcW w:w="4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4020" w:type="dxa"/>
            <w:vAlign w:val="bottom"/>
            <w:tcBorders>
              <w:bottom w:val="single" w:sz="8" w:color="005A64"/>
            </w:tcBorders>
          </w:tcPr>
          <w:p>
            <w:pPr>
              <w:spacing w:after="0"/>
              <w:rPr>
                <w:sz w:val="4"/>
                <w:szCs w:val="4"/>
                <w:color w:val="auto"/>
              </w:rPr>
            </w:pPr>
          </w:p>
        </w:tc>
        <w:tc>
          <w:tcPr>
            <w:tcW w:w="40" w:type="dxa"/>
            <w:vAlign w:val="bottom"/>
            <w:tcBorders>
              <w:right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128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280" w:type="dxa"/>
            <w:vAlign w:val="bottom"/>
            <w:tcBorders>
              <w:bottom w:val="single" w:sz="8" w:color="BECE33"/>
            </w:tcBorders>
          </w:tcPr>
          <w:p>
            <w:pPr>
              <w:spacing w:after="0"/>
              <w:rPr>
                <w:sz w:val="4"/>
                <w:szCs w:val="4"/>
                <w:color w:val="auto"/>
              </w:rPr>
            </w:pPr>
          </w:p>
        </w:tc>
        <w:tc>
          <w:tcPr>
            <w:tcW w:w="40" w:type="dxa"/>
            <w:vAlign w:val="bottom"/>
            <w:tcBorders>
              <w:bottom w:val="single" w:sz="8" w:color="BECE33"/>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80" w:right="1940" w:firstLine="3"/>
        <w:spacing w:after="0" w:line="190" w:lineRule="auto"/>
        <w:tabs>
          <w:tab w:leader="none" w:pos="582" w:val="left"/>
        </w:tabs>
        <w:numPr>
          <w:ilvl w:val="0"/>
          <w:numId w:val="61"/>
        </w:numPr>
        <w:rPr>
          <w:rFonts w:ascii="Arial" w:cs="Arial" w:eastAsia="Arial" w:hAnsi="Arial"/>
          <w:sz w:val="16"/>
          <w:szCs w:val="16"/>
          <w:color w:val="005A64"/>
          <w:vertAlign w:val="superscript"/>
        </w:rPr>
      </w:pPr>
      <w:r>
        <w:rPr>
          <w:rFonts w:ascii="Arial" w:cs="Arial" w:eastAsia="Arial" w:hAnsi="Arial"/>
          <w:sz w:val="12"/>
          <w:szCs w:val="12"/>
          <w:color w:val="005A64"/>
        </w:rPr>
        <w:t>With respect to the Management Board members appointed as such at the time the options were granted, the options are subject to the effective exercise price cap as well as the maximum cap mechanism.</w:t>
      </w:r>
    </w:p>
    <w:p>
      <w:pPr>
        <w:ind w:left="380" w:right="2140"/>
        <w:spacing w:after="0" w:line="226" w:lineRule="auto"/>
        <w:rPr>
          <w:rFonts w:ascii="Arial" w:cs="Arial" w:eastAsia="Arial" w:hAnsi="Arial"/>
          <w:sz w:val="16"/>
          <w:szCs w:val="16"/>
          <w:color w:val="005A64"/>
          <w:vertAlign w:val="superscript"/>
        </w:rPr>
      </w:pPr>
      <w:r>
        <w:rPr>
          <w:rFonts w:ascii="Arial" w:cs="Arial" w:eastAsia="Arial" w:hAnsi="Arial"/>
          <w:sz w:val="13"/>
          <w:szCs w:val="13"/>
          <w:color w:val="auto"/>
        </w:rPr>
        <w:t>Expected volatility has been based on an evaluation of the historical and the implied volatilities of comparable companies over the historical period commensurate with the expected term. The expected term has been based on general option holder behavior for employee options.</w:t>
      </w:r>
    </w:p>
    <w:p>
      <w:pPr>
        <w:sectPr>
          <w:pgSz w:w="11900" w:h="16840" w:orient="portrait"/>
          <w:cols w:equalWidth="0" w:num="1">
            <w:col w:w="9020"/>
          </w:cols>
          <w:pgMar w:left="1440" w:top="560" w:right="1440" w:bottom="1440" w:gutter="0" w:footer="0" w:header="0"/>
        </w:sectPr>
      </w:pPr>
    </w:p>
    <w:bookmarkStart w:id="225" w:name="page226"/>
    <w:bookmarkEnd w:id="225"/>
    <w:p>
      <w:pPr>
        <w:ind w:left="380"/>
        <w:spacing w:after="0"/>
        <w:rPr>
          <w:sz w:val="20"/>
          <w:szCs w:val="20"/>
          <w:color w:val="auto"/>
        </w:rPr>
      </w:pPr>
      <w:r>
        <w:rPr>
          <w:rFonts w:ascii="Arial" w:cs="Arial" w:eastAsia="Arial" w:hAnsi="Arial"/>
          <w:sz w:val="13"/>
          <w:szCs w:val="13"/>
          <w:color w:val="auto"/>
        </w:rPr>
        <w:t>F-66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40"/>
        <w:spacing w:after="0" w:line="248" w:lineRule="auto"/>
        <w:rPr>
          <w:sz w:val="20"/>
          <w:szCs w:val="20"/>
          <w:color w:val="auto"/>
        </w:rPr>
      </w:pPr>
      <w:r>
        <w:rPr>
          <w:rFonts w:ascii="Arial" w:cs="Arial" w:eastAsia="Arial" w:hAnsi="Arial"/>
          <w:sz w:val="13"/>
          <w:szCs w:val="13"/>
          <w:color w:val="auto"/>
        </w:rPr>
        <w:t>Set out below is an overview of changes to share options outstanding and number of ordinary shares underlying these options that occurred during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-189230</wp:posOffset>
            </wp:positionV>
            <wp:extent cx="5231130" cy="63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67">
                      <a:extLst>
                        <a:ext uri="{28A0092B-C50C-407E-A947-70E740481C1C}"/>
                      </a:extLst>
                    </a:blip>
                    <a:srcRect/>
                    <a:stretch>
                      <a:fillRect/>
                    </a:stretch>
                  </pic:blipFill>
                  <pic:spPr bwMode="auto">
                    <a:xfrm>
                      <a:off x="0" y="0"/>
                      <a:ext cx="5231130" cy="635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-15875</wp:posOffset>
            </wp:positionV>
            <wp:extent cx="4268470" cy="127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68">
                      <a:extLst>
                        <a:ext uri="{28A0092B-C50C-407E-A947-70E740481C1C}"/>
                      </a:extLst>
                    </a:blip>
                    <a:srcRect/>
                    <a:stretch>
                      <a:fillRect/>
                    </a:stretch>
                  </pic:blipFill>
                  <pic:spPr bwMode="auto">
                    <a:xfrm>
                      <a:off x="0" y="0"/>
                      <a:ext cx="4268470" cy="12700"/>
                    </a:xfrm>
                    <a:prstGeom prst="rect">
                      <a:avLst/>
                    </a:prstGeom>
                    <a:noFill/>
                  </pic:spPr>
                </pic:pic>
              </a:graphicData>
            </a:graphic>
          </wp:anchor>
        </w:drawing>
      </w:r>
    </w:p>
    <w:p>
      <w:pPr>
        <w:spacing w:after="0" w:line="75" w:lineRule="exact"/>
        <w:rPr>
          <w:sz w:val="20"/>
          <w:szCs w:val="20"/>
          <w:color w:val="auto"/>
        </w:rPr>
      </w:pPr>
    </w:p>
    <w:tbl>
      <w:tblPr>
        <w:tblLayout w:type="fixed"/>
        <w:tblInd w:w="380" w:type="dxa"/>
        <w:tblCellMar>
          <w:top w:w="0" w:type="dxa"/>
          <w:left w:w="0" w:type="dxa"/>
          <w:bottom w:w="0" w:type="dxa"/>
          <w:right w:w="0" w:type="dxa"/>
        </w:tblCellMar>
      </w:tblPr>
      <w:tr>
        <w:trPr>
          <w:trHeight w:val="121"/>
        </w:trPr>
        <w:tc>
          <w:tcPr>
            <w:tcW w:w="5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40" w:type="dxa"/>
            <w:vAlign w:val="bottom"/>
            <w:tcBorders>
              <w:right w:val="single" w:sz="8" w:color="BECE33"/>
            </w:tcBorders>
          </w:tcPr>
          <w:p>
            <w:pPr>
              <w:spacing w:after="0"/>
              <w:rPr>
                <w:sz w:val="10"/>
                <w:szCs w:val="10"/>
                <w:color w:val="auto"/>
              </w:rPr>
            </w:pPr>
          </w:p>
        </w:tc>
        <w:tc>
          <w:tcPr>
            <w:tcW w:w="20" w:type="dxa"/>
            <w:vAlign w:val="bottom"/>
            <w:tcBorders>
              <w:top w:val="single" w:sz="8" w:color="BECE33"/>
            </w:tcBorders>
          </w:tcPr>
          <w:p>
            <w:pPr>
              <w:spacing w:after="0"/>
              <w:rPr>
                <w:sz w:val="10"/>
                <w:szCs w:val="10"/>
                <w:color w:val="auto"/>
              </w:rPr>
            </w:pPr>
          </w:p>
        </w:tc>
        <w:tc>
          <w:tcPr>
            <w:tcW w:w="1300" w:type="dxa"/>
            <w:vAlign w:val="bottom"/>
            <w:tcBorders>
              <w:top w:val="single" w:sz="8" w:color="BECE33"/>
            </w:tcBorders>
          </w:tcPr>
          <w:p>
            <w:pPr>
              <w:spacing w:after="0" w:line="121" w:lineRule="exact"/>
              <w:rPr>
                <w:sz w:val="20"/>
                <w:szCs w:val="20"/>
                <w:color w:val="auto"/>
              </w:rPr>
            </w:pPr>
            <w:r>
              <w:rPr>
                <w:rFonts w:ascii="Arial" w:cs="Arial" w:eastAsia="Arial" w:hAnsi="Arial"/>
                <w:sz w:val="12"/>
                <w:szCs w:val="12"/>
                <w:b w:val="1"/>
                <w:bCs w:val="1"/>
                <w:color w:val="005A64"/>
              </w:rPr>
              <w:t>Share options</w:t>
            </w:r>
          </w:p>
        </w:tc>
        <w:tc>
          <w:tcPr>
            <w:tcW w:w="40" w:type="dxa"/>
            <w:vAlign w:val="bottom"/>
            <w:tcBorders>
              <w:top w:val="single" w:sz="8" w:color="BECE33"/>
            </w:tcBorders>
          </w:tcPr>
          <w:p>
            <w:pPr>
              <w:spacing w:after="0"/>
              <w:rPr>
                <w:sz w:val="10"/>
                <w:szCs w:val="10"/>
                <w:color w:val="auto"/>
              </w:rPr>
            </w:pPr>
          </w:p>
        </w:tc>
        <w:tc>
          <w:tcPr>
            <w:tcW w:w="1320" w:type="dxa"/>
            <w:vAlign w:val="bottom"/>
            <w:tcBorders>
              <w:top w:val="single" w:sz="8" w:color="BECE33"/>
            </w:tcBorders>
          </w:tcPr>
          <w:p>
            <w:pPr>
              <w:ind w:left="20"/>
              <w:spacing w:after="0" w:line="121" w:lineRule="exact"/>
              <w:rPr>
                <w:sz w:val="20"/>
                <w:szCs w:val="20"/>
                <w:color w:val="auto"/>
              </w:rPr>
            </w:pPr>
            <w:r>
              <w:rPr>
                <w:rFonts w:ascii="Arial" w:cs="Arial" w:eastAsia="Arial" w:hAnsi="Arial"/>
                <w:sz w:val="12"/>
                <w:szCs w:val="12"/>
                <w:b w:val="1"/>
                <w:bCs w:val="1"/>
                <w:color w:val="005A64"/>
              </w:rPr>
              <w:t>Number of ordinary</w:t>
            </w:r>
          </w:p>
        </w:tc>
        <w:tc>
          <w:tcPr>
            <w:tcW w:w="40" w:type="dxa"/>
            <w:vAlign w:val="bottom"/>
            <w:tcBorders>
              <w:top w:val="single" w:sz="8" w:color="BECE33"/>
            </w:tcBorders>
          </w:tcPr>
          <w:p>
            <w:pPr>
              <w:spacing w:after="0"/>
              <w:rPr>
                <w:sz w:val="10"/>
                <w:szCs w:val="10"/>
                <w:color w:val="auto"/>
              </w:rPr>
            </w:pPr>
          </w:p>
        </w:tc>
        <w:tc>
          <w:tcPr>
            <w:tcW w:w="1360" w:type="dxa"/>
            <w:vAlign w:val="bottom"/>
            <w:tcBorders>
              <w:top w:val="single" w:sz="8" w:color="BECE33"/>
              <w:right w:val="single" w:sz="8" w:color="BECE33"/>
            </w:tcBorders>
            <w:gridSpan w:val="3"/>
          </w:tcPr>
          <w:p>
            <w:pPr>
              <w:ind w:left="20"/>
              <w:spacing w:after="0" w:line="121" w:lineRule="exact"/>
              <w:rPr>
                <w:sz w:val="20"/>
                <w:szCs w:val="20"/>
                <w:color w:val="auto"/>
              </w:rPr>
            </w:pPr>
            <w:r>
              <w:rPr>
                <w:rFonts w:ascii="Arial" w:cs="Arial" w:eastAsia="Arial" w:hAnsi="Arial"/>
                <w:sz w:val="12"/>
                <w:szCs w:val="12"/>
                <w:b w:val="1"/>
                <w:bCs w:val="1"/>
                <w:color w:val="005A64"/>
              </w:rPr>
              <w:t>Weighted average</w:t>
            </w:r>
          </w:p>
        </w:tc>
        <w:tc>
          <w:tcPr>
            <w:tcW w:w="0" w:type="dxa"/>
            <w:vAlign w:val="bottom"/>
          </w:tcPr>
          <w:p>
            <w:pPr>
              <w:spacing w:after="0"/>
              <w:rPr>
                <w:sz w:val="1"/>
                <w:szCs w:val="1"/>
                <w:color w:val="auto"/>
              </w:rPr>
            </w:pPr>
          </w:p>
        </w:tc>
      </w:tr>
      <w:tr>
        <w:trPr>
          <w:trHeight w:val="121"/>
        </w:trPr>
        <w:tc>
          <w:tcPr>
            <w:tcW w:w="5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40" w:type="dxa"/>
            <w:vAlign w:val="bottom"/>
            <w:tcBorders>
              <w:right w:val="single" w:sz="8" w:color="BECE33"/>
            </w:tcBorders>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tcPr>
          <w:p>
            <w:pPr>
              <w:spacing w:after="0" w:line="121" w:lineRule="exact"/>
              <w:rPr>
                <w:sz w:val="20"/>
                <w:szCs w:val="20"/>
                <w:color w:val="auto"/>
              </w:rPr>
            </w:pPr>
            <w:r>
              <w:rPr>
                <w:rFonts w:ascii="Arial" w:cs="Arial" w:eastAsia="Arial" w:hAnsi="Arial"/>
                <w:sz w:val="12"/>
                <w:szCs w:val="12"/>
                <w:b w:val="1"/>
                <w:bCs w:val="1"/>
                <w:color w:val="005A64"/>
              </w:rPr>
              <w:t>outstanding</w:t>
            </w:r>
          </w:p>
        </w:tc>
        <w:tc>
          <w:tcPr>
            <w:tcW w:w="40" w:type="dxa"/>
            <w:vAlign w:val="bottom"/>
          </w:tcPr>
          <w:p>
            <w:pPr>
              <w:spacing w:after="0"/>
              <w:rPr>
                <w:sz w:val="10"/>
                <w:szCs w:val="10"/>
                <w:color w:val="auto"/>
              </w:rPr>
            </w:pPr>
          </w:p>
        </w:tc>
        <w:tc>
          <w:tcPr>
            <w:tcW w:w="1320" w:type="dxa"/>
            <w:vAlign w:val="bottom"/>
          </w:tcPr>
          <w:p>
            <w:pPr>
              <w:ind w:left="20"/>
              <w:spacing w:after="0" w:line="121" w:lineRule="exact"/>
              <w:rPr>
                <w:sz w:val="20"/>
                <w:szCs w:val="20"/>
                <w:color w:val="auto"/>
              </w:rPr>
            </w:pPr>
            <w:r>
              <w:rPr>
                <w:rFonts w:ascii="Arial" w:cs="Arial" w:eastAsia="Arial" w:hAnsi="Arial"/>
                <w:sz w:val="12"/>
                <w:szCs w:val="12"/>
                <w:b w:val="1"/>
                <w:bCs w:val="1"/>
                <w:color w:val="005A64"/>
              </w:rPr>
              <w:t>shares underlying</w:t>
            </w:r>
          </w:p>
        </w:tc>
        <w:tc>
          <w:tcPr>
            <w:tcW w:w="40" w:type="dxa"/>
            <w:vAlign w:val="bottom"/>
          </w:tcPr>
          <w:p>
            <w:pPr>
              <w:spacing w:after="0"/>
              <w:rPr>
                <w:sz w:val="10"/>
                <w:szCs w:val="10"/>
                <w:color w:val="auto"/>
              </w:rPr>
            </w:pPr>
          </w:p>
        </w:tc>
        <w:tc>
          <w:tcPr>
            <w:tcW w:w="1000" w:type="dxa"/>
            <w:vAlign w:val="bottom"/>
            <w:vMerge w:val="restart"/>
          </w:tcPr>
          <w:p>
            <w:pPr>
              <w:ind w:left="20"/>
              <w:spacing w:after="0"/>
              <w:rPr>
                <w:sz w:val="20"/>
                <w:szCs w:val="20"/>
                <w:color w:val="auto"/>
              </w:rPr>
            </w:pPr>
            <w:r>
              <w:rPr>
                <w:rFonts w:ascii="Arial" w:cs="Arial" w:eastAsia="Arial" w:hAnsi="Arial"/>
                <w:sz w:val="12"/>
                <w:szCs w:val="12"/>
                <w:b w:val="1"/>
                <w:bCs w:val="1"/>
                <w:color w:val="005A64"/>
                <w:w w:val="97"/>
              </w:rPr>
              <w:t>exercise price (€)</w:t>
            </w:r>
          </w:p>
        </w:tc>
        <w:tc>
          <w:tcPr>
            <w:tcW w:w="300" w:type="dxa"/>
            <w:vAlign w:val="bottom"/>
          </w:tcPr>
          <w:p>
            <w:pPr>
              <w:jc w:val="right"/>
              <w:ind w:right="160"/>
              <w:spacing w:after="0"/>
              <w:rPr>
                <w:sz w:val="20"/>
                <w:szCs w:val="20"/>
                <w:color w:val="auto"/>
              </w:rPr>
            </w:pPr>
            <w:r>
              <w:rPr>
                <w:rFonts w:ascii="Arial" w:cs="Arial" w:eastAsia="Arial" w:hAnsi="Arial"/>
                <w:sz w:val="8"/>
                <w:szCs w:val="8"/>
                <w:b w:val="1"/>
                <w:bCs w:val="1"/>
                <w:color w:val="005A64"/>
                <w:w w:val="81"/>
              </w:rPr>
              <w:t>(1)</w:t>
            </w:r>
          </w:p>
        </w:tc>
        <w:tc>
          <w:tcPr>
            <w:tcW w:w="60" w:type="dxa"/>
            <w:vAlign w:val="bottom"/>
            <w:tcBorders>
              <w:right w:val="single" w:sz="8" w:color="BECE33"/>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40" w:type="dxa"/>
            <w:vAlign w:val="bottom"/>
            <w:tcBorders>
              <w:right w:val="single" w:sz="8" w:color="BECE33"/>
            </w:tcBorders>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vMerge w:val="restart"/>
          </w:tcPr>
          <w:p>
            <w:pPr>
              <w:ind w:left="20"/>
              <w:spacing w:after="0"/>
              <w:rPr>
                <w:sz w:val="20"/>
                <w:szCs w:val="20"/>
                <w:color w:val="auto"/>
              </w:rPr>
            </w:pPr>
            <w:r>
              <w:rPr>
                <w:rFonts w:ascii="Arial" w:cs="Arial" w:eastAsia="Arial" w:hAnsi="Arial"/>
                <w:sz w:val="12"/>
                <w:szCs w:val="12"/>
                <w:b w:val="1"/>
                <w:bCs w:val="1"/>
                <w:color w:val="005A64"/>
              </w:rPr>
              <w:t>options</w:t>
            </w:r>
          </w:p>
        </w:tc>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Borders>
              <w:right w:val="single" w:sz="8" w:color="BECE33"/>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5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40" w:type="dxa"/>
            <w:vAlign w:val="bottom"/>
            <w:tcBorders>
              <w:right w:val="single" w:sz="8" w:color="BECE33"/>
            </w:tcBorders>
          </w:tcPr>
          <w:p>
            <w:pPr>
              <w:spacing w:after="0"/>
              <w:rPr>
                <w:sz w:val="6"/>
                <w:szCs w:val="6"/>
                <w:color w:val="auto"/>
              </w:rPr>
            </w:pPr>
          </w:p>
        </w:tc>
        <w:tc>
          <w:tcPr>
            <w:tcW w:w="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Borders>
              <w:right w:val="single" w:sz="8" w:color="BECE33"/>
            </w:tcBorders>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620" w:type="dxa"/>
            <w:vAlign w:val="bottom"/>
            <w:tcBorders>
              <w:bottom w:val="single" w:sz="8" w:color="005A64"/>
            </w:tcBorders>
            <w:gridSpan w:val="2"/>
          </w:tcPr>
          <w:p>
            <w:pPr>
              <w:spacing w:after="0"/>
              <w:rPr>
                <w:sz w:val="5"/>
                <w:szCs w:val="5"/>
                <w:color w:val="auto"/>
              </w:rPr>
            </w:pPr>
          </w:p>
        </w:tc>
        <w:tc>
          <w:tcPr>
            <w:tcW w:w="40" w:type="dxa"/>
            <w:vAlign w:val="bottom"/>
            <w:tcBorders>
              <w:right w:val="single" w:sz="8" w:color="BECE33"/>
            </w:tcBorders>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300" w:type="dxa"/>
            <w:vAlign w:val="bottom"/>
            <w:tcBorders>
              <w:bottom w:val="single" w:sz="8" w:color="005A64"/>
            </w:tcBorders>
          </w:tcPr>
          <w:p>
            <w:pPr>
              <w:spacing w:after="0"/>
              <w:rPr>
                <w:sz w:val="5"/>
                <w:szCs w:val="5"/>
                <w:color w:val="auto"/>
              </w:rPr>
            </w:pPr>
          </w:p>
        </w:tc>
        <w:tc>
          <w:tcPr>
            <w:tcW w:w="40" w:type="dxa"/>
            <w:vAlign w:val="bottom"/>
            <w:vMerge w:val="restart"/>
          </w:tcPr>
          <w:p>
            <w:pPr>
              <w:spacing w:after="0"/>
              <w:rPr>
                <w:sz w:val="5"/>
                <w:szCs w:val="5"/>
                <w:color w:val="auto"/>
              </w:rPr>
            </w:pPr>
          </w:p>
        </w:tc>
        <w:tc>
          <w:tcPr>
            <w:tcW w:w="1320" w:type="dxa"/>
            <w:vAlign w:val="bottom"/>
            <w:tcBorders>
              <w:bottom w:val="single" w:sz="8" w:color="005A64"/>
            </w:tcBorders>
          </w:tcPr>
          <w:p>
            <w:pPr>
              <w:spacing w:after="0"/>
              <w:rPr>
                <w:sz w:val="5"/>
                <w:szCs w:val="5"/>
                <w:color w:val="auto"/>
              </w:rPr>
            </w:pPr>
          </w:p>
        </w:tc>
        <w:tc>
          <w:tcPr>
            <w:tcW w:w="40" w:type="dxa"/>
            <w:vAlign w:val="bottom"/>
            <w:vMerge w:val="restart"/>
          </w:tcPr>
          <w:p>
            <w:pPr>
              <w:spacing w:after="0"/>
              <w:rPr>
                <w:sz w:val="5"/>
                <w:szCs w:val="5"/>
                <w:color w:val="auto"/>
              </w:rPr>
            </w:pPr>
          </w:p>
        </w:tc>
        <w:tc>
          <w:tcPr>
            <w:tcW w:w="1000" w:type="dxa"/>
            <w:vAlign w:val="bottom"/>
            <w:tcBorders>
              <w:bottom w:val="single" w:sz="8" w:color="005A64"/>
            </w:tcBorders>
          </w:tcPr>
          <w:p>
            <w:pPr>
              <w:spacing w:after="0"/>
              <w:rPr>
                <w:sz w:val="5"/>
                <w:szCs w:val="5"/>
                <w:color w:val="auto"/>
              </w:rPr>
            </w:pPr>
          </w:p>
        </w:tc>
        <w:tc>
          <w:tcPr>
            <w:tcW w:w="300" w:type="dxa"/>
            <w:vAlign w:val="bottom"/>
            <w:tcBorders>
              <w:bottom w:val="single" w:sz="8" w:color="005A64"/>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620" w:type="dxa"/>
            <w:vAlign w:val="bottom"/>
            <w:gridSpan w:val="2"/>
          </w:tcPr>
          <w:p>
            <w:pPr>
              <w:ind w:left="20"/>
              <w:spacing w:after="0"/>
              <w:rPr>
                <w:sz w:val="20"/>
                <w:szCs w:val="20"/>
                <w:color w:val="auto"/>
              </w:rPr>
            </w:pPr>
            <w:r>
              <w:rPr>
                <w:rFonts w:ascii="Arial" w:cs="Arial" w:eastAsia="Arial" w:hAnsi="Arial"/>
                <w:sz w:val="12"/>
                <w:szCs w:val="12"/>
                <w:color w:val="005A64"/>
              </w:rPr>
              <w:t>As of January 1, 2023</w:t>
            </w:r>
          </w:p>
        </w:tc>
        <w:tc>
          <w:tcPr>
            <w:tcW w:w="40" w:type="dxa"/>
            <w:vAlign w:val="bottom"/>
            <w:tcBorders>
              <w:right w:val="single" w:sz="8" w:color="BECE33"/>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300" w:type="dxa"/>
            <w:vAlign w:val="bottom"/>
          </w:tcPr>
          <w:p>
            <w:pPr>
              <w:spacing w:after="0"/>
              <w:rPr>
                <w:sz w:val="20"/>
                <w:szCs w:val="20"/>
                <w:color w:val="auto"/>
              </w:rPr>
            </w:pPr>
            <w:r>
              <w:rPr>
                <w:rFonts w:ascii="Arial" w:cs="Arial" w:eastAsia="Arial" w:hAnsi="Arial"/>
                <w:sz w:val="12"/>
                <w:szCs w:val="12"/>
                <w:color w:val="005A64"/>
              </w:rPr>
              <w:t>57,584</w:t>
            </w:r>
          </w:p>
        </w:tc>
        <w:tc>
          <w:tcPr>
            <w:tcW w:w="40" w:type="dxa"/>
            <w:vAlign w:val="bottom"/>
            <w:vMerge w:val="continue"/>
          </w:tcPr>
          <w:p>
            <w:pPr>
              <w:spacing w:after="0"/>
              <w:rPr>
                <w:sz w:val="13"/>
                <w:szCs w:val="13"/>
                <w:color w:val="auto"/>
              </w:rPr>
            </w:pPr>
          </w:p>
        </w:tc>
        <w:tc>
          <w:tcPr>
            <w:tcW w:w="1320" w:type="dxa"/>
            <w:vAlign w:val="bottom"/>
          </w:tcPr>
          <w:p>
            <w:pPr>
              <w:ind w:left="20"/>
              <w:spacing w:after="0"/>
              <w:rPr>
                <w:sz w:val="20"/>
                <w:szCs w:val="20"/>
                <w:color w:val="auto"/>
              </w:rPr>
            </w:pPr>
            <w:r>
              <w:rPr>
                <w:rFonts w:ascii="Arial" w:cs="Arial" w:eastAsia="Arial" w:hAnsi="Arial"/>
                <w:sz w:val="12"/>
                <w:szCs w:val="12"/>
                <w:color w:val="005A64"/>
              </w:rPr>
              <w:t>1,036,514</w:t>
            </w:r>
          </w:p>
        </w:tc>
        <w:tc>
          <w:tcPr>
            <w:tcW w:w="40" w:type="dxa"/>
            <w:vAlign w:val="bottom"/>
            <w:vMerge w:val="continue"/>
          </w:tcPr>
          <w:p>
            <w:pPr>
              <w:spacing w:after="0"/>
              <w:rPr>
                <w:sz w:val="13"/>
                <w:szCs w:val="13"/>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005A64"/>
              </w:rPr>
              <w:t>11.10</w:t>
            </w:r>
          </w:p>
        </w:tc>
        <w:tc>
          <w:tcPr>
            <w:tcW w:w="300" w:type="dxa"/>
            <w:vAlign w:val="bottom"/>
          </w:tcPr>
          <w:p>
            <w:pPr>
              <w:spacing w:after="0"/>
              <w:rPr>
                <w:sz w:val="13"/>
                <w:szCs w:val="13"/>
                <w:color w:val="auto"/>
              </w:rPr>
            </w:pPr>
          </w:p>
        </w:tc>
        <w:tc>
          <w:tcPr>
            <w:tcW w:w="60" w:type="dxa"/>
            <w:vAlign w:val="bottom"/>
            <w:tcBorders>
              <w:right w:val="single" w:sz="8" w:color="BECE33"/>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40" w:type="dxa"/>
            <w:vAlign w:val="bottom"/>
            <w:vMerge w:val="restart"/>
          </w:tcPr>
          <w:p>
            <w:pPr>
              <w:ind w:left="20"/>
              <w:spacing w:after="0"/>
              <w:rPr>
                <w:sz w:val="20"/>
                <w:szCs w:val="20"/>
                <w:color w:val="auto"/>
              </w:rPr>
            </w:pPr>
            <w:r>
              <w:rPr>
                <w:rFonts w:ascii="Arial" w:cs="Arial" w:eastAsia="Arial" w:hAnsi="Arial"/>
                <w:sz w:val="12"/>
                <w:szCs w:val="12"/>
                <w:color w:val="005A64"/>
                <w:w w:val="94"/>
              </w:rPr>
              <w:t>Exercised</w:t>
            </w:r>
          </w:p>
        </w:tc>
        <w:tc>
          <w:tcPr>
            <w:tcW w:w="2080" w:type="dxa"/>
            <w:vAlign w:val="bottom"/>
          </w:tcPr>
          <w:p>
            <w:pPr>
              <w:jc w:val="right"/>
              <w:ind w:right="1940"/>
              <w:spacing w:after="0"/>
              <w:rPr>
                <w:sz w:val="20"/>
                <w:szCs w:val="20"/>
                <w:color w:val="auto"/>
              </w:rPr>
            </w:pPr>
            <w:r>
              <w:rPr>
                <w:rFonts w:ascii="Arial" w:cs="Arial" w:eastAsia="Arial" w:hAnsi="Arial"/>
                <w:sz w:val="8"/>
                <w:szCs w:val="8"/>
                <w:color w:val="005A64"/>
                <w:w w:val="81"/>
              </w:rPr>
              <w:t>(2)</w:t>
            </w:r>
          </w:p>
        </w:tc>
        <w:tc>
          <w:tcPr>
            <w:tcW w:w="40" w:type="dxa"/>
            <w:vAlign w:val="bottom"/>
            <w:tcBorders>
              <w:right w:val="single" w:sz="8" w:color="BECE33"/>
            </w:tcBorders>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Arial" w:cs="Arial" w:eastAsia="Arial" w:hAnsi="Arial"/>
                <w:sz w:val="12"/>
                <w:szCs w:val="12"/>
                <w:color w:val="005A64"/>
              </w:rPr>
              <w:t>(39,785)</w:t>
            </w:r>
          </w:p>
        </w:tc>
        <w:tc>
          <w:tcPr>
            <w:tcW w:w="1360" w:type="dxa"/>
            <w:vAlign w:val="bottom"/>
            <w:gridSpan w:val="2"/>
          </w:tcPr>
          <w:p>
            <w:pPr>
              <w:ind w:left="60"/>
              <w:spacing w:after="0"/>
              <w:rPr>
                <w:sz w:val="20"/>
                <w:szCs w:val="20"/>
                <w:color w:val="auto"/>
              </w:rPr>
            </w:pPr>
            <w:r>
              <w:rPr>
                <w:rFonts w:ascii="Arial" w:cs="Arial" w:eastAsia="Arial" w:hAnsi="Arial"/>
                <w:sz w:val="12"/>
                <w:szCs w:val="12"/>
                <w:color w:val="005A64"/>
              </w:rPr>
              <w:t>(716,121)</w:t>
            </w:r>
          </w:p>
        </w:tc>
        <w:tc>
          <w:tcPr>
            <w:tcW w:w="1040" w:type="dxa"/>
            <w:vAlign w:val="bottom"/>
            <w:gridSpan w:val="2"/>
          </w:tcPr>
          <w:p>
            <w:pPr>
              <w:ind w:left="60"/>
              <w:spacing w:after="0"/>
              <w:rPr>
                <w:sz w:val="20"/>
                <w:szCs w:val="20"/>
                <w:color w:val="auto"/>
              </w:rPr>
            </w:pPr>
            <w:r>
              <w:rPr>
                <w:rFonts w:ascii="Arial" w:cs="Arial" w:eastAsia="Arial" w:hAnsi="Arial"/>
                <w:sz w:val="12"/>
                <w:szCs w:val="12"/>
                <w:color w:val="005A64"/>
              </w:rPr>
              <w:t>11.04</w:t>
            </w:r>
          </w:p>
        </w:tc>
        <w:tc>
          <w:tcPr>
            <w:tcW w:w="3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540" w:type="dxa"/>
            <w:vAlign w:val="bottom"/>
            <w:vMerge w:val="continue"/>
          </w:tcPr>
          <w:p>
            <w:pPr>
              <w:spacing w:after="0"/>
              <w:rPr>
                <w:sz w:val="3"/>
                <w:szCs w:val="3"/>
                <w:color w:val="auto"/>
              </w:rPr>
            </w:pPr>
          </w:p>
        </w:tc>
        <w:tc>
          <w:tcPr>
            <w:tcW w:w="2080" w:type="dxa"/>
            <w:vAlign w:val="bottom"/>
          </w:tcPr>
          <w:p>
            <w:pPr>
              <w:spacing w:after="0"/>
              <w:rPr>
                <w:sz w:val="3"/>
                <w:szCs w:val="3"/>
                <w:color w:val="auto"/>
              </w:rPr>
            </w:pPr>
          </w:p>
        </w:tc>
        <w:tc>
          <w:tcPr>
            <w:tcW w:w="40" w:type="dxa"/>
            <w:vAlign w:val="bottom"/>
            <w:tcBorders>
              <w:right w:val="single" w:sz="8" w:color="BECE33"/>
            </w:tcBorders>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660" w:type="dxa"/>
            <w:vAlign w:val="bottom"/>
            <w:tcBorders>
              <w:right w:val="single" w:sz="8" w:color="BECE33"/>
            </w:tcBorders>
            <w:gridSpan w:val="3"/>
          </w:tcPr>
          <w:p>
            <w:pPr>
              <w:ind w:left="20"/>
              <w:spacing w:after="0"/>
              <w:rPr>
                <w:sz w:val="20"/>
                <w:szCs w:val="20"/>
                <w:color w:val="auto"/>
              </w:rPr>
            </w:pPr>
            <w:r>
              <w:rPr>
                <w:rFonts w:ascii="Arial" w:cs="Arial" w:eastAsia="Arial" w:hAnsi="Arial"/>
                <w:sz w:val="12"/>
                <w:szCs w:val="12"/>
                <w:b w:val="1"/>
                <w:bCs w:val="1"/>
                <w:color w:val="005A64"/>
              </w:rPr>
              <w:t>As of December 31, 2023</w:t>
            </w:r>
          </w:p>
        </w:tc>
        <w:tc>
          <w:tcPr>
            <w:tcW w:w="1320" w:type="dxa"/>
            <w:vAlign w:val="bottom"/>
            <w:gridSpan w:val="2"/>
          </w:tcPr>
          <w:p>
            <w:pPr>
              <w:ind w:left="20"/>
              <w:spacing w:after="0"/>
              <w:rPr>
                <w:sz w:val="20"/>
                <w:szCs w:val="20"/>
                <w:color w:val="auto"/>
              </w:rPr>
            </w:pPr>
            <w:r>
              <w:rPr>
                <w:rFonts w:ascii="Arial" w:cs="Arial" w:eastAsia="Arial" w:hAnsi="Arial"/>
                <w:sz w:val="12"/>
                <w:szCs w:val="12"/>
                <w:b w:val="1"/>
                <w:bCs w:val="1"/>
                <w:color w:val="005A64"/>
              </w:rPr>
              <w:t>17,799</w:t>
            </w:r>
          </w:p>
        </w:tc>
        <w:tc>
          <w:tcPr>
            <w:tcW w:w="1360" w:type="dxa"/>
            <w:vAlign w:val="bottom"/>
            <w:gridSpan w:val="2"/>
          </w:tcPr>
          <w:p>
            <w:pPr>
              <w:ind w:left="60"/>
              <w:spacing w:after="0"/>
              <w:rPr>
                <w:sz w:val="20"/>
                <w:szCs w:val="20"/>
                <w:color w:val="auto"/>
              </w:rPr>
            </w:pPr>
            <w:r>
              <w:rPr>
                <w:rFonts w:ascii="Arial" w:cs="Arial" w:eastAsia="Arial" w:hAnsi="Arial"/>
                <w:sz w:val="12"/>
                <w:szCs w:val="12"/>
                <w:b w:val="1"/>
                <w:bCs w:val="1"/>
                <w:color w:val="005A64"/>
              </w:rPr>
              <w:t>320,393</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005A64"/>
              </w:rPr>
              <w:t>11.24</w:t>
            </w:r>
          </w:p>
        </w:tc>
        <w:tc>
          <w:tcPr>
            <w:tcW w:w="300" w:type="dxa"/>
            <w:vAlign w:val="bottom"/>
          </w:tcPr>
          <w:p>
            <w:pPr>
              <w:spacing w:after="0"/>
              <w:rPr>
                <w:sz w:val="14"/>
                <w:szCs w:val="14"/>
                <w:color w:val="auto"/>
              </w:rPr>
            </w:pPr>
          </w:p>
        </w:tc>
        <w:tc>
          <w:tcPr>
            <w:tcW w:w="60" w:type="dxa"/>
            <w:vAlign w:val="bottom"/>
            <w:tcBorders>
              <w:right w:val="single" w:sz="8" w:color="BECE33"/>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620" w:type="dxa"/>
            <w:vAlign w:val="bottom"/>
            <w:tcBorders>
              <w:bottom w:val="single" w:sz="8" w:color="005A64"/>
            </w:tcBorders>
            <w:gridSpan w:val="2"/>
          </w:tcPr>
          <w:p>
            <w:pPr>
              <w:spacing w:after="0"/>
              <w:rPr>
                <w:sz w:val="4"/>
                <w:szCs w:val="4"/>
                <w:color w:val="auto"/>
              </w:rPr>
            </w:pPr>
          </w:p>
        </w:tc>
        <w:tc>
          <w:tcPr>
            <w:tcW w:w="40" w:type="dxa"/>
            <w:vAlign w:val="bottom"/>
            <w:tcBorders>
              <w:right w:val="single" w:sz="8" w:color="BECE33"/>
            </w:tcBorders>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300" w:type="dxa"/>
            <w:vAlign w:val="bottom"/>
            <w:tcBorders>
              <w:bottom w:val="single" w:sz="8" w:color="005A64"/>
            </w:tcBorders>
          </w:tcPr>
          <w:p>
            <w:pPr>
              <w:spacing w:after="0"/>
              <w:rPr>
                <w:sz w:val="4"/>
                <w:szCs w:val="4"/>
                <w:color w:val="auto"/>
              </w:rPr>
            </w:pPr>
          </w:p>
        </w:tc>
        <w:tc>
          <w:tcPr>
            <w:tcW w:w="40" w:type="dxa"/>
            <w:vAlign w:val="bottom"/>
            <w:vMerge w:val="restart"/>
          </w:tcPr>
          <w:p>
            <w:pPr>
              <w:spacing w:after="0"/>
              <w:rPr>
                <w:sz w:val="4"/>
                <w:szCs w:val="4"/>
                <w:color w:val="auto"/>
              </w:rPr>
            </w:pPr>
          </w:p>
        </w:tc>
        <w:tc>
          <w:tcPr>
            <w:tcW w:w="1320" w:type="dxa"/>
            <w:vAlign w:val="bottom"/>
            <w:tcBorders>
              <w:bottom w:val="single" w:sz="8" w:color="005A64"/>
            </w:tcBorders>
          </w:tcPr>
          <w:p>
            <w:pPr>
              <w:spacing w:after="0"/>
              <w:rPr>
                <w:sz w:val="4"/>
                <w:szCs w:val="4"/>
                <w:color w:val="auto"/>
              </w:rPr>
            </w:pPr>
          </w:p>
        </w:tc>
        <w:tc>
          <w:tcPr>
            <w:tcW w:w="40" w:type="dxa"/>
            <w:vAlign w:val="bottom"/>
            <w:vMerge w:val="restart"/>
          </w:tcPr>
          <w:p>
            <w:pPr>
              <w:spacing w:after="0"/>
              <w:rPr>
                <w:sz w:val="4"/>
                <w:szCs w:val="4"/>
                <w:color w:val="auto"/>
              </w:rPr>
            </w:pPr>
          </w:p>
        </w:tc>
        <w:tc>
          <w:tcPr>
            <w:tcW w:w="1000" w:type="dxa"/>
            <w:vAlign w:val="bottom"/>
            <w:tcBorders>
              <w:bottom w:val="single" w:sz="8" w:color="005A64"/>
            </w:tcBorders>
          </w:tcPr>
          <w:p>
            <w:pPr>
              <w:spacing w:after="0"/>
              <w:rPr>
                <w:sz w:val="4"/>
                <w:szCs w:val="4"/>
                <w:color w:val="auto"/>
              </w:rPr>
            </w:pPr>
          </w:p>
        </w:tc>
        <w:tc>
          <w:tcPr>
            <w:tcW w:w="30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620" w:type="dxa"/>
            <w:vAlign w:val="bottom"/>
            <w:gridSpan w:val="2"/>
          </w:tcPr>
          <w:p>
            <w:pPr>
              <w:ind w:left="20"/>
              <w:spacing w:after="0"/>
              <w:rPr>
                <w:sz w:val="20"/>
                <w:szCs w:val="20"/>
                <w:color w:val="auto"/>
              </w:rPr>
            </w:pPr>
            <w:r>
              <w:rPr>
                <w:rFonts w:ascii="Arial" w:cs="Arial" w:eastAsia="Arial" w:hAnsi="Arial"/>
                <w:sz w:val="12"/>
                <w:szCs w:val="12"/>
                <w:color w:val="005A64"/>
              </w:rPr>
              <w:t>As of January 1, 2024</w:t>
            </w:r>
          </w:p>
        </w:tc>
        <w:tc>
          <w:tcPr>
            <w:tcW w:w="40" w:type="dxa"/>
            <w:vAlign w:val="bottom"/>
            <w:tcBorders>
              <w:right w:val="single" w:sz="8" w:color="BECE33"/>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300" w:type="dxa"/>
            <w:vAlign w:val="bottom"/>
          </w:tcPr>
          <w:p>
            <w:pPr>
              <w:spacing w:after="0"/>
              <w:rPr>
                <w:sz w:val="20"/>
                <w:szCs w:val="20"/>
                <w:color w:val="auto"/>
              </w:rPr>
            </w:pPr>
            <w:r>
              <w:rPr>
                <w:rFonts w:ascii="Arial" w:cs="Arial" w:eastAsia="Arial" w:hAnsi="Arial"/>
                <w:sz w:val="12"/>
                <w:szCs w:val="12"/>
                <w:color w:val="005A64"/>
              </w:rPr>
              <w:t>17,799</w:t>
            </w:r>
          </w:p>
        </w:tc>
        <w:tc>
          <w:tcPr>
            <w:tcW w:w="40" w:type="dxa"/>
            <w:vAlign w:val="bottom"/>
            <w:vMerge w:val="continue"/>
          </w:tcPr>
          <w:p>
            <w:pPr>
              <w:spacing w:after="0"/>
              <w:rPr>
                <w:sz w:val="13"/>
                <w:szCs w:val="13"/>
                <w:color w:val="auto"/>
              </w:rPr>
            </w:pPr>
          </w:p>
        </w:tc>
        <w:tc>
          <w:tcPr>
            <w:tcW w:w="1320" w:type="dxa"/>
            <w:vAlign w:val="bottom"/>
          </w:tcPr>
          <w:p>
            <w:pPr>
              <w:ind w:left="20"/>
              <w:spacing w:after="0"/>
              <w:rPr>
                <w:sz w:val="20"/>
                <w:szCs w:val="20"/>
                <w:color w:val="auto"/>
              </w:rPr>
            </w:pPr>
            <w:r>
              <w:rPr>
                <w:rFonts w:ascii="Arial" w:cs="Arial" w:eastAsia="Arial" w:hAnsi="Arial"/>
                <w:sz w:val="12"/>
                <w:szCs w:val="12"/>
                <w:color w:val="005A64"/>
              </w:rPr>
              <w:t>320,393</w:t>
            </w:r>
          </w:p>
        </w:tc>
        <w:tc>
          <w:tcPr>
            <w:tcW w:w="40" w:type="dxa"/>
            <w:vAlign w:val="bottom"/>
            <w:vMerge w:val="continue"/>
          </w:tcPr>
          <w:p>
            <w:pPr>
              <w:spacing w:after="0"/>
              <w:rPr>
                <w:sz w:val="13"/>
                <w:szCs w:val="13"/>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005A64"/>
              </w:rPr>
              <w:t>11.24</w:t>
            </w:r>
          </w:p>
        </w:tc>
        <w:tc>
          <w:tcPr>
            <w:tcW w:w="300" w:type="dxa"/>
            <w:vAlign w:val="bottom"/>
          </w:tcPr>
          <w:p>
            <w:pPr>
              <w:spacing w:after="0"/>
              <w:rPr>
                <w:sz w:val="13"/>
                <w:szCs w:val="13"/>
                <w:color w:val="auto"/>
              </w:rPr>
            </w:pPr>
          </w:p>
        </w:tc>
        <w:tc>
          <w:tcPr>
            <w:tcW w:w="60" w:type="dxa"/>
            <w:vAlign w:val="bottom"/>
            <w:tcBorders>
              <w:right w:val="single" w:sz="8" w:color="BECE33"/>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40" w:type="dxa"/>
            <w:vAlign w:val="bottom"/>
            <w:vMerge w:val="restart"/>
          </w:tcPr>
          <w:p>
            <w:pPr>
              <w:ind w:left="20"/>
              <w:spacing w:after="0"/>
              <w:rPr>
                <w:sz w:val="20"/>
                <w:szCs w:val="20"/>
                <w:color w:val="auto"/>
              </w:rPr>
            </w:pPr>
            <w:r>
              <w:rPr>
                <w:rFonts w:ascii="Arial" w:cs="Arial" w:eastAsia="Arial" w:hAnsi="Arial"/>
                <w:sz w:val="12"/>
                <w:szCs w:val="12"/>
                <w:color w:val="005A64"/>
                <w:w w:val="94"/>
              </w:rPr>
              <w:t>Exercised</w:t>
            </w:r>
          </w:p>
        </w:tc>
        <w:tc>
          <w:tcPr>
            <w:tcW w:w="2080" w:type="dxa"/>
            <w:vAlign w:val="bottom"/>
          </w:tcPr>
          <w:p>
            <w:pPr>
              <w:jc w:val="right"/>
              <w:ind w:right="1940"/>
              <w:spacing w:after="0"/>
              <w:rPr>
                <w:sz w:val="20"/>
                <w:szCs w:val="20"/>
                <w:color w:val="auto"/>
              </w:rPr>
            </w:pPr>
            <w:r>
              <w:rPr>
                <w:rFonts w:ascii="Arial" w:cs="Arial" w:eastAsia="Arial" w:hAnsi="Arial"/>
                <w:sz w:val="8"/>
                <w:szCs w:val="8"/>
                <w:color w:val="005A64"/>
                <w:w w:val="81"/>
              </w:rPr>
              <w:t>(2)</w:t>
            </w:r>
          </w:p>
        </w:tc>
        <w:tc>
          <w:tcPr>
            <w:tcW w:w="40" w:type="dxa"/>
            <w:vAlign w:val="bottom"/>
            <w:tcBorders>
              <w:right w:val="single" w:sz="8" w:color="BECE33"/>
            </w:tcBorders>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Arial" w:cs="Arial" w:eastAsia="Arial" w:hAnsi="Arial"/>
                <w:sz w:val="12"/>
                <w:szCs w:val="12"/>
                <w:color w:val="005A64"/>
              </w:rPr>
              <w:t>(7,725)</w:t>
            </w:r>
          </w:p>
        </w:tc>
        <w:tc>
          <w:tcPr>
            <w:tcW w:w="1360" w:type="dxa"/>
            <w:vAlign w:val="bottom"/>
            <w:gridSpan w:val="2"/>
          </w:tcPr>
          <w:p>
            <w:pPr>
              <w:ind w:left="60"/>
              <w:spacing w:after="0"/>
              <w:rPr>
                <w:sz w:val="20"/>
                <w:szCs w:val="20"/>
                <w:color w:val="auto"/>
              </w:rPr>
            </w:pPr>
            <w:r>
              <w:rPr>
                <w:rFonts w:ascii="Arial" w:cs="Arial" w:eastAsia="Arial" w:hAnsi="Arial"/>
                <w:sz w:val="12"/>
                <w:szCs w:val="12"/>
                <w:color w:val="005A64"/>
              </w:rPr>
              <w:t>(139,053)</w:t>
            </w:r>
          </w:p>
        </w:tc>
        <w:tc>
          <w:tcPr>
            <w:tcW w:w="1040" w:type="dxa"/>
            <w:vAlign w:val="bottom"/>
            <w:gridSpan w:val="2"/>
          </w:tcPr>
          <w:p>
            <w:pPr>
              <w:ind w:left="60"/>
              <w:spacing w:after="0"/>
              <w:rPr>
                <w:sz w:val="20"/>
                <w:szCs w:val="20"/>
                <w:color w:val="auto"/>
              </w:rPr>
            </w:pPr>
            <w:r>
              <w:rPr>
                <w:rFonts w:ascii="Arial" w:cs="Arial" w:eastAsia="Arial" w:hAnsi="Arial"/>
                <w:sz w:val="12"/>
                <w:szCs w:val="12"/>
                <w:color w:val="005A64"/>
              </w:rPr>
              <w:t>10.14</w:t>
            </w:r>
          </w:p>
        </w:tc>
        <w:tc>
          <w:tcPr>
            <w:tcW w:w="3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540" w:type="dxa"/>
            <w:vAlign w:val="bottom"/>
            <w:vMerge w:val="continue"/>
          </w:tcPr>
          <w:p>
            <w:pPr>
              <w:spacing w:after="0"/>
              <w:rPr>
                <w:sz w:val="3"/>
                <w:szCs w:val="3"/>
                <w:color w:val="auto"/>
              </w:rPr>
            </w:pPr>
          </w:p>
        </w:tc>
        <w:tc>
          <w:tcPr>
            <w:tcW w:w="2080" w:type="dxa"/>
            <w:vAlign w:val="bottom"/>
          </w:tcPr>
          <w:p>
            <w:pPr>
              <w:spacing w:after="0"/>
              <w:rPr>
                <w:sz w:val="3"/>
                <w:szCs w:val="3"/>
                <w:color w:val="auto"/>
              </w:rPr>
            </w:pPr>
          </w:p>
        </w:tc>
        <w:tc>
          <w:tcPr>
            <w:tcW w:w="40" w:type="dxa"/>
            <w:vAlign w:val="bottom"/>
            <w:tcBorders>
              <w:right w:val="single" w:sz="8" w:color="BECE33"/>
            </w:tcBorders>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660" w:type="dxa"/>
            <w:vAlign w:val="bottom"/>
            <w:tcBorders>
              <w:right w:val="single" w:sz="8" w:color="BECE33"/>
            </w:tcBorders>
            <w:gridSpan w:val="3"/>
          </w:tcPr>
          <w:p>
            <w:pPr>
              <w:ind w:left="20"/>
              <w:spacing w:after="0"/>
              <w:rPr>
                <w:sz w:val="20"/>
                <w:szCs w:val="20"/>
                <w:color w:val="auto"/>
              </w:rPr>
            </w:pPr>
            <w:r>
              <w:rPr>
                <w:rFonts w:ascii="Arial" w:cs="Arial" w:eastAsia="Arial" w:hAnsi="Arial"/>
                <w:sz w:val="12"/>
                <w:szCs w:val="12"/>
                <w:b w:val="1"/>
                <w:bCs w:val="1"/>
                <w:color w:val="005A64"/>
              </w:rPr>
              <w:t>As of December 31, 2024</w:t>
            </w:r>
          </w:p>
        </w:tc>
        <w:tc>
          <w:tcPr>
            <w:tcW w:w="1320" w:type="dxa"/>
            <w:vAlign w:val="bottom"/>
            <w:gridSpan w:val="2"/>
          </w:tcPr>
          <w:p>
            <w:pPr>
              <w:ind w:left="20"/>
              <w:spacing w:after="0"/>
              <w:rPr>
                <w:sz w:val="20"/>
                <w:szCs w:val="20"/>
                <w:color w:val="auto"/>
              </w:rPr>
            </w:pPr>
            <w:r>
              <w:rPr>
                <w:rFonts w:ascii="Arial" w:cs="Arial" w:eastAsia="Arial" w:hAnsi="Arial"/>
                <w:sz w:val="12"/>
                <w:szCs w:val="12"/>
                <w:b w:val="1"/>
                <w:bCs w:val="1"/>
                <w:color w:val="005A64"/>
              </w:rPr>
              <w:t>10,074</w:t>
            </w:r>
          </w:p>
        </w:tc>
        <w:tc>
          <w:tcPr>
            <w:tcW w:w="1360" w:type="dxa"/>
            <w:vAlign w:val="bottom"/>
            <w:gridSpan w:val="2"/>
          </w:tcPr>
          <w:p>
            <w:pPr>
              <w:ind w:left="60"/>
              <w:spacing w:after="0"/>
              <w:rPr>
                <w:sz w:val="20"/>
                <w:szCs w:val="20"/>
                <w:color w:val="auto"/>
              </w:rPr>
            </w:pPr>
            <w:r>
              <w:rPr>
                <w:rFonts w:ascii="Arial" w:cs="Arial" w:eastAsia="Arial" w:hAnsi="Arial"/>
                <w:sz w:val="12"/>
                <w:szCs w:val="12"/>
                <w:b w:val="1"/>
                <w:bCs w:val="1"/>
                <w:color w:val="005A64"/>
              </w:rPr>
              <w:t>181,340</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005A64"/>
              </w:rPr>
              <w:t>12.08</w:t>
            </w:r>
          </w:p>
        </w:tc>
        <w:tc>
          <w:tcPr>
            <w:tcW w:w="300" w:type="dxa"/>
            <w:vAlign w:val="bottom"/>
          </w:tcPr>
          <w:p>
            <w:pPr>
              <w:spacing w:after="0"/>
              <w:rPr>
                <w:sz w:val="14"/>
                <w:szCs w:val="14"/>
                <w:color w:val="auto"/>
              </w:rPr>
            </w:pPr>
          </w:p>
        </w:tc>
        <w:tc>
          <w:tcPr>
            <w:tcW w:w="60" w:type="dxa"/>
            <w:vAlign w:val="bottom"/>
            <w:tcBorders>
              <w:right w:val="single" w:sz="8" w:color="BECE33"/>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620" w:type="dxa"/>
            <w:vAlign w:val="bottom"/>
            <w:tcBorders>
              <w:bottom w:val="single" w:sz="8" w:color="005A64"/>
            </w:tcBorders>
            <w:gridSpan w:val="2"/>
          </w:tcPr>
          <w:p>
            <w:pPr>
              <w:spacing w:after="0"/>
              <w:rPr>
                <w:sz w:val="4"/>
                <w:szCs w:val="4"/>
                <w:color w:val="auto"/>
              </w:rPr>
            </w:pPr>
          </w:p>
        </w:tc>
        <w:tc>
          <w:tcPr>
            <w:tcW w:w="40" w:type="dxa"/>
            <w:vAlign w:val="bottom"/>
            <w:tcBorders>
              <w:right w:val="single" w:sz="8" w:color="BECE33"/>
            </w:tcBorders>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300" w:type="dxa"/>
            <w:vAlign w:val="bottom"/>
            <w:tcBorders>
              <w:bottom w:val="single" w:sz="8" w:color="005A64"/>
            </w:tcBorders>
          </w:tcPr>
          <w:p>
            <w:pPr>
              <w:spacing w:after="0"/>
              <w:rPr>
                <w:sz w:val="4"/>
                <w:szCs w:val="4"/>
                <w:color w:val="auto"/>
              </w:rPr>
            </w:pPr>
          </w:p>
        </w:tc>
        <w:tc>
          <w:tcPr>
            <w:tcW w:w="40" w:type="dxa"/>
            <w:vAlign w:val="bottom"/>
            <w:vMerge w:val="restart"/>
          </w:tcPr>
          <w:p>
            <w:pPr>
              <w:spacing w:after="0"/>
              <w:rPr>
                <w:sz w:val="4"/>
                <w:szCs w:val="4"/>
                <w:color w:val="auto"/>
              </w:rPr>
            </w:pPr>
          </w:p>
        </w:tc>
        <w:tc>
          <w:tcPr>
            <w:tcW w:w="1320" w:type="dxa"/>
            <w:vAlign w:val="bottom"/>
            <w:tcBorders>
              <w:bottom w:val="single" w:sz="8" w:color="005A64"/>
            </w:tcBorders>
          </w:tcPr>
          <w:p>
            <w:pPr>
              <w:spacing w:after="0"/>
              <w:rPr>
                <w:sz w:val="4"/>
                <w:szCs w:val="4"/>
                <w:color w:val="auto"/>
              </w:rPr>
            </w:pPr>
          </w:p>
        </w:tc>
        <w:tc>
          <w:tcPr>
            <w:tcW w:w="40" w:type="dxa"/>
            <w:vAlign w:val="bottom"/>
            <w:vMerge w:val="restart"/>
          </w:tcPr>
          <w:p>
            <w:pPr>
              <w:spacing w:after="0"/>
              <w:rPr>
                <w:sz w:val="4"/>
                <w:szCs w:val="4"/>
                <w:color w:val="auto"/>
              </w:rPr>
            </w:pPr>
          </w:p>
        </w:tc>
        <w:tc>
          <w:tcPr>
            <w:tcW w:w="1000" w:type="dxa"/>
            <w:vAlign w:val="bottom"/>
            <w:tcBorders>
              <w:bottom w:val="single" w:sz="8" w:color="005A64"/>
            </w:tcBorders>
          </w:tcPr>
          <w:p>
            <w:pPr>
              <w:spacing w:after="0"/>
              <w:rPr>
                <w:sz w:val="4"/>
                <w:szCs w:val="4"/>
                <w:color w:val="auto"/>
              </w:rPr>
            </w:pPr>
          </w:p>
        </w:tc>
        <w:tc>
          <w:tcPr>
            <w:tcW w:w="30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620" w:type="dxa"/>
            <w:vAlign w:val="bottom"/>
            <w:gridSpan w:val="2"/>
          </w:tcPr>
          <w:p>
            <w:pPr>
              <w:ind w:left="20"/>
              <w:spacing w:after="0"/>
              <w:rPr>
                <w:sz w:val="20"/>
                <w:szCs w:val="20"/>
                <w:color w:val="auto"/>
              </w:rPr>
            </w:pPr>
            <w:r>
              <w:rPr>
                <w:rFonts w:ascii="Arial" w:cs="Arial" w:eastAsia="Arial" w:hAnsi="Arial"/>
                <w:sz w:val="12"/>
                <w:szCs w:val="12"/>
                <w:color w:val="005A64"/>
              </w:rPr>
              <w:t>thereof vested</w:t>
            </w:r>
          </w:p>
        </w:tc>
        <w:tc>
          <w:tcPr>
            <w:tcW w:w="40" w:type="dxa"/>
            <w:vAlign w:val="bottom"/>
            <w:tcBorders>
              <w:right w:val="single" w:sz="8" w:color="BECE33"/>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300" w:type="dxa"/>
            <w:vAlign w:val="bottom"/>
          </w:tcPr>
          <w:p>
            <w:pPr>
              <w:spacing w:after="0"/>
              <w:rPr>
                <w:sz w:val="20"/>
                <w:szCs w:val="20"/>
                <w:color w:val="auto"/>
              </w:rPr>
            </w:pPr>
            <w:r>
              <w:rPr>
                <w:rFonts w:ascii="Arial" w:cs="Arial" w:eastAsia="Arial" w:hAnsi="Arial"/>
                <w:sz w:val="12"/>
                <w:szCs w:val="12"/>
                <w:color w:val="005A64"/>
              </w:rPr>
              <w:t>10,074</w:t>
            </w:r>
          </w:p>
        </w:tc>
        <w:tc>
          <w:tcPr>
            <w:tcW w:w="40" w:type="dxa"/>
            <w:vAlign w:val="bottom"/>
            <w:vMerge w:val="continue"/>
          </w:tcPr>
          <w:p>
            <w:pPr>
              <w:spacing w:after="0"/>
              <w:rPr>
                <w:sz w:val="13"/>
                <w:szCs w:val="13"/>
                <w:color w:val="auto"/>
              </w:rPr>
            </w:pPr>
          </w:p>
        </w:tc>
        <w:tc>
          <w:tcPr>
            <w:tcW w:w="1320" w:type="dxa"/>
            <w:vAlign w:val="bottom"/>
          </w:tcPr>
          <w:p>
            <w:pPr>
              <w:ind w:left="20"/>
              <w:spacing w:after="0"/>
              <w:rPr>
                <w:sz w:val="20"/>
                <w:szCs w:val="20"/>
                <w:color w:val="auto"/>
              </w:rPr>
            </w:pPr>
            <w:r>
              <w:rPr>
                <w:rFonts w:ascii="Arial" w:cs="Arial" w:eastAsia="Arial" w:hAnsi="Arial"/>
                <w:sz w:val="12"/>
                <w:szCs w:val="12"/>
                <w:color w:val="005A64"/>
              </w:rPr>
              <w:t>181,340</w:t>
            </w:r>
          </w:p>
        </w:tc>
        <w:tc>
          <w:tcPr>
            <w:tcW w:w="40" w:type="dxa"/>
            <w:vAlign w:val="bottom"/>
            <w:vMerge w:val="continue"/>
          </w:tcPr>
          <w:p>
            <w:pPr>
              <w:spacing w:after="0"/>
              <w:rPr>
                <w:sz w:val="13"/>
                <w:szCs w:val="13"/>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005A64"/>
              </w:rPr>
              <w:t>12.08</w:t>
            </w:r>
          </w:p>
        </w:tc>
        <w:tc>
          <w:tcPr>
            <w:tcW w:w="300" w:type="dxa"/>
            <w:vAlign w:val="bottom"/>
          </w:tcPr>
          <w:p>
            <w:pPr>
              <w:spacing w:after="0"/>
              <w:rPr>
                <w:sz w:val="13"/>
                <w:szCs w:val="13"/>
                <w:color w:val="auto"/>
              </w:rPr>
            </w:pPr>
          </w:p>
        </w:tc>
        <w:tc>
          <w:tcPr>
            <w:tcW w:w="60" w:type="dxa"/>
            <w:vAlign w:val="bottom"/>
            <w:tcBorders>
              <w:right w:val="single" w:sz="8" w:color="BECE33"/>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660" w:type="dxa"/>
            <w:vAlign w:val="bottom"/>
            <w:tcBorders>
              <w:right w:val="single" w:sz="8" w:color="BECE33"/>
            </w:tcBorders>
            <w:gridSpan w:val="3"/>
          </w:tcPr>
          <w:p>
            <w:pPr>
              <w:ind w:left="20"/>
              <w:spacing w:after="0"/>
              <w:rPr>
                <w:sz w:val="20"/>
                <w:szCs w:val="20"/>
                <w:color w:val="auto"/>
              </w:rPr>
            </w:pPr>
            <w:r>
              <w:rPr>
                <w:rFonts w:ascii="Arial" w:cs="Arial" w:eastAsia="Arial" w:hAnsi="Arial"/>
                <w:sz w:val="12"/>
                <w:szCs w:val="12"/>
                <w:color w:val="005A64"/>
              </w:rPr>
              <w:t>thereof unvested</w:t>
            </w:r>
          </w:p>
        </w:tc>
        <w:tc>
          <w:tcPr>
            <w:tcW w:w="2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2"/>
                <w:szCs w:val="12"/>
                <w:color w:val="005A64"/>
              </w:rPr>
              <w:t>—</w:t>
            </w:r>
          </w:p>
        </w:tc>
        <w:tc>
          <w:tcPr>
            <w:tcW w:w="40" w:type="dxa"/>
            <w:vAlign w:val="bottom"/>
          </w:tcPr>
          <w:p>
            <w:pPr>
              <w:spacing w:after="0"/>
              <w:rPr>
                <w:sz w:val="15"/>
                <w:szCs w:val="15"/>
                <w:color w:val="auto"/>
              </w:rPr>
            </w:pPr>
          </w:p>
        </w:tc>
        <w:tc>
          <w:tcPr>
            <w:tcW w:w="1320" w:type="dxa"/>
            <w:vAlign w:val="bottom"/>
          </w:tcPr>
          <w:p>
            <w:pPr>
              <w:ind w:left="20"/>
              <w:spacing w:after="0"/>
              <w:rPr>
                <w:sz w:val="20"/>
                <w:szCs w:val="20"/>
                <w:color w:val="auto"/>
              </w:rPr>
            </w:pPr>
            <w:r>
              <w:rPr>
                <w:rFonts w:ascii="Arial" w:cs="Arial" w:eastAsia="Arial" w:hAnsi="Arial"/>
                <w:sz w:val="12"/>
                <w:szCs w:val="12"/>
                <w:color w:val="005A64"/>
              </w:rPr>
              <w:t>—</w:t>
            </w:r>
          </w:p>
        </w:tc>
        <w:tc>
          <w:tcPr>
            <w:tcW w:w="40" w:type="dxa"/>
            <w:vAlign w:val="bottom"/>
          </w:tcPr>
          <w:p>
            <w:pPr>
              <w:spacing w:after="0"/>
              <w:rPr>
                <w:sz w:val="15"/>
                <w:szCs w:val="15"/>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005A64"/>
              </w:rPr>
              <w:t>—</w:t>
            </w:r>
          </w:p>
        </w:tc>
        <w:tc>
          <w:tcPr>
            <w:tcW w:w="3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540" w:type="dxa"/>
            <w:vAlign w:val="bottom"/>
            <w:tcBorders>
              <w:bottom w:val="single" w:sz="8" w:color="005A64"/>
            </w:tcBorders>
          </w:tcPr>
          <w:p>
            <w:pPr>
              <w:spacing w:after="0"/>
              <w:rPr>
                <w:sz w:val="4"/>
                <w:szCs w:val="4"/>
                <w:color w:val="auto"/>
              </w:rPr>
            </w:pPr>
          </w:p>
        </w:tc>
        <w:tc>
          <w:tcPr>
            <w:tcW w:w="2080" w:type="dxa"/>
            <w:vAlign w:val="bottom"/>
            <w:tcBorders>
              <w:bottom w:val="single" w:sz="8" w:color="005A64"/>
            </w:tcBorders>
          </w:tcPr>
          <w:p>
            <w:pPr>
              <w:spacing w:after="0"/>
              <w:rPr>
                <w:sz w:val="4"/>
                <w:szCs w:val="4"/>
                <w:color w:val="auto"/>
              </w:rPr>
            </w:pPr>
          </w:p>
        </w:tc>
        <w:tc>
          <w:tcPr>
            <w:tcW w:w="40" w:type="dxa"/>
            <w:vAlign w:val="bottom"/>
            <w:tcBorders>
              <w:right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130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132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1000" w:type="dxa"/>
            <w:vAlign w:val="bottom"/>
            <w:tcBorders>
              <w:bottom w:val="single" w:sz="8" w:color="BECE33"/>
            </w:tcBorders>
          </w:tcPr>
          <w:p>
            <w:pPr>
              <w:spacing w:after="0"/>
              <w:rPr>
                <w:sz w:val="4"/>
                <w:szCs w:val="4"/>
                <w:color w:val="auto"/>
              </w:rPr>
            </w:pPr>
          </w:p>
        </w:tc>
        <w:tc>
          <w:tcPr>
            <w:tcW w:w="30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80" w:right="1940" w:firstLine="3"/>
        <w:spacing w:after="0" w:line="209" w:lineRule="auto"/>
        <w:tabs>
          <w:tab w:leader="none" w:pos="582" w:val="left"/>
        </w:tabs>
        <w:numPr>
          <w:ilvl w:val="0"/>
          <w:numId w:val="62"/>
        </w:numPr>
        <w:rPr>
          <w:rFonts w:ascii="Arial" w:cs="Arial" w:eastAsia="Arial" w:hAnsi="Arial"/>
          <w:sz w:val="16"/>
          <w:szCs w:val="16"/>
          <w:color w:val="005A64"/>
          <w:vertAlign w:val="superscript"/>
        </w:rPr>
      </w:pPr>
      <w:r>
        <w:rPr>
          <w:rFonts w:ascii="Arial" w:cs="Arial" w:eastAsia="Arial" w:hAnsi="Arial"/>
          <w:sz w:val="12"/>
          <w:szCs w:val="12"/>
          <w:color w:val="005A64"/>
        </w:rPr>
        <w:t>With respect to the Management Board members appointed as such at the time the options were granted, the options are subject to the effective exercise price cap as well as the maximum cap mechanism.</w:t>
      </w:r>
    </w:p>
    <w:p>
      <w:pPr>
        <w:spacing w:after="0" w:line="12" w:lineRule="exact"/>
        <w:rPr>
          <w:rFonts w:ascii="Arial" w:cs="Arial" w:eastAsia="Arial" w:hAnsi="Arial"/>
          <w:sz w:val="16"/>
          <w:szCs w:val="16"/>
          <w:color w:val="005A64"/>
          <w:vertAlign w:val="superscript"/>
        </w:rPr>
      </w:pPr>
    </w:p>
    <w:p>
      <w:pPr>
        <w:ind w:left="380" w:right="2160" w:firstLine="3"/>
        <w:spacing w:after="0" w:line="199" w:lineRule="auto"/>
        <w:tabs>
          <w:tab w:leader="none" w:pos="582" w:val="left"/>
        </w:tabs>
        <w:numPr>
          <w:ilvl w:val="0"/>
          <w:numId w:val="62"/>
        </w:numPr>
        <w:rPr>
          <w:rFonts w:ascii="Arial" w:cs="Arial" w:eastAsia="Arial" w:hAnsi="Arial"/>
          <w:sz w:val="16"/>
          <w:szCs w:val="16"/>
          <w:color w:val="005A64"/>
          <w:vertAlign w:val="superscript"/>
        </w:rPr>
      </w:pPr>
      <w:r>
        <w:rPr>
          <w:rFonts w:ascii="Arial" w:cs="Arial" w:eastAsia="Arial" w:hAnsi="Arial"/>
          <w:sz w:val="12"/>
          <w:szCs w:val="12"/>
          <w:color w:val="005A64"/>
        </w:rPr>
        <w:t>The average closing price of an American Depositary Share of BioNTech on Nasdaq weighted over the various dates immediately preceding the settlement dates, converted from USD to Euro using the exchange rate published by the German Central Bank (Deutsche Bundesbank) on the same days was €83.45 and €96.49 for all settlements during the years ended December 31, 2024 and 2023, respectively.</w:t>
      </w:r>
    </w:p>
    <w:p>
      <w:pPr>
        <w:spacing w:after="0" w:line="2" w:lineRule="exact"/>
        <w:rPr>
          <w:rFonts w:ascii="Arial" w:cs="Arial" w:eastAsia="Arial" w:hAnsi="Arial"/>
          <w:sz w:val="16"/>
          <w:szCs w:val="16"/>
          <w:color w:val="005A64"/>
          <w:vertAlign w:val="superscript"/>
        </w:rPr>
      </w:pPr>
    </w:p>
    <w:p>
      <w:pPr>
        <w:ind w:left="380" w:right="2100"/>
        <w:spacing w:after="0" w:line="210" w:lineRule="auto"/>
        <w:rPr>
          <w:rFonts w:ascii="Arial" w:cs="Arial" w:eastAsia="Arial" w:hAnsi="Arial"/>
          <w:sz w:val="16"/>
          <w:szCs w:val="16"/>
          <w:color w:val="005A64"/>
          <w:vertAlign w:val="superscript"/>
        </w:rPr>
      </w:pPr>
      <w:r>
        <w:rPr>
          <w:rFonts w:ascii="Arial" w:cs="Arial" w:eastAsia="Arial" w:hAnsi="Arial"/>
          <w:sz w:val="13"/>
          <w:szCs w:val="13"/>
          <w:color w:val="auto"/>
        </w:rPr>
        <w:t>In September 2022, the Supervisory Board determined the ESOP settlement by the delivery of treasury shares (in the form of ADSs) equal to the net value of the exercised option rights after deduction of (i) the exercise price and (ii) the applicable wage taxes (including solidarity surcharge thereon and church tax, if applicable) and social security contributions resulting from such exercise. The settlement was applied during the exercise windows in 2024 and 2023.</w:t>
      </w:r>
    </w:p>
    <w:p>
      <w:pPr>
        <w:spacing w:after="0" w:line="2" w:lineRule="exact"/>
        <w:rPr>
          <w:rFonts w:ascii="Arial" w:cs="Arial" w:eastAsia="Arial" w:hAnsi="Arial"/>
          <w:sz w:val="16"/>
          <w:szCs w:val="16"/>
          <w:color w:val="005A64"/>
          <w:vertAlign w:val="superscript"/>
        </w:rPr>
      </w:pPr>
    </w:p>
    <w:p>
      <w:pPr>
        <w:ind w:left="380" w:right="2480"/>
        <w:spacing w:after="0" w:line="210" w:lineRule="auto"/>
        <w:rPr>
          <w:rFonts w:ascii="Arial" w:cs="Arial" w:eastAsia="Arial" w:hAnsi="Arial"/>
          <w:sz w:val="16"/>
          <w:szCs w:val="16"/>
          <w:color w:val="005A64"/>
          <w:vertAlign w:val="superscript"/>
        </w:rPr>
      </w:pPr>
      <w:r>
        <w:rPr>
          <w:rFonts w:ascii="Arial" w:cs="Arial" w:eastAsia="Arial" w:hAnsi="Arial"/>
          <w:sz w:val="13"/>
          <w:szCs w:val="13"/>
          <w:color w:val="auto"/>
        </w:rPr>
        <w:t>As of December 31, 2024, the share options outstanding under our equity-settled share-based payment arrangements had a remaining weighted average expected life of 0.1 years (as of December 31, 2023: 0.8 years).</w:t>
      </w:r>
    </w:p>
    <w:p>
      <w:pPr>
        <w:spacing w:after="0" w:line="1" w:lineRule="exact"/>
        <w:rPr>
          <w:rFonts w:ascii="Arial" w:cs="Arial" w:eastAsia="Arial" w:hAnsi="Arial"/>
          <w:sz w:val="16"/>
          <w:szCs w:val="16"/>
          <w:color w:val="005A64"/>
          <w:vertAlign w:val="superscript"/>
        </w:rPr>
      </w:pPr>
    </w:p>
    <w:p>
      <w:pPr>
        <w:ind w:left="380"/>
        <w:spacing w:after="0" w:line="210" w:lineRule="auto"/>
        <w:rPr>
          <w:rFonts w:ascii="Arial" w:cs="Arial" w:eastAsia="Arial" w:hAnsi="Arial"/>
          <w:sz w:val="16"/>
          <w:szCs w:val="16"/>
          <w:color w:val="005A64"/>
          <w:vertAlign w:val="superscript"/>
        </w:rPr>
      </w:pPr>
      <w:r>
        <w:rPr>
          <w:rFonts w:ascii="Arial" w:cs="Arial" w:eastAsia="Arial" w:hAnsi="Arial"/>
          <w:sz w:val="13"/>
          <w:szCs w:val="13"/>
          <w:color w:val="005A64"/>
        </w:rPr>
        <w:t>InstaDeep Employee Stock Ownership Awards (Equity-Settled)</w:t>
      </w:r>
    </w:p>
    <w:p>
      <w:pPr>
        <w:ind w:left="380" w:right="2100"/>
        <w:spacing w:after="0" w:line="210" w:lineRule="auto"/>
        <w:rPr>
          <w:rFonts w:ascii="Arial" w:cs="Arial" w:eastAsia="Arial" w:hAnsi="Arial"/>
          <w:sz w:val="16"/>
          <w:szCs w:val="16"/>
          <w:color w:val="005A64"/>
          <w:vertAlign w:val="superscript"/>
        </w:rPr>
      </w:pPr>
      <w:r>
        <w:rPr>
          <w:rFonts w:ascii="Arial" w:cs="Arial" w:eastAsia="Arial" w:hAnsi="Arial"/>
          <w:sz w:val="13"/>
          <w:szCs w:val="13"/>
          <w:color w:val="auto"/>
        </w:rPr>
        <w:t>As part of the acquisition of InstaDeep in 2023, we agreed to issue long-term ESOP awards with a total target incentive value of £15.0 million. With this award, 398,013 options were granted to the InstaDeep employees. The awards are subject to a 4-year cliff vesting and will vest and become exercisable in July 2027. The exercise price is $94.47 for all InstaDeep employees located in France and Rest of World and $100.34 for two employees located in the US. As of December 31, 2024, 398,013 options are outstanding.</w:t>
      </w:r>
    </w:p>
    <w:p>
      <w:pPr>
        <w:spacing w:after="0" w:line="2" w:lineRule="exact"/>
        <w:rPr>
          <w:rFonts w:ascii="Arial" w:cs="Arial" w:eastAsia="Arial" w:hAnsi="Arial"/>
          <w:sz w:val="16"/>
          <w:szCs w:val="16"/>
          <w:color w:val="005A64"/>
          <w:vertAlign w:val="superscript"/>
        </w:rPr>
      </w:pPr>
    </w:p>
    <w:p>
      <w:pPr>
        <w:ind w:left="380" w:right="2140"/>
        <w:spacing w:after="0" w:line="210" w:lineRule="auto"/>
        <w:rPr>
          <w:rFonts w:ascii="Arial" w:cs="Arial" w:eastAsia="Arial" w:hAnsi="Arial"/>
          <w:sz w:val="16"/>
          <w:szCs w:val="16"/>
          <w:color w:val="005A64"/>
          <w:vertAlign w:val="superscript"/>
        </w:rPr>
      </w:pPr>
      <w:r>
        <w:rPr>
          <w:rFonts w:ascii="Arial" w:cs="Arial" w:eastAsia="Arial" w:hAnsi="Arial"/>
          <w:sz w:val="13"/>
          <w:szCs w:val="13"/>
          <w:color w:val="auto"/>
        </w:rPr>
        <w:t>The fair value of the ESOP awards has been measured using a Monte Carlo simulation. For the ESOPs granted under the InstaDeep Employee Stock Ownership awards, the same performance requirements that allow the ESOPs to be exercised apply as for the BioNTech Employee Stock Ownership Plan.</w:t>
      </w:r>
    </w:p>
    <w:p>
      <w:pPr>
        <w:spacing w:after="0" w:line="1" w:lineRule="exact"/>
        <w:rPr>
          <w:rFonts w:ascii="Arial" w:cs="Arial" w:eastAsia="Arial" w:hAnsi="Arial"/>
          <w:sz w:val="16"/>
          <w:szCs w:val="16"/>
          <w:color w:val="005A64"/>
          <w:vertAlign w:val="superscript"/>
        </w:rPr>
      </w:pPr>
    </w:p>
    <w:p>
      <w:pPr>
        <w:ind w:left="380"/>
        <w:spacing w:after="0" w:line="210" w:lineRule="auto"/>
        <w:rPr>
          <w:rFonts w:ascii="Arial" w:cs="Arial" w:eastAsia="Arial" w:hAnsi="Arial"/>
          <w:sz w:val="16"/>
          <w:szCs w:val="16"/>
          <w:color w:val="005A64"/>
          <w:vertAlign w:val="superscript"/>
        </w:rPr>
      </w:pPr>
      <w:r>
        <w:rPr>
          <w:rFonts w:ascii="Arial" w:cs="Arial" w:eastAsia="Arial" w:hAnsi="Arial"/>
          <w:sz w:val="13"/>
          <w:szCs w:val="13"/>
          <w:color w:val="005A64"/>
        </w:rPr>
        <w:t>Employee Stock Ownership Plan (Cash-Settled)</w:t>
      </w:r>
    </w:p>
    <w:p>
      <w:pPr>
        <w:ind w:left="380" w:right="2120"/>
        <w:spacing w:after="0" w:line="210" w:lineRule="auto"/>
        <w:rPr>
          <w:rFonts w:ascii="Arial" w:cs="Arial" w:eastAsia="Arial" w:hAnsi="Arial"/>
          <w:sz w:val="16"/>
          <w:szCs w:val="16"/>
          <w:color w:val="005A64"/>
          <w:vertAlign w:val="superscript"/>
        </w:rPr>
      </w:pPr>
      <w:r>
        <w:rPr>
          <w:rFonts w:ascii="Arial" w:cs="Arial" w:eastAsia="Arial" w:hAnsi="Arial"/>
          <w:sz w:val="13"/>
          <w:szCs w:val="13"/>
          <w:color w:val="auto"/>
        </w:rPr>
        <w:t>Phantom options which were granted under the ESOP mainly during the year ended December 31, 2022, each give the participants the right to receive a cash payment equal to the difference between an exercise closing price (average closing price of an American Depositary Share of BioNTech on Nasdaq over the last ten trading days preceding the exercise date) and the exercise price. The phantom options can only be exercised by the grantee if the price of the share is equal or greater to the threshold amount as defined in the ESOP agreement. The majority of options have an exercise price of €10.14. During the years ended December 31, 2024 and 2023, 50,748 and 52,100 cash-settled phantom option rights were exercised and resulted in a cash outflow of</w:t>
      </w:r>
    </w:p>
    <w:p>
      <w:pPr>
        <w:spacing w:after="0" w:line="4" w:lineRule="exact"/>
        <w:rPr>
          <w:rFonts w:ascii="Arial" w:cs="Arial" w:eastAsia="Arial" w:hAnsi="Arial"/>
          <w:sz w:val="16"/>
          <w:szCs w:val="16"/>
          <w:color w:val="005A64"/>
          <w:vertAlign w:val="superscript"/>
        </w:rPr>
      </w:pPr>
    </w:p>
    <w:p>
      <w:pPr>
        <w:ind w:left="380" w:right="2200"/>
        <w:spacing w:after="0" w:line="234" w:lineRule="auto"/>
        <w:rPr>
          <w:rFonts w:ascii="Arial" w:cs="Arial" w:eastAsia="Arial" w:hAnsi="Arial"/>
          <w:sz w:val="16"/>
          <w:szCs w:val="16"/>
          <w:color w:val="005A64"/>
          <w:vertAlign w:val="superscript"/>
        </w:rPr>
      </w:pPr>
      <w:r>
        <w:rPr>
          <w:rFonts w:ascii="Arial" w:cs="Arial" w:eastAsia="Arial" w:hAnsi="Arial"/>
          <w:sz w:val="13"/>
          <w:szCs w:val="13"/>
          <w:color w:val="auto"/>
        </w:rPr>
        <w:t>€3.8 million and €4.5 million, respectively. The average 10-day closing prices of an American Depositary Share of BioNTech on Nasdaq weighted over the various settlement dates converted from USD to Euro using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F-67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exchange rate published by the German Central Bank (</w:t>
      </w:r>
      <w:r>
        <w:rPr>
          <w:rFonts w:ascii="Arial" w:cs="Arial" w:eastAsia="Arial" w:hAnsi="Arial"/>
          <w:sz w:val="13"/>
          <w:szCs w:val="13"/>
          <w:i w:val="1"/>
          <w:iCs w:val="1"/>
          <w:color w:val="auto"/>
        </w:rPr>
        <w:t>Deutsche Bundesbank</w:t>
      </w:r>
      <w:r>
        <w:rPr>
          <w:rFonts w:ascii="Arial" w:cs="Arial" w:eastAsia="Arial" w:hAnsi="Arial"/>
          <w:sz w:val="13"/>
          <w:szCs w:val="13"/>
          <w:color w:val="auto"/>
        </w:rPr>
        <w:t>) on the same days was €92.70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69">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0" w:lineRule="auto"/>
        <w:rPr>
          <w:sz w:val="20"/>
          <w:szCs w:val="20"/>
          <w:color w:val="auto"/>
        </w:rPr>
      </w:pPr>
      <w:r>
        <w:rPr>
          <w:rFonts w:ascii="Arial" w:cs="Arial" w:eastAsia="Arial" w:hAnsi="Arial"/>
          <w:sz w:val="13"/>
          <w:szCs w:val="13"/>
          <w:color w:val="auto"/>
        </w:rPr>
        <w:t>and €96.25. As of December 31, 2024, 58,903 cash-settled option rights remained outstanding. As of</w:t>
      </w:r>
    </w:p>
    <w:p>
      <w:pPr>
        <w:ind w:left="380"/>
        <w:spacing w:after="0" w:line="211" w:lineRule="auto"/>
        <w:rPr>
          <w:sz w:val="20"/>
          <w:szCs w:val="20"/>
          <w:color w:val="auto"/>
        </w:rPr>
      </w:pPr>
      <w:r>
        <w:rPr>
          <w:rFonts w:ascii="Arial" w:cs="Arial" w:eastAsia="Arial" w:hAnsi="Arial"/>
          <w:sz w:val="13"/>
          <w:szCs w:val="13"/>
          <w:color w:val="auto"/>
        </w:rPr>
        <w:t>December 31, 2024, the liability related to cash-settled share-based payment option rights amounted to</w:t>
      </w:r>
    </w:p>
    <w:p>
      <w:pPr>
        <w:ind w:left="380"/>
        <w:spacing w:after="0" w:line="211" w:lineRule="auto"/>
        <w:rPr>
          <w:sz w:val="20"/>
          <w:szCs w:val="20"/>
          <w:color w:val="auto"/>
        </w:rPr>
      </w:pPr>
      <w:r>
        <w:rPr>
          <w:rFonts w:ascii="Arial" w:cs="Arial" w:eastAsia="Arial" w:hAnsi="Arial"/>
          <w:sz w:val="13"/>
          <w:szCs w:val="13"/>
          <w:color w:val="auto"/>
        </w:rPr>
        <w:t>€5.0 million (€8.5 million as of December 31, 2023). The liability is based on the fair value of the respective</w:t>
      </w:r>
    </w:p>
    <w:p>
      <w:pPr>
        <w:ind w:left="380"/>
        <w:spacing w:after="0" w:line="211" w:lineRule="auto"/>
        <w:rPr>
          <w:sz w:val="20"/>
          <w:szCs w:val="20"/>
          <w:color w:val="auto"/>
        </w:rPr>
      </w:pPr>
      <w:r>
        <w:rPr>
          <w:rFonts w:ascii="Arial" w:cs="Arial" w:eastAsia="Arial" w:hAnsi="Arial"/>
          <w:sz w:val="13"/>
          <w:szCs w:val="13"/>
          <w:color w:val="auto"/>
        </w:rPr>
        <w:t>rights. The fair value is measured using a binomial model consistent with the grant date fair value measurement</w:t>
      </w:r>
    </w:p>
    <w:p>
      <w:pPr>
        <w:ind w:left="380"/>
        <w:spacing w:after="0" w:line="216" w:lineRule="auto"/>
        <w:rPr>
          <w:sz w:val="20"/>
          <w:szCs w:val="20"/>
          <w:color w:val="auto"/>
        </w:rPr>
      </w:pPr>
      <w:r>
        <w:rPr>
          <w:rFonts w:ascii="Arial" w:cs="Arial" w:eastAsia="Arial" w:hAnsi="Arial"/>
          <w:sz w:val="13"/>
          <w:szCs w:val="13"/>
          <w:color w:val="auto"/>
        </w:rPr>
        <w:t>of the equity-based option rights described above, which is updated on every reporting date.</w:t>
      </w:r>
    </w:p>
    <w:p>
      <w:pPr>
        <w:ind w:left="380"/>
        <w:spacing w:after="0"/>
        <w:rPr>
          <w:sz w:val="20"/>
          <w:szCs w:val="20"/>
          <w:color w:val="auto"/>
        </w:rPr>
      </w:pPr>
      <w:r>
        <w:rPr>
          <w:rFonts w:ascii="Arial" w:cs="Arial" w:eastAsia="Arial" w:hAnsi="Arial"/>
          <w:sz w:val="16"/>
          <w:szCs w:val="16"/>
          <w:b w:val="1"/>
          <w:bCs w:val="1"/>
          <w:color w:val="005A64"/>
        </w:rPr>
        <w:t>17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-10160</wp:posOffset>
            </wp:positionV>
            <wp:extent cx="4262120" cy="9950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70">
                      <a:extLst>
                        <a:ext uri="{28A0092B-C50C-407E-A947-70E740481C1C}"/>
                      </a:extLst>
                    </a:blip>
                    <a:srcRect/>
                    <a:stretch>
                      <a:fillRect/>
                    </a:stretch>
                  </pic:blipFill>
                  <pic:spPr bwMode="auto">
                    <a:xfrm>
                      <a:off x="0" y="0"/>
                      <a:ext cx="4262120" cy="995045"/>
                    </a:xfrm>
                    <a:prstGeom prst="rect">
                      <a:avLst/>
                    </a:prstGeom>
                    <a:noFill/>
                  </pic:spPr>
                </pic:pic>
              </a:graphicData>
            </a:graphic>
          </wp:anchor>
        </w:drawing>
      </w:r>
    </w:p>
    <w:p>
      <w:pPr>
        <w:spacing w:after="0" w:line="84"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4080" w:type="dxa"/>
            <w:vAlign w:val="bottom"/>
            <w:gridSpan w:val="2"/>
          </w:tcPr>
          <w:p>
            <w:pPr>
              <w:ind w:left="20"/>
              <w:spacing w:after="0"/>
              <w:rPr>
                <w:sz w:val="20"/>
                <w:szCs w:val="20"/>
                <w:color w:val="auto"/>
              </w:rPr>
            </w:pPr>
            <w:r>
              <w:rPr>
                <w:rFonts w:ascii="Arial" w:cs="Arial" w:eastAsia="Arial" w:hAnsi="Arial"/>
                <w:sz w:val="12"/>
                <w:szCs w:val="12"/>
                <w:i w:val="1"/>
                <w:iCs w:val="1"/>
                <w:color w:val="005A64"/>
              </w:rPr>
              <w:t>(in millions €)</w:t>
            </w:r>
          </w:p>
        </w:tc>
        <w:tc>
          <w:tcPr>
            <w:tcW w:w="40" w:type="dxa"/>
            <w:vAlign w:val="bottom"/>
            <w:tcBorders>
              <w:top w:val="single" w:sz="8" w:color="BECE33"/>
            </w:tcBorders>
          </w:tcPr>
          <w:p>
            <w:pPr>
              <w:spacing w:after="0"/>
              <w:rPr>
                <w:sz w:val="16"/>
                <w:szCs w:val="16"/>
                <w:color w:val="auto"/>
              </w:rPr>
            </w:pPr>
          </w:p>
        </w:tc>
        <w:tc>
          <w:tcPr>
            <w:tcW w:w="1300" w:type="dxa"/>
            <w:vAlign w:val="bottom"/>
            <w:tcBorders>
              <w:top w:val="single" w:sz="8" w:color="BECE33"/>
            </w:tcBorders>
            <w:gridSpan w:val="2"/>
          </w:tcPr>
          <w:p>
            <w:pPr>
              <w:spacing w:after="0"/>
              <w:rPr>
                <w:sz w:val="20"/>
                <w:szCs w:val="20"/>
                <w:color w:val="auto"/>
              </w:rPr>
            </w:pPr>
            <w:r>
              <w:rPr>
                <w:rFonts w:ascii="Arial" w:cs="Arial" w:eastAsia="Arial" w:hAnsi="Arial"/>
                <w:sz w:val="12"/>
                <w:szCs w:val="12"/>
                <w:b w:val="1"/>
                <w:bCs w:val="1"/>
                <w:color w:val="005A64"/>
              </w:rPr>
              <w:t>December 31, 2024</w:t>
            </w:r>
          </w:p>
        </w:tc>
        <w:tc>
          <w:tcPr>
            <w:tcW w:w="20" w:type="dxa"/>
            <w:vAlign w:val="bottom"/>
          </w:tcPr>
          <w:p>
            <w:pPr>
              <w:spacing w:after="0"/>
              <w:rPr>
                <w:sz w:val="16"/>
                <w:szCs w:val="16"/>
                <w:color w:val="auto"/>
              </w:rPr>
            </w:pPr>
          </w:p>
        </w:tc>
        <w:tc>
          <w:tcPr>
            <w:tcW w:w="1280" w:type="dxa"/>
            <w:vAlign w:val="bottom"/>
          </w:tcPr>
          <w:p>
            <w:pPr>
              <w:ind w:left="20"/>
              <w:spacing w:after="0"/>
              <w:rPr>
                <w:sz w:val="20"/>
                <w:szCs w:val="20"/>
                <w:color w:val="auto"/>
              </w:rPr>
            </w:pPr>
            <w:r>
              <w:rPr>
                <w:rFonts w:ascii="Arial" w:cs="Arial" w:eastAsia="Arial" w:hAnsi="Arial"/>
                <w:sz w:val="12"/>
                <w:szCs w:val="12"/>
                <w:b w:val="1"/>
                <w:bCs w:val="1"/>
                <w:color w:val="005A64"/>
              </w:rPr>
              <w:t>December 31, 2023</w:t>
            </w:r>
          </w:p>
        </w:tc>
        <w:tc>
          <w:tcPr>
            <w:tcW w:w="0" w:type="dxa"/>
            <w:vAlign w:val="bottom"/>
          </w:tcPr>
          <w:p>
            <w:pPr>
              <w:spacing w:after="0"/>
              <w:rPr>
                <w:sz w:val="1"/>
                <w:szCs w:val="1"/>
                <w:color w:val="auto"/>
              </w:rPr>
            </w:pPr>
          </w:p>
        </w:tc>
      </w:tr>
      <w:tr>
        <w:trPr>
          <w:trHeight w:val="160"/>
        </w:trPr>
        <w:tc>
          <w:tcPr>
            <w:tcW w:w="4060" w:type="dxa"/>
            <w:vAlign w:val="bottom"/>
            <w:tcBorders>
              <w:top w:val="single" w:sz="8" w:color="005A64"/>
            </w:tcBorders>
          </w:tcPr>
          <w:p>
            <w:pPr>
              <w:ind w:left="20"/>
              <w:spacing w:after="0"/>
              <w:rPr>
                <w:sz w:val="20"/>
                <w:szCs w:val="20"/>
                <w:color w:val="auto"/>
              </w:rPr>
            </w:pPr>
            <w:r>
              <w:rPr>
                <w:rFonts w:ascii="Arial" w:cs="Arial" w:eastAsia="Arial" w:hAnsi="Arial"/>
                <w:sz w:val="12"/>
                <w:szCs w:val="12"/>
                <w:color w:val="005A64"/>
              </w:rPr>
              <w:t>Contractual disputes / settlements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tcBorders>
              <w:top w:val="single" w:sz="8" w:color="005A64"/>
            </w:tcBorders>
          </w:tcPr>
          <w:p>
            <w:pPr>
              <w:spacing w:after="0"/>
              <w:rPr>
                <w:sz w:val="20"/>
                <w:szCs w:val="20"/>
                <w:color w:val="auto"/>
              </w:rPr>
            </w:pPr>
            <w:r>
              <w:rPr>
                <w:rFonts w:ascii="Arial" w:cs="Arial" w:eastAsia="Arial" w:hAnsi="Arial"/>
                <w:sz w:val="12"/>
                <w:szCs w:val="12"/>
                <w:color w:val="005A64"/>
              </w:rPr>
              <w:t>85.7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Borders>
              <w:top w:val="single" w:sz="8" w:color="005A64"/>
            </w:tcBorders>
          </w:tcPr>
          <w:p>
            <w:pPr>
              <w:ind w:left="20"/>
              <w:spacing w:after="0"/>
              <w:rPr>
                <w:sz w:val="20"/>
                <w:szCs w:val="20"/>
                <w:color w:val="auto"/>
              </w:rPr>
            </w:pPr>
            <w:r>
              <w:rPr>
                <w:rFonts w:ascii="Arial" w:cs="Arial" w:eastAsia="Arial" w:hAnsi="Arial"/>
                <w:sz w:val="12"/>
                <w:szCs w:val="12"/>
                <w:color w:val="005A64"/>
              </w:rPr>
              <w:t>118.2</w:t>
            </w:r>
          </w:p>
        </w:tc>
        <w:tc>
          <w:tcPr>
            <w:tcW w:w="0" w:type="dxa"/>
            <w:vAlign w:val="bottom"/>
          </w:tcPr>
          <w:p>
            <w:pPr>
              <w:spacing w:after="0"/>
              <w:rPr>
                <w:sz w:val="1"/>
                <w:szCs w:val="1"/>
                <w:color w:val="auto"/>
              </w:rPr>
            </w:pPr>
          </w:p>
        </w:tc>
      </w:tr>
      <w:tr>
        <w:trPr>
          <w:trHeight w:val="181"/>
        </w:trPr>
        <w:tc>
          <w:tcPr>
            <w:tcW w:w="4080" w:type="dxa"/>
            <w:vAlign w:val="bottom"/>
            <w:gridSpan w:val="2"/>
          </w:tcPr>
          <w:p>
            <w:pPr>
              <w:ind w:left="20"/>
              <w:spacing w:after="0"/>
              <w:rPr>
                <w:sz w:val="20"/>
                <w:szCs w:val="20"/>
                <w:color w:val="auto"/>
              </w:rPr>
            </w:pPr>
            <w:r>
              <w:rPr>
                <w:rFonts w:ascii="Arial" w:cs="Arial" w:eastAsia="Arial" w:hAnsi="Arial"/>
                <w:sz w:val="12"/>
                <w:szCs w:val="12"/>
                <w:color w:val="005A64"/>
              </w:rPr>
              <w:t>Obligations from onerous CMO contracts</w:t>
            </w:r>
          </w:p>
        </w:tc>
        <w:tc>
          <w:tcPr>
            <w:tcW w:w="1320" w:type="dxa"/>
            <w:vAlign w:val="bottom"/>
            <w:gridSpan w:val="2"/>
          </w:tcPr>
          <w:p>
            <w:pPr>
              <w:ind w:left="40"/>
              <w:spacing w:after="0"/>
              <w:rPr>
                <w:sz w:val="20"/>
                <w:szCs w:val="20"/>
                <w:color w:val="auto"/>
              </w:rPr>
            </w:pPr>
            <w:r>
              <w:rPr>
                <w:rFonts w:ascii="Arial" w:cs="Arial" w:eastAsia="Arial" w:hAnsi="Arial"/>
                <w:sz w:val="12"/>
                <w:szCs w:val="12"/>
                <w:color w:val="005A64"/>
              </w:rPr>
              <w:t>50.7</w:t>
            </w:r>
          </w:p>
        </w:tc>
        <w:tc>
          <w:tcPr>
            <w:tcW w:w="20" w:type="dxa"/>
            <w:vAlign w:val="bottom"/>
          </w:tcPr>
          <w:p>
            <w:pPr>
              <w:spacing w:after="0"/>
              <w:rPr>
                <w:sz w:val="15"/>
                <w:szCs w:val="15"/>
                <w:color w:val="auto"/>
              </w:rPr>
            </w:pPr>
          </w:p>
        </w:tc>
        <w:tc>
          <w:tcPr>
            <w:tcW w:w="1300" w:type="dxa"/>
            <w:vAlign w:val="bottom"/>
            <w:gridSpan w:val="2"/>
          </w:tcPr>
          <w:p>
            <w:pPr>
              <w:ind w:left="40"/>
              <w:spacing w:after="0"/>
              <w:rPr>
                <w:sz w:val="20"/>
                <w:szCs w:val="20"/>
                <w:color w:val="auto"/>
              </w:rPr>
            </w:pPr>
            <w:r>
              <w:rPr>
                <w:rFonts w:ascii="Arial" w:cs="Arial" w:eastAsia="Arial" w:hAnsi="Arial"/>
                <w:sz w:val="12"/>
                <w:szCs w:val="12"/>
                <w:color w:val="005A64"/>
              </w:rPr>
              <w:t>80.2</w:t>
            </w:r>
          </w:p>
        </w:tc>
        <w:tc>
          <w:tcPr>
            <w:tcW w:w="0" w:type="dxa"/>
            <w:vAlign w:val="bottom"/>
          </w:tcPr>
          <w:p>
            <w:pPr>
              <w:spacing w:after="0"/>
              <w:rPr>
                <w:sz w:val="1"/>
                <w:szCs w:val="1"/>
                <w:color w:val="auto"/>
              </w:rPr>
            </w:pPr>
          </w:p>
        </w:tc>
      </w:tr>
      <w:tr>
        <w:trPr>
          <w:trHeight w:val="202"/>
        </w:trPr>
        <w:tc>
          <w:tcPr>
            <w:tcW w:w="4080" w:type="dxa"/>
            <w:vAlign w:val="bottom"/>
            <w:gridSpan w:val="2"/>
          </w:tcPr>
          <w:p>
            <w:pPr>
              <w:ind w:left="20"/>
              <w:spacing w:after="0"/>
              <w:rPr>
                <w:sz w:val="20"/>
                <w:szCs w:val="20"/>
                <w:color w:val="auto"/>
              </w:rPr>
            </w:pPr>
            <w:r>
              <w:rPr>
                <w:rFonts w:ascii="Arial" w:cs="Arial" w:eastAsia="Arial" w:hAnsi="Arial"/>
                <w:sz w:val="12"/>
                <w:szCs w:val="12"/>
                <w:color w:val="005A64"/>
              </w:rPr>
              <w:t>Other</w:t>
            </w:r>
          </w:p>
        </w:tc>
        <w:tc>
          <w:tcPr>
            <w:tcW w:w="1320" w:type="dxa"/>
            <w:vAlign w:val="bottom"/>
            <w:gridSpan w:val="2"/>
          </w:tcPr>
          <w:p>
            <w:pPr>
              <w:ind w:left="40"/>
              <w:spacing w:after="0"/>
              <w:rPr>
                <w:sz w:val="20"/>
                <w:szCs w:val="20"/>
                <w:color w:val="auto"/>
              </w:rPr>
            </w:pPr>
            <w:r>
              <w:rPr>
                <w:rFonts w:ascii="Arial" w:cs="Arial" w:eastAsia="Arial" w:hAnsi="Arial"/>
                <w:sz w:val="12"/>
                <w:szCs w:val="12"/>
                <w:color w:val="005A64"/>
              </w:rPr>
              <w:t>29.3</w:t>
            </w:r>
          </w:p>
        </w:tc>
        <w:tc>
          <w:tcPr>
            <w:tcW w:w="2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2"/>
                <w:szCs w:val="12"/>
                <w:color w:val="005A64"/>
              </w:rPr>
              <w:t>79.7</w:t>
            </w:r>
          </w:p>
        </w:tc>
        <w:tc>
          <w:tcPr>
            <w:tcW w:w="0" w:type="dxa"/>
            <w:vAlign w:val="bottom"/>
          </w:tcPr>
          <w:p>
            <w:pPr>
              <w:spacing w:after="0"/>
              <w:rPr>
                <w:sz w:val="1"/>
                <w:szCs w:val="1"/>
                <w:color w:val="auto"/>
              </w:rPr>
            </w:pPr>
          </w:p>
        </w:tc>
      </w:tr>
      <w:tr>
        <w:trPr>
          <w:trHeight w:val="208"/>
        </w:trPr>
        <w:tc>
          <w:tcPr>
            <w:tcW w:w="408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w:t>
            </w:r>
          </w:p>
        </w:tc>
        <w:tc>
          <w:tcPr>
            <w:tcW w:w="1320" w:type="dxa"/>
            <w:vAlign w:val="bottom"/>
            <w:gridSpan w:val="2"/>
          </w:tcPr>
          <w:p>
            <w:pPr>
              <w:ind w:left="40"/>
              <w:spacing w:after="0"/>
              <w:rPr>
                <w:sz w:val="20"/>
                <w:szCs w:val="20"/>
                <w:color w:val="auto"/>
              </w:rPr>
            </w:pPr>
            <w:r>
              <w:rPr>
                <w:rFonts w:ascii="Arial" w:cs="Arial" w:eastAsia="Arial" w:hAnsi="Arial"/>
                <w:sz w:val="12"/>
                <w:szCs w:val="12"/>
                <w:b w:val="1"/>
                <w:bCs w:val="1"/>
                <w:color w:val="005A64"/>
              </w:rPr>
              <w:t>165.7</w:t>
            </w:r>
          </w:p>
        </w:tc>
        <w:tc>
          <w:tcPr>
            <w:tcW w:w="2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2"/>
                <w:szCs w:val="12"/>
                <w:b w:val="1"/>
                <w:bCs w:val="1"/>
                <w:color w:val="005A64"/>
              </w:rPr>
              <w:t>278.1</w:t>
            </w:r>
          </w:p>
        </w:tc>
        <w:tc>
          <w:tcPr>
            <w:tcW w:w="0" w:type="dxa"/>
            <w:vAlign w:val="bottom"/>
          </w:tcPr>
          <w:p>
            <w:pPr>
              <w:spacing w:after="0"/>
              <w:rPr>
                <w:sz w:val="1"/>
                <w:szCs w:val="1"/>
                <w:color w:val="auto"/>
              </w:rPr>
            </w:pPr>
          </w:p>
        </w:tc>
      </w:tr>
      <w:tr>
        <w:trPr>
          <w:trHeight w:val="47"/>
        </w:trPr>
        <w:tc>
          <w:tcPr>
            <w:tcW w:w="406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1280" w:type="dxa"/>
            <w:vAlign w:val="bottom"/>
            <w:tcBorders>
              <w:bottom w:val="single" w:sz="8" w:color="005A64"/>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28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4060" w:type="dxa"/>
            <w:vAlign w:val="bottom"/>
          </w:tcPr>
          <w:p>
            <w:pPr>
              <w:ind w:left="20"/>
              <w:spacing w:after="0"/>
              <w:rPr>
                <w:sz w:val="20"/>
                <w:szCs w:val="20"/>
                <w:color w:val="auto"/>
              </w:rPr>
            </w:pPr>
            <w:r>
              <w:rPr>
                <w:rFonts w:ascii="Arial" w:cs="Arial" w:eastAsia="Arial" w:hAnsi="Arial"/>
                <w:sz w:val="12"/>
                <w:szCs w:val="12"/>
                <w:color w:val="005A64"/>
              </w:rPr>
              <w:t>Total current</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2"/>
                <w:szCs w:val="12"/>
                <w:color w:val="005A64"/>
              </w:rPr>
              <w:t>144.8</w:t>
            </w: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2"/>
                <w:szCs w:val="12"/>
                <w:color w:val="005A64"/>
              </w:rPr>
              <w:t>269.3</w:t>
            </w:r>
          </w:p>
        </w:tc>
        <w:tc>
          <w:tcPr>
            <w:tcW w:w="0" w:type="dxa"/>
            <w:vAlign w:val="bottom"/>
          </w:tcPr>
          <w:p>
            <w:pPr>
              <w:spacing w:after="0"/>
              <w:rPr>
                <w:sz w:val="1"/>
                <w:szCs w:val="1"/>
                <w:color w:val="auto"/>
              </w:rPr>
            </w:pPr>
          </w:p>
        </w:tc>
      </w:tr>
      <w:tr>
        <w:trPr>
          <w:trHeight w:val="181"/>
        </w:trPr>
        <w:tc>
          <w:tcPr>
            <w:tcW w:w="4080" w:type="dxa"/>
            <w:vAlign w:val="bottom"/>
            <w:gridSpan w:val="2"/>
          </w:tcPr>
          <w:p>
            <w:pPr>
              <w:ind w:left="20"/>
              <w:spacing w:after="0"/>
              <w:rPr>
                <w:sz w:val="20"/>
                <w:szCs w:val="20"/>
                <w:color w:val="auto"/>
              </w:rPr>
            </w:pPr>
            <w:r>
              <w:rPr>
                <w:rFonts w:ascii="Arial" w:cs="Arial" w:eastAsia="Arial" w:hAnsi="Arial"/>
                <w:sz w:val="12"/>
                <w:szCs w:val="12"/>
                <w:color w:val="005A64"/>
              </w:rPr>
              <w:t>Total non-current</w:t>
            </w:r>
          </w:p>
        </w:tc>
        <w:tc>
          <w:tcPr>
            <w:tcW w:w="1320" w:type="dxa"/>
            <w:vAlign w:val="bottom"/>
            <w:gridSpan w:val="2"/>
          </w:tcPr>
          <w:p>
            <w:pPr>
              <w:ind w:left="40"/>
              <w:spacing w:after="0"/>
              <w:rPr>
                <w:sz w:val="20"/>
                <w:szCs w:val="20"/>
                <w:color w:val="auto"/>
              </w:rPr>
            </w:pPr>
            <w:r>
              <w:rPr>
                <w:rFonts w:ascii="Arial" w:cs="Arial" w:eastAsia="Arial" w:hAnsi="Arial"/>
                <w:sz w:val="12"/>
                <w:szCs w:val="12"/>
                <w:color w:val="005A64"/>
              </w:rPr>
              <w:t>20.9</w:t>
            </w:r>
          </w:p>
        </w:tc>
        <w:tc>
          <w:tcPr>
            <w:tcW w:w="20" w:type="dxa"/>
            <w:vAlign w:val="bottom"/>
          </w:tcPr>
          <w:p>
            <w:pPr>
              <w:spacing w:after="0"/>
              <w:rPr>
                <w:sz w:val="15"/>
                <w:szCs w:val="15"/>
                <w:color w:val="auto"/>
              </w:rPr>
            </w:pPr>
          </w:p>
        </w:tc>
        <w:tc>
          <w:tcPr>
            <w:tcW w:w="1300" w:type="dxa"/>
            <w:vAlign w:val="bottom"/>
            <w:gridSpan w:val="2"/>
          </w:tcPr>
          <w:p>
            <w:pPr>
              <w:ind w:left="40"/>
              <w:spacing w:after="0"/>
              <w:rPr>
                <w:sz w:val="20"/>
                <w:szCs w:val="20"/>
                <w:color w:val="auto"/>
              </w:rPr>
            </w:pPr>
            <w:r>
              <w:rPr>
                <w:rFonts w:ascii="Arial" w:cs="Arial" w:eastAsia="Arial" w:hAnsi="Arial"/>
                <w:sz w:val="12"/>
                <w:szCs w:val="12"/>
                <w:color w:val="005A64"/>
              </w:rPr>
              <w:t>8.8</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380" w:right="2140"/>
        <w:spacing w:after="0" w:line="214" w:lineRule="auto"/>
        <w:rPr>
          <w:sz w:val="20"/>
          <w:szCs w:val="20"/>
          <w:color w:val="auto"/>
        </w:rPr>
      </w:pPr>
      <w:r>
        <w:rPr>
          <w:rFonts w:ascii="Arial" w:cs="Arial" w:eastAsia="Arial" w:hAnsi="Arial"/>
          <w:sz w:val="13"/>
          <w:szCs w:val="13"/>
          <w:color w:val="auto"/>
        </w:rPr>
        <w:t>As of December 31, 2024, our current provisions included €85.7 million in contractual disputes mainly related to collaborators regarding, among other things, the interpretation of each party’s obligations or the amounts payable under the respective agreements (€118.2 million as of December 31, 2023). Acknowledging a decrease in obligations identified as contractual disputes, the change of €32.5 million compared to the previous period related entirely to consumption.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-416560</wp:posOffset>
            </wp:positionV>
            <wp:extent cx="4262120" cy="63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71">
                      <a:extLst>
                        <a:ext uri="{28A0092B-C50C-407E-A947-70E740481C1C}"/>
                      </a:extLst>
                    </a:blip>
                    <a:srcRect/>
                    <a:stretch>
                      <a:fillRect/>
                    </a:stretch>
                  </pic:blipFill>
                  <pic:spPr bwMode="auto">
                    <a:xfrm>
                      <a:off x="0" y="0"/>
                      <a:ext cx="4262120" cy="6350"/>
                    </a:xfrm>
                    <a:prstGeom prst="rect">
                      <a:avLst/>
                    </a:prstGeom>
                    <a:noFill/>
                  </pic:spPr>
                </pic:pic>
              </a:graphicData>
            </a:graphic>
          </wp:anchor>
        </w:drawing>
      </w:r>
    </w:p>
    <w:p>
      <w:pPr>
        <w:ind w:left="380" w:right="2120"/>
        <w:spacing w:after="0" w:line="210" w:lineRule="auto"/>
        <w:rPr>
          <w:sz w:val="20"/>
          <w:szCs w:val="20"/>
          <w:color w:val="auto"/>
        </w:rPr>
      </w:pPr>
      <w:r>
        <w:rPr>
          <w:rFonts w:ascii="Arial" w:cs="Arial" w:eastAsia="Arial" w:hAnsi="Arial"/>
          <w:sz w:val="13"/>
          <w:szCs w:val="13"/>
          <w:color w:val="auto"/>
        </w:rPr>
        <w:t>As of December 31, 2024, our current provisions included €50.7 million (€80.2 million as of December 31, 2023) of obligations for production capacities derived from contracts with Contract Manufacturing Organizations, or CMOs, that became redundant. The change of €29.5 million compared to December 31, 2023, related entirely to release of provision.</w:t>
      </w:r>
    </w:p>
    <w:p>
      <w:pPr>
        <w:spacing w:after="0" w:line="2" w:lineRule="exact"/>
        <w:rPr>
          <w:sz w:val="20"/>
          <w:szCs w:val="20"/>
          <w:color w:val="auto"/>
        </w:rPr>
      </w:pPr>
    </w:p>
    <w:p>
      <w:pPr>
        <w:ind w:left="380" w:right="2140"/>
        <w:spacing w:after="0" w:line="212" w:lineRule="auto"/>
        <w:rPr>
          <w:sz w:val="20"/>
          <w:szCs w:val="20"/>
          <w:color w:val="auto"/>
        </w:rPr>
      </w:pPr>
      <w:r>
        <w:rPr>
          <w:rFonts w:ascii="Arial" w:cs="Arial" w:eastAsia="Arial" w:hAnsi="Arial"/>
          <w:sz w:val="13"/>
          <w:szCs w:val="13"/>
          <w:color w:val="auto"/>
        </w:rPr>
        <w:t>As of December 31, 2024, our current provisions included € 29.3 million in other obligations mainly comprising employee related obligations (€ 79.7 million as of December 31, 2023, mainly comprising inventor remunerations as well as customs and duties). The change of €50.4 million compared to the previous period related mainly to consumption.</w:t>
      </w:r>
    </w:p>
    <w:p>
      <w:pPr>
        <w:sectPr>
          <w:pgSz w:w="11900" w:h="16840" w:orient="portrait"/>
          <w:cols w:equalWidth="0" w:num="1">
            <w:col w:w="9020"/>
          </w:cols>
          <w:pgMar w:left="1440" w:top="553" w:right="1440" w:bottom="91" w:gutter="0" w:footer="0" w:header="0"/>
        </w:sectPr>
      </w:pPr>
    </w:p>
    <w:p>
      <w:pPr>
        <w:ind w:left="380"/>
        <w:spacing w:after="0"/>
        <w:rPr>
          <w:sz w:val="20"/>
          <w:szCs w:val="20"/>
          <w:color w:val="auto"/>
        </w:rPr>
      </w:pPr>
      <w:r>
        <w:rPr>
          <w:rFonts w:ascii="Arial" w:cs="Arial" w:eastAsia="Arial" w:hAnsi="Arial"/>
          <w:sz w:val="16"/>
          <w:szCs w:val="16"/>
          <w:b w:val="1"/>
          <w:bCs w:val="1"/>
          <w:color w:val="005A64"/>
        </w:rPr>
        <w:t>18 Contingent Liabilities and Other Financial Commitments</w:t>
      </w:r>
    </w:p>
    <w:p>
      <w:pPr>
        <w:sectPr>
          <w:pgSz w:w="11900" w:h="16840" w:orient="portrait"/>
          <w:cols w:equalWidth="0" w:num="1">
            <w:col w:w="9020"/>
          </w:cols>
          <w:pgMar w:left="1440" w:top="553" w:right="1440" w:bottom="91" w:gutter="0" w:footer="0" w:header="0"/>
          <w:type w:val="continuous"/>
        </w:sectPr>
      </w:pPr>
    </w:p>
    <w:bookmarkStart w:id="226" w:name="page227"/>
    <w:bookmarkEnd w:id="226"/>
    <w:p>
      <w:pPr>
        <w:ind w:left="380"/>
        <w:spacing w:after="0"/>
        <w:rPr>
          <w:sz w:val="20"/>
          <w:szCs w:val="20"/>
          <w:color w:val="auto"/>
        </w:rPr>
      </w:pPr>
      <w:r>
        <w:rPr>
          <w:rFonts w:ascii="Arial" w:cs="Arial" w:eastAsia="Arial" w:hAnsi="Arial"/>
          <w:sz w:val="13"/>
          <w:szCs w:val="13"/>
          <w:b w:val="1"/>
          <w:bCs w:val="1"/>
          <w:color w:val="005A64"/>
        </w:rPr>
        <w:t>Contingent Liabilities</w:t>
      </w:r>
    </w:p>
    <w:p>
      <w:pPr>
        <w:jc w:val="both"/>
        <w:ind w:left="380" w:right="2280"/>
        <w:spacing w:after="0" w:line="210" w:lineRule="auto"/>
        <w:rPr>
          <w:sz w:val="20"/>
          <w:szCs w:val="20"/>
          <w:color w:val="auto"/>
        </w:rPr>
      </w:pPr>
      <w:r>
        <w:rPr>
          <w:rFonts w:ascii="Arial" w:cs="Arial" w:eastAsia="Arial" w:hAnsi="Arial"/>
          <w:sz w:val="13"/>
          <w:szCs w:val="13"/>
          <w:color w:val="auto"/>
        </w:rPr>
        <w:t>Our contingent liabilities include, but are not limited to, intellectual property disputes and contractual disputes regarding, among other things, the interpretation of each party’s obligations or the amounts payable under the respective agreements, product-related disputes and actions by or on behalf of our shareholders.</w:t>
      </w:r>
    </w:p>
    <w:p>
      <w:pPr>
        <w:spacing w:after="0" w:line="2" w:lineRule="exact"/>
        <w:rPr>
          <w:sz w:val="20"/>
          <w:szCs w:val="20"/>
          <w:color w:val="auto"/>
        </w:rPr>
      </w:pPr>
    </w:p>
    <w:p>
      <w:pPr>
        <w:ind w:left="380" w:right="2120"/>
        <w:spacing w:after="0" w:line="210" w:lineRule="auto"/>
        <w:rPr>
          <w:sz w:val="20"/>
          <w:szCs w:val="20"/>
          <w:color w:val="auto"/>
        </w:rPr>
      </w:pPr>
      <w:r>
        <w:rPr>
          <w:rFonts w:ascii="Arial" w:cs="Arial" w:eastAsia="Arial" w:hAnsi="Arial"/>
          <w:sz w:val="13"/>
          <w:szCs w:val="13"/>
          <w:color w:val="auto"/>
        </w:rPr>
        <w:t>From time to time, in the normal course and conduct of our business, we may be involved in proceedings with third parties about considering, for example, the use and/or remuneration for use of such third party’s intellectual property. As of December 31, 2024, none of the intellectual property-related considerations outlined below, of which we have either been notified, or for which potential claims could be brought against us or our subsidiaries in the future, fulfill the criteria for recording a provision.</w:t>
      </w:r>
    </w:p>
    <w:p>
      <w:pPr>
        <w:spacing w:after="0" w:line="3" w:lineRule="exact"/>
        <w:rPr>
          <w:sz w:val="20"/>
          <w:szCs w:val="20"/>
          <w:color w:val="auto"/>
        </w:rPr>
      </w:pPr>
    </w:p>
    <w:p>
      <w:pPr>
        <w:ind w:left="380" w:right="2120"/>
        <w:spacing w:after="0" w:line="220" w:lineRule="auto"/>
        <w:rPr>
          <w:sz w:val="20"/>
          <w:szCs w:val="20"/>
          <w:color w:val="auto"/>
        </w:rPr>
      </w:pPr>
      <w:r>
        <w:rPr>
          <w:rFonts w:ascii="Arial" w:cs="Arial" w:eastAsia="Arial" w:hAnsi="Arial"/>
          <w:sz w:val="13"/>
          <w:szCs w:val="13"/>
          <w:color w:val="auto"/>
        </w:rPr>
        <w:t>We are subject to an increasing number of product- related disputes. Our product liability claims often involve highly complex issues related to medical causation, correctness and completeness of product information (Summary of Product Characteristics/package leaflet) as well as label warnings and reliance thereon, scientific evidence and findings, actual and provable defectiveness and injury, and other matters. These complexities vary from matter to matter. As of December 31, 2024, none of these claims fulfill the criteria for recording a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F-68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200"/>
        <w:spacing w:after="0" w:line="220" w:lineRule="auto"/>
        <w:rPr>
          <w:sz w:val="20"/>
          <w:szCs w:val="20"/>
          <w:color w:val="auto"/>
        </w:rPr>
      </w:pPr>
      <w:r>
        <w:rPr>
          <w:rFonts w:ascii="Arial" w:cs="Arial" w:eastAsia="Arial" w:hAnsi="Arial"/>
          <w:sz w:val="13"/>
          <w:szCs w:val="13"/>
          <w:color w:val="auto"/>
        </w:rPr>
        <w:t>We are currently subject to certain claims by or on behalf of our shareholders. As of December 31, 2024, these claims do not fulfill the criteria for recording a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5231130" cy="63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20"/>
        <w:spacing w:after="0" w:line="228" w:lineRule="auto"/>
        <w:rPr>
          <w:sz w:val="20"/>
          <w:szCs w:val="20"/>
          <w:color w:val="auto"/>
        </w:rPr>
      </w:pPr>
      <w:r>
        <w:rPr>
          <w:rFonts w:ascii="Arial" w:cs="Arial" w:eastAsia="Arial" w:hAnsi="Arial"/>
          <w:sz w:val="13"/>
          <w:szCs w:val="13"/>
          <w:color w:val="auto"/>
        </w:rPr>
        <w:t>Substantially all of our contingent liabilities are subject to significant uncertainties and, therefore, determining the likelihood of a loss and/or the measurement of any loss can be complex. Consequently, we are unable to estimate the range of reasonably possible loss. Our assessments, which result from a complex series of judgments about future events and uncertainties, are based on estimates and assumptions that have been deemed reasonable by management, but that may prove to be incomplete or inaccurate, and unanticipated events and circumstances may occur that might cause us to change those estimates and assumptions. We currently do not believe that any of these matters will have a material adverse effect on our financial position, and will continue to monitor the status of these and other claims that may arise. However, we could incur judgments, enter into settlements or revise our expectations regarding the outcome of matters, which could have a material adverse effect on our results of operations and/or our cash flows in the period in which the amounts are accrued or paid. We will continue to evaluate whether, if circumstances were to change in the future, the recording of a provision may be needed and whether potential indemnification entitlements exist against any such claim.</w:t>
      </w:r>
    </w:p>
    <w:p>
      <w:pPr>
        <w:ind w:left="380"/>
        <w:spacing w:after="0" w:line="217" w:lineRule="auto"/>
        <w:rPr>
          <w:sz w:val="20"/>
          <w:szCs w:val="20"/>
          <w:color w:val="auto"/>
        </w:rPr>
      </w:pPr>
      <w:r>
        <w:rPr>
          <w:rFonts w:ascii="Arial" w:cs="Arial" w:eastAsia="Arial" w:hAnsi="Arial"/>
          <w:sz w:val="13"/>
          <w:szCs w:val="13"/>
          <w:color w:val="auto"/>
        </w:rPr>
        <w:t>Certain pending matters to which we are a party are discussed below.</w:t>
      </w:r>
    </w:p>
    <w:p>
      <w:pPr>
        <w:ind w:left="380"/>
        <w:spacing w:after="0" w:line="211" w:lineRule="auto"/>
        <w:rPr>
          <w:sz w:val="20"/>
          <w:szCs w:val="20"/>
          <w:color w:val="auto"/>
        </w:rPr>
      </w:pPr>
      <w:r>
        <w:rPr>
          <w:rFonts w:ascii="Arial" w:cs="Arial" w:eastAsia="Arial" w:hAnsi="Arial"/>
          <w:sz w:val="13"/>
          <w:szCs w:val="13"/>
          <w:b w:val="1"/>
          <w:bCs w:val="1"/>
          <w:color w:val="005A64"/>
        </w:rPr>
        <w:t>Alnylam Proceedings</w:t>
      </w:r>
    </w:p>
    <w:p>
      <w:pPr>
        <w:ind w:left="380" w:right="2080"/>
        <w:spacing w:after="0" w:line="210" w:lineRule="auto"/>
        <w:rPr>
          <w:sz w:val="20"/>
          <w:szCs w:val="20"/>
          <w:color w:val="auto"/>
        </w:rPr>
      </w:pPr>
      <w:r>
        <w:rPr>
          <w:rFonts w:ascii="Arial" w:cs="Arial" w:eastAsia="Arial" w:hAnsi="Arial"/>
          <w:sz w:val="13"/>
          <w:szCs w:val="13"/>
          <w:color w:val="auto"/>
        </w:rPr>
        <w:t xml:space="preserve">In March 2022, Alnylam Pharmaceuticals, Inc., or Alnylam, filed a lawsuit against Pfizer and Pharmacia &amp; Upjohn Co. LLC in the U.S. District Court for the District of Delaware alleging that an existing patent owned by Alnylam, U.S. Patent No. 11,246,933, or the ‘933 Patent, is infringed by the cationic lipid used in </w:t>
      </w:r>
      <w:r>
        <w:rPr>
          <w:rFonts w:ascii="Arial" w:cs="Arial" w:eastAsia="Arial" w:hAnsi="Arial"/>
          <w:sz w:val="13"/>
          <w:szCs w:val="13"/>
          <w:i w:val="1"/>
          <w:iCs w:val="1"/>
          <w:color w:val="auto"/>
        </w:rPr>
        <w:t>Comirnaty</w:t>
      </w:r>
      <w:r>
        <w:rPr>
          <w:rFonts w:ascii="Arial" w:cs="Arial" w:eastAsia="Arial" w:hAnsi="Arial"/>
          <w:sz w:val="13"/>
          <w:szCs w:val="13"/>
          <w:color w:val="auto"/>
        </w:rPr>
        <w:t>, and seeking monetary relief, which is not specified in their filings. We filed a counterclaim to become party to the Alnylam proceeding, and in June 2022, Alnylam added to its claims allegations that we induced infringement of the ‘933 Patent. Additionally, in July 2022, Alnylam filed a lawsuit against us, our wholly owned subsidiary, BioNTech Manufacturing GmbH, Pfizer and Pharmacia &amp; Upjohn Co. LLC in the U.S. District Court for the District of Delaware alleging that we also induced infringement of a newly issued patent, U.S. Patent No. 11,382,979, or the ‘979 Patent, which is a continuation of the ‘933 Patent. The two lawsuits were consolidated on July 28, 2022. In May 2023, Alnylam filed a third lawsuit against Pfizer Inc. and Pharmacia &amp; Upjohn Co. LLC in the U.S. District Court for the District of Delaware alleging infringement of U.S. Patent Nos. 11,633,479; 11,633,480; 11,612,657; and 11,590,229, all of which are continuations of the ‘933 Patent. We filed a counterclaim to become party to the new proceeding, and in July 2023, Alnylam added to its claims allegations that we induced infringement of the four new patents. All of the lawsuits have been consolidated into a single proceeding, which is currently expected to go to trial in July 2025.</w:t>
      </w:r>
    </w:p>
    <w:p>
      <w:pPr>
        <w:spacing w:after="0" w:line="9"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We believe we have strong defenses against the allegations claimed relative to each of the patents and intend to vigorously defend ourselves in the proceedings mentioned above. However, our analysis of Alnylam’s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ind w:left="380"/>
        <w:spacing w:after="0" w:line="217" w:lineRule="auto"/>
        <w:rPr>
          <w:sz w:val="20"/>
          <w:szCs w:val="20"/>
          <w:color w:val="auto"/>
        </w:rPr>
      </w:pPr>
      <w:r>
        <w:rPr>
          <w:rFonts w:ascii="Arial" w:cs="Arial" w:eastAsia="Arial" w:hAnsi="Arial"/>
          <w:sz w:val="13"/>
          <w:szCs w:val="13"/>
          <w:b w:val="1"/>
          <w:bCs w:val="1"/>
          <w:color w:val="005A64"/>
        </w:rPr>
        <w:t>CureVac Proceedings</w:t>
      </w:r>
    </w:p>
    <w:p>
      <w:pPr>
        <w:ind w:left="380"/>
        <w:spacing w:after="0" w:line="211" w:lineRule="auto"/>
        <w:rPr>
          <w:sz w:val="20"/>
          <w:szCs w:val="20"/>
          <w:color w:val="auto"/>
        </w:rPr>
      </w:pPr>
      <w:r>
        <w:rPr>
          <w:rFonts w:ascii="Arial" w:cs="Arial" w:eastAsia="Arial" w:hAnsi="Arial"/>
          <w:sz w:val="13"/>
          <w:szCs w:val="13"/>
          <w:color w:val="005A64"/>
        </w:rPr>
        <w:t>Infringement Proceedings – EP’122, DE’961, DE‘974, DE’575, and EP’668</w:t>
      </w:r>
    </w:p>
    <w:p>
      <w:pPr>
        <w:ind w:left="380" w:right="2220"/>
        <w:spacing w:after="0" w:line="210" w:lineRule="auto"/>
        <w:rPr>
          <w:sz w:val="20"/>
          <w:szCs w:val="20"/>
          <w:color w:val="auto"/>
        </w:rPr>
      </w:pPr>
      <w:r>
        <w:rPr>
          <w:rFonts w:ascii="Arial" w:cs="Arial" w:eastAsia="Arial" w:hAnsi="Arial"/>
          <w:sz w:val="13"/>
          <w:szCs w:val="13"/>
          <w:color w:val="auto"/>
        </w:rPr>
        <w:t xml:space="preserve">In July 2022, CureVac AG (CureVac) filed a lawsuit against us and our wholly owned subsidiaries, BioNTech Manufacturing GmbH and BioNTech Manufacturing Marburg GmbH, in the Düsseldorf Regional Court, alleging </w:t>
      </w:r>
      <w:r>
        <w:rPr>
          <w:rFonts w:ascii="Arial" w:cs="Arial" w:eastAsia="Arial" w:hAnsi="Arial"/>
          <w:sz w:val="13"/>
          <w:szCs w:val="13"/>
          <w:i w:val="1"/>
          <w:iCs w:val="1"/>
          <w:color w:val="auto"/>
        </w:rPr>
        <w:t>Comirnaty</w:t>
      </w:r>
      <w:r>
        <w:rPr>
          <w:rFonts w:ascii="Arial" w:cs="Arial" w:eastAsia="Arial" w:hAnsi="Arial"/>
          <w:sz w:val="13"/>
          <w:szCs w:val="13"/>
          <w:color w:val="auto"/>
        </w:rPr>
        <w:t>’s infringement of one European patent, EP1857122B1, or EP’122, and three Utility Models</w:t>
      </w:r>
      <w:r>
        <w:rPr>
          <w:rFonts w:ascii="Arial" w:cs="Arial" w:eastAsia="Arial" w:hAnsi="Arial"/>
          <w:sz w:val="13"/>
          <w:szCs w:val="13"/>
          <w:i w:val="1"/>
          <w:iCs w:val="1"/>
          <w:color w:val="auto"/>
        </w:rPr>
        <w:t xml:space="preserve"> </w:t>
      </w:r>
      <w:r>
        <w:rPr>
          <w:rFonts w:ascii="Arial" w:cs="Arial" w:eastAsia="Arial" w:hAnsi="Arial"/>
          <w:sz w:val="13"/>
          <w:szCs w:val="13"/>
          <w:color w:val="auto"/>
        </w:rPr>
        <w:t>DE202015009961U1, DE202015009974U1, and DE202021003575U1. In August 2022, CureVac AG added European Patent EP3708668B1, or EP’668, to its German lawsuit.</w:t>
      </w:r>
    </w:p>
    <w:p>
      <w:pPr>
        <w:spacing w:after="0" w:line="3" w:lineRule="exact"/>
        <w:rPr>
          <w:sz w:val="20"/>
          <w:szCs w:val="20"/>
          <w:color w:val="auto"/>
        </w:rPr>
      </w:pPr>
    </w:p>
    <w:p>
      <w:pPr>
        <w:jc w:val="both"/>
        <w:ind w:left="380" w:right="2380"/>
        <w:spacing w:after="0" w:line="234" w:lineRule="auto"/>
        <w:rPr>
          <w:sz w:val="20"/>
          <w:szCs w:val="20"/>
          <w:color w:val="auto"/>
        </w:rPr>
      </w:pPr>
      <w:r>
        <w:rPr>
          <w:rFonts w:ascii="Arial" w:cs="Arial" w:eastAsia="Arial" w:hAnsi="Arial"/>
          <w:sz w:val="13"/>
          <w:szCs w:val="13"/>
          <w:color w:val="auto"/>
        </w:rPr>
        <w:t>On August 15, 2023, the Düsseldorf Regional Court held a hearing on infringement with respect to all five IP rights. At the hearing, the Court suspended its infringement ruling with respect to EP’122 until December 28,</w:t>
      </w:r>
    </w:p>
    <w:p>
      <w:pPr>
        <w:sectPr>
          <w:pgSz w:w="11900" w:h="16840" w:orient="portrait"/>
          <w:cols w:equalWidth="0" w:num="1">
            <w:col w:w="9020"/>
          </w:cols>
          <w:pgMar w:left="1440" w:top="554" w:right="1440" w:bottom="1440" w:gutter="0" w:footer="0" w:header="0"/>
        </w:sectPr>
      </w:pPr>
    </w:p>
    <w:bookmarkStart w:id="227" w:name="page228"/>
    <w:bookmarkEnd w:id="227"/>
    <w:p>
      <w:pPr>
        <w:spacing w:after="0" w:line="4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F-69</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2" w:lineRule="auto"/>
        <w:rPr>
          <w:sz w:val="20"/>
          <w:szCs w:val="20"/>
          <w:color w:val="auto"/>
        </w:rPr>
      </w:pPr>
      <w:r>
        <w:rPr>
          <w:rFonts w:ascii="Arial" w:cs="Arial" w:eastAsia="Arial" w:hAnsi="Arial"/>
          <w:sz w:val="13"/>
          <w:szCs w:val="13"/>
          <w:color w:val="auto"/>
        </w:rPr>
        <w:t>2023. On September 28, 2023, the Court issued orders suspending its infringement rulings with respect to the remaining four IP rights (DE’961, DE’974, DE’575, and EP’668) pending validity decisions in the DE’961, DE’974, and DE’575 cancellation proceedings before the German Patent and Trademark Office and in the EP’668 opposition proceedings before the Opposition Division of the European Patent Office, or EPO. In the September 28th orders, the Court explained that it was suspending its infringement rulings until validity decisions are reached, while contemporaneously noting concerns regarding the validity of DE’961, DE’974, DE’575, and EP’668. On December 28, 2023, the Düsseldorf Regional Court stayed the infringement proceedings as to EP’122 until a final appellate decision is rendered as to the validity of EP’122 by the Federal Court of Justice. On June 7, 2024, CureVac AG waived DE’575 and withdrew this utility model from the infringement proceedings. On July 2, 2024, the EPO Opposition Division issued a preliminary opinion noting that it believes EP’668 is likely invalid, and set an oral hearing for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-915670</wp:posOffset>
            </wp:positionV>
            <wp:extent cx="5231130" cy="63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73">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8" w:lineRule="auto"/>
        <w:rPr>
          <w:sz w:val="20"/>
          <w:szCs w:val="20"/>
          <w:color w:val="auto"/>
        </w:rPr>
      </w:pPr>
      <w:r>
        <w:rPr>
          <w:rFonts w:ascii="Arial" w:cs="Arial" w:eastAsia="Arial" w:hAnsi="Arial"/>
          <w:sz w:val="13"/>
          <w:szCs w:val="13"/>
          <w:color w:val="005A64"/>
        </w:rPr>
        <w:t>Infringement Proceedings – EP’755, DE’123, and DE’130</w:t>
      </w:r>
    </w:p>
    <w:p>
      <w:pPr>
        <w:ind w:left="380" w:right="2100"/>
        <w:spacing w:after="0" w:line="210" w:lineRule="auto"/>
        <w:rPr>
          <w:sz w:val="20"/>
          <w:szCs w:val="20"/>
          <w:color w:val="auto"/>
        </w:rPr>
      </w:pPr>
      <w:r>
        <w:rPr>
          <w:rFonts w:ascii="Arial" w:cs="Arial" w:eastAsia="Arial" w:hAnsi="Arial"/>
          <w:sz w:val="13"/>
          <w:szCs w:val="13"/>
          <w:color w:val="auto"/>
        </w:rPr>
        <w:t xml:space="preserve">In July 2023, CureVac filed a second lawsuit against us and our wholly owned subsidiaries, BioNTech Manufacturing GmbH and BioNTech Manufacturing Marburg GmbH, in the Düsseldorf Regional Court, alleging </w:t>
      </w:r>
      <w:r>
        <w:rPr>
          <w:rFonts w:ascii="Arial" w:cs="Arial" w:eastAsia="Arial" w:hAnsi="Arial"/>
          <w:sz w:val="13"/>
          <w:szCs w:val="13"/>
          <w:i w:val="1"/>
          <w:iCs w:val="1"/>
          <w:color w:val="auto"/>
        </w:rPr>
        <w:t>Comirnaty</w:t>
      </w:r>
      <w:r>
        <w:rPr>
          <w:rFonts w:ascii="Arial" w:cs="Arial" w:eastAsia="Arial" w:hAnsi="Arial"/>
          <w:sz w:val="13"/>
          <w:szCs w:val="13"/>
          <w:color w:val="auto"/>
        </w:rPr>
        <w:t>’s infringement of one European patent, EP4023755B1, or EP’755, and two Utility Models</w:t>
      </w:r>
      <w:r>
        <w:rPr>
          <w:rFonts w:ascii="Arial" w:cs="Arial" w:eastAsia="Arial" w:hAnsi="Arial"/>
          <w:sz w:val="13"/>
          <w:szCs w:val="13"/>
          <w:i w:val="1"/>
          <w:iCs w:val="1"/>
          <w:color w:val="auto"/>
        </w:rPr>
        <w:t xml:space="preserve"> </w:t>
      </w:r>
      <w:r>
        <w:rPr>
          <w:rFonts w:ascii="Arial" w:cs="Arial" w:eastAsia="Arial" w:hAnsi="Arial"/>
          <w:sz w:val="13"/>
          <w:szCs w:val="13"/>
          <w:color w:val="auto"/>
        </w:rPr>
        <w:t>DE202021004123U1, and DE202021004130U1. On June 7, 2024, CureVac waived DE’123 and withdrew this utility model from the infringement proceedings. A hearing on infringement with respect to EP’755 and DE’130 that was scheduled to occur in the Düsseldorf Regional Court on September 10, 2024 was rescheduled for July 2025 and the Court suspended its infringement ruling with respect to DE’130 until a validity decision was reached in the co-pending cancellation proceeding before the German Patent and Trademark Office. On July 24, 2024, the EPO Opposition Division issued a preliminary opinion noting that it believes EP’755 is likely invalid, and set an oral hearing for May 2025.</w:t>
      </w:r>
    </w:p>
    <w:p>
      <w:pPr>
        <w:ind w:left="380"/>
        <w:spacing w:after="0" w:line="220" w:lineRule="auto"/>
        <w:rPr>
          <w:sz w:val="20"/>
          <w:szCs w:val="20"/>
          <w:color w:val="auto"/>
        </w:rPr>
      </w:pPr>
      <w:r>
        <w:rPr>
          <w:rFonts w:ascii="Arial" w:cs="Arial" w:eastAsia="Arial" w:hAnsi="Arial"/>
          <w:sz w:val="13"/>
          <w:szCs w:val="13"/>
          <w:color w:val="005A64"/>
        </w:rPr>
        <w:t>Nullity Proceedings – EP’122</w:t>
      </w:r>
    </w:p>
    <w:p>
      <w:pPr>
        <w:ind w:left="380" w:right="2160"/>
        <w:spacing w:after="0" w:line="210" w:lineRule="auto"/>
        <w:rPr>
          <w:sz w:val="20"/>
          <w:szCs w:val="20"/>
          <w:color w:val="auto"/>
        </w:rPr>
      </w:pPr>
      <w:r>
        <w:rPr>
          <w:rFonts w:ascii="Arial" w:cs="Arial" w:eastAsia="Arial" w:hAnsi="Arial"/>
          <w:sz w:val="13"/>
          <w:szCs w:val="13"/>
          <w:color w:val="auto"/>
        </w:rPr>
        <w:t>In September 2022, we filed a nullity action in the Federal Patent Court of Germany seeking a declaration that EP’122 is invalid. In April 2023, the Federal Patent Court of Germany issued a preliminary opinion in the EP’122 nullity action in support of the validity of EP’122. The preliminary opinion did not address any infringement of EP’122. The preliminary opinion is a preliminary assessment by the court of the merits of a claim, and is non-binding. On December 19, 2023, the Federal Patent Court held an oral hearing, after which it nullified EP’122. On April 30, 2024, the Federal Patent Court issued a judgment containing its written reasons for nullifying EP’122. On May 7, 2024, CureVac appealed the judgment, which is currently pending.</w:t>
      </w:r>
    </w:p>
    <w:p>
      <w:pPr>
        <w:ind w:left="380"/>
        <w:spacing w:after="0" w:line="217" w:lineRule="auto"/>
        <w:rPr>
          <w:sz w:val="20"/>
          <w:szCs w:val="20"/>
          <w:color w:val="auto"/>
        </w:rPr>
      </w:pPr>
      <w:r>
        <w:rPr>
          <w:rFonts w:ascii="Arial" w:cs="Arial" w:eastAsia="Arial" w:hAnsi="Arial"/>
          <w:sz w:val="13"/>
          <w:szCs w:val="13"/>
          <w:color w:val="005A64"/>
        </w:rPr>
        <w:t>Cancellation Proceedings – DE’961, DE‘974, and DE’575</w:t>
      </w:r>
    </w:p>
    <w:p>
      <w:pPr>
        <w:ind w:left="380" w:right="2120"/>
        <w:spacing w:after="0" w:line="210" w:lineRule="auto"/>
        <w:rPr>
          <w:sz w:val="20"/>
          <w:szCs w:val="20"/>
          <w:color w:val="auto"/>
        </w:rPr>
      </w:pPr>
      <w:r>
        <w:rPr>
          <w:rFonts w:ascii="Arial" w:cs="Arial" w:eastAsia="Arial" w:hAnsi="Arial"/>
          <w:sz w:val="13"/>
          <w:szCs w:val="13"/>
          <w:color w:val="auto"/>
        </w:rPr>
        <w:t>In November 2022, we filed cancellation actions seeking the cancellation of the three German Utility Models in the German Patent and Trademark Office. On December 27, 2023, the German Patent and Trademark Office issued a preliminary opinion that DE’974 is likely to be cancelled. On January 23, 2024, the German Patent and Trademark Office issued a preliminary opinion that DE’961 is likely to be cancelled based on invalidity pursuant to para. 1 (2) no. 5 Utility Model Act. On March 7, 2024, the German Patent and Trademark Office issued a preliminary opinion that DE’575 is likely to be cancelled. On June 6, 2024, CureVac submitted a written statement to the German Patent and Trademark Office waiving DE’575. On June 12, 2024, we withdrew our request for cancellation of DE’575. On June 25 and 26, 2024, the German Patent and Trademark Office heard oral arguments regarding DE’961 and DE’974, and at the conclusion of the hearing on June 26, 2024, confirmed that both DE’961 and DE’974 were cancelled. In November 2024, the German Patent and Trademark Office issued its written decisions cancelling DE’961 and DE’974. CureVac has filed an appeal in both cancellation proceedings, which are currently pending.</w:t>
      </w:r>
    </w:p>
    <w:p>
      <w:pPr>
        <w:ind w:left="380"/>
        <w:spacing w:after="0" w:line="222" w:lineRule="auto"/>
        <w:rPr>
          <w:sz w:val="20"/>
          <w:szCs w:val="20"/>
          <w:color w:val="auto"/>
        </w:rPr>
      </w:pPr>
      <w:r>
        <w:rPr>
          <w:rFonts w:ascii="Arial" w:cs="Arial" w:eastAsia="Arial" w:hAnsi="Arial"/>
          <w:sz w:val="13"/>
          <w:szCs w:val="13"/>
          <w:color w:val="005A64"/>
        </w:rPr>
        <w:t>Cancellation Proceedings– DE’123 and DE’130</w:t>
      </w:r>
    </w:p>
    <w:p>
      <w:pPr>
        <w:ind w:left="380" w:right="2100"/>
        <w:spacing w:after="0" w:line="210" w:lineRule="auto"/>
        <w:rPr>
          <w:sz w:val="20"/>
          <w:szCs w:val="20"/>
          <w:color w:val="auto"/>
        </w:rPr>
      </w:pPr>
      <w:r>
        <w:rPr>
          <w:rFonts w:ascii="Arial" w:cs="Arial" w:eastAsia="Arial" w:hAnsi="Arial"/>
          <w:sz w:val="13"/>
          <w:szCs w:val="13"/>
          <w:color w:val="auto"/>
        </w:rPr>
        <w:t>In November 2023, we filed cancellation actions seeking the cancellation of German Utility Models DE’123 and DE’130 in the German Patent and Trademark Office. On June 6, 2024, CureVac submitted a written statement to the German Patent and Trademark Office waiving DE’123. On June 12, 2024, we withdrew our request for cancellation of DE’123. On December 5, 2024, the German Patent and Trademark Office issued a preliminary opinion that DE’130 is likely to be cancelled.</w:t>
      </w:r>
    </w:p>
    <w:p>
      <w:pPr>
        <w:spacing w:after="0" w:line="3" w:lineRule="exact"/>
        <w:rPr>
          <w:sz w:val="20"/>
          <w:szCs w:val="20"/>
          <w:color w:val="auto"/>
        </w:rPr>
      </w:pPr>
    </w:p>
    <w:p>
      <w:pPr>
        <w:ind w:left="380"/>
        <w:spacing w:after="0"/>
        <w:rPr>
          <w:sz w:val="20"/>
          <w:szCs w:val="20"/>
          <w:color w:val="auto"/>
        </w:rPr>
      </w:pPr>
      <w:r>
        <w:rPr>
          <w:rFonts w:ascii="Arial" w:cs="Arial" w:eastAsia="Arial" w:hAnsi="Arial"/>
          <w:sz w:val="13"/>
          <w:szCs w:val="13"/>
          <w:color w:val="005A64"/>
        </w:rPr>
        <w:t>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F-70</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60"/>
        <w:spacing w:after="0" w:line="212" w:lineRule="auto"/>
        <w:rPr>
          <w:sz w:val="20"/>
          <w:szCs w:val="20"/>
          <w:color w:val="auto"/>
        </w:rPr>
      </w:pPr>
      <w:r>
        <w:rPr>
          <w:rFonts w:ascii="Arial" w:cs="Arial" w:eastAsia="Arial" w:hAnsi="Arial"/>
          <w:sz w:val="13"/>
          <w:szCs w:val="13"/>
          <w:color w:val="auto"/>
          <w:highlight w:val="white"/>
        </w:rPr>
        <w:t xml:space="preserve">In July 2022, we and Pfizer filed a complaint for a declaratory judgment in the U.S. District Court for the District of Massachusetts, seeking a judgment of non-infringement by </w:t>
      </w:r>
      <w:r>
        <w:rPr>
          <w:rFonts w:ascii="Arial" w:cs="Arial" w:eastAsia="Arial" w:hAnsi="Arial"/>
          <w:sz w:val="13"/>
          <w:szCs w:val="13"/>
          <w:i w:val="1"/>
          <w:iCs w:val="1"/>
          <w:color w:val="auto"/>
          <w:highlight w:val="white"/>
        </w:rPr>
        <w:t>Comirnaty</w:t>
      </w:r>
      <w:r>
        <w:rPr>
          <w:rFonts w:ascii="Arial" w:cs="Arial" w:eastAsia="Arial" w:hAnsi="Arial"/>
          <w:sz w:val="13"/>
          <w:szCs w:val="13"/>
          <w:color w:val="auto"/>
          <w:highlight w:val="white"/>
        </w:rPr>
        <w:t xml:space="preserve"> of U.S. Patent Nos. 11,135,312; 11,149,278; and 11,241,493. In May 2023, the action in the U.S. District Court for the District of Massachusetts was transferred to the U.S. District Court for the Eastern District of Virginia, where CureVac filed counterclaims asserting infringement of six additional U.S. patents, U.S. Patent Nos. 10,760,070; 11,286,492; 11,345,920; 11,471,525; 11,576,966; and 11,596,686. In July 2023, CureVac filed amended counterclaims to assert an additional U.S. patent, U.S. Patent No. 11,667,910. In June 2024, CureVac voluntarily dismissed with prejudice its claims of infringement with respect to the ‘493, ‘525, and ‘966 patents. Currently, a three-week jury trial is scheduled to begin on March 3, 2025, and an one-week bench trial regarding the prosecution laches defense is </w:t>
      </w:r>
      <w:r>
        <w:rPr>
          <w:rFonts w:ascii="Arial" w:cs="Arial" w:eastAsia="Arial" w:hAnsi="Arial"/>
          <w:sz w:val="13"/>
          <w:szCs w:val="13"/>
          <w:color w:val="auto"/>
        </w:rPr>
        <w:t>scheduled to begin on April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-831850</wp:posOffset>
            </wp:positionV>
            <wp:extent cx="1136015" cy="63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74">
                      <a:extLst>
                        <a:ext uri="{28A0092B-C50C-407E-A947-70E740481C1C}"/>
                      </a:extLst>
                    </a:blip>
                    <a:srcRect/>
                    <a:stretch>
                      <a:fillRect/>
                    </a:stretch>
                  </pic:blipFill>
                  <pic:spPr bwMode="auto">
                    <a:xfrm>
                      <a:off x="0" y="0"/>
                      <a:ext cx="1136015" cy="635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-164465</wp:posOffset>
            </wp:positionV>
            <wp:extent cx="1399540" cy="1797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75">
                      <a:extLst>
                        <a:ext uri="{28A0092B-C50C-407E-A947-70E740481C1C}"/>
                      </a:extLst>
                    </a:blip>
                    <a:srcRect/>
                    <a:stretch>
                      <a:fillRect/>
                    </a:stretch>
                  </pic:blipFill>
                  <pic:spPr bwMode="auto">
                    <a:xfrm>
                      <a:off x="0" y="0"/>
                      <a:ext cx="1399540" cy="179705"/>
                    </a:xfrm>
                    <a:prstGeom prst="rect">
                      <a:avLst/>
                    </a:prstGeom>
                    <a:noFill/>
                  </pic:spPr>
                </pic:pic>
              </a:graphicData>
            </a:graphic>
          </wp:anchor>
        </w:drawing>
      </w:r>
    </w:p>
    <w:p>
      <w:pPr>
        <w:ind w:left="380"/>
        <w:spacing w:after="0" w:line="219" w:lineRule="auto"/>
        <w:rPr>
          <w:sz w:val="20"/>
          <w:szCs w:val="20"/>
          <w:color w:val="auto"/>
        </w:rPr>
      </w:pPr>
      <w:r>
        <w:rPr>
          <w:rFonts w:ascii="Arial" w:cs="Arial" w:eastAsia="Arial" w:hAnsi="Arial"/>
          <w:sz w:val="13"/>
          <w:szCs w:val="13"/>
          <w:color w:val="005A64"/>
          <w:highlight w:val="white"/>
        </w:rPr>
        <w:t>United Kingdom</w:t>
      </w:r>
    </w:p>
    <w:p>
      <w:pPr>
        <w:spacing w:after="0" w:line="1" w:lineRule="exact"/>
        <w:rPr>
          <w:sz w:val="20"/>
          <w:szCs w:val="20"/>
          <w:color w:val="auto"/>
        </w:rPr>
      </w:pPr>
    </w:p>
    <w:p>
      <w:pPr>
        <w:ind w:left="380" w:right="2080"/>
        <w:spacing w:after="0" w:line="230" w:lineRule="auto"/>
        <w:rPr>
          <w:sz w:val="20"/>
          <w:szCs w:val="20"/>
          <w:color w:val="auto"/>
        </w:rPr>
      </w:pPr>
      <w:r>
        <w:rPr>
          <w:rFonts w:ascii="Arial" w:cs="Arial" w:eastAsia="Arial" w:hAnsi="Arial"/>
          <w:sz w:val="13"/>
          <w:szCs w:val="13"/>
          <w:color w:val="auto"/>
          <w:highlight w:val="white"/>
        </w:rPr>
        <w:t xml:space="preserve">In September 2022, we and Pfizer filed a declaration of non- infringement and revocation action against EP’122 and EP’668 in the Business and Property Courts of England and Wales, in the UK High Court of Justice, or the UK High Court. In October 2022, CureVac responded by filing a counterclaim alleging infringement of the EP’122 and EP’668 patents in the Business and Property Courts of England and Wales, in the UK High Court. On </w:t>
      </w:r>
      <w:r>
        <w:rPr>
          <w:rFonts w:ascii="Arial" w:cs="Arial" w:eastAsia="Arial" w:hAnsi="Arial"/>
          <w:sz w:val="13"/>
          <w:szCs w:val="13"/>
          <w:color w:val="auto"/>
        </w:rPr>
        <w:t xml:space="preserve">December 18, 2023, we and Pfizer amended our pleadings to add a claim for revocation and declarations of invalidity and non -infringement with respect to EP’755. The UK High Court held a trial on EP’668 and EP’755 </w:t>
      </w:r>
      <w:r>
        <w:rPr>
          <w:rFonts w:ascii="Arial" w:cs="Arial" w:eastAsia="Arial" w:hAnsi="Arial"/>
          <w:sz w:val="13"/>
          <w:szCs w:val="13"/>
          <w:color w:val="auto"/>
          <w:highlight w:val="white"/>
        </w:rPr>
        <w:t>between July 10, 2024 and July 24, 2024. On October 8, 2024, the UK High Court released a judgment finding both EP’668 and EP’755 invalid. The UK High Court held a hearing on November 15, 2024, during which it denied CureVac permission to appeal the judgment. On December 5, 2024, CureVac sought permission from the UK Appeals Court to appeal the judgment. With respect to EP’122, on October 25, 2024, CureVac agreed to a final and unappealable revocation of the UK designation of EP’122 and to discontinue its counterclaim for infringement.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-668020</wp:posOffset>
            </wp:positionV>
            <wp:extent cx="3998595" cy="1797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76">
                      <a:extLst>
                        <a:ext uri="{28A0092B-C50C-407E-A947-70E740481C1C}"/>
                      </a:extLst>
                    </a:blip>
                    <a:srcRect/>
                    <a:stretch>
                      <a:fillRect/>
                    </a:stretch>
                  </pic:blipFill>
                  <pic:spPr bwMode="auto">
                    <a:xfrm>
                      <a:off x="0" y="0"/>
                      <a:ext cx="3998595" cy="179705"/>
                    </a:xfrm>
                    <a:prstGeom prst="rect">
                      <a:avLst/>
                    </a:prstGeom>
                    <a:noFill/>
                  </pic:spPr>
                </pic:pic>
              </a:graphicData>
            </a:graphic>
          </wp:anchor>
        </w:drawing>
      </w:r>
    </w:p>
    <w:p>
      <w:pPr>
        <w:ind w:left="380" w:right="2100"/>
        <w:spacing w:after="0" w:line="222" w:lineRule="auto"/>
        <w:rPr>
          <w:sz w:val="20"/>
          <w:szCs w:val="20"/>
          <w:color w:val="auto"/>
        </w:rPr>
      </w:pPr>
      <w:r>
        <w:rPr>
          <w:rFonts w:ascii="Arial" w:cs="Arial" w:eastAsia="Arial" w:hAnsi="Arial"/>
          <w:sz w:val="13"/>
          <w:szCs w:val="13"/>
          <w:color w:val="auto"/>
        </w:rPr>
        <w:t>We believe we have strong defenses against the allegations claimed relative to each of the patents and utility models and intend to vigorously defend ourselves in the proceedings mentioned above. However, our analysis of CureVac’s claims is ongoing and complex, and we believe the ultimate outcomes remain substantially uncertain. Taking into account discussions with our external lawyers, we do not consider the probability of an outflow of</w:t>
      </w:r>
    </w:p>
    <w:p>
      <w:pPr>
        <w:sectPr>
          <w:pgSz w:w="11900" w:h="16840" w:orient="portrait"/>
          <w:cols w:equalWidth="0" w:num="1">
            <w:col w:w="9020"/>
          </w:cols>
          <w:pgMar w:left="1440" w:top="1440" w:right="1440" w:bottom="0" w:gutter="0" w:footer="0" w:header="0"/>
        </w:sectPr>
      </w:pPr>
    </w:p>
    <w:bookmarkStart w:id="228" w:name="page229"/>
    <w:bookmarkEnd w:id="228"/>
    <w:p>
      <w:pPr>
        <w:ind w:left="380" w:right="2100"/>
        <w:spacing w:after="0" w:line="217" w:lineRule="auto"/>
        <w:rPr>
          <w:sz w:val="20"/>
          <w:szCs w:val="20"/>
          <w:color w:val="auto"/>
        </w:rPr>
      </w:pPr>
      <w:r>
        <w:rPr>
          <w:rFonts w:ascii="Arial" w:cs="Arial" w:eastAsia="Arial" w:hAnsi="Arial"/>
          <w:sz w:val="13"/>
          <w:szCs w:val="13"/>
          <w:color w:val="auto"/>
        </w:rPr>
        <w:t>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ind w:left="380"/>
        <w:spacing w:after="0" w:line="212" w:lineRule="auto"/>
        <w:rPr>
          <w:sz w:val="20"/>
          <w:szCs w:val="20"/>
          <w:color w:val="auto"/>
        </w:rPr>
      </w:pPr>
      <w:r>
        <w:rPr>
          <w:rFonts w:ascii="Arial" w:cs="Arial" w:eastAsia="Arial" w:hAnsi="Arial"/>
          <w:sz w:val="13"/>
          <w:szCs w:val="13"/>
          <w:b w:val="1"/>
          <w:bCs w:val="1"/>
          <w:color w:val="005A64"/>
        </w:rPr>
        <w:t>Moderna Proceedings</w:t>
      </w:r>
    </w:p>
    <w:p>
      <w:pPr>
        <w:ind w:left="380"/>
        <w:spacing w:after="0" w:line="211" w:lineRule="auto"/>
        <w:rPr>
          <w:sz w:val="20"/>
          <w:szCs w:val="20"/>
          <w:color w:val="auto"/>
        </w:rPr>
      </w:pPr>
      <w:r>
        <w:rPr>
          <w:rFonts w:ascii="Arial" w:cs="Arial" w:eastAsia="Arial" w:hAnsi="Arial"/>
          <w:sz w:val="13"/>
          <w:szCs w:val="13"/>
          <w:color w:val="005A64"/>
        </w:rPr>
        <w:t>Germany</w:t>
      </w:r>
    </w:p>
    <w:p>
      <w:pPr>
        <w:ind w:left="380"/>
        <w:spacing w:after="0" w:line="211" w:lineRule="auto"/>
        <w:rPr>
          <w:sz w:val="20"/>
          <w:szCs w:val="20"/>
          <w:color w:val="auto"/>
        </w:rPr>
      </w:pPr>
      <w:r>
        <w:rPr>
          <w:rFonts w:ascii="Arial" w:cs="Arial" w:eastAsia="Arial" w:hAnsi="Arial"/>
          <w:sz w:val="13"/>
          <w:szCs w:val="13"/>
          <w:b w:val="1"/>
          <w:bCs w:val="1"/>
          <w:color w:val="auto"/>
        </w:rPr>
        <w:t>Infringement Proceedings – EP’949 and EP’565</w:t>
      </w:r>
    </w:p>
    <w:p>
      <w:pPr>
        <w:ind w:left="380" w:right="2120"/>
        <w:spacing w:after="0" w:line="210" w:lineRule="auto"/>
        <w:rPr>
          <w:sz w:val="20"/>
          <w:szCs w:val="20"/>
          <w:color w:val="auto"/>
        </w:rPr>
      </w:pPr>
      <w:r>
        <w:rPr>
          <w:rFonts w:ascii="Arial" w:cs="Arial" w:eastAsia="Arial" w:hAnsi="Arial"/>
          <w:sz w:val="13"/>
          <w:szCs w:val="13"/>
          <w:color w:val="auto"/>
        </w:rPr>
        <w:t xml:space="preserve">In August 2022, Moderna filed a lawsuit against us and our wholly owned subsidiaries, BioNTech Manufacturing GmbH, BioNTech Europe GmbH and BioNTech Manufacturing Marburg GmbH, as well as Pfizer, Pfizer Manufacturing Belgium NV and Pfizer Ireland Pharmaceuticals in the Düsseldorf Regional Court alleging </w:t>
      </w:r>
      <w:r>
        <w:rPr>
          <w:rFonts w:ascii="Arial" w:cs="Arial" w:eastAsia="Arial" w:hAnsi="Arial"/>
          <w:sz w:val="13"/>
          <w:szCs w:val="13"/>
          <w:i w:val="1"/>
          <w:iCs w:val="1"/>
          <w:color w:val="auto"/>
        </w:rPr>
        <w:t>Comirnaty</w:t>
      </w:r>
      <w:r>
        <w:rPr>
          <w:rFonts w:ascii="Arial" w:cs="Arial" w:eastAsia="Arial" w:hAnsi="Arial"/>
          <w:sz w:val="13"/>
          <w:szCs w:val="13"/>
          <w:color w:val="auto"/>
        </w:rPr>
        <w:t>’s infringement of two European patents, 3590949B1, or EP’949, and 3718565B1, or EP’565. On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November 7, 2023, the Opposition Division of the EPO revoked EP’565 after a one -day oral hearing, and on December 7, 2023, it issued its written decision revoking EP’565. On December 8, 2023, the Opposition Division issued a preliminary opinion noting that it believes EP’949 is likely invalid. As a result of those developments in the EPO proceedings, the Düsseldorf Regional Court postponed its hearing on infringement with respect to EP’949, originally scheduled for December 12, 2023, to January 21, 2025. On February 7, 2024, Moderna appealed the Opposition Division’s revocation decision on EP’565, and the appeal is currently pending. On May 16, 2024, the Opposition Division decided that EP’949 is valid, in amended form, and issued its written decision regarding the same on July 8, 2024. BioNTech appealed this decision, and the appeal is currently pending. </w:t>
      </w:r>
      <w:r>
        <w:rPr>
          <w:rFonts w:ascii="Arial" w:cs="Arial" w:eastAsia="Arial" w:hAnsi="Arial"/>
          <w:sz w:val="13"/>
          <w:szCs w:val="13"/>
          <w:color w:val="005A64"/>
        </w:rPr>
        <w:t>United Kingdom</w:t>
      </w:r>
    </w:p>
    <w:p>
      <w:pPr>
        <w:spacing w:after="0" w:line="8" w:lineRule="exact"/>
        <w:rPr>
          <w:sz w:val="20"/>
          <w:szCs w:val="20"/>
          <w:color w:val="auto"/>
        </w:rPr>
      </w:pPr>
    </w:p>
    <w:p>
      <w:pPr>
        <w:ind w:left="380" w:right="2240"/>
        <w:spacing w:after="0" w:line="222" w:lineRule="auto"/>
        <w:rPr>
          <w:sz w:val="20"/>
          <w:szCs w:val="20"/>
          <w:color w:val="auto"/>
        </w:rPr>
      </w:pPr>
      <w:r>
        <w:rPr>
          <w:rFonts w:ascii="Arial" w:cs="Arial" w:eastAsia="Arial" w:hAnsi="Arial"/>
          <w:sz w:val="13"/>
          <w:szCs w:val="13"/>
          <w:color w:val="auto"/>
        </w:rPr>
        <w:t xml:space="preserve">In August 2022, Moderna filed a lawsuit asserting </w:t>
      </w:r>
      <w:r>
        <w:rPr>
          <w:rFonts w:ascii="Arial" w:cs="Arial" w:eastAsia="Arial" w:hAnsi="Arial"/>
          <w:sz w:val="13"/>
          <w:szCs w:val="13"/>
          <w:i w:val="1"/>
          <w:iCs w:val="1"/>
          <w:color w:val="auto"/>
        </w:rPr>
        <w:t>Comirnaty</w:t>
      </w:r>
      <w:r>
        <w:rPr>
          <w:rFonts w:ascii="Arial" w:cs="Arial" w:eastAsia="Arial" w:hAnsi="Arial"/>
          <w:sz w:val="13"/>
          <w:szCs w:val="13"/>
          <w:color w:val="auto"/>
        </w:rPr>
        <w:t>’s infringement of EP’949 and EP’565 against us and our wholly owned subsidiaries, BioNTech Manufacturing GmbH, BioNTech Europe GmbH and BioNTech Manufacturing Marburg GmbH, and Pfizer Limited, Pfizer Manufacturing Belgium NV and Pfizer Inc. in the Business and Property Courts of England and Wales, in the UK High Court. In September 2022, we and Pfizer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F-71</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360"/>
        <w:spacing w:after="0" w:line="220" w:lineRule="auto"/>
        <w:rPr>
          <w:sz w:val="20"/>
          <w:szCs w:val="20"/>
          <w:color w:val="auto"/>
        </w:rPr>
      </w:pPr>
      <w:r>
        <w:rPr>
          <w:rFonts w:ascii="Arial" w:cs="Arial" w:eastAsia="Arial" w:hAnsi="Arial"/>
          <w:sz w:val="13"/>
          <w:szCs w:val="13"/>
          <w:color w:val="auto"/>
          <w:highlight w:val="white"/>
        </w:rPr>
        <w:t>filed a revocation action in the Business and Property Courts of England and Wales requesting revocation of EP’949 and EP’565.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4255135</wp:posOffset>
            </wp:positionH>
            <wp:positionV relativeFrom="paragraph">
              <wp:posOffset>-167005</wp:posOffset>
            </wp:positionV>
            <wp:extent cx="1219835" cy="63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77">
                      <a:extLst>
                        <a:ext uri="{28A0092B-C50C-407E-A947-70E740481C1C}"/>
                      </a:extLst>
                    </a:blip>
                    <a:srcRect/>
                    <a:stretch>
                      <a:fillRect/>
                    </a:stretch>
                  </pic:blipFill>
                  <pic:spPr bwMode="auto">
                    <a:xfrm>
                      <a:off x="0" y="0"/>
                      <a:ext cx="1219835" cy="6350"/>
                    </a:xfrm>
                    <a:prstGeom prst="rect">
                      <a:avLst/>
                    </a:prstGeom>
                    <a:noFill/>
                  </pic:spPr>
                </pic:pic>
              </a:graphicData>
            </a:graphic>
          </wp:anchor>
        </w:drawing>
      </w:r>
    </w:p>
    <w:p>
      <w:pPr>
        <w:ind w:left="380" w:right="2200"/>
        <w:spacing w:after="0" w:line="210" w:lineRule="auto"/>
        <w:rPr>
          <w:sz w:val="20"/>
          <w:szCs w:val="20"/>
          <w:color w:val="auto"/>
        </w:rPr>
      </w:pPr>
      <w:r>
        <w:rPr>
          <w:rFonts w:ascii="Arial" w:cs="Arial" w:eastAsia="Arial" w:hAnsi="Arial"/>
          <w:sz w:val="13"/>
          <w:szCs w:val="13"/>
          <w:color w:val="auto"/>
          <w:highlight w:val="white"/>
        </w:rPr>
        <w:t>The UK High Court held a trial between April 22, 2024, and May 21, 2024. On July 2, 2024, the UK High Court released two judgments. The first judgment concerns the validity of EP’949 and EP’565. In this first judgment, the UK High Court found that EP’565 is invalid and therefore not infringed, while EP’949 is valid and infringed. The second judgment concerns whether Moderna’s October 2020 commitment not to “enforce [its] COVID-19 related patents against those making vaccines intended to combat the pandemic,” or the Patent Pledge, amounted to a consent under UK law to carry out any acts that would otherwise amount to patent infringement. With respect to this judgment, the UK High Court found that Moderna’s Patent Pledge amounted to consent to carry out activities that might otherwise infringe its patents prior to March 2022, but not after March 2022.</w:t>
      </w:r>
    </w:p>
    <w:p>
      <w:pPr>
        <w:spacing w:after="0" w:line="5"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highlight w:val="white"/>
        </w:rPr>
        <w:t xml:space="preserve">The UK High Court held a hearing on September 25, 2024, during which it granted Pfizer and BioNTech permission to appeal its judgment regarding the validity of EP’949, and denied Moderna permission to appeal its judgment regarding validity of EP’565. On October 16, 2024, Moderna sought permission from the UK Appeals Court to appeal the EP'565 judgment. On November 11, 2024, the UK Appeals Court denied Moderna’s application to appeal; accordingly, the UK designation of EP'565 is finally revoked with no further opportunity to appeal in the UK. No party sought permission to appeal the UK High Court’s judgment on the patent pledge. </w:t>
      </w:r>
      <w:r>
        <w:rPr>
          <w:rFonts w:ascii="Arial" w:cs="Arial" w:eastAsia="Arial" w:hAnsi="Arial"/>
          <w:sz w:val="13"/>
          <w:szCs w:val="13"/>
          <w:color w:val="005A64"/>
          <w:highlight w:val="white"/>
        </w:rPr>
        <w:t>United States</w:t>
      </w:r>
    </w:p>
    <w:p>
      <w:pPr>
        <w:ind w:left="380"/>
        <w:spacing w:after="0" w:line="217" w:lineRule="auto"/>
        <w:rPr>
          <w:sz w:val="20"/>
          <w:szCs w:val="20"/>
          <w:color w:val="auto"/>
        </w:rPr>
      </w:pPr>
      <w:r>
        <w:rPr>
          <w:rFonts w:ascii="Arial" w:cs="Arial" w:eastAsia="Arial" w:hAnsi="Arial"/>
          <w:sz w:val="13"/>
          <w:szCs w:val="13"/>
          <w:b w:val="1"/>
          <w:bCs w:val="1"/>
          <w:color w:val="auto"/>
        </w:rPr>
        <w:t>U.S. District Court Litigation</w:t>
      </w:r>
    </w:p>
    <w:p>
      <w:pPr>
        <w:ind w:left="380" w:right="2100"/>
        <w:spacing w:after="0" w:line="210" w:lineRule="auto"/>
        <w:rPr>
          <w:sz w:val="20"/>
          <w:szCs w:val="20"/>
          <w:color w:val="auto"/>
        </w:rPr>
      </w:pPr>
      <w:r>
        <w:rPr>
          <w:rFonts w:ascii="Arial" w:cs="Arial" w:eastAsia="Arial" w:hAnsi="Arial"/>
          <w:sz w:val="13"/>
          <w:szCs w:val="13"/>
          <w:color w:val="auto"/>
        </w:rPr>
        <w:t xml:space="preserve">In August 2022, Moderna filed a lawsuit in the U.S. District Court for the District of Massachusetts against us and our wholly owned subsidiaries BioNTech Manufacturing GmbH and BioNTech US Inc. and Pfizer Inc. alleging </w:t>
      </w:r>
      <w:r>
        <w:rPr>
          <w:rFonts w:ascii="Arial" w:cs="Arial" w:eastAsia="Arial" w:hAnsi="Arial"/>
          <w:sz w:val="13"/>
          <w:szCs w:val="13"/>
          <w:i w:val="1"/>
          <w:iCs w:val="1"/>
          <w:color w:val="auto"/>
        </w:rPr>
        <w:t>Comirnaty</w:t>
      </w:r>
      <w:r>
        <w:rPr>
          <w:rFonts w:ascii="Arial" w:cs="Arial" w:eastAsia="Arial" w:hAnsi="Arial"/>
          <w:sz w:val="13"/>
          <w:szCs w:val="13"/>
          <w:color w:val="auto"/>
        </w:rPr>
        <w:t>’s infringement of U.S. Patent Nos. 10,898,574; 10,702,600 and 10,933,127 and seeking monetary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relief. On April 12, 2024, the U.S. District Court for the District of Massachusetts stayed the litigation pending resolution of the </w:t>
      </w:r>
      <w:r>
        <w:rPr>
          <w:rFonts w:ascii="Arial" w:cs="Arial" w:eastAsia="Arial" w:hAnsi="Arial"/>
          <w:sz w:val="13"/>
          <w:szCs w:val="13"/>
          <w:i w:val="1"/>
          <w:iCs w:val="1"/>
          <w:color w:val="auto"/>
        </w:rPr>
        <w:t>inter partes</w:t>
      </w:r>
      <w:r>
        <w:rPr>
          <w:rFonts w:ascii="Arial" w:cs="Arial" w:eastAsia="Arial" w:hAnsi="Arial"/>
          <w:sz w:val="13"/>
          <w:szCs w:val="13"/>
          <w:color w:val="auto"/>
        </w:rPr>
        <w:t xml:space="preserve"> review of U.S. Patent Nos. 10,702,600 and 10,933,127.</w:t>
      </w:r>
    </w:p>
    <w:p>
      <w:pPr>
        <w:ind w:left="380"/>
        <w:spacing w:after="0" w:line="215" w:lineRule="auto"/>
        <w:rPr>
          <w:sz w:val="20"/>
          <w:szCs w:val="20"/>
          <w:color w:val="auto"/>
        </w:rPr>
      </w:pPr>
      <w:r>
        <w:rPr>
          <w:rFonts w:ascii="Arial" w:cs="Arial" w:eastAsia="Arial" w:hAnsi="Arial"/>
          <w:sz w:val="13"/>
          <w:szCs w:val="13"/>
          <w:b w:val="1"/>
          <w:bCs w:val="1"/>
          <w:color w:val="auto"/>
        </w:rPr>
        <w:t>Inter Partes Review</w:t>
      </w:r>
    </w:p>
    <w:p>
      <w:pPr>
        <w:ind w:left="380" w:right="2180"/>
        <w:spacing w:after="0" w:line="210" w:lineRule="auto"/>
        <w:rPr>
          <w:sz w:val="20"/>
          <w:szCs w:val="20"/>
          <w:color w:val="auto"/>
        </w:rPr>
      </w:pPr>
      <w:r>
        <w:rPr>
          <w:rFonts w:ascii="Arial" w:cs="Arial" w:eastAsia="Arial" w:hAnsi="Arial"/>
          <w:sz w:val="13"/>
          <w:szCs w:val="13"/>
          <w:color w:val="auto"/>
        </w:rPr>
        <w:t xml:space="preserve">In August 2023, Pfizer and we filed petitions seeking inter partes review of U.S. Patent Nos. 10,702,600 and 10,933,127 before the United States Patent Trial and Appeal Board, or the PTAB. On March 6, 2024, the PTAB issued decisions instituting </w:t>
      </w:r>
      <w:r>
        <w:rPr>
          <w:rFonts w:ascii="Arial" w:cs="Arial" w:eastAsia="Arial" w:hAnsi="Arial"/>
          <w:sz w:val="13"/>
          <w:szCs w:val="13"/>
          <w:i w:val="1"/>
          <w:iCs w:val="1"/>
          <w:color w:val="auto"/>
        </w:rPr>
        <w:t>inter partes</w:t>
      </w:r>
      <w:r>
        <w:rPr>
          <w:rFonts w:ascii="Arial" w:cs="Arial" w:eastAsia="Arial" w:hAnsi="Arial"/>
          <w:sz w:val="13"/>
          <w:szCs w:val="13"/>
          <w:color w:val="auto"/>
        </w:rPr>
        <w:t xml:space="preserve"> review proceedings on all challenged claims of U.S. Patent Nos. 10,702,600 and 10,933,127. An oral hearing on the merits occurred on December 10, 2024, and a first-instance decision by the PTAB is expected by March 2025.</w:t>
      </w:r>
    </w:p>
    <w:p>
      <w:pPr>
        <w:ind w:left="380"/>
        <w:spacing w:after="0" w:line="215" w:lineRule="auto"/>
        <w:rPr>
          <w:sz w:val="20"/>
          <w:szCs w:val="20"/>
          <w:color w:val="auto"/>
        </w:rPr>
      </w:pPr>
      <w:r>
        <w:rPr>
          <w:rFonts w:ascii="Arial" w:cs="Arial" w:eastAsia="Arial" w:hAnsi="Arial"/>
          <w:sz w:val="13"/>
          <w:szCs w:val="13"/>
          <w:color w:val="005A64"/>
        </w:rPr>
        <w:t>Netherlands</w:t>
      </w:r>
    </w:p>
    <w:p>
      <w:pPr>
        <w:ind w:left="380" w:right="2100"/>
        <w:spacing w:after="0" w:line="210" w:lineRule="auto"/>
        <w:rPr>
          <w:sz w:val="20"/>
          <w:szCs w:val="20"/>
          <w:color w:val="auto"/>
        </w:rPr>
      </w:pPr>
      <w:r>
        <w:rPr>
          <w:rFonts w:ascii="Arial" w:cs="Arial" w:eastAsia="Arial" w:hAnsi="Arial"/>
          <w:sz w:val="13"/>
          <w:szCs w:val="13"/>
          <w:color w:val="auto"/>
        </w:rPr>
        <w:t xml:space="preserve">In September 2022, Moderna filed a lawsuit against us and our wholly owned subsidiary BioNTech Manufacturing GmbH and Pfizer B.V., Pfizer Export B.V., C.P. Pharmaceuticals International C.V. and Pfizer Inc. in the District Court of The Hague alleging </w:t>
      </w:r>
      <w:r>
        <w:rPr>
          <w:rFonts w:ascii="Arial" w:cs="Arial" w:eastAsia="Arial" w:hAnsi="Arial"/>
          <w:sz w:val="13"/>
          <w:szCs w:val="13"/>
          <w:i w:val="1"/>
          <w:iCs w:val="1"/>
          <w:color w:val="auto"/>
        </w:rPr>
        <w:t>Comirnaty</w:t>
      </w:r>
      <w:r>
        <w:rPr>
          <w:rFonts w:ascii="Arial" w:cs="Arial" w:eastAsia="Arial" w:hAnsi="Arial"/>
          <w:sz w:val="13"/>
          <w:szCs w:val="13"/>
          <w:color w:val="auto"/>
        </w:rPr>
        <w:t>’s infringement of EP‘949 and EP’565. The District Court of the Hague held a hearing on October 6, 2023, on infringement and validity with respect to EP’949. On December 6, 2023, the Court found EP’949 to be invalid. On March 5, 2024, Moderna appealed this decision, and the appeal is pending. The EP’565 case has been stayed pending the outcome of Moderna’s appeal of the Opposition Division’s revocation of EP’565.</w:t>
      </w:r>
    </w:p>
    <w:p>
      <w:pPr>
        <w:ind w:left="380"/>
        <w:spacing w:after="0" w:line="217" w:lineRule="auto"/>
        <w:rPr>
          <w:sz w:val="20"/>
          <w:szCs w:val="20"/>
          <w:color w:val="auto"/>
        </w:rPr>
      </w:pPr>
      <w:r>
        <w:rPr>
          <w:rFonts w:ascii="Arial" w:cs="Arial" w:eastAsia="Arial" w:hAnsi="Arial"/>
          <w:sz w:val="13"/>
          <w:szCs w:val="13"/>
          <w:color w:val="005A64"/>
        </w:rPr>
        <w:t>Ireland</w:t>
      </w:r>
    </w:p>
    <w:p>
      <w:pPr>
        <w:ind w:left="380" w:right="2460"/>
        <w:spacing w:after="0" w:line="210" w:lineRule="auto"/>
        <w:rPr>
          <w:sz w:val="20"/>
          <w:szCs w:val="20"/>
          <w:color w:val="auto"/>
        </w:rPr>
      </w:pPr>
      <w:r>
        <w:rPr>
          <w:rFonts w:ascii="Arial" w:cs="Arial" w:eastAsia="Arial" w:hAnsi="Arial"/>
          <w:sz w:val="13"/>
          <w:szCs w:val="13"/>
          <w:color w:val="auto"/>
        </w:rPr>
        <w:t xml:space="preserve">In May 2023, Moderna filed a lawsuit against us and our wholly owned subsidiary BioNTech Manufacturing GmbH, Pfizer Inc., Pfizer Healthcare Ireland, Pfizer Ireland Pharmaceuticals, and C.P. Pharmaceuticals International C.V. alleging </w:t>
      </w:r>
      <w:r>
        <w:rPr>
          <w:rFonts w:ascii="Arial" w:cs="Arial" w:eastAsia="Arial" w:hAnsi="Arial"/>
          <w:sz w:val="13"/>
          <w:szCs w:val="13"/>
          <w:i w:val="1"/>
          <w:iCs w:val="1"/>
          <w:color w:val="auto"/>
        </w:rPr>
        <w:t>Comirnaty</w:t>
      </w:r>
      <w:r>
        <w:rPr>
          <w:rFonts w:ascii="Arial" w:cs="Arial" w:eastAsia="Arial" w:hAnsi="Arial"/>
          <w:sz w:val="13"/>
          <w:szCs w:val="13"/>
          <w:color w:val="auto"/>
        </w:rPr>
        <w:t>’s infringement of EP’949 and EP’565 in the High Court of Ireland. On February 26, 2024, the High Court of Ireland stayed the lawsuit pending the final determination of the EPO opposition proceedings for EP’949 and EP’565 (in each case including any appeals).</w:t>
      </w:r>
    </w:p>
    <w:p>
      <w:pPr>
        <w:ind w:left="380"/>
        <w:spacing w:after="0" w:line="215" w:lineRule="auto"/>
        <w:rPr>
          <w:sz w:val="20"/>
          <w:szCs w:val="20"/>
          <w:color w:val="auto"/>
        </w:rPr>
      </w:pPr>
      <w:r>
        <w:rPr>
          <w:rFonts w:ascii="Arial" w:cs="Arial" w:eastAsia="Arial" w:hAnsi="Arial"/>
          <w:sz w:val="13"/>
          <w:szCs w:val="13"/>
          <w:color w:val="005A64"/>
        </w:rPr>
        <w:t>Belgium</w:t>
      </w:r>
    </w:p>
    <w:p>
      <w:pPr>
        <w:ind w:left="380" w:right="2220"/>
        <w:spacing w:after="0" w:line="234" w:lineRule="auto"/>
        <w:rPr>
          <w:sz w:val="20"/>
          <w:szCs w:val="20"/>
          <w:color w:val="auto"/>
        </w:rPr>
      </w:pPr>
      <w:r>
        <w:rPr>
          <w:rFonts w:ascii="Arial" w:cs="Arial" w:eastAsia="Arial" w:hAnsi="Arial"/>
          <w:sz w:val="13"/>
          <w:szCs w:val="13"/>
          <w:color w:val="auto"/>
        </w:rPr>
        <w:t xml:space="preserve">In May 2023, Moderna filed a lawsuit against us, our wholly owned subsidiary BioNTech Manufacturing GmbH, Pfizer Inc. and Pfizer Manufacturing Belgium alleging </w:t>
      </w:r>
      <w:r>
        <w:rPr>
          <w:rFonts w:ascii="Arial" w:cs="Arial" w:eastAsia="Arial" w:hAnsi="Arial"/>
          <w:sz w:val="13"/>
          <w:szCs w:val="13"/>
          <w:i w:val="1"/>
          <w:iCs w:val="1"/>
          <w:color w:val="auto"/>
        </w:rPr>
        <w:t>Comirnaty</w:t>
      </w:r>
      <w:r>
        <w:rPr>
          <w:rFonts w:ascii="Arial" w:cs="Arial" w:eastAsia="Arial" w:hAnsi="Arial"/>
          <w:sz w:val="13"/>
          <w:szCs w:val="13"/>
          <w:color w:val="auto"/>
        </w:rPr>
        <w:t>’s infringement of EP’949 and EP’565 in the</w:t>
      </w:r>
    </w:p>
    <w:p>
      <w:pPr>
        <w:sectPr>
          <w:pgSz w:w="11900" w:h="16840" w:orient="portrait"/>
          <w:cols w:equalWidth="0" w:num="1">
            <w:col w:w="9020"/>
          </w:cols>
          <w:pgMar w:left="1440" w:top="560" w:right="1440" w:bottom="1440" w:gutter="0" w:footer="0" w:header="0"/>
        </w:sectPr>
      </w:pPr>
    </w:p>
    <w:bookmarkStart w:id="229" w:name="page230"/>
    <w:bookmarkEnd w:id="2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F-72</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640"/>
        <w:spacing w:after="0" w:line="217" w:lineRule="auto"/>
        <w:rPr>
          <w:sz w:val="20"/>
          <w:szCs w:val="20"/>
          <w:color w:val="auto"/>
        </w:rPr>
      </w:pPr>
      <w:r>
        <w:rPr>
          <w:rFonts w:ascii="Arial" w:cs="Arial" w:eastAsia="Arial" w:hAnsi="Arial"/>
          <w:sz w:val="13"/>
          <w:szCs w:val="13"/>
          <w:color w:val="auto"/>
        </w:rPr>
        <w:t>Brussels Dutch-speaking Enterprise Court. On May 29, 2024, the parties filed a joint request to stay the proceedings, which was entered by the Enterprise Court. All of the above proceedings are currently 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-250825</wp:posOffset>
            </wp:positionV>
            <wp:extent cx="5231130" cy="63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78">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100"/>
        <w:spacing w:after="0" w:line="210" w:lineRule="auto"/>
        <w:rPr>
          <w:sz w:val="20"/>
          <w:szCs w:val="20"/>
          <w:color w:val="auto"/>
        </w:rPr>
      </w:pPr>
      <w:r>
        <w:rPr>
          <w:rFonts w:ascii="Arial" w:cs="Arial" w:eastAsia="Arial" w:hAnsi="Arial"/>
          <w:sz w:val="13"/>
          <w:szCs w:val="13"/>
          <w:color w:val="auto"/>
        </w:rPr>
        <w:t>We believe we have strong defenses against the allegations claimed relative to each of the patents and intend to vigorously defend ourselves in the proceedings mentioned above. However, our analysis of Moderna’s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ind w:left="380"/>
        <w:spacing w:after="0" w:line="217" w:lineRule="auto"/>
        <w:rPr>
          <w:sz w:val="20"/>
          <w:szCs w:val="20"/>
          <w:color w:val="auto"/>
        </w:rPr>
      </w:pPr>
      <w:r>
        <w:rPr>
          <w:rFonts w:ascii="Arial" w:cs="Arial" w:eastAsia="Arial" w:hAnsi="Arial"/>
          <w:sz w:val="13"/>
          <w:szCs w:val="13"/>
          <w:b w:val="1"/>
          <w:bCs w:val="1"/>
          <w:color w:val="005A64"/>
        </w:rPr>
        <w:t>Arbutus and Genevant Proceedings</w:t>
      </w:r>
    </w:p>
    <w:p>
      <w:pPr>
        <w:ind w:left="380" w:right="2140"/>
        <w:spacing w:after="0" w:line="210" w:lineRule="auto"/>
        <w:rPr>
          <w:sz w:val="20"/>
          <w:szCs w:val="20"/>
          <w:color w:val="auto"/>
        </w:rPr>
      </w:pPr>
      <w:r>
        <w:rPr>
          <w:rFonts w:ascii="Arial" w:cs="Arial" w:eastAsia="Arial" w:hAnsi="Arial"/>
          <w:sz w:val="13"/>
          <w:szCs w:val="13"/>
          <w:color w:val="auto"/>
        </w:rPr>
        <w:t xml:space="preserve">In April 2023, Arbutus and Genevant filed a lawsuit against Pfizer and us in the U.S. District Court for the District of New Jersey alleging that Pfizer and we have infringed the following patents owned by Arbutus: U.S. Patent Nos. 9,504,651; 8,492,359; 11,141,378; 11,298,320; and 11,318,098, through the use of Genevant’s lipid nanoparticle technology and methods for producing such lipids in </w:t>
      </w:r>
      <w:r>
        <w:rPr>
          <w:rFonts w:ascii="Arial" w:cs="Arial" w:eastAsia="Arial" w:hAnsi="Arial"/>
          <w:sz w:val="13"/>
          <w:szCs w:val="13"/>
          <w:i w:val="1"/>
          <w:iCs w:val="1"/>
          <w:color w:val="auto"/>
        </w:rPr>
        <w:t>Comirnaty</w:t>
      </w:r>
      <w:r>
        <w:rPr>
          <w:rFonts w:ascii="Arial" w:cs="Arial" w:eastAsia="Arial" w:hAnsi="Arial"/>
          <w:sz w:val="13"/>
          <w:szCs w:val="13"/>
          <w:color w:val="auto"/>
        </w:rPr>
        <w:t>, and seeking monetary relief. This proceeding is currently pending.</w:t>
      </w:r>
    </w:p>
    <w:p>
      <w:pPr>
        <w:spacing w:after="0" w:line="3"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We believe we have strong defenses against the allegations claimed relative to each of the patents and intend to vigorously defend ourselves in the lawsuit mentioned above. However, our analysis of Arbutus and Genevant’s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ind w:left="380"/>
        <w:spacing w:after="0" w:line="217" w:lineRule="auto"/>
        <w:rPr>
          <w:sz w:val="20"/>
          <w:szCs w:val="20"/>
          <w:color w:val="auto"/>
        </w:rPr>
      </w:pPr>
      <w:r>
        <w:rPr>
          <w:rFonts w:ascii="Arial" w:cs="Arial" w:eastAsia="Arial" w:hAnsi="Arial"/>
          <w:sz w:val="13"/>
          <w:szCs w:val="13"/>
          <w:b w:val="1"/>
          <w:bCs w:val="1"/>
          <w:color w:val="005A64"/>
        </w:rPr>
        <w:t>GlaxoSmithKline Proceedings</w:t>
      </w:r>
    </w:p>
    <w:p>
      <w:pPr>
        <w:ind w:left="380" w:right="2460"/>
        <w:spacing w:after="0" w:line="232" w:lineRule="auto"/>
        <w:rPr>
          <w:sz w:val="20"/>
          <w:szCs w:val="20"/>
          <w:color w:val="auto"/>
        </w:rPr>
      </w:pPr>
      <w:r>
        <w:rPr>
          <w:rFonts w:ascii="Arial" w:cs="Arial" w:eastAsia="Arial" w:hAnsi="Arial"/>
          <w:sz w:val="13"/>
          <w:szCs w:val="13"/>
          <w:color w:val="auto"/>
        </w:rPr>
        <w:t>In April 2024, GSK filed a lawsuit against Pfizer, Pharmacia &amp; Upjohn Co. LLC, BioNTech SE, BioNTech Manufacturing GmbH, and BioNTech US Inc. in the United States District Court for the District of Delaware</w:t>
      </w:r>
    </w:p>
    <w:p>
      <w:pPr>
        <w:ind w:left="380" w:right="2140"/>
        <w:spacing w:after="0" w:line="201" w:lineRule="auto"/>
        <w:rPr>
          <w:sz w:val="20"/>
          <w:szCs w:val="20"/>
          <w:color w:val="auto"/>
        </w:rPr>
      </w:pPr>
      <w:r>
        <w:rPr>
          <w:rFonts w:ascii="Arial" w:cs="Arial" w:eastAsia="Arial" w:hAnsi="Arial"/>
          <w:sz w:val="13"/>
          <w:szCs w:val="13"/>
          <w:color w:val="auto"/>
        </w:rPr>
        <w:t>alleging that the cationic lipid used in COMIRNATY</w:t>
      </w:r>
      <w:r>
        <w:rPr>
          <w:rFonts w:ascii="Arial" w:cs="Arial" w:eastAsia="Arial" w:hAnsi="Arial"/>
          <w:sz w:val="18"/>
          <w:szCs w:val="18"/>
          <w:color w:val="auto"/>
          <w:vertAlign w:val="superscript"/>
        </w:rPr>
        <w:t>®</w:t>
      </w:r>
      <w:r>
        <w:rPr>
          <w:rFonts w:ascii="Arial" w:cs="Arial" w:eastAsia="Arial" w:hAnsi="Arial"/>
          <w:sz w:val="13"/>
          <w:szCs w:val="13"/>
          <w:color w:val="auto"/>
        </w:rPr>
        <w:t xml:space="preserve"> infringes U.S. Patent Nos. 11,638,693; 11,638,694; 11,666,534; 11,766,401; and 11,786,467; and seeking monetary relief. On August 14, 2024, GSK filed an amended complaint to assert infringement of three additional patents, U.S. Patent Nos. 11,759,422; 11,655,475; and 11,851,660. This proceeding is currently pending.</w:t>
      </w:r>
    </w:p>
    <w:p>
      <w:pPr>
        <w:spacing w:after="0" w:line="1" w:lineRule="exact"/>
        <w:rPr>
          <w:sz w:val="20"/>
          <w:szCs w:val="20"/>
          <w:color w:val="auto"/>
        </w:rPr>
      </w:pPr>
    </w:p>
    <w:p>
      <w:pPr>
        <w:ind w:left="380" w:right="2100"/>
        <w:spacing w:after="0" w:line="210" w:lineRule="auto"/>
        <w:rPr>
          <w:sz w:val="20"/>
          <w:szCs w:val="20"/>
          <w:color w:val="auto"/>
        </w:rPr>
      </w:pPr>
      <w:r>
        <w:rPr>
          <w:rFonts w:ascii="Arial" w:cs="Arial" w:eastAsia="Arial" w:hAnsi="Arial"/>
          <w:sz w:val="13"/>
          <w:szCs w:val="13"/>
          <w:color w:val="auto"/>
        </w:rPr>
        <w:t>We believe we have strong defenses against the allegations claimed relative to each of the patents and intend to vigorously defend ourselves in the lawsuit mentioned above. However, our analysis of GSK’s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ind w:left="380"/>
        <w:spacing w:after="0" w:line="217" w:lineRule="auto"/>
        <w:rPr>
          <w:sz w:val="20"/>
          <w:szCs w:val="20"/>
          <w:color w:val="auto"/>
        </w:rPr>
      </w:pPr>
      <w:r>
        <w:rPr>
          <w:rFonts w:ascii="Arial" w:cs="Arial" w:eastAsia="Arial" w:hAnsi="Arial"/>
          <w:sz w:val="13"/>
          <w:szCs w:val="13"/>
          <w:b w:val="1"/>
          <w:bCs w:val="1"/>
          <w:color w:val="005A64"/>
        </w:rPr>
        <w:t>Ladewig Proceedings</w:t>
      </w:r>
    </w:p>
    <w:p>
      <w:pPr>
        <w:ind w:left="380" w:right="2240"/>
        <w:spacing w:after="0" w:line="216" w:lineRule="auto"/>
        <w:rPr>
          <w:sz w:val="20"/>
          <w:szCs w:val="20"/>
          <w:color w:val="auto"/>
        </w:rPr>
      </w:pPr>
      <w:r>
        <w:rPr>
          <w:rFonts w:ascii="Arial" w:cs="Arial" w:eastAsia="Arial" w:hAnsi="Arial"/>
          <w:sz w:val="13"/>
          <w:szCs w:val="13"/>
          <w:color w:val="auto"/>
        </w:rPr>
        <w:t>In January 2024, we and certain of our officers and directors were named as defendants in a securities class action complaint captioned Ladewig v. BioNTech SE filed in the U.S. District Court for the Central District of California brought on behalf of a putative class of investors who purchased our securities from March 30, 2022 through October 13, 2023. Plaintiffs allege that we violated Sections 10(b) and 20(a) of the Exchange Act by stating that we were “well positioned” to remain a “market leader” in vaccines for the prevention of COVID-19 and by purportedly overstating demand for Comirnaty. Plaintiffs further allege that we failed to adapt our inventory to reflect the emergence of new COVID variants. On July 15, 2024, the case was transferred to the U.S. District Court for the Southern District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F-73</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2100"/>
        <w:spacing w:after="0" w:line="214" w:lineRule="auto"/>
        <w:rPr>
          <w:sz w:val="20"/>
          <w:szCs w:val="20"/>
          <w:color w:val="auto"/>
        </w:rPr>
      </w:pPr>
      <w:r>
        <w:rPr>
          <w:rFonts w:ascii="Arial" w:cs="Arial" w:eastAsia="Arial" w:hAnsi="Arial"/>
          <w:sz w:val="13"/>
          <w:szCs w:val="13"/>
          <w:color w:val="auto"/>
          <w:highlight w:val="white"/>
        </w:rPr>
        <w:t>We believe we have strong defenses against the allegations claimed and intend to vigorously defend ourselves in the lawsuit mentioned above. We cannot reasonably estimate the maximum potential exposure or the range of possible loss for this matter.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4358005</wp:posOffset>
            </wp:positionH>
            <wp:positionV relativeFrom="paragraph">
              <wp:posOffset>-501015</wp:posOffset>
            </wp:positionV>
            <wp:extent cx="1116965" cy="635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79">
                      <a:extLst>
                        <a:ext uri="{28A0092B-C50C-407E-A947-70E740481C1C}"/>
                      </a:extLst>
                    </a:blip>
                    <a:srcRect/>
                    <a:stretch>
                      <a:fillRect/>
                    </a:stretch>
                  </pic:blipFill>
                  <pic:spPr bwMode="auto">
                    <a:xfrm>
                      <a:off x="0" y="0"/>
                      <a:ext cx="1116965" cy="6350"/>
                    </a:xfrm>
                    <a:prstGeom prst="rect">
                      <a:avLst/>
                    </a:prstGeom>
                    <a:noFill/>
                  </pic:spPr>
                </pic:pic>
              </a:graphicData>
            </a:graphic>
          </wp:anchor>
        </w:drawing>
      </w:r>
    </w:p>
    <w:p>
      <w:pPr>
        <w:ind w:left="380"/>
        <w:spacing w:after="0" w:line="211" w:lineRule="auto"/>
        <w:rPr>
          <w:sz w:val="20"/>
          <w:szCs w:val="20"/>
          <w:color w:val="auto"/>
        </w:rPr>
      </w:pPr>
      <w:r>
        <w:rPr>
          <w:rFonts w:ascii="Arial" w:cs="Arial" w:eastAsia="Arial" w:hAnsi="Arial"/>
          <w:sz w:val="13"/>
          <w:szCs w:val="13"/>
          <w:b w:val="1"/>
          <w:bCs w:val="1"/>
          <w:color w:val="005A64"/>
        </w:rPr>
        <w:t>Other Financial Commitments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other financial commitments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83185</wp:posOffset>
            </wp:positionV>
            <wp:extent cx="795655" cy="52006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80">
                      <a:extLst>
                        <a:ext uri="{28A0092B-C50C-407E-A947-70E740481C1C}"/>
                      </a:extLst>
                    </a:blip>
                    <a:srcRect/>
                    <a:stretch>
                      <a:fillRect/>
                    </a:stretch>
                  </pic:blipFill>
                  <pic:spPr bwMode="auto">
                    <a:xfrm>
                      <a:off x="0" y="0"/>
                      <a:ext cx="795655" cy="520065"/>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-5715</wp:posOffset>
            </wp:positionV>
            <wp:extent cx="4262120" cy="127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81">
                      <a:extLst>
                        <a:ext uri="{28A0092B-C50C-407E-A947-70E740481C1C}"/>
                      </a:extLst>
                    </a:blip>
                    <a:srcRect/>
                    <a:stretch>
                      <a:fillRect/>
                    </a:stretch>
                  </pic:blipFill>
                  <pic:spPr bwMode="auto">
                    <a:xfrm>
                      <a:off x="0" y="0"/>
                      <a:ext cx="4262120" cy="12700"/>
                    </a:xfrm>
                    <a:prstGeom prst="rect">
                      <a:avLst/>
                    </a:prstGeom>
                    <a:noFill/>
                  </pic:spPr>
                </pic:pic>
              </a:graphicData>
            </a:graphic>
          </wp:anchor>
        </w:drawing>
      </w:r>
    </w:p>
    <w:p>
      <w:pPr>
        <w:spacing w:after="0" w:line="91"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4240" w:type="dxa"/>
            <w:vAlign w:val="bottom"/>
            <w:gridSpan w:val="2"/>
          </w:tcPr>
          <w:p>
            <w:pPr>
              <w:ind w:left="20"/>
              <w:spacing w:after="0"/>
              <w:rPr>
                <w:sz w:val="20"/>
                <w:szCs w:val="20"/>
                <w:color w:val="auto"/>
              </w:rPr>
            </w:pPr>
            <w:r>
              <w:rPr>
                <w:rFonts w:ascii="Arial" w:cs="Arial" w:eastAsia="Arial" w:hAnsi="Arial"/>
                <w:sz w:val="12"/>
                <w:szCs w:val="12"/>
                <w:i w:val="1"/>
                <w:iCs w:val="1"/>
                <w:color w:val="005A64"/>
              </w:rPr>
              <w:t>(in millions €)</w:t>
            </w:r>
          </w:p>
        </w:tc>
        <w:tc>
          <w:tcPr>
            <w:tcW w:w="40" w:type="dxa"/>
            <w:vAlign w:val="bottom"/>
            <w:tcBorders>
              <w:top w:val="single" w:sz="8" w:color="BECE33"/>
            </w:tcBorders>
          </w:tcPr>
          <w:p>
            <w:pPr>
              <w:spacing w:after="0"/>
              <w:rPr>
                <w:sz w:val="16"/>
                <w:szCs w:val="16"/>
                <w:color w:val="auto"/>
              </w:rPr>
            </w:pPr>
          </w:p>
        </w:tc>
        <w:tc>
          <w:tcPr>
            <w:tcW w:w="1220" w:type="dxa"/>
            <w:vAlign w:val="bottom"/>
            <w:tcBorders>
              <w:top w:val="single" w:sz="8" w:color="BECE33"/>
            </w:tcBorders>
            <w:gridSpan w:val="2"/>
          </w:tcPr>
          <w:p>
            <w:pPr>
              <w:spacing w:after="0"/>
              <w:rPr>
                <w:sz w:val="20"/>
                <w:szCs w:val="20"/>
                <w:color w:val="auto"/>
              </w:rPr>
            </w:pPr>
            <w:r>
              <w:rPr>
                <w:rFonts w:ascii="Arial" w:cs="Arial" w:eastAsia="Arial" w:hAnsi="Arial"/>
                <w:sz w:val="12"/>
                <w:szCs w:val="12"/>
                <w:b w:val="1"/>
                <w:bCs w:val="1"/>
                <w:color w:val="005A64"/>
              </w:rPr>
              <w:t>December 31, 2024</w:t>
            </w:r>
          </w:p>
        </w:tc>
        <w:tc>
          <w:tcPr>
            <w:tcW w:w="20" w:type="dxa"/>
            <w:vAlign w:val="bottom"/>
          </w:tcPr>
          <w:p>
            <w:pPr>
              <w:spacing w:after="0"/>
              <w:rPr>
                <w:sz w:val="16"/>
                <w:szCs w:val="16"/>
                <w:color w:val="auto"/>
              </w:rPr>
            </w:pPr>
          </w:p>
        </w:tc>
        <w:tc>
          <w:tcPr>
            <w:tcW w:w="1200" w:type="dxa"/>
            <w:vAlign w:val="bottom"/>
          </w:tcPr>
          <w:p>
            <w:pPr>
              <w:ind w:left="20"/>
              <w:spacing w:after="0"/>
              <w:rPr>
                <w:sz w:val="20"/>
                <w:szCs w:val="20"/>
                <w:color w:val="auto"/>
              </w:rPr>
            </w:pPr>
            <w:r>
              <w:rPr>
                <w:rFonts w:ascii="Arial" w:cs="Arial" w:eastAsia="Arial" w:hAnsi="Arial"/>
                <w:sz w:val="12"/>
                <w:szCs w:val="12"/>
                <w:b w:val="1"/>
                <w:bCs w:val="1"/>
                <w:color w:val="005A64"/>
              </w:rPr>
              <w:t>December 31, 2023</w:t>
            </w:r>
          </w:p>
        </w:tc>
      </w:tr>
      <w:tr>
        <w:trPr>
          <w:trHeight w:val="160"/>
        </w:trPr>
        <w:tc>
          <w:tcPr>
            <w:tcW w:w="4220" w:type="dxa"/>
            <w:vAlign w:val="bottom"/>
            <w:tcBorders>
              <w:top w:val="single" w:sz="8" w:color="005A64"/>
            </w:tcBorders>
          </w:tcPr>
          <w:p>
            <w:pPr>
              <w:ind w:left="20"/>
              <w:spacing w:after="0"/>
              <w:rPr>
                <w:sz w:val="20"/>
                <w:szCs w:val="20"/>
                <w:color w:val="auto"/>
              </w:rPr>
            </w:pPr>
            <w:r>
              <w:rPr>
                <w:rFonts w:ascii="Arial" w:cs="Arial" w:eastAsia="Arial" w:hAnsi="Arial"/>
                <w:sz w:val="12"/>
                <w:szCs w:val="12"/>
                <w:color w:val="005A64"/>
              </w:rPr>
              <w:t>Commitments under purchase agreements for property, plant and equipment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Borders>
              <w:top w:val="single" w:sz="8" w:color="005A64"/>
            </w:tcBorders>
          </w:tcPr>
          <w:p>
            <w:pPr>
              <w:spacing w:after="0"/>
              <w:rPr>
                <w:sz w:val="20"/>
                <w:szCs w:val="20"/>
                <w:color w:val="auto"/>
              </w:rPr>
            </w:pPr>
            <w:r>
              <w:rPr>
                <w:rFonts w:ascii="Arial" w:cs="Arial" w:eastAsia="Arial" w:hAnsi="Arial"/>
                <w:sz w:val="12"/>
                <w:szCs w:val="12"/>
                <w:color w:val="005A64"/>
              </w:rPr>
              <w:t>186.7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5A64"/>
            </w:tcBorders>
          </w:tcPr>
          <w:p>
            <w:pPr>
              <w:ind w:left="20"/>
              <w:spacing w:after="0"/>
              <w:rPr>
                <w:sz w:val="20"/>
                <w:szCs w:val="20"/>
                <w:color w:val="auto"/>
              </w:rPr>
            </w:pPr>
            <w:r>
              <w:rPr>
                <w:rFonts w:ascii="Arial" w:cs="Arial" w:eastAsia="Arial" w:hAnsi="Arial"/>
                <w:sz w:val="12"/>
                <w:szCs w:val="12"/>
                <w:color w:val="005A64"/>
              </w:rPr>
              <w:t>154.4</w:t>
            </w:r>
          </w:p>
        </w:tc>
      </w:tr>
      <w:tr>
        <w:trPr>
          <w:trHeight w:val="181"/>
        </w:trPr>
        <w:tc>
          <w:tcPr>
            <w:tcW w:w="4240" w:type="dxa"/>
            <w:vAlign w:val="bottom"/>
            <w:gridSpan w:val="2"/>
          </w:tcPr>
          <w:p>
            <w:pPr>
              <w:ind w:left="20"/>
              <w:spacing w:after="0"/>
              <w:rPr>
                <w:sz w:val="20"/>
                <w:szCs w:val="20"/>
                <w:color w:val="auto"/>
              </w:rPr>
            </w:pPr>
            <w:r>
              <w:rPr>
                <w:rFonts w:ascii="Arial" w:cs="Arial" w:eastAsia="Arial" w:hAnsi="Arial"/>
                <w:sz w:val="12"/>
                <w:szCs w:val="12"/>
                <w:color w:val="005A64"/>
              </w:rPr>
              <w:t>Contractual obligation to acquire intangible assets</w:t>
            </w:r>
          </w:p>
        </w:tc>
        <w:tc>
          <w:tcPr>
            <w:tcW w:w="1240" w:type="dxa"/>
            <w:vAlign w:val="bottom"/>
            <w:gridSpan w:val="2"/>
          </w:tcPr>
          <w:p>
            <w:pPr>
              <w:ind w:left="40"/>
              <w:spacing w:after="0"/>
              <w:rPr>
                <w:sz w:val="20"/>
                <w:szCs w:val="20"/>
                <w:color w:val="auto"/>
              </w:rPr>
            </w:pPr>
            <w:r>
              <w:rPr>
                <w:rFonts w:ascii="Arial" w:cs="Arial" w:eastAsia="Arial" w:hAnsi="Arial"/>
                <w:sz w:val="12"/>
                <w:szCs w:val="12"/>
                <w:color w:val="005A64"/>
              </w:rPr>
              <w:t>1,193.1</w:t>
            </w:r>
          </w:p>
        </w:tc>
        <w:tc>
          <w:tcPr>
            <w:tcW w:w="2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Arial" w:cs="Arial" w:eastAsia="Arial" w:hAnsi="Arial"/>
                <w:sz w:val="12"/>
                <w:szCs w:val="12"/>
                <w:color w:val="005A64"/>
              </w:rPr>
              <w:t>1,721.1</w:t>
            </w:r>
          </w:p>
        </w:tc>
      </w:tr>
      <w:tr>
        <w:trPr>
          <w:trHeight w:val="208"/>
        </w:trPr>
        <w:tc>
          <w:tcPr>
            <w:tcW w:w="424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005A64"/>
              </w:rPr>
              <w:t>1,379.8</w:t>
            </w:r>
          </w:p>
        </w:tc>
        <w:tc>
          <w:tcPr>
            <w:tcW w:w="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005A64"/>
              </w:rPr>
              <w:t>1,875.5</w:t>
            </w:r>
          </w:p>
        </w:tc>
      </w:tr>
    </w:tbl>
    <w:p>
      <w:pPr>
        <w:spacing w:after="0" w:line="37" w:lineRule="exact"/>
        <w:rPr>
          <w:sz w:val="20"/>
          <w:szCs w:val="20"/>
          <w:color w:val="auto"/>
        </w:rPr>
      </w:pPr>
    </w:p>
    <w:p>
      <w:pPr>
        <w:ind w:left="380" w:right="2120"/>
        <w:spacing w:after="0" w:line="227" w:lineRule="auto"/>
        <w:rPr>
          <w:sz w:val="20"/>
          <w:szCs w:val="20"/>
          <w:color w:val="auto"/>
        </w:rPr>
      </w:pPr>
      <w:r>
        <w:rPr>
          <w:rFonts w:ascii="Arial" w:cs="Arial" w:eastAsia="Arial" w:hAnsi="Arial"/>
          <w:sz w:val="13"/>
          <w:szCs w:val="13"/>
          <w:color w:val="auto"/>
        </w:rPr>
        <w:t>Contractual obligations to acquire intangible assets exist in connection with in-licensing and research and development collaborations. We have entered into obligations to make milestone payments once specific targets have been reached. Provided that all of the milestone events are achieved, we would be obligated to pay up to €1,193.1 million as of December 31, 2024, (€1,721.1 million as of December 31, 2023) in connection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-352425</wp:posOffset>
            </wp:positionV>
            <wp:extent cx="4262120" cy="635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2">
                      <a:extLst>
                        <a:ext uri="{28A0092B-C50C-407E-A947-70E740481C1C}"/>
                      </a:extLst>
                    </a:blip>
                    <a:srcRect/>
                    <a:stretch>
                      <a:fillRect/>
                    </a:stretch>
                  </pic:blipFill>
                  <pic:spPr bwMode="auto">
                    <a:xfrm>
                      <a:off x="0" y="0"/>
                      <a:ext cx="4262120" cy="6350"/>
                    </a:xfrm>
                    <a:prstGeom prst="rect">
                      <a:avLst/>
                    </a:prstGeom>
                    <a:noFill/>
                  </pic:spPr>
                </pic:pic>
              </a:graphicData>
            </a:graphic>
          </wp:anchor>
        </w:drawing>
      </w:r>
    </w:p>
    <w:p>
      <w:pPr>
        <w:sectPr>
          <w:pgSz w:w="11900" w:h="16840" w:orient="portrait"/>
          <w:cols w:equalWidth="0" w:num="1">
            <w:col w:w="9020"/>
          </w:cols>
          <w:pgMar w:left="1440" w:top="1440" w:right="1440" w:bottom="78" w:gutter="0" w:footer="0" w:header="0"/>
        </w:sectPr>
      </w:pPr>
    </w:p>
    <w:bookmarkStart w:id="230" w:name="page231"/>
    <w:bookmarkEnd w:id="230"/>
    <w:p>
      <w:pPr>
        <w:ind w:left="380" w:right="2180"/>
        <w:spacing w:after="0" w:line="213" w:lineRule="auto"/>
        <w:rPr>
          <w:sz w:val="20"/>
          <w:szCs w:val="20"/>
          <w:color w:val="auto"/>
        </w:rPr>
      </w:pPr>
      <w:r>
        <w:rPr>
          <w:rFonts w:ascii="Arial" w:cs="Arial" w:eastAsia="Arial" w:hAnsi="Arial"/>
          <w:sz w:val="13"/>
          <w:szCs w:val="13"/>
          <w:color w:val="auto"/>
        </w:rPr>
        <w:t>acquisition of intangible assets. The amounts shown represent the maximum payments to be made, and it is unlikely that they will all fall due. We have excluded any milestone payments subject to in-licensing agreements with Biotheus as such payments are treated as intra-group transactions following the acquisition of Biotheus, which closed in January 2025. Commitments from the acquisition of Biotheus are disclosed under Note 5 Business Combinations. The amounts and the dates of the actual payments may both vary considerably from those stated in the table, since the achievement of the conditions for payment is possible but uncertain. Other financial obligations from possible future sales-based milestone and license payments were not included in the table above.</w:t>
      </w:r>
    </w:p>
    <w:p>
      <w:pPr>
        <w:spacing w:after="0" w:line="2" w:lineRule="exact"/>
        <w:rPr>
          <w:sz w:val="20"/>
          <w:szCs w:val="20"/>
          <w:color w:val="auto"/>
        </w:rPr>
      </w:pPr>
    </w:p>
    <w:p>
      <w:pPr>
        <w:ind w:left="380" w:right="2240"/>
        <w:spacing w:after="0" w:line="234" w:lineRule="auto"/>
        <w:rPr>
          <w:sz w:val="20"/>
          <w:szCs w:val="20"/>
          <w:color w:val="auto"/>
        </w:rPr>
      </w:pPr>
      <w:r>
        <w:rPr>
          <w:rFonts w:ascii="Arial" w:cs="Arial" w:eastAsia="Arial" w:hAnsi="Arial"/>
          <w:sz w:val="13"/>
          <w:szCs w:val="13"/>
          <w:color w:val="auto"/>
        </w:rPr>
        <w:t>The expected maturities of payment obligations under purchase agreements for property, plant and equipment and contractual obligations to acquire intangible assets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-12700</wp:posOffset>
            </wp:positionV>
            <wp:extent cx="4274820" cy="127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83">
                      <a:extLst>
                        <a:ext uri="{28A0092B-C50C-407E-A947-70E740481C1C}"/>
                      </a:extLst>
                    </a:blip>
                    <a:srcRect/>
                    <a:stretch>
                      <a:fillRect/>
                    </a:stretch>
                  </pic:blipFill>
                  <pic:spPr bwMode="auto">
                    <a:xfrm>
                      <a:off x="0" y="0"/>
                      <a:ext cx="4274820" cy="12700"/>
                    </a:xfrm>
                    <a:prstGeom prst="rect">
                      <a:avLst/>
                    </a:prstGeom>
                    <a:noFill/>
                  </pic:spPr>
                </pic:pic>
              </a:graphicData>
            </a:graphic>
          </wp:anchor>
        </w:drawing>
      </w:r>
    </w:p>
    <w:p>
      <w:pPr>
        <w:spacing w:after="0" w:line="39" w:lineRule="exact"/>
        <w:rPr>
          <w:sz w:val="20"/>
          <w:szCs w:val="20"/>
          <w:color w:val="auto"/>
        </w:rPr>
      </w:pPr>
    </w:p>
    <w:p>
      <w:pPr>
        <w:ind w:left="400"/>
        <w:spacing w:after="0"/>
        <w:rPr>
          <w:sz w:val="20"/>
          <w:szCs w:val="20"/>
          <w:color w:val="auto"/>
        </w:rPr>
      </w:pPr>
      <w:r>
        <w:rPr>
          <w:rFonts w:ascii="Arial" w:cs="Arial" w:eastAsia="Arial" w:hAnsi="Arial"/>
          <w:sz w:val="12"/>
          <w:szCs w:val="12"/>
          <w:b w:val="1"/>
          <w:bCs w:val="1"/>
          <w:color w:val="005A64"/>
        </w:rPr>
        <w:t>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99060</wp:posOffset>
            </wp:positionV>
            <wp:extent cx="2060575" cy="68707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84">
                      <a:extLst>
                        <a:ext uri="{28A0092B-C50C-407E-A947-70E740481C1C}"/>
                      </a:extLst>
                    </a:blip>
                    <a:srcRect/>
                    <a:stretch>
                      <a:fillRect/>
                    </a:stretch>
                  </pic:blipFill>
                  <pic:spPr bwMode="auto">
                    <a:xfrm>
                      <a:off x="0" y="0"/>
                      <a:ext cx="2060575" cy="687070"/>
                    </a:xfrm>
                    <a:prstGeom prst="rect">
                      <a:avLst/>
                    </a:prstGeom>
                    <a:noFill/>
                  </pic:spPr>
                </pic:pic>
              </a:graphicData>
            </a:graphic>
          </wp:anchor>
        </w:drawing>
      </w:r>
    </w:p>
    <w:p>
      <w:pPr>
        <w:spacing w:after="0" w:line="116" w:lineRule="exact"/>
        <w:rPr>
          <w:sz w:val="20"/>
          <w:szCs w:val="20"/>
          <w:color w:val="auto"/>
        </w:rPr>
      </w:pPr>
    </w:p>
    <w:tbl>
      <w:tblPr>
        <w:tblLayout w:type="fixed"/>
        <w:tblInd w:w="380" w:type="dxa"/>
        <w:tblCellMar>
          <w:top w:w="0" w:type="dxa"/>
          <w:left w:w="0" w:type="dxa"/>
          <w:bottom w:w="0" w:type="dxa"/>
          <w:right w:w="0" w:type="dxa"/>
        </w:tblCellMar>
      </w:tblPr>
      <w:tr>
        <w:trPr>
          <w:trHeight w:val="121"/>
        </w:trPr>
        <w:tc>
          <w:tcPr>
            <w:tcW w:w="3500" w:type="dxa"/>
            <w:vAlign w:val="bottom"/>
            <w:gridSpan w:val="2"/>
          </w:tcPr>
          <w:p>
            <w:pPr>
              <w:ind w:left="20"/>
              <w:spacing w:after="0" w:line="121" w:lineRule="exact"/>
              <w:rPr>
                <w:sz w:val="20"/>
                <w:szCs w:val="20"/>
                <w:color w:val="auto"/>
              </w:rPr>
            </w:pPr>
            <w:r>
              <w:rPr>
                <w:rFonts w:ascii="Arial" w:cs="Arial" w:eastAsia="Arial" w:hAnsi="Arial"/>
                <w:sz w:val="12"/>
                <w:szCs w:val="12"/>
                <w:i w:val="1"/>
                <w:iCs w:val="1"/>
                <w:color w:val="005A64"/>
              </w:rPr>
              <w:t>(in millions €)</w:t>
            </w:r>
          </w:p>
        </w:tc>
        <w:tc>
          <w:tcPr>
            <w:tcW w:w="40" w:type="dxa"/>
            <w:vAlign w:val="bottom"/>
            <w:tcBorders>
              <w:top w:val="single" w:sz="8" w:color="BECE33"/>
            </w:tcBorders>
          </w:tcPr>
          <w:p>
            <w:pPr>
              <w:spacing w:after="0"/>
              <w:rPr>
                <w:sz w:val="10"/>
                <w:szCs w:val="10"/>
                <w:color w:val="auto"/>
              </w:rPr>
            </w:pPr>
          </w:p>
        </w:tc>
        <w:tc>
          <w:tcPr>
            <w:tcW w:w="740" w:type="dxa"/>
            <w:vAlign w:val="bottom"/>
            <w:tcBorders>
              <w:top w:val="single" w:sz="8" w:color="BECE33"/>
            </w:tcBorders>
          </w:tcPr>
          <w:p>
            <w:pPr>
              <w:ind w:left="20"/>
              <w:spacing w:after="0" w:line="121" w:lineRule="exact"/>
              <w:rPr>
                <w:sz w:val="20"/>
                <w:szCs w:val="20"/>
                <w:color w:val="auto"/>
              </w:rPr>
            </w:pPr>
            <w:r>
              <w:rPr>
                <w:rFonts w:ascii="Arial" w:cs="Arial" w:eastAsia="Arial" w:hAnsi="Arial"/>
                <w:sz w:val="12"/>
                <w:szCs w:val="12"/>
                <w:b w:val="1"/>
                <w:bCs w:val="1"/>
                <w:color w:val="005A64"/>
              </w:rPr>
              <w:t>Less than</w:t>
            </w:r>
          </w:p>
        </w:tc>
        <w:tc>
          <w:tcPr>
            <w:tcW w:w="100" w:type="dxa"/>
            <w:vAlign w:val="bottom"/>
            <w:tcBorders>
              <w:top w:val="single" w:sz="8" w:color="BECE33"/>
            </w:tcBorders>
          </w:tcPr>
          <w:p>
            <w:pPr>
              <w:spacing w:after="0"/>
              <w:rPr>
                <w:sz w:val="10"/>
                <w:szCs w:val="10"/>
                <w:color w:val="auto"/>
              </w:rPr>
            </w:pPr>
          </w:p>
        </w:tc>
        <w:tc>
          <w:tcPr>
            <w:tcW w:w="740" w:type="dxa"/>
            <w:vAlign w:val="bottom"/>
            <w:tcBorders>
              <w:top w:val="single" w:sz="8" w:color="BECE33"/>
            </w:tcBorders>
          </w:tcPr>
          <w:p>
            <w:pPr>
              <w:spacing w:after="0" w:line="121" w:lineRule="exact"/>
              <w:rPr>
                <w:sz w:val="20"/>
                <w:szCs w:val="20"/>
                <w:color w:val="auto"/>
              </w:rPr>
            </w:pPr>
            <w:r>
              <w:rPr>
                <w:rFonts w:ascii="Arial" w:cs="Arial" w:eastAsia="Arial" w:hAnsi="Arial"/>
                <w:sz w:val="12"/>
                <w:szCs w:val="12"/>
                <w:b w:val="1"/>
                <w:bCs w:val="1"/>
                <w:color w:val="005A64"/>
              </w:rPr>
              <w:t>1 to 5</w:t>
            </w:r>
          </w:p>
        </w:tc>
        <w:tc>
          <w:tcPr>
            <w:tcW w:w="80" w:type="dxa"/>
            <w:vAlign w:val="bottom"/>
            <w:tcBorders>
              <w:top w:val="single" w:sz="8" w:color="BECE33"/>
            </w:tcBorders>
          </w:tcPr>
          <w:p>
            <w:pPr>
              <w:spacing w:after="0"/>
              <w:rPr>
                <w:sz w:val="10"/>
                <w:szCs w:val="10"/>
                <w:color w:val="auto"/>
              </w:rPr>
            </w:pPr>
          </w:p>
        </w:tc>
        <w:tc>
          <w:tcPr>
            <w:tcW w:w="740" w:type="dxa"/>
            <w:vAlign w:val="bottom"/>
            <w:tcBorders>
              <w:top w:val="single" w:sz="8" w:color="BECE33"/>
            </w:tcBorders>
          </w:tcPr>
          <w:p>
            <w:pPr>
              <w:spacing w:after="0" w:line="121" w:lineRule="exact"/>
              <w:rPr>
                <w:sz w:val="20"/>
                <w:szCs w:val="20"/>
                <w:color w:val="auto"/>
              </w:rPr>
            </w:pPr>
            <w:r>
              <w:rPr>
                <w:rFonts w:ascii="Arial" w:cs="Arial" w:eastAsia="Arial" w:hAnsi="Arial"/>
                <w:sz w:val="12"/>
                <w:szCs w:val="12"/>
                <w:b w:val="1"/>
                <w:bCs w:val="1"/>
                <w:color w:val="005A64"/>
              </w:rPr>
              <w:t>More than</w:t>
            </w:r>
          </w:p>
        </w:tc>
        <w:tc>
          <w:tcPr>
            <w:tcW w:w="20" w:type="dxa"/>
            <w:vAlign w:val="bottom"/>
            <w:tcBorders>
              <w:top w:val="single" w:sz="8" w:color="BECE33"/>
            </w:tcBorders>
          </w:tcPr>
          <w:p>
            <w:pPr>
              <w:spacing w:after="0"/>
              <w:rPr>
                <w:sz w:val="10"/>
                <w:szCs w:val="10"/>
                <w:color w:val="auto"/>
              </w:rPr>
            </w:pPr>
          </w:p>
        </w:tc>
        <w:tc>
          <w:tcPr>
            <w:tcW w:w="780" w:type="dxa"/>
            <w:vAlign w:val="bottom"/>
            <w:tcBorders>
              <w:top w:val="single" w:sz="8" w:color="BECE33"/>
            </w:tcBorders>
            <w:gridSpan w:val="2"/>
          </w:tcPr>
          <w:p>
            <w:pPr>
              <w:ind w:left="20"/>
              <w:spacing w:after="0" w:line="121" w:lineRule="exact"/>
              <w:rPr>
                <w:sz w:val="20"/>
                <w:szCs w:val="20"/>
                <w:color w:val="auto"/>
              </w:rPr>
            </w:pPr>
            <w:r>
              <w:rPr>
                <w:rFonts w:ascii="Arial" w:cs="Arial" w:eastAsia="Arial" w:hAnsi="Arial"/>
                <w:sz w:val="12"/>
                <w:szCs w:val="12"/>
                <w:b w:val="1"/>
                <w:bCs w:val="1"/>
                <w:color w:val="005A64"/>
              </w:rPr>
              <w:t>Total</w:t>
            </w:r>
          </w:p>
        </w:tc>
        <w:tc>
          <w:tcPr>
            <w:tcW w:w="0" w:type="dxa"/>
            <w:vAlign w:val="bottom"/>
          </w:tcPr>
          <w:p>
            <w:pPr>
              <w:spacing w:after="0"/>
              <w:rPr>
                <w:sz w:val="1"/>
                <w:szCs w:val="1"/>
                <w:color w:val="auto"/>
              </w:rPr>
            </w:pPr>
          </w:p>
        </w:tc>
      </w:tr>
      <w:tr>
        <w:trPr>
          <w:trHeight w:val="166"/>
        </w:trPr>
        <w:tc>
          <w:tcPr>
            <w:tcW w:w="3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005A64"/>
              </w:rPr>
              <w:t>1 year</w:t>
            </w: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005A64"/>
              </w:rPr>
              <w:t>years</w:t>
            </w:r>
          </w:p>
        </w:tc>
        <w:tc>
          <w:tcPr>
            <w:tcW w:w="8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005A64"/>
              </w:rPr>
              <w:t>5 years</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3460" w:type="dxa"/>
            <w:vAlign w:val="bottom"/>
            <w:tcBorders>
              <w:bottom w:val="single" w:sz="8" w:color="005A64"/>
            </w:tcBorders>
          </w:tcPr>
          <w:p>
            <w:pPr>
              <w:spacing w:after="0"/>
              <w:rPr>
                <w:sz w:val="4"/>
                <w:szCs w:val="4"/>
                <w:color w:val="auto"/>
              </w:rPr>
            </w:pPr>
          </w:p>
        </w:tc>
        <w:tc>
          <w:tcPr>
            <w:tcW w:w="4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80" w:type="dxa"/>
            <w:vAlign w:val="bottom"/>
            <w:vMerge w:val="restart"/>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3460" w:type="dxa"/>
            <w:vAlign w:val="bottom"/>
          </w:tcPr>
          <w:p>
            <w:pPr>
              <w:ind w:left="20"/>
              <w:spacing w:after="0" w:line="102" w:lineRule="exact"/>
              <w:rPr>
                <w:sz w:val="20"/>
                <w:szCs w:val="20"/>
                <w:color w:val="auto"/>
              </w:rPr>
            </w:pPr>
            <w:r>
              <w:rPr>
                <w:rFonts w:ascii="Arial" w:cs="Arial" w:eastAsia="Arial" w:hAnsi="Arial"/>
                <w:sz w:val="11"/>
                <w:szCs w:val="11"/>
                <w:color w:val="005A64"/>
              </w:rPr>
              <w:t>Commitments under purchase agreements for property, plant</w:t>
            </w:r>
          </w:p>
        </w:tc>
        <w:tc>
          <w:tcPr>
            <w:tcW w:w="4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740" w:type="dxa"/>
            <w:vAlign w:val="bottom"/>
          </w:tcPr>
          <w:p>
            <w:pPr>
              <w:ind w:left="20"/>
              <w:spacing w:after="0" w:line="102" w:lineRule="exact"/>
              <w:rPr>
                <w:sz w:val="20"/>
                <w:szCs w:val="20"/>
                <w:color w:val="auto"/>
              </w:rPr>
            </w:pPr>
            <w:r>
              <w:rPr>
                <w:rFonts w:ascii="Arial" w:cs="Arial" w:eastAsia="Arial" w:hAnsi="Arial"/>
                <w:sz w:val="11"/>
                <w:szCs w:val="11"/>
                <w:color w:val="005A64"/>
              </w:rPr>
              <w:t>109.0</w:t>
            </w:r>
          </w:p>
        </w:tc>
        <w:tc>
          <w:tcPr>
            <w:tcW w:w="100" w:type="dxa"/>
            <w:vAlign w:val="bottom"/>
            <w:vMerge w:val="continue"/>
          </w:tcPr>
          <w:p>
            <w:pPr>
              <w:spacing w:after="0"/>
              <w:rPr>
                <w:sz w:val="8"/>
                <w:szCs w:val="8"/>
                <w:color w:val="auto"/>
              </w:rPr>
            </w:pPr>
          </w:p>
        </w:tc>
        <w:tc>
          <w:tcPr>
            <w:tcW w:w="740" w:type="dxa"/>
            <w:vAlign w:val="bottom"/>
          </w:tcPr>
          <w:p>
            <w:pPr>
              <w:spacing w:after="0" w:line="102" w:lineRule="exact"/>
              <w:rPr>
                <w:sz w:val="20"/>
                <w:szCs w:val="20"/>
                <w:color w:val="auto"/>
              </w:rPr>
            </w:pPr>
            <w:r>
              <w:rPr>
                <w:rFonts w:ascii="Arial" w:cs="Arial" w:eastAsia="Arial" w:hAnsi="Arial"/>
                <w:sz w:val="11"/>
                <w:szCs w:val="11"/>
                <w:color w:val="005A64"/>
              </w:rPr>
              <w:t>77.7</w:t>
            </w:r>
          </w:p>
        </w:tc>
        <w:tc>
          <w:tcPr>
            <w:tcW w:w="80" w:type="dxa"/>
            <w:vAlign w:val="bottom"/>
            <w:vMerge w:val="continue"/>
          </w:tcPr>
          <w:p>
            <w:pPr>
              <w:spacing w:after="0"/>
              <w:rPr>
                <w:sz w:val="8"/>
                <w:szCs w:val="8"/>
                <w:color w:val="auto"/>
              </w:rPr>
            </w:pPr>
          </w:p>
        </w:tc>
        <w:tc>
          <w:tcPr>
            <w:tcW w:w="740" w:type="dxa"/>
            <w:vAlign w:val="bottom"/>
          </w:tcPr>
          <w:p>
            <w:pPr>
              <w:spacing w:after="0" w:line="102" w:lineRule="exact"/>
              <w:rPr>
                <w:sz w:val="20"/>
                <w:szCs w:val="20"/>
                <w:color w:val="auto"/>
              </w:rPr>
            </w:pPr>
            <w:r>
              <w:rPr>
                <w:rFonts w:ascii="Arial" w:cs="Arial" w:eastAsia="Arial" w:hAnsi="Arial"/>
                <w:sz w:val="11"/>
                <w:szCs w:val="11"/>
                <w:color w:val="005A64"/>
              </w:rPr>
              <w:t>—</w:t>
            </w:r>
          </w:p>
        </w:tc>
        <w:tc>
          <w:tcPr>
            <w:tcW w:w="20" w:type="dxa"/>
            <w:vAlign w:val="bottom"/>
            <w:vMerge w:val="continue"/>
          </w:tcPr>
          <w:p>
            <w:pPr>
              <w:spacing w:after="0"/>
              <w:rPr>
                <w:sz w:val="8"/>
                <w:szCs w:val="8"/>
                <w:color w:val="auto"/>
              </w:rPr>
            </w:pPr>
          </w:p>
        </w:tc>
        <w:tc>
          <w:tcPr>
            <w:tcW w:w="760" w:type="dxa"/>
            <w:vAlign w:val="bottom"/>
          </w:tcPr>
          <w:p>
            <w:pPr>
              <w:ind w:left="20"/>
              <w:spacing w:after="0" w:line="102" w:lineRule="exact"/>
              <w:rPr>
                <w:sz w:val="20"/>
                <w:szCs w:val="20"/>
                <w:color w:val="auto"/>
              </w:rPr>
            </w:pPr>
            <w:r>
              <w:rPr>
                <w:rFonts w:ascii="Arial" w:cs="Arial" w:eastAsia="Arial" w:hAnsi="Arial"/>
                <w:sz w:val="11"/>
                <w:szCs w:val="11"/>
                <w:color w:val="005A64"/>
              </w:rPr>
              <w:t>186.7</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3500" w:type="dxa"/>
            <w:vAlign w:val="bottom"/>
            <w:gridSpan w:val="2"/>
          </w:tcPr>
          <w:p>
            <w:pPr>
              <w:ind w:left="20"/>
              <w:spacing w:after="0"/>
              <w:rPr>
                <w:sz w:val="20"/>
                <w:szCs w:val="20"/>
                <w:color w:val="auto"/>
              </w:rPr>
            </w:pPr>
            <w:r>
              <w:rPr>
                <w:rFonts w:ascii="Arial" w:cs="Arial" w:eastAsia="Arial" w:hAnsi="Arial"/>
                <w:sz w:val="12"/>
                <w:szCs w:val="12"/>
                <w:color w:val="005A64"/>
              </w:rPr>
              <w:t>and equipment</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500" w:type="dxa"/>
            <w:vAlign w:val="bottom"/>
            <w:gridSpan w:val="2"/>
          </w:tcPr>
          <w:p>
            <w:pPr>
              <w:ind w:left="20"/>
              <w:spacing w:after="0"/>
              <w:rPr>
                <w:sz w:val="20"/>
                <w:szCs w:val="20"/>
                <w:color w:val="auto"/>
              </w:rPr>
            </w:pPr>
            <w:r>
              <w:rPr>
                <w:rFonts w:ascii="Arial" w:cs="Arial" w:eastAsia="Arial" w:hAnsi="Arial"/>
                <w:sz w:val="12"/>
                <w:szCs w:val="12"/>
                <w:color w:val="005A64"/>
              </w:rPr>
              <w:t>Contractual obligation to acquire intangible assets</w:t>
            </w:r>
          </w:p>
        </w:tc>
        <w:tc>
          <w:tcPr>
            <w:tcW w:w="780" w:type="dxa"/>
            <w:vAlign w:val="bottom"/>
            <w:gridSpan w:val="2"/>
          </w:tcPr>
          <w:p>
            <w:pPr>
              <w:ind w:left="60"/>
              <w:spacing w:after="0"/>
              <w:rPr>
                <w:sz w:val="20"/>
                <w:szCs w:val="20"/>
                <w:color w:val="auto"/>
              </w:rPr>
            </w:pPr>
            <w:r>
              <w:rPr>
                <w:rFonts w:ascii="Arial" w:cs="Arial" w:eastAsia="Arial" w:hAnsi="Arial"/>
                <w:sz w:val="12"/>
                <w:szCs w:val="12"/>
                <w:color w:val="005A64"/>
              </w:rPr>
              <w:t>118.9</w:t>
            </w:r>
          </w:p>
        </w:tc>
        <w:tc>
          <w:tcPr>
            <w:tcW w:w="840" w:type="dxa"/>
            <w:vAlign w:val="bottom"/>
            <w:gridSpan w:val="2"/>
          </w:tcPr>
          <w:p>
            <w:pPr>
              <w:ind w:left="100"/>
              <w:spacing w:after="0"/>
              <w:rPr>
                <w:sz w:val="20"/>
                <w:szCs w:val="20"/>
                <w:color w:val="auto"/>
              </w:rPr>
            </w:pPr>
            <w:r>
              <w:rPr>
                <w:rFonts w:ascii="Arial" w:cs="Arial" w:eastAsia="Arial" w:hAnsi="Arial"/>
                <w:sz w:val="12"/>
                <w:szCs w:val="12"/>
                <w:color w:val="005A64"/>
              </w:rPr>
              <w:t>677.6</w:t>
            </w:r>
          </w:p>
        </w:tc>
        <w:tc>
          <w:tcPr>
            <w:tcW w:w="820" w:type="dxa"/>
            <w:vAlign w:val="bottom"/>
            <w:gridSpan w:val="2"/>
          </w:tcPr>
          <w:p>
            <w:pPr>
              <w:ind w:left="80"/>
              <w:spacing w:after="0"/>
              <w:rPr>
                <w:sz w:val="20"/>
                <w:szCs w:val="20"/>
                <w:color w:val="auto"/>
              </w:rPr>
            </w:pPr>
            <w:r>
              <w:rPr>
                <w:rFonts w:ascii="Arial" w:cs="Arial" w:eastAsia="Arial" w:hAnsi="Arial"/>
                <w:sz w:val="12"/>
                <w:szCs w:val="12"/>
                <w:color w:val="005A64"/>
              </w:rPr>
              <w:t>396.6</w:t>
            </w:r>
          </w:p>
        </w:tc>
        <w:tc>
          <w:tcPr>
            <w:tcW w:w="780" w:type="dxa"/>
            <w:vAlign w:val="bottom"/>
            <w:gridSpan w:val="2"/>
          </w:tcPr>
          <w:p>
            <w:pPr>
              <w:ind w:left="40"/>
              <w:spacing w:after="0"/>
              <w:rPr>
                <w:sz w:val="20"/>
                <w:szCs w:val="20"/>
                <w:color w:val="auto"/>
              </w:rPr>
            </w:pPr>
            <w:r>
              <w:rPr>
                <w:rFonts w:ascii="Arial" w:cs="Arial" w:eastAsia="Arial" w:hAnsi="Arial"/>
                <w:sz w:val="12"/>
                <w:szCs w:val="12"/>
                <w:color w:val="005A64"/>
              </w:rPr>
              <w:t>1,193.1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50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005A64"/>
              </w:rPr>
              <w:t>227.9</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005A64"/>
              </w:rPr>
              <w:t>755.3</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005A64"/>
              </w:rPr>
              <w:t>396.6</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005A64"/>
              </w:rPr>
              <w:t>1,379.8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Other financial obligations were recognized at nominal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-88265</wp:posOffset>
            </wp:positionV>
            <wp:extent cx="2195195" cy="63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85">
                      <a:extLst>
                        <a:ext uri="{28A0092B-C50C-407E-A947-70E740481C1C}"/>
                      </a:extLst>
                    </a:blip>
                    <a:srcRect/>
                    <a:stretch>
                      <a:fillRect/>
                    </a:stretch>
                  </pic:blipFill>
                  <pic:spPr bwMode="auto">
                    <a:xfrm>
                      <a:off x="0" y="0"/>
                      <a:ext cx="219519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F-74</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6"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5A64"/>
        </w:rPr>
        <w:t>19 Other Non-Financial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-109220</wp:posOffset>
            </wp:positionV>
            <wp:extent cx="5231130" cy="63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86">
                      <a:extLst>
                        <a:ext uri="{28A0092B-C50C-407E-A947-70E740481C1C}"/>
                      </a:extLst>
                    </a:blip>
                    <a:srcRect/>
                    <a:stretch>
                      <a:fillRect/>
                    </a:stretch>
                  </pic:blipFill>
                  <pic:spPr bwMode="auto">
                    <a:xfrm>
                      <a:off x="0" y="0"/>
                      <a:ext cx="5231130" cy="635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0</wp:posOffset>
            </wp:positionV>
            <wp:extent cx="4268470" cy="12325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87">
                      <a:extLst>
                        <a:ext uri="{28A0092B-C50C-407E-A947-70E740481C1C}"/>
                      </a:extLst>
                    </a:blip>
                    <a:srcRect/>
                    <a:stretch>
                      <a:fillRect/>
                    </a:stretch>
                  </pic:blipFill>
                  <pic:spPr bwMode="auto">
                    <a:xfrm>
                      <a:off x="0" y="0"/>
                      <a:ext cx="4268470" cy="1232535"/>
                    </a:xfrm>
                    <a:prstGeom prst="rect">
                      <a:avLst/>
                    </a:prstGeom>
                    <a:noFill/>
                  </pic:spPr>
                </pic:pic>
              </a:graphicData>
            </a:graphic>
          </wp:anchor>
        </w:drawing>
      </w:r>
    </w:p>
    <w:p>
      <w:pPr>
        <w:spacing w:after="0" w:line="100"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4180" w:type="dxa"/>
            <w:vAlign w:val="bottom"/>
            <w:gridSpan w:val="2"/>
          </w:tcPr>
          <w:p>
            <w:pPr>
              <w:ind w:left="20"/>
              <w:spacing w:after="0"/>
              <w:rPr>
                <w:sz w:val="20"/>
                <w:szCs w:val="20"/>
                <w:color w:val="auto"/>
              </w:rPr>
            </w:pPr>
            <w:r>
              <w:rPr>
                <w:rFonts w:ascii="Arial" w:cs="Arial" w:eastAsia="Arial" w:hAnsi="Arial"/>
                <w:sz w:val="12"/>
                <w:szCs w:val="12"/>
                <w:i w:val="1"/>
                <w:iCs w:val="1"/>
                <w:color w:val="005A64"/>
              </w:rPr>
              <w:t>(in millions €)</w:t>
            </w:r>
          </w:p>
        </w:tc>
        <w:tc>
          <w:tcPr>
            <w:tcW w:w="20" w:type="dxa"/>
            <w:vAlign w:val="bottom"/>
            <w:tcBorders>
              <w:top w:val="single" w:sz="8" w:color="BECE33"/>
            </w:tcBorders>
          </w:tcPr>
          <w:p>
            <w:pPr>
              <w:spacing w:after="0"/>
              <w:rPr>
                <w:sz w:val="16"/>
                <w:szCs w:val="16"/>
                <w:color w:val="auto"/>
              </w:rPr>
            </w:pPr>
          </w:p>
        </w:tc>
        <w:tc>
          <w:tcPr>
            <w:tcW w:w="1280" w:type="dxa"/>
            <w:vAlign w:val="bottom"/>
            <w:tcBorders>
              <w:top w:val="single" w:sz="8" w:color="BECE33"/>
            </w:tcBorders>
            <w:gridSpan w:val="2"/>
          </w:tcPr>
          <w:p>
            <w:pPr>
              <w:ind w:left="20"/>
              <w:spacing w:after="0"/>
              <w:rPr>
                <w:sz w:val="20"/>
                <w:szCs w:val="20"/>
                <w:color w:val="auto"/>
              </w:rPr>
            </w:pPr>
            <w:r>
              <w:rPr>
                <w:rFonts w:ascii="Arial" w:cs="Arial" w:eastAsia="Arial" w:hAnsi="Arial"/>
                <w:sz w:val="12"/>
                <w:szCs w:val="12"/>
                <w:b w:val="1"/>
                <w:bCs w:val="1"/>
                <w:color w:val="005A64"/>
              </w:rPr>
              <w:t>December 31, 2024</w:t>
            </w:r>
          </w:p>
        </w:tc>
        <w:tc>
          <w:tcPr>
            <w:tcW w:w="2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Arial" w:cs="Arial" w:eastAsia="Arial" w:hAnsi="Arial"/>
                <w:sz w:val="12"/>
                <w:szCs w:val="12"/>
                <w:b w:val="1"/>
                <w:bCs w:val="1"/>
                <w:color w:val="005A64"/>
              </w:rPr>
              <w:t>December 31, 2023</w:t>
            </w:r>
          </w:p>
        </w:tc>
        <w:tc>
          <w:tcPr>
            <w:tcW w:w="0" w:type="dxa"/>
            <w:vAlign w:val="bottom"/>
          </w:tcPr>
          <w:p>
            <w:pPr>
              <w:spacing w:after="0"/>
              <w:rPr>
                <w:sz w:val="1"/>
                <w:szCs w:val="1"/>
                <w:color w:val="auto"/>
              </w:rPr>
            </w:pPr>
          </w:p>
        </w:tc>
      </w:tr>
      <w:tr>
        <w:trPr>
          <w:trHeight w:val="160"/>
        </w:trPr>
        <w:tc>
          <w:tcPr>
            <w:tcW w:w="4160" w:type="dxa"/>
            <w:vAlign w:val="bottom"/>
            <w:tcBorders>
              <w:top w:val="single" w:sz="8" w:color="005A64"/>
            </w:tcBorders>
          </w:tcPr>
          <w:p>
            <w:pPr>
              <w:ind w:left="20"/>
              <w:spacing w:after="0"/>
              <w:rPr>
                <w:sz w:val="20"/>
                <w:szCs w:val="20"/>
                <w:color w:val="auto"/>
              </w:rPr>
            </w:pPr>
            <w:r>
              <w:rPr>
                <w:rFonts w:ascii="Arial" w:cs="Arial" w:eastAsia="Arial" w:hAnsi="Arial"/>
                <w:sz w:val="12"/>
                <w:szCs w:val="12"/>
                <w:color w:val="005A64"/>
              </w:rPr>
              <w:t>Liabilities to employees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5A64"/>
            </w:tcBorders>
          </w:tcPr>
          <w:p>
            <w:pPr>
              <w:ind w:left="20"/>
              <w:spacing w:after="0"/>
              <w:rPr>
                <w:sz w:val="20"/>
                <w:szCs w:val="20"/>
                <w:color w:val="auto"/>
              </w:rPr>
            </w:pPr>
            <w:r>
              <w:rPr>
                <w:rFonts w:ascii="Arial" w:cs="Arial" w:eastAsia="Arial" w:hAnsi="Arial"/>
                <w:sz w:val="12"/>
                <w:szCs w:val="12"/>
                <w:color w:val="005A64"/>
              </w:rPr>
              <w:t>99.8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Borders>
              <w:top w:val="single" w:sz="8" w:color="005A64"/>
            </w:tcBorders>
          </w:tcPr>
          <w:p>
            <w:pPr>
              <w:spacing w:after="0"/>
              <w:rPr>
                <w:sz w:val="20"/>
                <w:szCs w:val="20"/>
                <w:color w:val="auto"/>
              </w:rPr>
            </w:pPr>
            <w:r>
              <w:rPr>
                <w:rFonts w:ascii="Arial" w:cs="Arial" w:eastAsia="Arial" w:hAnsi="Arial"/>
                <w:sz w:val="12"/>
                <w:szCs w:val="12"/>
                <w:color w:val="005A64"/>
              </w:rPr>
              <w:t>73.3</w:t>
            </w:r>
          </w:p>
        </w:tc>
        <w:tc>
          <w:tcPr>
            <w:tcW w:w="0" w:type="dxa"/>
            <w:vAlign w:val="bottom"/>
          </w:tcPr>
          <w:p>
            <w:pPr>
              <w:spacing w:after="0"/>
              <w:rPr>
                <w:sz w:val="1"/>
                <w:szCs w:val="1"/>
                <w:color w:val="auto"/>
              </w:rPr>
            </w:pPr>
          </w:p>
        </w:tc>
      </w:tr>
      <w:tr>
        <w:trPr>
          <w:trHeight w:val="181"/>
        </w:trPr>
        <w:tc>
          <w:tcPr>
            <w:tcW w:w="4180" w:type="dxa"/>
            <w:vAlign w:val="bottom"/>
            <w:gridSpan w:val="2"/>
          </w:tcPr>
          <w:p>
            <w:pPr>
              <w:ind w:left="20"/>
              <w:spacing w:after="0"/>
              <w:rPr>
                <w:sz w:val="20"/>
                <w:szCs w:val="20"/>
                <w:color w:val="auto"/>
              </w:rPr>
            </w:pPr>
            <w:r>
              <w:rPr>
                <w:rFonts w:ascii="Arial" w:cs="Arial" w:eastAsia="Arial" w:hAnsi="Arial"/>
                <w:sz w:val="12"/>
                <w:szCs w:val="12"/>
                <w:color w:val="005A64"/>
              </w:rPr>
              <w:t>Liabilities from share-based payment arrangements</w:t>
            </w:r>
          </w:p>
        </w:tc>
        <w:tc>
          <w:tcPr>
            <w:tcW w:w="1260" w:type="dxa"/>
            <w:vAlign w:val="bottom"/>
            <w:gridSpan w:val="2"/>
          </w:tcPr>
          <w:p>
            <w:pPr>
              <w:ind w:left="40"/>
              <w:spacing w:after="0"/>
              <w:rPr>
                <w:sz w:val="20"/>
                <w:szCs w:val="20"/>
                <w:color w:val="auto"/>
              </w:rPr>
            </w:pPr>
            <w:r>
              <w:rPr>
                <w:rFonts w:ascii="Arial" w:cs="Arial" w:eastAsia="Arial" w:hAnsi="Arial"/>
                <w:sz w:val="12"/>
                <w:szCs w:val="12"/>
                <w:color w:val="005A64"/>
              </w:rPr>
              <w:t>26.6</w:t>
            </w:r>
          </w:p>
        </w:tc>
        <w:tc>
          <w:tcPr>
            <w:tcW w:w="4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2"/>
                <w:szCs w:val="12"/>
                <w:color w:val="005A64"/>
              </w:rPr>
              <w:t>29.0</w:t>
            </w:r>
          </w:p>
        </w:tc>
        <w:tc>
          <w:tcPr>
            <w:tcW w:w="0" w:type="dxa"/>
            <w:vAlign w:val="bottom"/>
          </w:tcPr>
          <w:p>
            <w:pPr>
              <w:spacing w:after="0"/>
              <w:rPr>
                <w:sz w:val="1"/>
                <w:szCs w:val="1"/>
                <w:color w:val="auto"/>
              </w:rPr>
            </w:pPr>
          </w:p>
        </w:tc>
      </w:tr>
      <w:tr>
        <w:trPr>
          <w:trHeight w:val="202"/>
        </w:trPr>
        <w:tc>
          <w:tcPr>
            <w:tcW w:w="4180" w:type="dxa"/>
            <w:vAlign w:val="bottom"/>
            <w:gridSpan w:val="2"/>
          </w:tcPr>
          <w:p>
            <w:pPr>
              <w:ind w:left="20"/>
              <w:spacing w:after="0"/>
              <w:rPr>
                <w:sz w:val="20"/>
                <w:szCs w:val="20"/>
                <w:color w:val="auto"/>
              </w:rPr>
            </w:pPr>
            <w:r>
              <w:rPr>
                <w:rFonts w:ascii="Arial" w:cs="Arial" w:eastAsia="Arial" w:hAnsi="Arial"/>
                <w:sz w:val="12"/>
                <w:szCs w:val="12"/>
                <w:color w:val="005A64"/>
              </w:rPr>
              <w:t>Liabilities from wage taxes and social securities expenses</w:t>
            </w:r>
          </w:p>
        </w:tc>
        <w:tc>
          <w:tcPr>
            <w:tcW w:w="1260" w:type="dxa"/>
            <w:vAlign w:val="bottom"/>
            <w:gridSpan w:val="2"/>
          </w:tcPr>
          <w:p>
            <w:pPr>
              <w:ind w:left="40"/>
              <w:spacing w:after="0"/>
              <w:rPr>
                <w:sz w:val="20"/>
                <w:szCs w:val="20"/>
                <w:color w:val="auto"/>
              </w:rPr>
            </w:pPr>
            <w:r>
              <w:rPr>
                <w:rFonts w:ascii="Arial" w:cs="Arial" w:eastAsia="Arial" w:hAnsi="Arial"/>
                <w:sz w:val="12"/>
                <w:szCs w:val="12"/>
                <w:color w:val="005A64"/>
              </w:rPr>
              <w:t>22.7</w:t>
            </w:r>
          </w:p>
        </w:tc>
        <w:tc>
          <w:tcPr>
            <w:tcW w:w="4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2"/>
                <w:szCs w:val="12"/>
                <w:color w:val="005A64"/>
              </w:rPr>
              <w:t>15.1</w:t>
            </w:r>
          </w:p>
        </w:tc>
        <w:tc>
          <w:tcPr>
            <w:tcW w:w="0" w:type="dxa"/>
            <w:vAlign w:val="bottom"/>
          </w:tcPr>
          <w:p>
            <w:pPr>
              <w:spacing w:after="0"/>
              <w:rPr>
                <w:sz w:val="1"/>
                <w:szCs w:val="1"/>
                <w:color w:val="auto"/>
              </w:rPr>
            </w:pPr>
          </w:p>
        </w:tc>
      </w:tr>
      <w:tr>
        <w:trPr>
          <w:trHeight w:val="202"/>
        </w:trPr>
        <w:tc>
          <w:tcPr>
            <w:tcW w:w="4180" w:type="dxa"/>
            <w:vAlign w:val="bottom"/>
            <w:gridSpan w:val="2"/>
          </w:tcPr>
          <w:p>
            <w:pPr>
              <w:ind w:left="20"/>
              <w:spacing w:after="0"/>
              <w:rPr>
                <w:sz w:val="20"/>
                <w:szCs w:val="20"/>
                <w:color w:val="auto"/>
              </w:rPr>
            </w:pPr>
            <w:r>
              <w:rPr>
                <w:rFonts w:ascii="Arial" w:cs="Arial" w:eastAsia="Arial" w:hAnsi="Arial"/>
                <w:sz w:val="12"/>
                <w:szCs w:val="12"/>
                <w:color w:val="005A64"/>
              </w:rPr>
              <w:t>Grants</w:t>
            </w:r>
          </w:p>
        </w:tc>
        <w:tc>
          <w:tcPr>
            <w:tcW w:w="1260" w:type="dxa"/>
            <w:vAlign w:val="bottom"/>
            <w:gridSpan w:val="2"/>
          </w:tcPr>
          <w:p>
            <w:pPr>
              <w:ind w:left="40"/>
              <w:spacing w:after="0"/>
              <w:rPr>
                <w:sz w:val="20"/>
                <w:szCs w:val="20"/>
                <w:color w:val="auto"/>
              </w:rPr>
            </w:pPr>
            <w:r>
              <w:rPr>
                <w:rFonts w:ascii="Arial" w:cs="Arial" w:eastAsia="Arial" w:hAnsi="Arial"/>
                <w:sz w:val="12"/>
                <w:szCs w:val="12"/>
                <w:color w:val="005A64"/>
              </w:rPr>
              <w:t>85.2</w:t>
            </w:r>
          </w:p>
        </w:tc>
        <w:tc>
          <w:tcPr>
            <w:tcW w:w="4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2"/>
                <w:szCs w:val="12"/>
                <w:color w:val="005A64"/>
              </w:rPr>
              <w:t>0.8</w:t>
            </w:r>
          </w:p>
        </w:tc>
        <w:tc>
          <w:tcPr>
            <w:tcW w:w="0" w:type="dxa"/>
            <w:vAlign w:val="bottom"/>
          </w:tcPr>
          <w:p>
            <w:pPr>
              <w:spacing w:after="0"/>
              <w:rPr>
                <w:sz w:val="1"/>
                <w:szCs w:val="1"/>
                <w:color w:val="auto"/>
              </w:rPr>
            </w:pPr>
          </w:p>
        </w:tc>
      </w:tr>
      <w:tr>
        <w:trPr>
          <w:trHeight w:val="172"/>
        </w:trPr>
        <w:tc>
          <w:tcPr>
            <w:tcW w:w="4180" w:type="dxa"/>
            <w:vAlign w:val="bottom"/>
            <w:gridSpan w:val="2"/>
          </w:tcPr>
          <w:p>
            <w:pPr>
              <w:ind w:left="20"/>
              <w:spacing w:after="0"/>
              <w:rPr>
                <w:sz w:val="20"/>
                <w:szCs w:val="20"/>
                <w:color w:val="auto"/>
              </w:rPr>
            </w:pPr>
            <w:r>
              <w:rPr>
                <w:rFonts w:ascii="Arial" w:cs="Arial" w:eastAsia="Arial" w:hAnsi="Arial"/>
                <w:sz w:val="12"/>
                <w:szCs w:val="12"/>
                <w:color w:val="005A64"/>
              </w:rPr>
              <w:t>Other</w:t>
            </w:r>
          </w:p>
        </w:tc>
        <w:tc>
          <w:tcPr>
            <w:tcW w:w="1260" w:type="dxa"/>
            <w:vAlign w:val="bottom"/>
            <w:gridSpan w:val="2"/>
          </w:tcPr>
          <w:p>
            <w:pPr>
              <w:ind w:left="40"/>
              <w:spacing w:after="0"/>
              <w:rPr>
                <w:sz w:val="20"/>
                <w:szCs w:val="20"/>
                <w:color w:val="auto"/>
              </w:rPr>
            </w:pPr>
            <w:r>
              <w:rPr>
                <w:rFonts w:ascii="Arial" w:cs="Arial" w:eastAsia="Arial" w:hAnsi="Arial"/>
                <w:sz w:val="12"/>
                <w:szCs w:val="12"/>
                <w:color w:val="005A64"/>
              </w:rPr>
              <w:t>22.6</w:t>
            </w:r>
          </w:p>
        </w:tc>
        <w:tc>
          <w:tcPr>
            <w:tcW w:w="4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2"/>
                <w:szCs w:val="12"/>
                <w:color w:val="005A64"/>
              </w:rPr>
              <w:t>20.0</w:t>
            </w:r>
          </w:p>
        </w:tc>
        <w:tc>
          <w:tcPr>
            <w:tcW w:w="0" w:type="dxa"/>
            <w:vAlign w:val="bottom"/>
          </w:tcPr>
          <w:p>
            <w:pPr>
              <w:spacing w:after="0"/>
              <w:rPr>
                <w:sz w:val="1"/>
                <w:szCs w:val="1"/>
                <w:color w:val="auto"/>
              </w:rPr>
            </w:pPr>
          </w:p>
        </w:tc>
      </w:tr>
      <w:tr>
        <w:trPr>
          <w:trHeight w:val="208"/>
        </w:trPr>
        <w:tc>
          <w:tcPr>
            <w:tcW w:w="418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w:t>
            </w: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005A64"/>
              </w:rPr>
              <w:t>256.9</w:t>
            </w:r>
          </w:p>
        </w:tc>
        <w:tc>
          <w:tcPr>
            <w:tcW w:w="4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2"/>
                <w:szCs w:val="12"/>
                <w:b w:val="1"/>
                <w:bCs w:val="1"/>
                <w:color w:val="005A64"/>
              </w:rPr>
              <w:t>138.2</w:t>
            </w:r>
          </w:p>
        </w:tc>
        <w:tc>
          <w:tcPr>
            <w:tcW w:w="0" w:type="dxa"/>
            <w:vAlign w:val="bottom"/>
          </w:tcPr>
          <w:p>
            <w:pPr>
              <w:spacing w:after="0"/>
              <w:rPr>
                <w:sz w:val="1"/>
                <w:szCs w:val="1"/>
                <w:color w:val="auto"/>
              </w:rPr>
            </w:pPr>
          </w:p>
        </w:tc>
      </w:tr>
      <w:tr>
        <w:trPr>
          <w:trHeight w:val="47"/>
        </w:trPr>
        <w:tc>
          <w:tcPr>
            <w:tcW w:w="416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2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4160" w:type="dxa"/>
            <w:vAlign w:val="bottom"/>
          </w:tcPr>
          <w:p>
            <w:pPr>
              <w:ind w:left="20"/>
              <w:spacing w:after="0"/>
              <w:rPr>
                <w:sz w:val="20"/>
                <w:szCs w:val="20"/>
                <w:color w:val="auto"/>
              </w:rPr>
            </w:pPr>
            <w:r>
              <w:rPr>
                <w:rFonts w:ascii="Arial" w:cs="Arial" w:eastAsia="Arial" w:hAnsi="Arial"/>
                <w:sz w:val="12"/>
                <w:szCs w:val="12"/>
                <w:color w:val="005A64"/>
              </w:rPr>
              <w:t>Total current</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40" w:type="dxa"/>
            <w:vAlign w:val="bottom"/>
          </w:tcPr>
          <w:p>
            <w:pPr>
              <w:ind w:left="20"/>
              <w:spacing w:after="0"/>
              <w:rPr>
                <w:sz w:val="20"/>
                <w:szCs w:val="20"/>
                <w:color w:val="auto"/>
              </w:rPr>
            </w:pPr>
            <w:r>
              <w:rPr>
                <w:rFonts w:ascii="Arial" w:cs="Arial" w:eastAsia="Arial" w:hAnsi="Arial"/>
                <w:sz w:val="12"/>
                <w:szCs w:val="12"/>
                <w:color w:val="005A64"/>
              </w:rPr>
              <w:t>169.4</w:t>
            </w:r>
          </w:p>
        </w:tc>
        <w:tc>
          <w:tcPr>
            <w:tcW w:w="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2"/>
                <w:szCs w:val="12"/>
                <w:color w:val="005A64"/>
              </w:rPr>
              <w:t>125.1</w:t>
            </w:r>
          </w:p>
        </w:tc>
        <w:tc>
          <w:tcPr>
            <w:tcW w:w="0" w:type="dxa"/>
            <w:vAlign w:val="bottom"/>
          </w:tcPr>
          <w:p>
            <w:pPr>
              <w:spacing w:after="0"/>
              <w:rPr>
                <w:sz w:val="1"/>
                <w:szCs w:val="1"/>
                <w:color w:val="auto"/>
              </w:rPr>
            </w:pPr>
          </w:p>
        </w:tc>
      </w:tr>
      <w:tr>
        <w:trPr>
          <w:trHeight w:val="181"/>
        </w:trPr>
        <w:tc>
          <w:tcPr>
            <w:tcW w:w="4180" w:type="dxa"/>
            <w:vAlign w:val="bottom"/>
            <w:gridSpan w:val="2"/>
          </w:tcPr>
          <w:p>
            <w:pPr>
              <w:ind w:left="20"/>
              <w:spacing w:after="0"/>
              <w:rPr>
                <w:sz w:val="20"/>
                <w:szCs w:val="20"/>
                <w:color w:val="auto"/>
              </w:rPr>
            </w:pPr>
            <w:r>
              <w:rPr>
                <w:rFonts w:ascii="Arial" w:cs="Arial" w:eastAsia="Arial" w:hAnsi="Arial"/>
                <w:sz w:val="12"/>
                <w:szCs w:val="12"/>
                <w:color w:val="005A64"/>
              </w:rPr>
              <w:t>Total non-current</w:t>
            </w:r>
          </w:p>
        </w:tc>
        <w:tc>
          <w:tcPr>
            <w:tcW w:w="1260" w:type="dxa"/>
            <w:vAlign w:val="bottom"/>
            <w:gridSpan w:val="2"/>
          </w:tcPr>
          <w:p>
            <w:pPr>
              <w:ind w:left="40"/>
              <w:spacing w:after="0"/>
              <w:rPr>
                <w:sz w:val="20"/>
                <w:szCs w:val="20"/>
                <w:color w:val="auto"/>
              </w:rPr>
            </w:pPr>
            <w:r>
              <w:rPr>
                <w:rFonts w:ascii="Arial" w:cs="Arial" w:eastAsia="Arial" w:hAnsi="Arial"/>
                <w:sz w:val="12"/>
                <w:szCs w:val="12"/>
                <w:color w:val="005A64"/>
              </w:rPr>
              <w:t>87.5</w:t>
            </w:r>
          </w:p>
        </w:tc>
        <w:tc>
          <w:tcPr>
            <w:tcW w:w="4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2"/>
                <w:szCs w:val="12"/>
                <w:color w:val="005A64"/>
              </w:rPr>
              <w:t>13.1</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380" w:right="2180"/>
        <w:spacing w:after="0" w:line="214" w:lineRule="auto"/>
        <w:rPr>
          <w:sz w:val="20"/>
          <w:szCs w:val="20"/>
          <w:color w:val="auto"/>
        </w:rPr>
      </w:pPr>
      <w:r>
        <w:rPr>
          <w:rFonts w:ascii="Arial" w:cs="Arial" w:eastAsia="Arial" w:hAnsi="Arial"/>
          <w:sz w:val="13"/>
          <w:szCs w:val="13"/>
          <w:color w:val="auto"/>
        </w:rPr>
        <w:t>Other Non-Financial Liabilities related to funds received based on government grants and similar grants with a total nominal amount of €326.8 million. The received funds for which no related expense has been recognized during the year ended December 31, 2024, were deferred and recognized in the Other Non-Financial Liabilities. The government grants and similar grants are mainly related to assets such as buildings and equipment. The funding will be recognized in profit or loss within other operating income over the respective useful life of the underlying assets, see Note 2.3.9. The grants are related to conditions such as construction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-501015</wp:posOffset>
            </wp:positionV>
            <wp:extent cx="4268470" cy="63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88">
                      <a:extLst>
                        <a:ext uri="{28A0092B-C50C-407E-A947-70E740481C1C}"/>
                      </a:extLst>
                    </a:blip>
                    <a:srcRect/>
                    <a:stretch>
                      <a:fillRect/>
                    </a:stretch>
                  </pic:blipFill>
                  <pic:spPr bwMode="auto">
                    <a:xfrm>
                      <a:off x="0" y="0"/>
                      <a:ext cx="4268470" cy="6350"/>
                    </a:xfrm>
                    <a:prstGeom prst="rect">
                      <a:avLst/>
                    </a:prstGeom>
                    <a:noFill/>
                  </pic:spPr>
                </pic:pic>
              </a:graphicData>
            </a:graphic>
          </wp:anchor>
        </w:drawing>
      </w:r>
    </w:p>
    <w:p>
      <w:pPr>
        <w:ind w:left="380"/>
        <w:spacing w:after="0" w:line="211" w:lineRule="auto"/>
        <w:rPr>
          <w:sz w:val="20"/>
          <w:szCs w:val="20"/>
          <w:color w:val="auto"/>
        </w:rPr>
      </w:pPr>
      <w:r>
        <w:rPr>
          <w:rFonts w:ascii="Arial" w:cs="Arial" w:eastAsia="Arial" w:hAnsi="Arial"/>
          <w:sz w:val="16"/>
          <w:szCs w:val="16"/>
          <w:b w:val="1"/>
          <w:bCs w:val="1"/>
          <w:color w:val="005A64"/>
        </w:rPr>
        <w:t>20 Leases</w:t>
      </w:r>
    </w:p>
    <w:p>
      <w:pPr>
        <w:spacing w:after="0" w:line="1" w:lineRule="exact"/>
        <w:rPr>
          <w:sz w:val="20"/>
          <w:szCs w:val="20"/>
          <w:color w:val="auto"/>
        </w:rPr>
      </w:pPr>
    </w:p>
    <w:p>
      <w:pPr>
        <w:ind w:left="380" w:right="3680"/>
        <w:spacing w:after="0" w:line="210" w:lineRule="auto"/>
        <w:rPr>
          <w:sz w:val="20"/>
          <w:szCs w:val="20"/>
          <w:color w:val="auto"/>
        </w:rPr>
      </w:pPr>
      <w:r>
        <w:rPr>
          <w:rFonts w:ascii="Arial" w:cs="Arial" w:eastAsia="Arial" w:hAnsi="Arial"/>
          <w:sz w:val="13"/>
          <w:szCs w:val="13"/>
          <w:b w:val="1"/>
          <w:bCs w:val="1"/>
          <w:color w:val="005A64"/>
        </w:rPr>
        <w:t xml:space="preserve">20.1 Amounts Recognized in the Consolidated Statements of Financial Position </w:t>
      </w:r>
      <w:r>
        <w:rPr>
          <w:rFonts w:ascii="Arial" w:cs="Arial" w:eastAsia="Arial" w:hAnsi="Arial"/>
          <w:sz w:val="13"/>
          <w:szCs w:val="13"/>
          <w:color w:val="005A64"/>
        </w:rPr>
        <w:t>Right-of-Use Assets</w:t>
      </w:r>
    </w:p>
    <w:p>
      <w:pPr>
        <w:spacing w:after="0" w:line="1" w:lineRule="exact"/>
        <w:rPr>
          <w:sz w:val="20"/>
          <w:szCs w:val="20"/>
          <w:color w:val="auto"/>
        </w:rPr>
      </w:pPr>
    </w:p>
    <w:p>
      <w:pPr>
        <w:ind w:left="380" w:right="2480"/>
        <w:spacing w:after="0" w:line="234" w:lineRule="auto"/>
        <w:rPr>
          <w:sz w:val="20"/>
          <w:szCs w:val="20"/>
          <w:color w:val="auto"/>
        </w:rPr>
      </w:pPr>
      <w:r>
        <w:rPr>
          <w:rFonts w:ascii="Arial" w:cs="Arial" w:eastAsia="Arial" w:hAnsi="Arial"/>
          <w:sz w:val="13"/>
          <w:szCs w:val="13"/>
          <w:color w:val="auto"/>
        </w:rPr>
        <w:t>The following amounts are presented as right-of-use assets within the consolidated statements of financial position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76835</wp:posOffset>
            </wp:positionV>
            <wp:extent cx="821690" cy="6483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89">
                      <a:extLst>
                        <a:ext uri="{28A0092B-C50C-407E-A947-70E740481C1C}"/>
                      </a:extLst>
                    </a:blip>
                    <a:srcRect/>
                    <a:stretch>
                      <a:fillRect/>
                    </a:stretch>
                  </pic:blipFill>
                  <pic:spPr bwMode="auto">
                    <a:xfrm>
                      <a:off x="0" y="0"/>
                      <a:ext cx="821690" cy="648335"/>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-12700</wp:posOffset>
            </wp:positionV>
            <wp:extent cx="4268470" cy="127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90">
                      <a:extLst>
                        <a:ext uri="{28A0092B-C50C-407E-A947-70E740481C1C}"/>
                      </a:extLst>
                    </a:blip>
                    <a:srcRect/>
                    <a:stretch>
                      <a:fillRect/>
                    </a:stretch>
                  </pic:blipFill>
                  <pic:spPr bwMode="auto">
                    <a:xfrm>
                      <a:off x="0" y="0"/>
                      <a:ext cx="4268470" cy="12700"/>
                    </a:xfrm>
                    <a:prstGeom prst="rect">
                      <a:avLst/>
                    </a:prstGeom>
                    <a:noFill/>
                  </pic:spPr>
                </pic:pic>
              </a:graphicData>
            </a:graphic>
          </wp:anchor>
        </w:drawing>
      </w:r>
    </w:p>
    <w:p>
      <w:pPr>
        <w:spacing w:after="0" w:line="81"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4180" w:type="dxa"/>
            <w:vAlign w:val="bottom"/>
            <w:gridSpan w:val="2"/>
          </w:tcPr>
          <w:p>
            <w:pPr>
              <w:ind w:left="20"/>
              <w:spacing w:after="0"/>
              <w:rPr>
                <w:sz w:val="20"/>
                <w:szCs w:val="20"/>
                <w:color w:val="auto"/>
              </w:rPr>
            </w:pPr>
            <w:r>
              <w:rPr>
                <w:rFonts w:ascii="Arial" w:cs="Arial" w:eastAsia="Arial" w:hAnsi="Arial"/>
                <w:sz w:val="12"/>
                <w:szCs w:val="12"/>
                <w:i w:val="1"/>
                <w:iCs w:val="1"/>
                <w:color w:val="005A64"/>
              </w:rPr>
              <w:t>(in millions €)</w:t>
            </w:r>
          </w:p>
        </w:tc>
        <w:tc>
          <w:tcPr>
            <w:tcW w:w="20" w:type="dxa"/>
            <w:vAlign w:val="bottom"/>
            <w:tcBorders>
              <w:top w:val="single" w:sz="8" w:color="BECE33"/>
            </w:tcBorders>
          </w:tcPr>
          <w:p>
            <w:pPr>
              <w:spacing w:after="0"/>
              <w:rPr>
                <w:sz w:val="16"/>
                <w:szCs w:val="16"/>
                <w:color w:val="auto"/>
              </w:rPr>
            </w:pPr>
          </w:p>
        </w:tc>
        <w:tc>
          <w:tcPr>
            <w:tcW w:w="1280" w:type="dxa"/>
            <w:vAlign w:val="bottom"/>
            <w:tcBorders>
              <w:top w:val="single" w:sz="8" w:color="BECE33"/>
            </w:tcBorders>
            <w:gridSpan w:val="2"/>
          </w:tcPr>
          <w:p>
            <w:pPr>
              <w:ind w:left="20"/>
              <w:spacing w:after="0"/>
              <w:rPr>
                <w:sz w:val="20"/>
                <w:szCs w:val="20"/>
                <w:color w:val="auto"/>
              </w:rPr>
            </w:pPr>
            <w:r>
              <w:rPr>
                <w:rFonts w:ascii="Arial" w:cs="Arial" w:eastAsia="Arial" w:hAnsi="Arial"/>
                <w:sz w:val="12"/>
                <w:szCs w:val="12"/>
                <w:b w:val="1"/>
                <w:bCs w:val="1"/>
                <w:color w:val="005A64"/>
              </w:rPr>
              <w:t>December 31, 2024</w:t>
            </w:r>
          </w:p>
        </w:tc>
        <w:tc>
          <w:tcPr>
            <w:tcW w:w="2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Arial" w:cs="Arial" w:eastAsia="Arial" w:hAnsi="Arial"/>
                <w:sz w:val="12"/>
                <w:szCs w:val="12"/>
                <w:b w:val="1"/>
                <w:bCs w:val="1"/>
                <w:color w:val="005A64"/>
              </w:rPr>
              <w:t>December 31, 2023</w:t>
            </w:r>
          </w:p>
        </w:tc>
      </w:tr>
      <w:tr>
        <w:trPr>
          <w:trHeight w:val="160"/>
        </w:trPr>
        <w:tc>
          <w:tcPr>
            <w:tcW w:w="4160" w:type="dxa"/>
            <w:vAlign w:val="bottom"/>
            <w:tcBorders>
              <w:top w:val="single" w:sz="8" w:color="005A64"/>
            </w:tcBorders>
          </w:tcPr>
          <w:p>
            <w:pPr>
              <w:ind w:left="20"/>
              <w:spacing w:after="0"/>
              <w:rPr>
                <w:sz w:val="20"/>
                <w:szCs w:val="20"/>
                <w:color w:val="auto"/>
              </w:rPr>
            </w:pPr>
            <w:r>
              <w:rPr>
                <w:rFonts w:ascii="Arial" w:cs="Arial" w:eastAsia="Arial" w:hAnsi="Arial"/>
                <w:sz w:val="12"/>
                <w:szCs w:val="12"/>
                <w:color w:val="005A64"/>
              </w:rPr>
              <w:t>Buildings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5A64"/>
            </w:tcBorders>
          </w:tcPr>
          <w:p>
            <w:pPr>
              <w:ind w:left="20"/>
              <w:spacing w:after="0"/>
              <w:rPr>
                <w:sz w:val="20"/>
                <w:szCs w:val="20"/>
                <w:color w:val="auto"/>
              </w:rPr>
            </w:pPr>
            <w:r>
              <w:rPr>
                <w:rFonts w:ascii="Arial" w:cs="Arial" w:eastAsia="Arial" w:hAnsi="Arial"/>
                <w:sz w:val="12"/>
                <w:szCs w:val="12"/>
                <w:color w:val="005A64"/>
              </w:rPr>
              <w:t>238.2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Borders>
              <w:top w:val="single" w:sz="8" w:color="005A64"/>
            </w:tcBorders>
          </w:tcPr>
          <w:p>
            <w:pPr>
              <w:spacing w:after="0"/>
              <w:rPr>
                <w:sz w:val="20"/>
                <w:szCs w:val="20"/>
                <w:color w:val="auto"/>
              </w:rPr>
            </w:pPr>
            <w:r>
              <w:rPr>
                <w:rFonts w:ascii="Arial" w:cs="Arial" w:eastAsia="Arial" w:hAnsi="Arial"/>
                <w:sz w:val="12"/>
                <w:szCs w:val="12"/>
                <w:color w:val="005A64"/>
              </w:rPr>
              <w:t>209.8</w:t>
            </w:r>
          </w:p>
        </w:tc>
      </w:tr>
      <w:tr>
        <w:trPr>
          <w:trHeight w:val="181"/>
        </w:trPr>
        <w:tc>
          <w:tcPr>
            <w:tcW w:w="4180" w:type="dxa"/>
            <w:vAlign w:val="bottom"/>
            <w:gridSpan w:val="2"/>
          </w:tcPr>
          <w:p>
            <w:pPr>
              <w:ind w:left="20"/>
              <w:spacing w:after="0"/>
              <w:rPr>
                <w:sz w:val="20"/>
                <w:szCs w:val="20"/>
                <w:color w:val="auto"/>
              </w:rPr>
            </w:pPr>
            <w:r>
              <w:rPr>
                <w:rFonts w:ascii="Arial" w:cs="Arial" w:eastAsia="Arial" w:hAnsi="Arial"/>
                <w:sz w:val="12"/>
                <w:szCs w:val="12"/>
                <w:color w:val="005A64"/>
              </w:rPr>
              <w:t>Production facilities</w:t>
            </w:r>
          </w:p>
        </w:tc>
        <w:tc>
          <w:tcPr>
            <w:tcW w:w="2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2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2"/>
                <w:szCs w:val="12"/>
                <w:color w:val="005A64"/>
              </w:rPr>
              <w:t>—</w:t>
            </w:r>
          </w:p>
        </w:tc>
      </w:tr>
      <w:tr>
        <w:trPr>
          <w:trHeight w:val="202"/>
        </w:trPr>
        <w:tc>
          <w:tcPr>
            <w:tcW w:w="4180" w:type="dxa"/>
            <w:vAlign w:val="bottom"/>
            <w:gridSpan w:val="2"/>
          </w:tcPr>
          <w:p>
            <w:pPr>
              <w:ind w:left="20"/>
              <w:spacing w:after="0"/>
              <w:rPr>
                <w:sz w:val="20"/>
                <w:szCs w:val="20"/>
                <w:color w:val="auto"/>
              </w:rPr>
            </w:pPr>
            <w:r>
              <w:rPr>
                <w:rFonts w:ascii="Arial" w:cs="Arial" w:eastAsia="Arial" w:hAnsi="Arial"/>
                <w:sz w:val="12"/>
                <w:szCs w:val="12"/>
                <w:color w:val="005A64"/>
              </w:rPr>
              <w:t>Other operating equipment</w:t>
            </w:r>
          </w:p>
        </w:tc>
        <w:tc>
          <w:tcPr>
            <w:tcW w:w="1260" w:type="dxa"/>
            <w:vAlign w:val="bottom"/>
            <w:gridSpan w:val="2"/>
          </w:tcPr>
          <w:p>
            <w:pPr>
              <w:ind w:left="40"/>
              <w:spacing w:after="0"/>
              <w:rPr>
                <w:sz w:val="20"/>
                <w:szCs w:val="20"/>
                <w:color w:val="auto"/>
              </w:rPr>
            </w:pPr>
            <w:r>
              <w:rPr>
                <w:rFonts w:ascii="Arial" w:cs="Arial" w:eastAsia="Arial" w:hAnsi="Arial"/>
                <w:sz w:val="12"/>
                <w:szCs w:val="12"/>
                <w:color w:val="005A64"/>
              </w:rPr>
              <w:t>9.9</w:t>
            </w:r>
          </w:p>
        </w:tc>
        <w:tc>
          <w:tcPr>
            <w:tcW w:w="4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2"/>
                <w:szCs w:val="12"/>
                <w:color w:val="005A64"/>
              </w:rPr>
              <w:t>4.6</w:t>
            </w:r>
          </w:p>
        </w:tc>
      </w:tr>
      <w:tr>
        <w:trPr>
          <w:trHeight w:val="208"/>
        </w:trPr>
        <w:tc>
          <w:tcPr>
            <w:tcW w:w="418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w:t>
            </w: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005A64"/>
              </w:rPr>
              <w:t>248.1</w:t>
            </w:r>
          </w:p>
        </w:tc>
        <w:tc>
          <w:tcPr>
            <w:tcW w:w="4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2"/>
                <w:szCs w:val="12"/>
                <w:b w:val="1"/>
                <w:bCs w:val="1"/>
                <w:color w:val="005A64"/>
              </w:rPr>
              <w:t>214.4</w:t>
            </w:r>
          </w:p>
        </w:tc>
      </w:tr>
    </w:tbl>
    <w:p>
      <w:pPr>
        <w:spacing w:after="0" w:line="37" w:lineRule="exact"/>
        <w:rPr>
          <w:sz w:val="20"/>
          <w:szCs w:val="20"/>
          <w:color w:val="auto"/>
        </w:rPr>
      </w:pPr>
    </w:p>
    <w:p>
      <w:pPr>
        <w:ind w:left="380" w:right="2320"/>
        <w:spacing w:after="0" w:line="220" w:lineRule="auto"/>
        <w:rPr>
          <w:sz w:val="20"/>
          <w:szCs w:val="20"/>
          <w:color w:val="auto"/>
        </w:rPr>
      </w:pPr>
      <w:r>
        <w:rPr>
          <w:rFonts w:ascii="Arial" w:cs="Arial" w:eastAsia="Arial" w:hAnsi="Arial"/>
          <w:sz w:val="13"/>
          <w:szCs w:val="13"/>
          <w:color w:val="auto"/>
        </w:rPr>
        <w:t>Additions to the right-of-use assets during the year ended December 31, 2024, were €74.4 million (during the year ended December 31, 2023: €66.4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4268470" cy="63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91">
                      <a:extLst>
                        <a:ext uri="{28A0092B-C50C-407E-A947-70E740481C1C}"/>
                      </a:extLst>
                    </a:blip>
                    <a:srcRect/>
                    <a:stretch>
                      <a:fillRect/>
                    </a:stretch>
                  </pic:blipFill>
                  <pic:spPr bwMode="auto">
                    <a:xfrm>
                      <a:off x="0" y="0"/>
                      <a:ext cx="4268470" cy="6350"/>
                    </a:xfrm>
                    <a:prstGeom prst="rect">
                      <a:avLst/>
                    </a:prstGeom>
                    <a:noFill/>
                  </pic:spPr>
                </pic:pic>
              </a:graphicData>
            </a:graphic>
          </wp:anchor>
        </w:drawing>
      </w:r>
    </w:p>
    <w:p>
      <w:pPr>
        <w:ind w:left="380"/>
        <w:spacing w:after="0" w:line="212" w:lineRule="auto"/>
        <w:rPr>
          <w:sz w:val="20"/>
          <w:szCs w:val="20"/>
          <w:color w:val="auto"/>
        </w:rPr>
      </w:pPr>
      <w:r>
        <w:rPr>
          <w:rFonts w:ascii="Arial" w:cs="Arial" w:eastAsia="Arial" w:hAnsi="Arial"/>
          <w:sz w:val="13"/>
          <w:szCs w:val="13"/>
          <w:color w:val="005A64"/>
        </w:rPr>
        <w:t>Lease Liability</w:t>
      </w:r>
    </w:p>
    <w:p>
      <w:pPr>
        <w:ind w:left="380"/>
        <w:spacing w:after="0"/>
        <w:rPr>
          <w:sz w:val="20"/>
          <w:szCs w:val="20"/>
          <w:color w:val="auto"/>
        </w:rPr>
      </w:pPr>
      <w:r>
        <w:rPr>
          <w:rFonts w:ascii="Arial" w:cs="Arial" w:eastAsia="Arial" w:hAnsi="Arial"/>
          <w:sz w:val="13"/>
          <w:szCs w:val="13"/>
          <w:color w:val="auto"/>
        </w:rPr>
        <w:t>The following amounts are included in lease liabilities, loans and borrowings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-5715</wp:posOffset>
            </wp:positionV>
            <wp:extent cx="4268470" cy="127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2">
                      <a:extLst>
                        <a:ext uri="{28A0092B-C50C-407E-A947-70E740481C1C}"/>
                      </a:extLst>
                    </a:blip>
                    <a:srcRect/>
                    <a:stretch>
                      <a:fillRect/>
                    </a:stretch>
                  </pic:blipFill>
                  <pic:spPr bwMode="auto">
                    <a:xfrm>
                      <a:off x="0" y="0"/>
                      <a:ext cx="4268470" cy="12700"/>
                    </a:xfrm>
                    <a:prstGeom prst="rect">
                      <a:avLst/>
                    </a:prstGeom>
                    <a:noFill/>
                  </pic:spPr>
                </pic:pic>
              </a:graphicData>
            </a:graphic>
          </wp:anchor>
        </w:drawing>
      </w:r>
    </w:p>
    <w:p>
      <w:pPr>
        <w:spacing w:after="0" w:line="91"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420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i w:val="1"/>
                <w:iCs w:val="1"/>
                <w:color w:val="005A64"/>
              </w:rPr>
              <w:t>(in millions €)</w:t>
            </w:r>
          </w:p>
        </w:tc>
        <w:tc>
          <w:tcPr>
            <w:tcW w:w="20" w:type="dxa"/>
            <w:vAlign w:val="bottom"/>
            <w:tcBorders>
              <w:top w:val="single" w:sz="8" w:color="BECE33"/>
            </w:tcBorders>
          </w:tcPr>
          <w:p>
            <w:pPr>
              <w:spacing w:after="0"/>
              <w:rPr>
                <w:sz w:val="16"/>
                <w:szCs w:val="16"/>
                <w:color w:val="auto"/>
              </w:rPr>
            </w:pPr>
          </w:p>
        </w:tc>
        <w:tc>
          <w:tcPr>
            <w:tcW w:w="1260" w:type="dxa"/>
            <w:vAlign w:val="bottom"/>
            <w:tcBorders>
              <w:top w:val="single" w:sz="8" w:color="BECE33"/>
              <w:right w:val="single" w:sz="8" w:color="BECE33"/>
            </w:tcBorders>
            <w:gridSpan w:val="2"/>
          </w:tcPr>
          <w:p>
            <w:pPr>
              <w:spacing w:after="0"/>
              <w:rPr>
                <w:sz w:val="20"/>
                <w:szCs w:val="20"/>
                <w:color w:val="auto"/>
              </w:rPr>
            </w:pPr>
            <w:r>
              <w:rPr>
                <w:rFonts w:ascii="Arial" w:cs="Arial" w:eastAsia="Arial" w:hAnsi="Arial"/>
                <w:sz w:val="12"/>
                <w:szCs w:val="12"/>
                <w:b w:val="1"/>
                <w:bCs w:val="1"/>
                <w:color w:val="005A64"/>
              </w:rPr>
              <w:t>December 31, 2024</w:t>
            </w:r>
          </w:p>
        </w:tc>
        <w:tc>
          <w:tcPr>
            <w:tcW w:w="2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Arial" w:cs="Arial" w:eastAsia="Arial" w:hAnsi="Arial"/>
                <w:sz w:val="12"/>
                <w:szCs w:val="12"/>
                <w:b w:val="1"/>
                <w:bCs w:val="1"/>
                <w:color w:val="005A64"/>
              </w:rPr>
              <w:t>December 31, 2023</w:t>
            </w:r>
          </w:p>
        </w:tc>
      </w:tr>
      <w:tr>
        <w:trPr>
          <w:trHeight w:val="160"/>
        </w:trPr>
        <w:tc>
          <w:tcPr>
            <w:tcW w:w="4160" w:type="dxa"/>
            <w:vAlign w:val="bottom"/>
            <w:tcBorders>
              <w:top w:val="single" w:sz="8" w:color="005A64"/>
            </w:tcBorders>
          </w:tcPr>
          <w:p>
            <w:pPr>
              <w:ind w:left="20"/>
              <w:spacing w:after="0"/>
              <w:rPr>
                <w:sz w:val="20"/>
                <w:szCs w:val="20"/>
                <w:color w:val="auto"/>
              </w:rPr>
            </w:pPr>
            <w:r>
              <w:rPr>
                <w:rFonts w:ascii="Arial" w:cs="Arial" w:eastAsia="Arial" w:hAnsi="Arial"/>
                <w:sz w:val="12"/>
                <w:szCs w:val="12"/>
                <w:color w:val="005A64"/>
              </w:rPr>
              <w:t>Current</w:t>
            </w:r>
          </w:p>
        </w:tc>
        <w:tc>
          <w:tcPr>
            <w:tcW w:w="40" w:type="dxa"/>
            <w:vAlign w:val="bottom"/>
            <w:tcBorders>
              <w:right w:val="single" w:sz="8" w:color="BECE33"/>
            </w:tcBorders>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Borders>
              <w:top w:val="single" w:sz="8" w:color="005A64"/>
            </w:tcBorders>
          </w:tcPr>
          <w:p>
            <w:pPr>
              <w:spacing w:after="0"/>
              <w:rPr>
                <w:sz w:val="20"/>
                <w:szCs w:val="20"/>
                <w:color w:val="auto"/>
              </w:rPr>
            </w:pPr>
            <w:r>
              <w:rPr>
                <w:rFonts w:ascii="Arial" w:cs="Arial" w:eastAsia="Arial" w:hAnsi="Arial"/>
                <w:sz w:val="12"/>
                <w:szCs w:val="12"/>
                <w:color w:val="005A64"/>
              </w:rPr>
              <w:t>39.5</w:t>
            </w:r>
          </w:p>
        </w:tc>
        <w:tc>
          <w:tcPr>
            <w:tcW w:w="40" w:type="dxa"/>
            <w:vAlign w:val="bottom"/>
            <w:tcBorders>
              <w:right w:val="single" w:sz="8" w:color="BECE33"/>
            </w:tcBorders>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Borders>
              <w:top w:val="single" w:sz="8" w:color="005A64"/>
            </w:tcBorders>
          </w:tcPr>
          <w:p>
            <w:pPr>
              <w:spacing w:after="0"/>
              <w:rPr>
                <w:sz w:val="20"/>
                <w:szCs w:val="20"/>
                <w:color w:val="auto"/>
              </w:rPr>
            </w:pPr>
            <w:r>
              <w:rPr>
                <w:rFonts w:ascii="Arial" w:cs="Arial" w:eastAsia="Arial" w:hAnsi="Arial"/>
                <w:sz w:val="12"/>
                <w:szCs w:val="12"/>
                <w:color w:val="005A64"/>
              </w:rPr>
              <w:t>28.1</w:t>
            </w:r>
          </w:p>
        </w:tc>
      </w:tr>
      <w:tr>
        <w:trPr>
          <w:trHeight w:val="181"/>
        </w:trPr>
        <w:tc>
          <w:tcPr>
            <w:tcW w:w="420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color w:val="005A64"/>
              </w:rPr>
              <w:t>Non-current</w:t>
            </w:r>
          </w:p>
        </w:tc>
        <w:tc>
          <w:tcPr>
            <w:tcW w:w="1240" w:type="dxa"/>
            <w:vAlign w:val="bottom"/>
            <w:gridSpan w:val="2"/>
          </w:tcPr>
          <w:p>
            <w:pPr>
              <w:ind w:left="20"/>
              <w:spacing w:after="0"/>
              <w:rPr>
                <w:sz w:val="20"/>
                <w:szCs w:val="20"/>
                <w:color w:val="auto"/>
              </w:rPr>
            </w:pPr>
            <w:r>
              <w:rPr>
                <w:rFonts w:ascii="Arial" w:cs="Arial" w:eastAsia="Arial" w:hAnsi="Arial"/>
                <w:sz w:val="12"/>
                <w:szCs w:val="12"/>
                <w:color w:val="005A64"/>
              </w:rPr>
              <w:t>214.7</w:t>
            </w:r>
          </w:p>
        </w:tc>
        <w:tc>
          <w:tcPr>
            <w:tcW w:w="40" w:type="dxa"/>
            <w:vAlign w:val="bottom"/>
            <w:tcBorders>
              <w:right w:val="single" w:sz="8" w:color="BECE33"/>
            </w:tcBorders>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2"/>
                <w:szCs w:val="12"/>
                <w:color w:val="005A64"/>
              </w:rPr>
              <w:t>188.6</w:t>
            </w:r>
          </w:p>
        </w:tc>
      </w:tr>
      <w:tr>
        <w:trPr>
          <w:trHeight w:val="208"/>
        </w:trPr>
        <w:tc>
          <w:tcPr>
            <w:tcW w:w="4200" w:type="dxa"/>
            <w:vAlign w:val="bottom"/>
            <w:tcBorders>
              <w:right w:val="single" w:sz="8" w:color="BECE33"/>
            </w:tcBorders>
            <w:gridSpan w:val="2"/>
          </w:tcPr>
          <w:p>
            <w:pPr>
              <w:ind w:left="20"/>
              <w:spacing w:after="0"/>
              <w:rPr>
                <w:sz w:val="20"/>
                <w:szCs w:val="20"/>
                <w:color w:val="auto"/>
              </w:rPr>
            </w:pPr>
            <w:r>
              <w:rPr>
                <w:rFonts w:ascii="Arial" w:cs="Arial" w:eastAsia="Arial" w:hAnsi="Arial"/>
                <w:sz w:val="12"/>
                <w:szCs w:val="12"/>
                <w:b w:val="1"/>
                <w:bCs w:val="1"/>
                <w:color w:val="005A64"/>
              </w:rPr>
              <w:t>Total</w:t>
            </w:r>
          </w:p>
        </w:tc>
        <w:tc>
          <w:tcPr>
            <w:tcW w:w="1240" w:type="dxa"/>
            <w:vAlign w:val="bottom"/>
            <w:gridSpan w:val="2"/>
          </w:tcPr>
          <w:p>
            <w:pPr>
              <w:ind w:left="20"/>
              <w:spacing w:after="0"/>
              <w:rPr>
                <w:sz w:val="20"/>
                <w:szCs w:val="20"/>
                <w:color w:val="auto"/>
              </w:rPr>
            </w:pPr>
            <w:r>
              <w:rPr>
                <w:rFonts w:ascii="Arial" w:cs="Arial" w:eastAsia="Arial" w:hAnsi="Arial"/>
                <w:sz w:val="12"/>
                <w:szCs w:val="12"/>
                <w:b w:val="1"/>
                <w:bCs w:val="1"/>
                <w:color w:val="005A64"/>
              </w:rPr>
              <w:t>254.2</w:t>
            </w:r>
          </w:p>
        </w:tc>
        <w:tc>
          <w:tcPr>
            <w:tcW w:w="40" w:type="dxa"/>
            <w:vAlign w:val="bottom"/>
            <w:tcBorders>
              <w:right w:val="single" w:sz="8" w:color="BECE33"/>
            </w:tcBorders>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2"/>
                <w:szCs w:val="12"/>
                <w:b w:val="1"/>
                <w:bCs w:val="1"/>
                <w:color w:val="005A64"/>
              </w:rPr>
              <w:t>216.7</w:t>
            </w:r>
          </w:p>
        </w:tc>
      </w:tr>
      <w:tr>
        <w:trPr>
          <w:trHeight w:val="47"/>
        </w:trPr>
        <w:tc>
          <w:tcPr>
            <w:tcW w:w="4160" w:type="dxa"/>
            <w:vAlign w:val="bottom"/>
            <w:tcBorders>
              <w:bottom w:val="single" w:sz="8" w:color="005A64"/>
            </w:tcBorders>
          </w:tcPr>
          <w:p>
            <w:pPr>
              <w:spacing w:after="0"/>
              <w:rPr>
                <w:sz w:val="4"/>
                <w:szCs w:val="4"/>
                <w:color w:val="auto"/>
              </w:rPr>
            </w:pPr>
          </w:p>
        </w:tc>
        <w:tc>
          <w:tcPr>
            <w:tcW w:w="40" w:type="dxa"/>
            <w:vAlign w:val="bottom"/>
            <w:tcBorders>
              <w:right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1220" w:type="dxa"/>
            <w:vAlign w:val="bottom"/>
            <w:tcBorders>
              <w:bottom w:val="single" w:sz="8" w:color="BECE33"/>
            </w:tcBorders>
          </w:tcPr>
          <w:p>
            <w:pPr>
              <w:spacing w:after="0"/>
              <w:rPr>
                <w:sz w:val="4"/>
                <w:szCs w:val="4"/>
                <w:color w:val="auto"/>
              </w:rPr>
            </w:pPr>
          </w:p>
        </w:tc>
        <w:tc>
          <w:tcPr>
            <w:tcW w:w="40" w:type="dxa"/>
            <w:vAlign w:val="bottom"/>
            <w:tcBorders>
              <w:bottom w:val="single" w:sz="8" w:color="BECE33"/>
              <w:right w:val="single" w:sz="8" w:color="BECE33"/>
            </w:tcBorders>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tcBorders>
              <w:bottom w:val="single" w:sz="8" w:color="005A64"/>
            </w:tcBorders>
          </w:tcPr>
          <w:p>
            <w:pPr>
              <w:spacing w:after="0"/>
              <w:rPr>
                <w:sz w:val="4"/>
                <w:szCs w:val="4"/>
                <w:color w:val="auto"/>
              </w:rPr>
            </w:pPr>
          </w:p>
        </w:tc>
      </w:tr>
    </w:tbl>
    <w:p>
      <w:pPr>
        <w:sectPr>
          <w:pgSz w:w="11900" w:h="16840" w:orient="portrait"/>
          <w:cols w:equalWidth="0" w:num="1">
            <w:col w:w="9020"/>
          </w:cols>
          <w:pgMar w:left="1440" w:top="560" w:right="1440" w:bottom="1440" w:gutter="0" w:footer="0" w:header="0"/>
        </w:sectPr>
      </w:pPr>
    </w:p>
    <w:bookmarkStart w:id="231" w:name="page232"/>
    <w:bookmarkEnd w:id="2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F-75</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8" w:lineRule="exact"/>
        <w:rPr>
          <w:sz w:val="20"/>
          <w:szCs w:val="20"/>
          <w:color w:val="auto"/>
        </w:rPr>
      </w:pPr>
    </w:p>
    <w:p>
      <w:pPr>
        <w:ind w:left="380" w:right="3960"/>
        <w:spacing w:after="0" w:line="248" w:lineRule="auto"/>
        <w:rPr>
          <w:sz w:val="20"/>
          <w:szCs w:val="20"/>
          <w:color w:val="auto"/>
        </w:rPr>
      </w:pPr>
      <w:r>
        <w:rPr>
          <w:rFonts w:ascii="Arial" w:cs="Arial" w:eastAsia="Arial" w:hAnsi="Arial"/>
          <w:sz w:val="13"/>
          <w:szCs w:val="13"/>
          <w:b w:val="1"/>
          <w:bCs w:val="1"/>
          <w:color w:val="005A64"/>
        </w:rPr>
        <w:t xml:space="preserve">20.2 Amounts Recognized in the Consolidated Statements of Profit or Loss </w:t>
      </w:r>
      <w:r>
        <w:rPr>
          <w:rFonts w:ascii="Arial" w:cs="Arial" w:eastAsia="Arial" w:hAnsi="Arial"/>
          <w:sz w:val="13"/>
          <w:szCs w:val="13"/>
          <w:color w:val="005A64"/>
        </w:rPr>
        <w:t>Depreciation Charge of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-189230</wp:posOffset>
            </wp:positionV>
            <wp:extent cx="5231130" cy="635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93">
                      <a:extLst>
                        <a:ext uri="{28A0092B-C50C-407E-A947-70E740481C1C}"/>
                      </a:extLst>
                    </a:blip>
                    <a:srcRect/>
                    <a:stretch>
                      <a:fillRect/>
                    </a:stretch>
                  </pic:blipFill>
                  <pic:spPr bwMode="auto">
                    <a:xfrm>
                      <a:off x="0" y="0"/>
                      <a:ext cx="5231130" cy="635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-15875</wp:posOffset>
            </wp:positionV>
            <wp:extent cx="4300220" cy="127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94">
                      <a:extLst>
                        <a:ext uri="{28A0092B-C50C-407E-A947-70E740481C1C}"/>
                      </a:extLst>
                    </a:blip>
                    <a:srcRect/>
                    <a:stretch>
                      <a:fillRect/>
                    </a:stretch>
                  </pic:blipFill>
                  <pic:spPr bwMode="auto">
                    <a:xfrm>
                      <a:off x="0" y="0"/>
                      <a:ext cx="4300220" cy="12700"/>
                    </a:xfrm>
                    <a:prstGeom prst="rect">
                      <a:avLst/>
                    </a:prstGeom>
                    <a:noFill/>
                  </pic:spPr>
                </pic:pic>
              </a:graphicData>
            </a:graphic>
          </wp:anchor>
        </w:drawing>
      </w:r>
    </w:p>
    <w:p>
      <w:pPr>
        <w:spacing w:after="0" w:line="18"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3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spacing w:after="0"/>
              <w:rPr>
                <w:sz w:val="20"/>
                <w:szCs w:val="20"/>
                <w:color w:val="auto"/>
              </w:rPr>
            </w:pPr>
            <w:r>
              <w:rPr>
                <w:rFonts w:ascii="Arial" w:cs="Arial" w:eastAsia="Arial" w:hAnsi="Arial"/>
                <w:sz w:val="12"/>
                <w:szCs w:val="12"/>
                <w:b w:val="1"/>
                <w:bCs w:val="1"/>
                <w:color w:val="005A64"/>
              </w:rPr>
              <w:t>Years ended</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2"/>
                <w:szCs w:val="12"/>
                <w:b w:val="1"/>
                <w:bCs w:val="1"/>
                <w:color w:val="005A64"/>
              </w:rPr>
              <w:t>December 31,</w:t>
            </w: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880" w:type="dxa"/>
            <w:vAlign w:val="bottom"/>
            <w:gridSpan w:val="2"/>
            <w:vMerge w:val="restart"/>
          </w:tcPr>
          <w:p>
            <w:pPr>
              <w:ind w:left="20"/>
              <w:spacing w:after="0"/>
              <w:rPr>
                <w:sz w:val="20"/>
                <w:szCs w:val="20"/>
                <w:color w:val="auto"/>
              </w:rPr>
            </w:pPr>
            <w:r>
              <w:rPr>
                <w:rFonts w:ascii="Arial" w:cs="Arial" w:eastAsia="Arial" w:hAnsi="Arial"/>
                <w:sz w:val="12"/>
                <w:szCs w:val="12"/>
                <w:i w:val="1"/>
                <w:iCs w:val="1"/>
                <w:color w:val="005A64"/>
              </w:rPr>
              <w:t>(in millions €)</w:t>
            </w:r>
          </w:p>
        </w:tc>
        <w:tc>
          <w:tcPr>
            <w:tcW w:w="40" w:type="dxa"/>
            <w:vAlign w:val="bottom"/>
            <w:tcBorders>
              <w:bottom w:val="single" w:sz="8" w:color="BECE33"/>
            </w:tcBorders>
          </w:tcPr>
          <w:p>
            <w:pPr>
              <w:spacing w:after="0"/>
              <w:rPr>
                <w:sz w:val="11"/>
                <w:szCs w:val="11"/>
                <w:color w:val="auto"/>
              </w:rPr>
            </w:pPr>
          </w:p>
        </w:tc>
        <w:tc>
          <w:tcPr>
            <w:tcW w:w="900" w:type="dxa"/>
            <w:vAlign w:val="bottom"/>
            <w:tcBorders>
              <w:bottom w:val="single" w:sz="8" w:color="BECE33"/>
            </w:tcBorders>
          </w:tcPr>
          <w:p>
            <w:pPr>
              <w:spacing w:after="0"/>
              <w:rPr>
                <w:sz w:val="11"/>
                <w:szCs w:val="11"/>
                <w:color w:val="auto"/>
              </w:rPr>
            </w:pPr>
          </w:p>
        </w:tc>
        <w:tc>
          <w:tcPr>
            <w:tcW w:w="40" w:type="dxa"/>
            <w:vAlign w:val="bottom"/>
            <w:tcBorders>
              <w:bottom w:val="single" w:sz="8" w:color="BECE33"/>
            </w:tcBorders>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005A64"/>
              </w:rPr>
              <w:t>2023</w:t>
            </w:r>
          </w:p>
        </w:tc>
        <w:tc>
          <w:tcPr>
            <w:tcW w:w="9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005A64"/>
              </w:rPr>
              <w:t>2022</w:t>
            </w:r>
          </w:p>
        </w:tc>
        <w:tc>
          <w:tcPr>
            <w:tcW w:w="0" w:type="dxa"/>
            <w:vAlign w:val="bottom"/>
          </w:tcPr>
          <w:p>
            <w:pPr>
              <w:spacing w:after="0"/>
              <w:rPr>
                <w:sz w:val="1"/>
                <w:szCs w:val="1"/>
                <w:color w:val="auto"/>
              </w:rPr>
            </w:pPr>
          </w:p>
        </w:tc>
      </w:tr>
      <w:tr>
        <w:trPr>
          <w:trHeight w:val="156"/>
        </w:trPr>
        <w:tc>
          <w:tcPr>
            <w:tcW w:w="3880" w:type="dxa"/>
            <w:vAlign w:val="bottom"/>
            <w:gridSpan w:val="2"/>
            <w:vMerge w:val="continue"/>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86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900" w:type="dxa"/>
            <w:vAlign w:val="bottom"/>
            <w:tcBorders>
              <w:bottom w:val="single" w:sz="8" w:color="005A64"/>
            </w:tcBorders>
          </w:tcPr>
          <w:p>
            <w:pPr>
              <w:spacing w:after="0"/>
              <w:rPr>
                <w:sz w:val="2"/>
                <w:szCs w:val="2"/>
                <w:color w:val="auto"/>
              </w:rPr>
            </w:pPr>
          </w:p>
        </w:tc>
        <w:tc>
          <w:tcPr>
            <w:tcW w:w="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900" w:type="dxa"/>
            <w:vAlign w:val="bottom"/>
            <w:tcBorders>
              <w:bottom w:val="single" w:sz="8" w:color="005A64"/>
            </w:tcBorders>
          </w:tcPr>
          <w:p>
            <w:pPr>
              <w:spacing w:after="0"/>
              <w:rPr>
                <w:sz w:val="2"/>
                <w:szCs w:val="2"/>
                <w:color w:val="auto"/>
              </w:rPr>
            </w:pPr>
          </w:p>
        </w:tc>
        <w:tc>
          <w:tcPr>
            <w:tcW w:w="80" w:type="dxa"/>
            <w:vAlign w:val="bottom"/>
            <w:vMerge w:val="restart"/>
          </w:tcPr>
          <w:p>
            <w:pPr>
              <w:spacing w:after="0"/>
              <w:rPr>
                <w:sz w:val="2"/>
                <w:szCs w:val="2"/>
                <w:color w:val="auto"/>
              </w:rPr>
            </w:pPr>
          </w:p>
        </w:tc>
        <w:tc>
          <w:tcPr>
            <w:tcW w:w="9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860" w:type="dxa"/>
            <w:vAlign w:val="bottom"/>
          </w:tcPr>
          <w:p>
            <w:pPr>
              <w:ind w:left="20"/>
              <w:spacing w:after="0"/>
              <w:rPr>
                <w:sz w:val="20"/>
                <w:szCs w:val="20"/>
                <w:color w:val="auto"/>
              </w:rPr>
            </w:pPr>
            <w:r>
              <w:rPr>
                <w:rFonts w:ascii="Arial" w:cs="Arial" w:eastAsia="Arial" w:hAnsi="Arial"/>
                <w:sz w:val="12"/>
                <w:szCs w:val="12"/>
                <w:color w:val="005A64"/>
              </w:rPr>
              <w:t>Buildings</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900" w:type="dxa"/>
            <w:vAlign w:val="bottom"/>
          </w:tcPr>
          <w:p>
            <w:pPr>
              <w:spacing w:after="0"/>
              <w:rPr>
                <w:sz w:val="20"/>
                <w:szCs w:val="20"/>
                <w:color w:val="auto"/>
              </w:rPr>
            </w:pPr>
            <w:r>
              <w:rPr>
                <w:rFonts w:ascii="Arial" w:cs="Arial" w:eastAsia="Arial" w:hAnsi="Arial"/>
                <w:sz w:val="12"/>
                <w:szCs w:val="12"/>
                <w:color w:val="005A64"/>
              </w:rPr>
              <w:t>42.2</w:t>
            </w:r>
          </w:p>
        </w:tc>
        <w:tc>
          <w:tcPr>
            <w:tcW w:w="4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900" w:type="dxa"/>
            <w:vAlign w:val="bottom"/>
          </w:tcPr>
          <w:p>
            <w:pPr>
              <w:spacing w:after="0"/>
              <w:rPr>
                <w:sz w:val="20"/>
                <w:szCs w:val="20"/>
                <w:color w:val="auto"/>
              </w:rPr>
            </w:pPr>
            <w:r>
              <w:rPr>
                <w:rFonts w:ascii="Arial" w:cs="Arial" w:eastAsia="Arial" w:hAnsi="Arial"/>
                <w:sz w:val="12"/>
                <w:szCs w:val="12"/>
                <w:color w:val="005A64"/>
              </w:rPr>
              <w:t>40.7</w:t>
            </w:r>
          </w:p>
        </w:tc>
        <w:tc>
          <w:tcPr>
            <w:tcW w:w="80" w:type="dxa"/>
            <w:vAlign w:val="bottom"/>
            <w:vMerge w:val="continue"/>
          </w:tcPr>
          <w:p>
            <w:pPr>
              <w:spacing w:after="0"/>
              <w:rPr>
                <w:sz w:val="13"/>
                <w:szCs w:val="13"/>
                <w:color w:val="auto"/>
              </w:rPr>
            </w:pPr>
          </w:p>
        </w:tc>
        <w:tc>
          <w:tcPr>
            <w:tcW w:w="900" w:type="dxa"/>
            <w:vAlign w:val="bottom"/>
          </w:tcPr>
          <w:p>
            <w:pPr>
              <w:spacing w:after="0"/>
              <w:rPr>
                <w:sz w:val="20"/>
                <w:szCs w:val="20"/>
                <w:color w:val="auto"/>
              </w:rPr>
            </w:pPr>
            <w:r>
              <w:rPr>
                <w:rFonts w:ascii="Arial" w:cs="Arial" w:eastAsia="Arial" w:hAnsi="Arial"/>
                <w:sz w:val="12"/>
                <w:szCs w:val="12"/>
                <w:color w:val="005A64"/>
              </w:rPr>
              <w:t>35.2</w:t>
            </w:r>
          </w:p>
        </w:tc>
        <w:tc>
          <w:tcPr>
            <w:tcW w:w="0" w:type="dxa"/>
            <w:vAlign w:val="bottom"/>
          </w:tcPr>
          <w:p>
            <w:pPr>
              <w:spacing w:after="0"/>
              <w:rPr>
                <w:sz w:val="1"/>
                <w:szCs w:val="1"/>
                <w:color w:val="auto"/>
              </w:rPr>
            </w:pPr>
          </w:p>
        </w:tc>
      </w:tr>
      <w:tr>
        <w:trPr>
          <w:trHeight w:val="181"/>
        </w:trPr>
        <w:tc>
          <w:tcPr>
            <w:tcW w:w="3880" w:type="dxa"/>
            <w:vAlign w:val="bottom"/>
            <w:gridSpan w:val="2"/>
          </w:tcPr>
          <w:p>
            <w:pPr>
              <w:ind w:left="20"/>
              <w:spacing w:after="0"/>
              <w:rPr>
                <w:sz w:val="20"/>
                <w:szCs w:val="20"/>
                <w:color w:val="auto"/>
              </w:rPr>
            </w:pPr>
            <w:r>
              <w:rPr>
                <w:rFonts w:ascii="Arial" w:cs="Arial" w:eastAsia="Arial" w:hAnsi="Arial"/>
                <w:sz w:val="12"/>
                <w:szCs w:val="12"/>
                <w:color w:val="005A64"/>
              </w:rPr>
              <w:t>Production facilities</w:t>
            </w:r>
          </w:p>
        </w:tc>
        <w:tc>
          <w:tcPr>
            <w:tcW w:w="4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2"/>
                <w:szCs w:val="12"/>
                <w:color w:val="005A64"/>
              </w:rPr>
              <w:t>—</w:t>
            </w:r>
          </w:p>
        </w:tc>
        <w:tc>
          <w:tcPr>
            <w:tcW w:w="940" w:type="dxa"/>
            <w:vAlign w:val="bottom"/>
            <w:gridSpan w:val="2"/>
          </w:tcPr>
          <w:p>
            <w:pPr>
              <w:ind w:left="40"/>
              <w:spacing w:after="0"/>
              <w:rPr>
                <w:sz w:val="20"/>
                <w:szCs w:val="20"/>
                <w:color w:val="auto"/>
              </w:rPr>
            </w:pPr>
            <w:r>
              <w:rPr>
                <w:rFonts w:ascii="Arial" w:cs="Arial" w:eastAsia="Arial" w:hAnsi="Arial"/>
                <w:sz w:val="12"/>
                <w:szCs w:val="12"/>
                <w:color w:val="005A64"/>
              </w:rPr>
              <w:t>3.0</w:t>
            </w:r>
          </w:p>
        </w:tc>
        <w:tc>
          <w:tcPr>
            <w:tcW w:w="980" w:type="dxa"/>
            <w:vAlign w:val="bottom"/>
            <w:gridSpan w:val="2"/>
          </w:tcPr>
          <w:p>
            <w:pPr>
              <w:ind w:left="80"/>
              <w:spacing w:after="0"/>
              <w:rPr>
                <w:sz w:val="20"/>
                <w:szCs w:val="20"/>
                <w:color w:val="auto"/>
              </w:rPr>
            </w:pPr>
            <w:r>
              <w:rPr>
                <w:rFonts w:ascii="Arial" w:cs="Arial" w:eastAsia="Arial" w:hAnsi="Arial"/>
                <w:sz w:val="12"/>
                <w:szCs w:val="12"/>
                <w:color w:val="005A64"/>
              </w:rPr>
              <w:t>23.1</w:t>
            </w:r>
          </w:p>
        </w:tc>
        <w:tc>
          <w:tcPr>
            <w:tcW w:w="0" w:type="dxa"/>
            <w:vAlign w:val="bottom"/>
          </w:tcPr>
          <w:p>
            <w:pPr>
              <w:spacing w:after="0"/>
              <w:rPr>
                <w:sz w:val="1"/>
                <w:szCs w:val="1"/>
                <w:color w:val="auto"/>
              </w:rPr>
            </w:pPr>
          </w:p>
        </w:tc>
      </w:tr>
      <w:tr>
        <w:trPr>
          <w:trHeight w:val="202"/>
        </w:trPr>
        <w:tc>
          <w:tcPr>
            <w:tcW w:w="3880" w:type="dxa"/>
            <w:vAlign w:val="bottom"/>
            <w:gridSpan w:val="2"/>
          </w:tcPr>
          <w:p>
            <w:pPr>
              <w:ind w:left="20"/>
              <w:spacing w:after="0"/>
              <w:rPr>
                <w:sz w:val="20"/>
                <w:szCs w:val="20"/>
                <w:color w:val="auto"/>
              </w:rPr>
            </w:pPr>
            <w:r>
              <w:rPr>
                <w:rFonts w:ascii="Arial" w:cs="Arial" w:eastAsia="Arial" w:hAnsi="Arial"/>
                <w:sz w:val="12"/>
                <w:szCs w:val="12"/>
                <w:color w:val="005A64"/>
              </w:rPr>
              <w:t>Other operating equipment</w:t>
            </w:r>
          </w:p>
        </w:tc>
        <w:tc>
          <w:tcPr>
            <w:tcW w:w="940" w:type="dxa"/>
            <w:vAlign w:val="bottom"/>
            <w:gridSpan w:val="2"/>
          </w:tcPr>
          <w:p>
            <w:pPr>
              <w:ind w:left="40"/>
              <w:spacing w:after="0"/>
              <w:rPr>
                <w:sz w:val="20"/>
                <w:szCs w:val="20"/>
                <w:color w:val="auto"/>
              </w:rPr>
            </w:pPr>
            <w:r>
              <w:rPr>
                <w:rFonts w:ascii="Arial" w:cs="Arial" w:eastAsia="Arial" w:hAnsi="Arial"/>
                <w:sz w:val="12"/>
                <w:szCs w:val="12"/>
                <w:color w:val="005A64"/>
              </w:rPr>
              <w:t>3.4</w:t>
            </w:r>
          </w:p>
        </w:tc>
        <w:tc>
          <w:tcPr>
            <w:tcW w:w="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2"/>
                <w:szCs w:val="12"/>
                <w:color w:val="005A64"/>
              </w:rPr>
              <w:t>1.5</w:t>
            </w:r>
          </w:p>
        </w:tc>
        <w:tc>
          <w:tcPr>
            <w:tcW w:w="980" w:type="dxa"/>
            <w:vAlign w:val="bottom"/>
            <w:gridSpan w:val="2"/>
          </w:tcPr>
          <w:p>
            <w:pPr>
              <w:ind w:left="80"/>
              <w:spacing w:after="0"/>
              <w:rPr>
                <w:sz w:val="20"/>
                <w:szCs w:val="20"/>
                <w:color w:val="auto"/>
              </w:rPr>
            </w:pPr>
            <w:r>
              <w:rPr>
                <w:rFonts w:ascii="Arial" w:cs="Arial" w:eastAsia="Arial" w:hAnsi="Arial"/>
                <w:sz w:val="12"/>
                <w:szCs w:val="12"/>
                <w:color w:val="005A64"/>
              </w:rPr>
              <w:t>0.5</w:t>
            </w:r>
          </w:p>
        </w:tc>
        <w:tc>
          <w:tcPr>
            <w:tcW w:w="0" w:type="dxa"/>
            <w:vAlign w:val="bottom"/>
          </w:tcPr>
          <w:p>
            <w:pPr>
              <w:spacing w:after="0"/>
              <w:rPr>
                <w:sz w:val="1"/>
                <w:szCs w:val="1"/>
                <w:color w:val="auto"/>
              </w:rPr>
            </w:pPr>
          </w:p>
        </w:tc>
      </w:tr>
      <w:tr>
        <w:trPr>
          <w:trHeight w:val="208"/>
        </w:trPr>
        <w:tc>
          <w:tcPr>
            <w:tcW w:w="388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 depreciation charge</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005A64"/>
              </w:rPr>
              <w:t>45.6</w:t>
            </w:r>
          </w:p>
        </w:tc>
        <w:tc>
          <w:tcPr>
            <w:tcW w:w="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005A64"/>
              </w:rPr>
              <w:t>45.2</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005A64"/>
              </w:rPr>
              <w:t>58.8</w:t>
            </w:r>
          </w:p>
        </w:tc>
        <w:tc>
          <w:tcPr>
            <w:tcW w:w="0" w:type="dxa"/>
            <w:vAlign w:val="bottom"/>
          </w:tcPr>
          <w:p>
            <w:pPr>
              <w:spacing w:after="0"/>
              <w:rPr>
                <w:sz w:val="1"/>
                <w:szCs w:val="1"/>
                <w:color w:val="auto"/>
              </w:rPr>
            </w:pPr>
          </w:p>
        </w:tc>
      </w:tr>
      <w:tr>
        <w:trPr>
          <w:trHeight w:val="47"/>
        </w:trPr>
        <w:tc>
          <w:tcPr>
            <w:tcW w:w="3860" w:type="dxa"/>
            <w:vAlign w:val="bottom"/>
            <w:tcBorders>
              <w:bottom w:val="single" w:sz="8" w:color="005A64"/>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900" w:type="dxa"/>
            <w:vAlign w:val="bottom"/>
            <w:tcBorders>
              <w:bottom w:val="single" w:sz="8" w:color="005A64"/>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900" w:type="dxa"/>
            <w:vAlign w:val="bottom"/>
            <w:tcBorders>
              <w:bottom w:val="single" w:sz="8" w:color="005A64"/>
            </w:tcBorders>
          </w:tcPr>
          <w:p>
            <w:pPr>
              <w:spacing w:after="0"/>
              <w:rPr>
                <w:sz w:val="4"/>
                <w:szCs w:val="4"/>
                <w:color w:val="auto"/>
              </w:rPr>
            </w:pPr>
          </w:p>
        </w:tc>
        <w:tc>
          <w:tcPr>
            <w:tcW w:w="80" w:type="dxa"/>
            <w:vAlign w:val="bottom"/>
            <w:vMerge w:val="restart"/>
          </w:tcPr>
          <w:p>
            <w:pPr>
              <w:spacing w:after="0"/>
              <w:rPr>
                <w:sz w:val="4"/>
                <w:szCs w:val="4"/>
                <w:color w:val="auto"/>
              </w:rPr>
            </w:pPr>
          </w:p>
        </w:tc>
        <w:tc>
          <w:tcPr>
            <w:tcW w:w="90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3860" w:type="dxa"/>
            <w:vAlign w:val="bottom"/>
          </w:tcPr>
          <w:p>
            <w:pPr>
              <w:ind w:left="20"/>
              <w:spacing w:after="0"/>
              <w:rPr>
                <w:sz w:val="20"/>
                <w:szCs w:val="20"/>
                <w:color w:val="auto"/>
              </w:rPr>
            </w:pPr>
            <w:r>
              <w:rPr>
                <w:rFonts w:ascii="Arial" w:cs="Arial" w:eastAsia="Arial" w:hAnsi="Arial"/>
                <w:sz w:val="12"/>
                <w:szCs w:val="12"/>
                <w:color w:val="005A64"/>
              </w:rPr>
              <w:t>Interest on lease liabilities</w:t>
            </w: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900" w:type="dxa"/>
            <w:vAlign w:val="bottom"/>
          </w:tcPr>
          <w:p>
            <w:pPr>
              <w:spacing w:after="0"/>
              <w:rPr>
                <w:sz w:val="20"/>
                <w:szCs w:val="20"/>
                <w:color w:val="auto"/>
              </w:rPr>
            </w:pPr>
            <w:r>
              <w:rPr>
                <w:rFonts w:ascii="Arial" w:cs="Arial" w:eastAsia="Arial" w:hAnsi="Arial"/>
                <w:sz w:val="12"/>
                <w:szCs w:val="12"/>
                <w:color w:val="005A64"/>
              </w:rPr>
              <w:t>8.6</w:t>
            </w:r>
          </w:p>
        </w:tc>
        <w:tc>
          <w:tcPr>
            <w:tcW w:w="4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900" w:type="dxa"/>
            <w:vAlign w:val="bottom"/>
          </w:tcPr>
          <w:p>
            <w:pPr>
              <w:spacing w:after="0"/>
              <w:rPr>
                <w:sz w:val="20"/>
                <w:szCs w:val="20"/>
                <w:color w:val="auto"/>
              </w:rPr>
            </w:pPr>
            <w:r>
              <w:rPr>
                <w:rFonts w:ascii="Arial" w:cs="Arial" w:eastAsia="Arial" w:hAnsi="Arial"/>
                <w:sz w:val="12"/>
                <w:szCs w:val="12"/>
                <w:color w:val="005A64"/>
              </w:rPr>
              <w:t>5.7</w:t>
            </w:r>
          </w:p>
        </w:tc>
        <w:tc>
          <w:tcPr>
            <w:tcW w:w="80" w:type="dxa"/>
            <w:vAlign w:val="bottom"/>
            <w:vMerge w:val="continue"/>
          </w:tcPr>
          <w:p>
            <w:pPr>
              <w:spacing w:after="0"/>
              <w:rPr>
                <w:sz w:val="13"/>
                <w:szCs w:val="13"/>
                <w:color w:val="auto"/>
              </w:rPr>
            </w:pPr>
          </w:p>
        </w:tc>
        <w:tc>
          <w:tcPr>
            <w:tcW w:w="900" w:type="dxa"/>
            <w:vAlign w:val="bottom"/>
          </w:tcPr>
          <w:p>
            <w:pPr>
              <w:spacing w:after="0"/>
              <w:rPr>
                <w:sz w:val="20"/>
                <w:szCs w:val="20"/>
                <w:color w:val="auto"/>
              </w:rPr>
            </w:pPr>
            <w:r>
              <w:rPr>
                <w:rFonts w:ascii="Arial" w:cs="Arial" w:eastAsia="Arial" w:hAnsi="Arial"/>
                <w:sz w:val="12"/>
                <w:szCs w:val="12"/>
                <w:color w:val="005A64"/>
              </w:rPr>
              <w:t>5.1</w:t>
            </w:r>
          </w:p>
        </w:tc>
        <w:tc>
          <w:tcPr>
            <w:tcW w:w="0" w:type="dxa"/>
            <w:vAlign w:val="bottom"/>
          </w:tcPr>
          <w:p>
            <w:pPr>
              <w:spacing w:after="0"/>
              <w:rPr>
                <w:sz w:val="1"/>
                <w:szCs w:val="1"/>
                <w:color w:val="auto"/>
              </w:rPr>
            </w:pPr>
          </w:p>
        </w:tc>
      </w:tr>
      <w:tr>
        <w:trPr>
          <w:trHeight w:val="181"/>
        </w:trPr>
        <w:tc>
          <w:tcPr>
            <w:tcW w:w="3880" w:type="dxa"/>
            <w:vAlign w:val="bottom"/>
            <w:gridSpan w:val="2"/>
          </w:tcPr>
          <w:p>
            <w:pPr>
              <w:ind w:left="20"/>
              <w:spacing w:after="0"/>
              <w:rPr>
                <w:sz w:val="20"/>
                <w:szCs w:val="20"/>
                <w:color w:val="auto"/>
              </w:rPr>
            </w:pPr>
            <w:r>
              <w:rPr>
                <w:rFonts w:ascii="Arial" w:cs="Arial" w:eastAsia="Arial" w:hAnsi="Arial"/>
                <w:sz w:val="12"/>
                <w:szCs w:val="12"/>
                <w:color w:val="005A64"/>
              </w:rPr>
              <w:t>Expense related to short-term leases and leases of low-value assets</w:t>
            </w:r>
          </w:p>
        </w:tc>
        <w:tc>
          <w:tcPr>
            <w:tcW w:w="940" w:type="dxa"/>
            <w:vAlign w:val="bottom"/>
            <w:gridSpan w:val="2"/>
          </w:tcPr>
          <w:p>
            <w:pPr>
              <w:ind w:left="40"/>
              <w:spacing w:after="0"/>
              <w:rPr>
                <w:sz w:val="20"/>
                <w:szCs w:val="20"/>
                <w:color w:val="auto"/>
              </w:rPr>
            </w:pPr>
            <w:r>
              <w:rPr>
                <w:rFonts w:ascii="Arial" w:cs="Arial" w:eastAsia="Arial" w:hAnsi="Arial"/>
                <w:sz w:val="12"/>
                <w:szCs w:val="12"/>
                <w:color w:val="005A64"/>
              </w:rPr>
              <w:t>43.3</w:t>
            </w:r>
          </w:p>
        </w:tc>
        <w:tc>
          <w:tcPr>
            <w:tcW w:w="4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2"/>
                <w:szCs w:val="12"/>
                <w:color w:val="005A64"/>
              </w:rPr>
              <w:t>58.9</w:t>
            </w:r>
          </w:p>
        </w:tc>
        <w:tc>
          <w:tcPr>
            <w:tcW w:w="980" w:type="dxa"/>
            <w:vAlign w:val="bottom"/>
            <w:gridSpan w:val="2"/>
          </w:tcPr>
          <w:p>
            <w:pPr>
              <w:ind w:left="80"/>
              <w:spacing w:after="0"/>
              <w:rPr>
                <w:sz w:val="20"/>
                <w:szCs w:val="20"/>
                <w:color w:val="auto"/>
              </w:rPr>
            </w:pPr>
            <w:r>
              <w:rPr>
                <w:rFonts w:ascii="Arial" w:cs="Arial" w:eastAsia="Arial" w:hAnsi="Arial"/>
                <w:sz w:val="12"/>
                <w:szCs w:val="12"/>
                <w:color w:val="005A64"/>
              </w:rPr>
              <w:t>27.1</w:t>
            </w:r>
          </w:p>
        </w:tc>
        <w:tc>
          <w:tcPr>
            <w:tcW w:w="0" w:type="dxa"/>
            <w:vAlign w:val="bottom"/>
          </w:tcPr>
          <w:p>
            <w:pPr>
              <w:spacing w:after="0"/>
              <w:rPr>
                <w:sz w:val="1"/>
                <w:szCs w:val="1"/>
                <w:color w:val="auto"/>
              </w:rPr>
            </w:pPr>
          </w:p>
        </w:tc>
      </w:tr>
      <w:tr>
        <w:trPr>
          <w:trHeight w:val="208"/>
        </w:trPr>
        <w:tc>
          <w:tcPr>
            <w:tcW w:w="388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 amounts recognized in profit or loss</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005A64"/>
              </w:rPr>
              <w:t>97.5</w:t>
            </w:r>
          </w:p>
        </w:tc>
        <w:tc>
          <w:tcPr>
            <w:tcW w:w="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005A64"/>
              </w:rPr>
              <w:t>109.8</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005A64"/>
              </w:rPr>
              <w:t>91.0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-996315</wp:posOffset>
            </wp:positionV>
            <wp:extent cx="622300" cy="1033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95">
                      <a:extLst>
                        <a:ext uri="{28A0092B-C50C-407E-A947-70E740481C1C}"/>
                      </a:extLst>
                    </a:blip>
                    <a:srcRect/>
                    <a:stretch>
                      <a:fillRect/>
                    </a:stretch>
                  </pic:blipFill>
                  <pic:spPr bwMode="auto">
                    <a:xfrm>
                      <a:off x="0" y="0"/>
                      <a:ext cx="622300" cy="1033145"/>
                    </a:xfrm>
                    <a:prstGeom prst="rect">
                      <a:avLst/>
                    </a:prstGeom>
                    <a:noFill/>
                  </pic:spPr>
                </pic:pic>
              </a:graphicData>
            </a:graphic>
          </wp:anchor>
        </w:drawing>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005A64"/>
        </w:rPr>
        <w:t>20.3 Amounts Recognized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4300220" cy="63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96">
                      <a:extLst>
                        <a:ext uri="{28A0092B-C50C-407E-A947-70E740481C1C}"/>
                      </a:extLst>
                    </a:blip>
                    <a:srcRect/>
                    <a:stretch>
                      <a:fillRect/>
                    </a:stretch>
                  </pic:blipFill>
                  <pic:spPr bwMode="auto">
                    <a:xfrm>
                      <a:off x="0" y="0"/>
                      <a:ext cx="4300220" cy="6350"/>
                    </a:xfrm>
                    <a:prstGeom prst="rect">
                      <a:avLst/>
                    </a:prstGeom>
                    <a:noFill/>
                  </pic:spPr>
                </pic:pic>
              </a:graphicData>
            </a:graphic>
          </wp:anchor>
        </w:drawing>
      </w:r>
    </w:p>
    <w:p>
      <w:pPr>
        <w:ind w:left="380" w:right="2240"/>
        <w:spacing w:after="0" w:line="210" w:lineRule="auto"/>
        <w:rPr>
          <w:sz w:val="20"/>
          <w:szCs w:val="20"/>
          <w:color w:val="auto"/>
        </w:rPr>
      </w:pPr>
      <w:r>
        <w:rPr>
          <w:rFonts w:ascii="Arial" w:cs="Arial" w:eastAsia="Arial" w:hAnsi="Arial"/>
          <w:sz w:val="13"/>
          <w:szCs w:val="13"/>
          <w:color w:val="auto"/>
        </w:rPr>
        <w:t>During the year ended December 31, 2024, the total cash outflow for leases amounted to €43.6 million (during the year ended December 31, 2023: €46.0 million; during the year ended December 31, 2022: €46.2 million).</w:t>
      </w:r>
    </w:p>
    <w:p>
      <w:pPr>
        <w:ind w:left="380"/>
        <w:spacing w:after="0" w:line="212" w:lineRule="auto"/>
        <w:rPr>
          <w:sz w:val="20"/>
          <w:szCs w:val="20"/>
          <w:color w:val="auto"/>
        </w:rPr>
      </w:pPr>
      <w:r>
        <w:rPr>
          <w:rFonts w:ascii="Arial" w:cs="Arial" w:eastAsia="Arial" w:hAnsi="Arial"/>
          <w:sz w:val="13"/>
          <w:szCs w:val="13"/>
          <w:b w:val="1"/>
          <w:bCs w:val="1"/>
          <w:color w:val="005A64"/>
        </w:rPr>
        <w:t>20.4 Extension Options</w:t>
      </w:r>
    </w:p>
    <w:p>
      <w:pPr>
        <w:spacing w:after="0" w:line="1" w:lineRule="exact"/>
        <w:rPr>
          <w:sz w:val="20"/>
          <w:szCs w:val="20"/>
          <w:color w:val="auto"/>
        </w:rPr>
      </w:pPr>
    </w:p>
    <w:p>
      <w:pPr>
        <w:ind w:left="380" w:right="2140"/>
        <w:spacing w:after="0" w:line="211" w:lineRule="auto"/>
        <w:rPr>
          <w:sz w:val="20"/>
          <w:szCs w:val="20"/>
          <w:color w:val="auto"/>
        </w:rPr>
      </w:pPr>
      <w:r>
        <w:rPr>
          <w:rFonts w:ascii="Arial" w:cs="Arial" w:eastAsia="Arial" w:hAnsi="Arial"/>
          <w:sz w:val="13"/>
          <w:szCs w:val="13"/>
          <w:color w:val="auto"/>
        </w:rPr>
        <w:t>We have several lease contracts that include extension options. These options are negotiated by management to provide flexibility in managing the leased asset portfolio and align with the need of the business. Management exercises judgment in determining whether these extension options are reasonably certain to be exercised. The undiscounted potential future lease payments, which relate to periods after the exercise date of renewal options and are not included in lease liabilities, amount to up to €152.1 million as of December 31, 2024, considering terms up until 2049 (as of December 31, 2023: €157.2 million considering terms up until 2049).</w:t>
      </w:r>
    </w:p>
    <w:p>
      <w:pPr>
        <w:ind w:left="380"/>
        <w:spacing w:after="0" w:line="210" w:lineRule="auto"/>
        <w:rPr>
          <w:sz w:val="20"/>
          <w:szCs w:val="20"/>
          <w:color w:val="auto"/>
        </w:rPr>
      </w:pPr>
      <w:r>
        <w:rPr>
          <w:rFonts w:ascii="Arial" w:cs="Arial" w:eastAsia="Arial" w:hAnsi="Arial"/>
          <w:sz w:val="16"/>
          <w:szCs w:val="16"/>
          <w:b w:val="1"/>
          <w:bCs w:val="1"/>
          <w:color w:val="005A64"/>
        </w:rPr>
        <w:t>21 Related Party Disclosures</w:t>
      </w:r>
    </w:p>
    <w:p>
      <w:pPr>
        <w:ind w:left="380"/>
        <w:spacing w:after="0" w:line="211" w:lineRule="auto"/>
        <w:rPr>
          <w:sz w:val="20"/>
          <w:szCs w:val="20"/>
          <w:color w:val="auto"/>
        </w:rPr>
      </w:pPr>
      <w:r>
        <w:rPr>
          <w:rFonts w:ascii="Arial" w:cs="Arial" w:eastAsia="Arial" w:hAnsi="Arial"/>
          <w:sz w:val="13"/>
          <w:szCs w:val="13"/>
          <w:b w:val="1"/>
          <w:bCs w:val="1"/>
          <w:color w:val="005A64"/>
        </w:rPr>
        <w:t>21.1 Parent and Ultimate Controlling Party</w:t>
      </w:r>
    </w:p>
    <w:p>
      <w:pPr>
        <w:spacing w:after="0" w:line="1" w:lineRule="exact"/>
        <w:rPr>
          <w:sz w:val="20"/>
          <w:szCs w:val="20"/>
          <w:color w:val="auto"/>
        </w:rPr>
      </w:pPr>
    </w:p>
    <w:p>
      <w:pPr>
        <w:ind w:left="380" w:right="2180"/>
        <w:spacing w:after="0" w:line="222" w:lineRule="auto"/>
        <w:rPr>
          <w:sz w:val="20"/>
          <w:szCs w:val="20"/>
          <w:color w:val="auto"/>
        </w:rPr>
      </w:pPr>
      <w:r>
        <w:rPr>
          <w:rFonts w:ascii="Arial" w:cs="Arial" w:eastAsia="Arial" w:hAnsi="Arial"/>
          <w:sz w:val="13"/>
          <w:szCs w:val="13"/>
          <w:color w:val="auto"/>
        </w:rPr>
        <w:t>ATHOS KG, Holzkirchen, Germany is the sole shareholder of AT Impf GmbH, Munich, Germany and beneficial owner of our ordinary shares. ATHOS KG via AT Impf GmbH has de facto control over BioNTech based on its substantial shareholding, which practically enables it to exercise the majority of voting rights to pass resolutions at our Annual General Meeting, or AGM.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F-76</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ectPr>
          <w:pgSz w:w="11900" w:h="16840" w:orient="portrait"/>
          <w:cols w:equalWidth="0" w:num="1">
            <w:col w:w="9020"/>
          </w:cols>
          <w:pgMar w:left="1440" w:top="1440" w:right="1440" w:bottom="1440" w:gutter="0" w:footer="0" w:header="0"/>
        </w:sectPr>
      </w:pPr>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005A64"/>
        </w:rPr>
        <w:t>21.2 Transactions with Key Management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97">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spacing w:after="0" w:line="210" w:lineRule="auto"/>
        <w:rPr>
          <w:sz w:val="20"/>
          <w:szCs w:val="20"/>
          <w:color w:val="auto"/>
        </w:rPr>
      </w:pPr>
      <w:r>
        <w:rPr>
          <w:rFonts w:ascii="Arial" w:cs="Arial" w:eastAsia="Arial" w:hAnsi="Arial"/>
          <w:sz w:val="13"/>
          <w:szCs w:val="13"/>
          <w:color w:val="auto"/>
        </w:rPr>
        <w:t>Our key management personnel have been defined as the members of the Management Board and the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Supervisory Board. Key management personnel compensation is comprised of the following:</w:t>
      </w:r>
    </w:p>
    <w:p>
      <w:pPr>
        <w:sectPr>
          <w:pgSz w:w="11900" w:h="16840" w:orient="portrait"/>
          <w:cols w:equalWidth="0" w:num="1">
            <w:col w:w="9020"/>
          </w:cols>
          <w:pgMar w:left="1440" w:top="1440" w:right="1440" w:bottom="1440" w:gutter="0" w:footer="0" w:header="0"/>
          <w:type w:val="continuous"/>
        </w:sectPr>
      </w:pPr>
    </w:p>
    <w:bookmarkStart w:id="232" w:name="page233"/>
    <w:bookmarkEnd w:id="232"/>
    <w:p>
      <w:pPr>
        <w:spacing w:after="0" w:line="200" w:lineRule="exact"/>
        <w:rPr>
          <w:sz w:val="20"/>
          <w:szCs w:val="20"/>
          <w:color w:val="auto"/>
        </w:rPr>
      </w:pPr>
    </w:p>
    <w:p>
      <w:pPr>
        <w:spacing w:after="0" w:line="221" w:lineRule="exact"/>
        <w:rPr>
          <w:sz w:val="20"/>
          <w:szCs w:val="20"/>
          <w:color w:val="auto"/>
        </w:rPr>
      </w:pPr>
    </w:p>
    <w:p>
      <w:pPr>
        <w:ind w:left="400"/>
        <w:spacing w:after="0"/>
        <w:rPr>
          <w:sz w:val="20"/>
          <w:szCs w:val="20"/>
          <w:color w:val="auto"/>
        </w:rPr>
      </w:pPr>
      <w:r>
        <w:rPr>
          <w:rFonts w:ascii="Arial" w:cs="Arial" w:eastAsia="Arial" w:hAnsi="Arial"/>
          <w:sz w:val="12"/>
          <w:szCs w:val="12"/>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46355</wp:posOffset>
            </wp:positionV>
            <wp:extent cx="2291715" cy="63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98">
                      <a:extLst>
                        <a:ext uri="{28A0092B-C50C-407E-A947-70E740481C1C}"/>
                      </a:extLst>
                    </a:blip>
                    <a:srcRect/>
                    <a:stretch>
                      <a:fillRect/>
                    </a:stretch>
                  </pic:blipFill>
                  <pic:spPr bwMode="auto">
                    <a:xfrm>
                      <a:off x="0" y="0"/>
                      <a:ext cx="2291715" cy="6350"/>
                    </a:xfrm>
                    <a:prstGeom prst="rect">
                      <a:avLst/>
                    </a:prstGeom>
                    <a:noFill/>
                  </pic:spPr>
                </pic:pic>
              </a:graphicData>
            </a:graphic>
          </wp:anchor>
        </w:drawing>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2"/>
          <w:szCs w:val="12"/>
          <w:b w:val="1"/>
          <w:bCs w:val="1"/>
          <w:color w:val="3C9673"/>
        </w:rPr>
        <w:t>Management Board</w:t>
      </w:r>
      <w:r>
        <w:rPr>
          <w:rFonts w:ascii="Arial" w:cs="Arial" w:eastAsia="Arial" w:hAnsi="Arial"/>
          <w:sz w:val="16"/>
          <w:szCs w:val="16"/>
          <w:b w:val="1"/>
          <w:bCs w:val="1"/>
          <w:color w:val="3C9673"/>
          <w:vertAlign w:val="superscript"/>
        </w:rPr>
        <w:t>(1)</w:t>
      </w:r>
    </w:p>
    <w:p>
      <w:pPr>
        <w:ind w:left="400"/>
        <w:spacing w:after="0"/>
        <w:rPr>
          <w:sz w:val="20"/>
          <w:szCs w:val="20"/>
          <w:color w:val="auto"/>
        </w:rPr>
      </w:pPr>
      <w:r>
        <w:rPr>
          <w:rFonts w:ascii="Arial" w:cs="Arial" w:eastAsia="Arial" w:hAnsi="Arial"/>
          <w:sz w:val="12"/>
          <w:szCs w:val="12"/>
          <w:color w:val="005A64"/>
        </w:rPr>
        <w:t>Fixed compensation</w:t>
      </w:r>
    </w:p>
    <w:p>
      <w:pPr>
        <w:spacing w:after="0" w:line="52" w:lineRule="exact"/>
        <w:rPr>
          <w:sz w:val="20"/>
          <w:szCs w:val="20"/>
          <w:color w:val="auto"/>
        </w:rPr>
      </w:pPr>
    </w:p>
    <w:p>
      <w:pPr>
        <w:ind w:left="400"/>
        <w:spacing w:after="0"/>
        <w:rPr>
          <w:sz w:val="20"/>
          <w:szCs w:val="20"/>
          <w:color w:val="auto"/>
        </w:rPr>
      </w:pPr>
      <w:r>
        <w:rPr>
          <w:rFonts w:ascii="Arial" w:cs="Arial" w:eastAsia="Arial" w:hAnsi="Arial"/>
          <w:sz w:val="12"/>
          <w:szCs w:val="12"/>
          <w:color w:val="005A64"/>
        </w:rPr>
        <w:t>Fringe benefits</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2"/>
          <w:szCs w:val="12"/>
          <w:color w:val="005A64"/>
        </w:rPr>
        <w:t>Short-term incentive – first installment</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2"/>
          <w:szCs w:val="12"/>
          <w:color w:val="005A64"/>
        </w:rPr>
        <w:t>Short-term incentive – second installment</w:t>
      </w:r>
      <w:r>
        <w:rPr>
          <w:rFonts w:ascii="Arial" w:cs="Arial" w:eastAsia="Arial" w:hAnsi="Arial"/>
          <w:sz w:val="16"/>
          <w:szCs w:val="16"/>
          <w:color w:val="005A64"/>
          <w:vertAlign w:val="superscript"/>
        </w:rPr>
        <w:t>(2)</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2"/>
          <w:szCs w:val="12"/>
          <w:color w:val="005A64"/>
        </w:rPr>
        <w:t>Other variable compensation</w:t>
      </w:r>
      <w:r>
        <w:rPr>
          <w:rFonts w:ascii="Arial" w:cs="Arial" w:eastAsia="Arial" w:hAnsi="Arial"/>
          <w:sz w:val="16"/>
          <w:szCs w:val="16"/>
          <w:color w:val="005A64"/>
          <w:vertAlign w:val="superscript"/>
        </w:rPr>
        <w:t>(3)</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2"/>
          <w:szCs w:val="12"/>
          <w:color w:val="005A64"/>
        </w:rPr>
        <w:t>Share-based payments (incl. long-term incentive)</w:t>
      </w:r>
      <w:r>
        <w:rPr>
          <w:rFonts w:ascii="Arial" w:cs="Arial" w:eastAsia="Arial" w:hAnsi="Arial"/>
          <w:sz w:val="16"/>
          <w:szCs w:val="16"/>
          <w:color w:val="005A64"/>
          <w:vertAlign w:val="superscript"/>
        </w:rPr>
        <w:t>(4)</w:t>
      </w:r>
    </w:p>
    <w:p>
      <w:pPr>
        <w:ind w:left="400"/>
        <w:spacing w:after="0"/>
        <w:rPr>
          <w:sz w:val="20"/>
          <w:szCs w:val="20"/>
          <w:color w:val="auto"/>
        </w:rPr>
      </w:pPr>
      <w:r>
        <w:rPr>
          <w:rFonts w:ascii="Arial" w:cs="Arial" w:eastAsia="Arial" w:hAnsi="Arial"/>
          <w:sz w:val="12"/>
          <w:szCs w:val="12"/>
          <w:b w:val="1"/>
          <w:bCs w:val="1"/>
          <w:color w:val="3C9673"/>
        </w:rPr>
        <w:t>Supervisory Board</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2"/>
          <w:szCs w:val="12"/>
          <w:b w:val="1"/>
          <w:bCs w:val="1"/>
          <w:color w:val="005A64"/>
        </w:rPr>
        <w:t>Total compensation of key management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-86995</wp:posOffset>
            </wp:positionV>
            <wp:extent cx="2291715" cy="63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99">
                      <a:extLst>
                        <a:ext uri="{28A0092B-C50C-407E-A947-70E740481C1C}"/>
                      </a:extLst>
                    </a:blip>
                    <a:srcRect/>
                    <a:stretch>
                      <a:fillRect/>
                    </a:stretch>
                  </pic:blipFill>
                  <pic:spPr bwMode="auto">
                    <a:xfrm>
                      <a:off x="0" y="0"/>
                      <a:ext cx="2291715" cy="635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41275</wp:posOffset>
            </wp:positionV>
            <wp:extent cx="2291715" cy="63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00">
                      <a:extLst>
                        <a:ext uri="{28A0092B-C50C-407E-A947-70E740481C1C}"/>
                      </a:extLst>
                    </a:blip>
                    <a:srcRect/>
                    <a:stretch>
                      <a:fillRect/>
                    </a:stretch>
                  </pic:blipFill>
                  <pic:spPr bwMode="auto">
                    <a:xfrm>
                      <a:off x="0" y="0"/>
                      <a:ext cx="229171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2"/>
          <w:szCs w:val="12"/>
          <w:b w:val="1"/>
          <w:bCs w:val="1"/>
          <w:color w:val="005A64"/>
        </w:rPr>
        <w:t>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-135255</wp:posOffset>
            </wp:positionV>
            <wp:extent cx="4293870" cy="127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01">
                      <a:extLst>
                        <a:ext uri="{28A0092B-C50C-407E-A947-70E740481C1C}"/>
                      </a:extLst>
                    </a:blip>
                    <a:srcRect/>
                    <a:stretch>
                      <a:fillRect/>
                    </a:stretch>
                  </pic:blipFill>
                  <pic:spPr bwMode="auto">
                    <a:xfrm>
                      <a:off x="0" y="0"/>
                      <a:ext cx="4293870" cy="12700"/>
                    </a:xfrm>
                    <a:prstGeom prst="rect">
                      <a:avLst/>
                    </a:prstGeom>
                    <a:noFill/>
                  </pic:spPr>
                </pic:pic>
              </a:graphicData>
            </a:graphic>
          </wp:anchor>
        </w:drawing>
      </w:r>
    </w:p>
    <w:p>
      <w:pPr>
        <w:ind w:left="40"/>
        <w:spacing w:after="0"/>
        <w:rPr>
          <w:sz w:val="20"/>
          <w:szCs w:val="20"/>
          <w:color w:val="auto"/>
        </w:rPr>
      </w:pPr>
      <w:r>
        <w:rPr>
          <w:rFonts w:ascii="Arial" w:cs="Arial" w:eastAsia="Arial" w:hAnsi="Arial"/>
          <w:sz w:val="12"/>
          <w:szCs w:val="12"/>
          <w:b w:val="1"/>
          <w:bCs w:val="1"/>
          <w:color w:val="005A64"/>
        </w:rPr>
        <w:t>December 31,</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000" w:type="dxa"/>
            <w:vAlign w:val="bottom"/>
            <w:tcBorders>
              <w:top w:val="single" w:sz="8" w:color="BECE33"/>
              <w:left w:val="single" w:sz="8" w:color="BECE33"/>
            </w:tcBorders>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60" w:type="dxa"/>
            <w:vAlign w:val="bottom"/>
            <w:tcBorders>
              <w:top w:val="single" w:sz="8" w:color="BECE33"/>
              <w:right w:val="single" w:sz="8" w:color="BECE33"/>
            </w:tcBorders>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2023</w:t>
            </w: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005A64"/>
              </w:rPr>
              <w:t>2022</w:t>
            </w:r>
          </w:p>
        </w:tc>
        <w:tc>
          <w:tcPr>
            <w:tcW w:w="0" w:type="dxa"/>
            <w:vAlign w:val="bottom"/>
          </w:tcPr>
          <w:p>
            <w:pPr>
              <w:spacing w:after="0"/>
              <w:rPr>
                <w:sz w:val="1"/>
                <w:szCs w:val="1"/>
                <w:color w:val="auto"/>
              </w:rPr>
            </w:pPr>
          </w:p>
        </w:tc>
      </w:tr>
      <w:tr>
        <w:trPr>
          <w:trHeight w:val="166"/>
        </w:trPr>
        <w:tc>
          <w:tcPr>
            <w:tcW w:w="40" w:type="dxa"/>
            <w:vAlign w:val="bottom"/>
            <w:tcBorders>
              <w:left w:val="single" w:sz="8" w:color="BECE33"/>
            </w:tcBorders>
          </w:tcPr>
          <w:p>
            <w:pPr>
              <w:spacing w:after="0"/>
              <w:rPr>
                <w:sz w:val="14"/>
                <w:szCs w:val="14"/>
                <w:color w:val="auto"/>
              </w:rPr>
            </w:pPr>
          </w:p>
        </w:tc>
        <w:tc>
          <w:tcPr>
            <w:tcW w:w="960" w:type="dxa"/>
            <w:vAlign w:val="bottom"/>
            <w:tcBorders>
              <w:top w:val="single" w:sz="8" w:color="005A64"/>
            </w:tcBorders>
          </w:tcPr>
          <w:p>
            <w:pPr>
              <w:spacing w:after="0"/>
              <w:rPr>
                <w:sz w:val="20"/>
                <w:szCs w:val="20"/>
                <w:color w:val="auto"/>
              </w:rPr>
            </w:pPr>
            <w:r>
              <w:rPr>
                <w:rFonts w:ascii="Arial" w:cs="Arial" w:eastAsia="Arial" w:hAnsi="Arial"/>
                <w:sz w:val="12"/>
                <w:szCs w:val="12"/>
                <w:b w:val="1"/>
                <w:bCs w:val="1"/>
                <w:color w:val="3C9673"/>
              </w:rPr>
              <w:t>13.0</w:t>
            </w:r>
          </w:p>
        </w:tc>
        <w:tc>
          <w:tcPr>
            <w:tcW w:w="60" w:type="dxa"/>
            <w:vAlign w:val="bottom"/>
            <w:tcBorders>
              <w:right w:val="single" w:sz="8" w:color="BECE33"/>
            </w:tcBorders>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top w:val="single" w:sz="8" w:color="005A64"/>
            </w:tcBorders>
          </w:tcPr>
          <w:p>
            <w:pPr>
              <w:ind w:left="20"/>
              <w:spacing w:after="0"/>
              <w:rPr>
                <w:sz w:val="20"/>
                <w:szCs w:val="20"/>
                <w:color w:val="auto"/>
              </w:rPr>
            </w:pPr>
            <w:r>
              <w:rPr>
                <w:rFonts w:ascii="Arial" w:cs="Arial" w:eastAsia="Arial" w:hAnsi="Arial"/>
                <w:sz w:val="12"/>
                <w:szCs w:val="12"/>
                <w:b w:val="1"/>
                <w:bCs w:val="1"/>
                <w:color w:val="3C9673"/>
              </w:rPr>
              <w:t>8.3</w:t>
            </w:r>
          </w:p>
        </w:tc>
        <w:tc>
          <w:tcPr>
            <w:tcW w:w="80" w:type="dxa"/>
            <w:vAlign w:val="bottom"/>
          </w:tcPr>
          <w:p>
            <w:pPr>
              <w:spacing w:after="0"/>
              <w:rPr>
                <w:sz w:val="14"/>
                <w:szCs w:val="14"/>
                <w:color w:val="auto"/>
              </w:rPr>
            </w:pPr>
          </w:p>
        </w:tc>
        <w:tc>
          <w:tcPr>
            <w:tcW w:w="980" w:type="dxa"/>
            <w:vAlign w:val="bottom"/>
            <w:tcBorders>
              <w:top w:val="single" w:sz="8" w:color="005A64"/>
            </w:tcBorders>
          </w:tcPr>
          <w:p>
            <w:pPr>
              <w:ind w:left="20"/>
              <w:spacing w:after="0"/>
              <w:rPr>
                <w:sz w:val="20"/>
                <w:szCs w:val="20"/>
                <w:color w:val="auto"/>
              </w:rPr>
            </w:pPr>
            <w:r>
              <w:rPr>
                <w:rFonts w:ascii="Arial" w:cs="Arial" w:eastAsia="Arial" w:hAnsi="Arial"/>
                <w:sz w:val="12"/>
                <w:szCs w:val="12"/>
                <w:b w:val="1"/>
                <w:bCs w:val="1"/>
                <w:color w:val="3C9673"/>
              </w:rPr>
              <w:t>15.0</w:t>
            </w:r>
          </w:p>
        </w:tc>
        <w:tc>
          <w:tcPr>
            <w:tcW w:w="0" w:type="dxa"/>
            <w:vAlign w:val="bottom"/>
          </w:tcPr>
          <w:p>
            <w:pPr>
              <w:spacing w:after="0"/>
              <w:rPr>
                <w:sz w:val="1"/>
                <w:szCs w:val="1"/>
                <w:color w:val="auto"/>
              </w:rPr>
            </w:pPr>
          </w:p>
        </w:tc>
      </w:tr>
      <w:tr>
        <w:trPr>
          <w:trHeight w:val="175"/>
        </w:trPr>
        <w:tc>
          <w:tcPr>
            <w:tcW w:w="100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4.0</w:t>
            </w:r>
          </w:p>
        </w:tc>
        <w:tc>
          <w:tcPr>
            <w:tcW w:w="60" w:type="dxa"/>
            <w:vAlign w:val="bottom"/>
            <w:tcBorders>
              <w:right w:val="single" w:sz="8" w:color="BECE33"/>
            </w:tcBorders>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3.9</w:t>
            </w:r>
          </w:p>
        </w:tc>
        <w:tc>
          <w:tcPr>
            <w:tcW w:w="1060" w:type="dxa"/>
            <w:vAlign w:val="bottom"/>
            <w:gridSpan w:val="2"/>
          </w:tcPr>
          <w:p>
            <w:pPr>
              <w:ind w:left="100"/>
              <w:spacing w:after="0"/>
              <w:rPr>
                <w:sz w:val="20"/>
                <w:szCs w:val="20"/>
                <w:color w:val="auto"/>
              </w:rPr>
            </w:pPr>
            <w:r>
              <w:rPr>
                <w:rFonts w:ascii="Arial" w:cs="Arial" w:eastAsia="Arial" w:hAnsi="Arial"/>
                <w:sz w:val="12"/>
                <w:szCs w:val="12"/>
                <w:color w:val="005A64"/>
              </w:rPr>
              <w:t>2.9</w:t>
            </w:r>
          </w:p>
        </w:tc>
        <w:tc>
          <w:tcPr>
            <w:tcW w:w="0" w:type="dxa"/>
            <w:vAlign w:val="bottom"/>
          </w:tcPr>
          <w:p>
            <w:pPr>
              <w:spacing w:after="0"/>
              <w:rPr>
                <w:sz w:val="1"/>
                <w:szCs w:val="1"/>
                <w:color w:val="auto"/>
              </w:rPr>
            </w:pPr>
          </w:p>
        </w:tc>
      </w:tr>
      <w:tr>
        <w:trPr>
          <w:trHeight w:val="202"/>
        </w:trPr>
        <w:tc>
          <w:tcPr>
            <w:tcW w:w="100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0.2</w:t>
            </w:r>
          </w:p>
        </w:tc>
        <w:tc>
          <w:tcPr>
            <w:tcW w:w="60" w:type="dxa"/>
            <w:vAlign w:val="bottom"/>
            <w:tcBorders>
              <w:right w:val="single" w:sz="8" w:color="BECE33"/>
            </w:tcBorders>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005A64"/>
              </w:rPr>
              <w:t>—</w:t>
            </w:r>
          </w:p>
        </w:tc>
        <w:tc>
          <w:tcPr>
            <w:tcW w:w="8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005A64"/>
              </w:rPr>
              <w:t>—</w:t>
            </w:r>
          </w:p>
        </w:tc>
        <w:tc>
          <w:tcPr>
            <w:tcW w:w="0" w:type="dxa"/>
            <w:vAlign w:val="bottom"/>
          </w:tcPr>
          <w:p>
            <w:pPr>
              <w:spacing w:after="0"/>
              <w:rPr>
                <w:sz w:val="1"/>
                <w:szCs w:val="1"/>
                <w:color w:val="auto"/>
              </w:rPr>
            </w:pPr>
          </w:p>
        </w:tc>
      </w:tr>
      <w:tr>
        <w:trPr>
          <w:trHeight w:val="202"/>
        </w:trPr>
        <w:tc>
          <w:tcPr>
            <w:tcW w:w="100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0.8</w:t>
            </w:r>
          </w:p>
        </w:tc>
        <w:tc>
          <w:tcPr>
            <w:tcW w:w="60" w:type="dxa"/>
            <w:vAlign w:val="bottom"/>
            <w:tcBorders>
              <w:right w:val="single" w:sz="8" w:color="BECE33"/>
            </w:tcBorders>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0.7</w:t>
            </w:r>
          </w:p>
        </w:tc>
        <w:tc>
          <w:tcPr>
            <w:tcW w:w="1060" w:type="dxa"/>
            <w:vAlign w:val="bottom"/>
            <w:gridSpan w:val="2"/>
          </w:tcPr>
          <w:p>
            <w:pPr>
              <w:ind w:left="100"/>
              <w:spacing w:after="0"/>
              <w:rPr>
                <w:sz w:val="20"/>
                <w:szCs w:val="20"/>
                <w:color w:val="auto"/>
              </w:rPr>
            </w:pPr>
            <w:r>
              <w:rPr>
                <w:rFonts w:ascii="Arial" w:cs="Arial" w:eastAsia="Arial" w:hAnsi="Arial"/>
                <w:sz w:val="12"/>
                <w:szCs w:val="12"/>
                <w:color w:val="005A64"/>
              </w:rPr>
              <w:t>0.6</w:t>
            </w:r>
          </w:p>
        </w:tc>
        <w:tc>
          <w:tcPr>
            <w:tcW w:w="0" w:type="dxa"/>
            <w:vAlign w:val="bottom"/>
          </w:tcPr>
          <w:p>
            <w:pPr>
              <w:spacing w:after="0"/>
              <w:rPr>
                <w:sz w:val="1"/>
                <w:szCs w:val="1"/>
                <w:color w:val="auto"/>
              </w:rPr>
            </w:pPr>
          </w:p>
        </w:tc>
      </w:tr>
      <w:tr>
        <w:trPr>
          <w:trHeight w:val="202"/>
        </w:trPr>
        <w:tc>
          <w:tcPr>
            <w:tcW w:w="100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0.6</w:t>
            </w:r>
          </w:p>
        </w:tc>
        <w:tc>
          <w:tcPr>
            <w:tcW w:w="60" w:type="dxa"/>
            <w:vAlign w:val="bottom"/>
            <w:tcBorders>
              <w:right w:val="single" w:sz="8" w:color="BECE33"/>
            </w:tcBorders>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1.0</w:t>
            </w:r>
          </w:p>
        </w:tc>
        <w:tc>
          <w:tcPr>
            <w:tcW w:w="1060" w:type="dxa"/>
            <w:vAlign w:val="bottom"/>
            <w:gridSpan w:val="2"/>
          </w:tcPr>
          <w:p>
            <w:pPr>
              <w:ind w:left="100"/>
              <w:spacing w:after="0"/>
              <w:rPr>
                <w:sz w:val="20"/>
                <w:szCs w:val="20"/>
                <w:color w:val="auto"/>
              </w:rPr>
            </w:pPr>
            <w:r>
              <w:rPr>
                <w:rFonts w:ascii="Arial" w:cs="Arial" w:eastAsia="Arial" w:hAnsi="Arial"/>
                <w:sz w:val="12"/>
                <w:szCs w:val="12"/>
                <w:color w:val="005A64"/>
              </w:rPr>
              <w:t>0.7</w:t>
            </w:r>
          </w:p>
        </w:tc>
        <w:tc>
          <w:tcPr>
            <w:tcW w:w="0" w:type="dxa"/>
            <w:vAlign w:val="bottom"/>
          </w:tcPr>
          <w:p>
            <w:pPr>
              <w:spacing w:after="0"/>
              <w:rPr>
                <w:sz w:val="1"/>
                <w:szCs w:val="1"/>
                <w:color w:val="auto"/>
              </w:rPr>
            </w:pPr>
          </w:p>
        </w:tc>
      </w:tr>
      <w:tr>
        <w:trPr>
          <w:trHeight w:val="202"/>
        </w:trPr>
        <w:tc>
          <w:tcPr>
            <w:tcW w:w="100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1.3</w:t>
            </w:r>
          </w:p>
        </w:tc>
        <w:tc>
          <w:tcPr>
            <w:tcW w:w="60" w:type="dxa"/>
            <w:vAlign w:val="bottom"/>
            <w:tcBorders>
              <w:right w:val="single" w:sz="8" w:color="BECE33"/>
            </w:tcBorders>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0.8</w:t>
            </w:r>
          </w:p>
        </w:tc>
        <w:tc>
          <w:tcPr>
            <w:tcW w:w="1060" w:type="dxa"/>
            <w:vAlign w:val="bottom"/>
            <w:gridSpan w:val="2"/>
          </w:tcPr>
          <w:p>
            <w:pPr>
              <w:ind w:left="100"/>
              <w:spacing w:after="0"/>
              <w:rPr>
                <w:sz w:val="20"/>
                <w:szCs w:val="20"/>
                <w:color w:val="auto"/>
              </w:rPr>
            </w:pPr>
            <w:r>
              <w:rPr>
                <w:rFonts w:ascii="Arial" w:cs="Arial" w:eastAsia="Arial" w:hAnsi="Arial"/>
                <w:sz w:val="12"/>
                <w:szCs w:val="12"/>
                <w:color w:val="005A64"/>
              </w:rPr>
              <w:t>0.1</w:t>
            </w:r>
          </w:p>
        </w:tc>
        <w:tc>
          <w:tcPr>
            <w:tcW w:w="0" w:type="dxa"/>
            <w:vAlign w:val="bottom"/>
          </w:tcPr>
          <w:p>
            <w:pPr>
              <w:spacing w:after="0"/>
              <w:rPr>
                <w:sz w:val="1"/>
                <w:szCs w:val="1"/>
                <w:color w:val="auto"/>
              </w:rPr>
            </w:pPr>
          </w:p>
        </w:tc>
      </w:tr>
      <w:tr>
        <w:trPr>
          <w:trHeight w:val="202"/>
        </w:trPr>
        <w:tc>
          <w:tcPr>
            <w:tcW w:w="100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color w:val="005A64"/>
              </w:rPr>
              <w:t>6.1</w:t>
            </w:r>
          </w:p>
        </w:tc>
        <w:tc>
          <w:tcPr>
            <w:tcW w:w="60" w:type="dxa"/>
            <w:vAlign w:val="bottom"/>
            <w:tcBorders>
              <w:right w:val="single" w:sz="8" w:color="BECE33"/>
            </w:tcBorders>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005A64"/>
              </w:rPr>
              <w:t>1.9</w:t>
            </w:r>
          </w:p>
        </w:tc>
        <w:tc>
          <w:tcPr>
            <w:tcW w:w="1060" w:type="dxa"/>
            <w:vAlign w:val="bottom"/>
            <w:gridSpan w:val="2"/>
          </w:tcPr>
          <w:p>
            <w:pPr>
              <w:ind w:left="100"/>
              <w:spacing w:after="0"/>
              <w:rPr>
                <w:sz w:val="20"/>
                <w:szCs w:val="20"/>
                <w:color w:val="auto"/>
              </w:rPr>
            </w:pPr>
            <w:r>
              <w:rPr>
                <w:rFonts w:ascii="Arial" w:cs="Arial" w:eastAsia="Arial" w:hAnsi="Arial"/>
                <w:sz w:val="12"/>
                <w:szCs w:val="12"/>
                <w:color w:val="005A64"/>
              </w:rPr>
              <w:t>10.7</w:t>
            </w:r>
          </w:p>
        </w:tc>
        <w:tc>
          <w:tcPr>
            <w:tcW w:w="0" w:type="dxa"/>
            <w:vAlign w:val="bottom"/>
          </w:tcPr>
          <w:p>
            <w:pPr>
              <w:spacing w:after="0"/>
              <w:rPr>
                <w:sz w:val="1"/>
                <w:szCs w:val="1"/>
                <w:color w:val="auto"/>
              </w:rPr>
            </w:pPr>
          </w:p>
        </w:tc>
      </w:tr>
      <w:tr>
        <w:trPr>
          <w:trHeight w:val="208"/>
        </w:trPr>
        <w:tc>
          <w:tcPr>
            <w:tcW w:w="1000" w:type="dxa"/>
            <w:vAlign w:val="bottom"/>
            <w:tcBorders>
              <w:left w:val="single" w:sz="8" w:color="BECE33"/>
            </w:tcBorders>
            <w:gridSpan w:val="2"/>
          </w:tcPr>
          <w:p>
            <w:pPr>
              <w:ind w:left="40"/>
              <w:spacing w:after="0"/>
              <w:rPr>
                <w:sz w:val="20"/>
                <w:szCs w:val="20"/>
                <w:color w:val="auto"/>
              </w:rPr>
            </w:pPr>
            <w:r>
              <w:rPr>
                <w:rFonts w:ascii="Arial" w:cs="Arial" w:eastAsia="Arial" w:hAnsi="Arial"/>
                <w:sz w:val="12"/>
                <w:szCs w:val="12"/>
                <w:b w:val="1"/>
                <w:bCs w:val="1"/>
                <w:color w:val="3C9673"/>
              </w:rPr>
              <w:t>0.9</w:t>
            </w:r>
          </w:p>
        </w:tc>
        <w:tc>
          <w:tcPr>
            <w:tcW w:w="60" w:type="dxa"/>
            <w:vAlign w:val="bottom"/>
            <w:tcBorders>
              <w:right w:val="single" w:sz="8" w:color="BECE33"/>
            </w:tcBorders>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3C9673"/>
              </w:rPr>
              <w:t>0.6</w:t>
            </w: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3C9673"/>
              </w:rPr>
              <w:t>0.5</w:t>
            </w:r>
          </w:p>
        </w:tc>
        <w:tc>
          <w:tcPr>
            <w:tcW w:w="0" w:type="dxa"/>
            <w:vAlign w:val="bottom"/>
          </w:tcPr>
          <w:p>
            <w:pPr>
              <w:spacing w:after="0"/>
              <w:rPr>
                <w:sz w:val="1"/>
                <w:szCs w:val="1"/>
                <w:color w:val="auto"/>
              </w:rPr>
            </w:pPr>
          </w:p>
        </w:tc>
      </w:tr>
      <w:tr>
        <w:trPr>
          <w:trHeight w:val="47"/>
        </w:trPr>
        <w:tc>
          <w:tcPr>
            <w:tcW w:w="40" w:type="dxa"/>
            <w:vAlign w:val="bottom"/>
            <w:tcBorders>
              <w:left w:val="single" w:sz="8" w:color="BECE33"/>
            </w:tcBorders>
            <w:vMerge w:val="restart"/>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20" w:type="dxa"/>
            <w:vAlign w:val="bottom"/>
            <w:vMerge w:val="restart"/>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80" w:type="dxa"/>
            <w:vAlign w:val="bottom"/>
            <w:vMerge w:val="restart"/>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0" w:type="dxa"/>
            <w:vAlign w:val="bottom"/>
            <w:tcBorders>
              <w:left w:val="single" w:sz="8" w:color="BECE33"/>
            </w:tcBorders>
            <w:vMerge w:val="continue"/>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2"/>
                <w:szCs w:val="12"/>
                <w:b w:val="1"/>
                <w:bCs w:val="1"/>
                <w:color w:val="005A64"/>
              </w:rPr>
              <w:t>13.9</w:t>
            </w:r>
          </w:p>
        </w:tc>
        <w:tc>
          <w:tcPr>
            <w:tcW w:w="60" w:type="dxa"/>
            <w:vAlign w:val="bottom"/>
            <w:tcBorders>
              <w:right w:val="single" w:sz="8" w:color="BECE33"/>
            </w:tcBorders>
          </w:tcPr>
          <w:p>
            <w:pPr>
              <w:spacing w:after="0"/>
              <w:rPr>
                <w:sz w:val="13"/>
                <w:szCs w:val="13"/>
                <w:color w:val="auto"/>
              </w:rPr>
            </w:pPr>
          </w:p>
        </w:tc>
        <w:tc>
          <w:tcPr>
            <w:tcW w:w="20" w:type="dxa"/>
            <w:vAlign w:val="bottom"/>
            <w:vMerge w:val="continue"/>
          </w:tcPr>
          <w:p>
            <w:pPr>
              <w:spacing w:after="0"/>
              <w:rPr>
                <w:sz w:val="13"/>
                <w:szCs w:val="13"/>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005A64"/>
              </w:rPr>
              <w:t>8.9</w:t>
            </w:r>
          </w:p>
        </w:tc>
        <w:tc>
          <w:tcPr>
            <w:tcW w:w="80" w:type="dxa"/>
            <w:vAlign w:val="bottom"/>
            <w:vMerge w:val="continue"/>
          </w:tcPr>
          <w:p>
            <w:pPr>
              <w:spacing w:after="0"/>
              <w:rPr>
                <w:sz w:val="13"/>
                <w:szCs w:val="13"/>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005A64"/>
              </w:rPr>
              <w:t>15.5</w:t>
            </w:r>
          </w:p>
        </w:tc>
        <w:tc>
          <w:tcPr>
            <w:tcW w:w="0" w:type="dxa"/>
            <w:vAlign w:val="bottom"/>
          </w:tcPr>
          <w:p>
            <w:pPr>
              <w:spacing w:after="0"/>
              <w:rPr>
                <w:sz w:val="1"/>
                <w:szCs w:val="1"/>
                <w:color w:val="auto"/>
              </w:rPr>
            </w:pPr>
          </w:p>
        </w:tc>
      </w:tr>
      <w:tr>
        <w:trPr>
          <w:trHeight w:val="26"/>
        </w:trPr>
        <w:tc>
          <w:tcPr>
            <w:tcW w:w="40" w:type="dxa"/>
            <w:vAlign w:val="bottom"/>
            <w:tcBorders>
              <w:left w:val="single" w:sz="8" w:color="BECE33"/>
              <w:bottom w:val="single" w:sz="8" w:color="BECE33"/>
            </w:tcBorders>
          </w:tcPr>
          <w:p>
            <w:pPr>
              <w:spacing w:after="0"/>
              <w:rPr>
                <w:sz w:val="2"/>
                <w:szCs w:val="2"/>
                <w:color w:val="auto"/>
              </w:rPr>
            </w:pPr>
          </w:p>
        </w:tc>
        <w:tc>
          <w:tcPr>
            <w:tcW w:w="960" w:type="dxa"/>
            <w:vAlign w:val="bottom"/>
            <w:tcBorders>
              <w:bottom w:val="single" w:sz="8" w:color="BECE33"/>
            </w:tcBorders>
          </w:tcPr>
          <w:p>
            <w:pPr>
              <w:spacing w:after="0"/>
              <w:rPr>
                <w:sz w:val="2"/>
                <w:szCs w:val="2"/>
                <w:color w:val="auto"/>
              </w:rPr>
            </w:pPr>
          </w:p>
        </w:tc>
        <w:tc>
          <w:tcPr>
            <w:tcW w:w="60" w:type="dxa"/>
            <w:vAlign w:val="bottom"/>
            <w:tcBorders>
              <w:bottom w:val="single" w:sz="8" w:color="BECE33"/>
              <w:right w:val="single" w:sz="8" w:color="BECE33"/>
            </w:tcBorders>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sectPr>
          <w:pgSz w:w="11900" w:h="16840" w:orient="portrait"/>
          <w:cols w:equalWidth="0" w:num="2">
            <w:col w:w="3320" w:space="700"/>
            <w:col w:w="5000"/>
          </w:cols>
          <w:pgMar w:left="1440" w:top="645" w:right="1440" w:bottom="745" w:gutter="0" w:footer="0" w:header="0"/>
        </w:sectPr>
      </w:pPr>
    </w:p>
    <w:p>
      <w:pPr>
        <w:ind w:left="380" w:right="2180" w:firstLine="3"/>
        <w:spacing w:after="0" w:line="213" w:lineRule="auto"/>
        <w:tabs>
          <w:tab w:leader="none" w:pos="582" w:val="left"/>
        </w:tabs>
        <w:numPr>
          <w:ilvl w:val="0"/>
          <w:numId w:val="63"/>
        </w:numPr>
        <w:rPr>
          <w:rFonts w:ascii="Arial" w:cs="Arial" w:eastAsia="Arial" w:hAnsi="Arial"/>
          <w:sz w:val="16"/>
          <w:szCs w:val="16"/>
          <w:color w:val="005A64"/>
          <w:vertAlign w:val="superscript"/>
        </w:rPr>
      </w:pPr>
      <w:r>
        <w:rPr>
          <w:rFonts w:ascii="Arial" w:cs="Arial" w:eastAsia="Arial" w:hAnsi="Arial"/>
          <w:sz w:val="12"/>
          <w:szCs w:val="12"/>
          <w:color w:val="005A64"/>
        </w:rPr>
        <w:t>During the year ended December 31, 2024, Sean Marett retired from the Management Board with effect as of July 1, 2024. Therefore, his compensation until his departure date is presented on a pro-rata basis in this table. The following compensation pursuant to his separation agreement subsequent to his departure date and thus as former Management Board member are not included in this table: a severance payment of €275,000, an additional payment of €39,000 in respect of the 2024 STI, a grant of 5,760 phantom options in respect of the 2024 LTI and a payment of €477,030 in relation to his 12-months consultancy agreement.</w:t>
      </w:r>
    </w:p>
    <w:p>
      <w:pPr>
        <w:spacing w:after="0" w:line="12" w:lineRule="exact"/>
        <w:rPr>
          <w:rFonts w:ascii="Arial" w:cs="Arial" w:eastAsia="Arial" w:hAnsi="Arial"/>
          <w:sz w:val="16"/>
          <w:szCs w:val="16"/>
          <w:color w:val="005A64"/>
          <w:vertAlign w:val="superscript"/>
        </w:rPr>
      </w:pPr>
    </w:p>
    <w:p>
      <w:pPr>
        <w:ind w:left="380" w:right="2100" w:firstLine="3"/>
        <w:spacing w:after="0" w:line="210" w:lineRule="auto"/>
        <w:tabs>
          <w:tab w:leader="none" w:pos="582" w:val="left"/>
        </w:tabs>
        <w:numPr>
          <w:ilvl w:val="0"/>
          <w:numId w:val="63"/>
        </w:numPr>
        <w:rPr>
          <w:rFonts w:ascii="Arial" w:cs="Arial" w:eastAsia="Arial" w:hAnsi="Arial"/>
          <w:sz w:val="16"/>
          <w:szCs w:val="16"/>
          <w:color w:val="005A64"/>
          <w:vertAlign w:val="superscript"/>
        </w:rPr>
      </w:pPr>
      <w:r>
        <w:rPr>
          <w:rFonts w:ascii="Arial" w:cs="Arial" w:eastAsia="Arial" w:hAnsi="Arial"/>
          <w:sz w:val="12"/>
          <w:szCs w:val="12"/>
          <w:color w:val="005A64"/>
        </w:rPr>
        <w:t>The fair value of the second installment of the short-term incentive compensation which has been classified as a cash-settled share-based payment arrangement was determined pursuant to the regulations of IFRS 2 “Share-based Payments”. This table shows the pro-rata share of personnel expenses for the respective financial year, which are recognized over the award’s vesting period beginning as of the service commencement date (date when entering or renewing service agreements) until each separate determination date and are remeasured until settlement date.</w:t>
      </w:r>
    </w:p>
    <w:p>
      <w:pPr>
        <w:spacing w:after="0" w:line="13" w:lineRule="exact"/>
        <w:rPr>
          <w:rFonts w:ascii="Arial" w:cs="Arial" w:eastAsia="Arial" w:hAnsi="Arial"/>
          <w:sz w:val="16"/>
          <w:szCs w:val="16"/>
          <w:color w:val="005A64"/>
          <w:vertAlign w:val="superscript"/>
        </w:rPr>
      </w:pPr>
    </w:p>
    <w:p>
      <w:pPr>
        <w:ind w:left="380" w:right="2140" w:firstLine="3"/>
        <w:spacing w:after="0" w:line="210" w:lineRule="auto"/>
        <w:tabs>
          <w:tab w:leader="none" w:pos="582" w:val="left"/>
        </w:tabs>
        <w:numPr>
          <w:ilvl w:val="0"/>
          <w:numId w:val="63"/>
        </w:numPr>
        <w:rPr>
          <w:rFonts w:ascii="Arial" w:cs="Arial" w:eastAsia="Arial" w:hAnsi="Arial"/>
          <w:sz w:val="16"/>
          <w:szCs w:val="16"/>
          <w:color w:val="005A64"/>
          <w:vertAlign w:val="superscript"/>
        </w:rPr>
      </w:pPr>
      <w:r>
        <w:rPr>
          <w:rFonts w:ascii="Arial" w:cs="Arial" w:eastAsia="Arial" w:hAnsi="Arial"/>
          <w:sz w:val="12"/>
          <w:szCs w:val="12"/>
          <w:color w:val="005A64"/>
        </w:rPr>
        <w:t>Represents for the financial year 2024 the cash payment related to the one-time signing bonus granted to Annemarie Hanekamp as part of her appointment to the Management Board, designed to compensate her for lower bonus payments that she would receive as part of her compensation package with BioNTech and to recognize and appreciate her move to BioNTech. For 2023, the amount represents the one-time signing cash payment related to James Ryan’s appointment to the Management Board to provided compensation in lieu of participation in the LTI 2023 program and the one-time special cash payment related to Jens Holstein to honor his contribution to BioNTech’s extraordinary financial performance. For 2022, the amount includes a one-time signing and retention cash payment agreed when renewing the service agreement agreed with Sean Marett in 2022.</w:t>
      </w:r>
    </w:p>
    <w:p>
      <w:pPr>
        <w:spacing w:after="0" w:line="14" w:lineRule="exact"/>
        <w:rPr>
          <w:rFonts w:ascii="Arial" w:cs="Arial" w:eastAsia="Arial" w:hAnsi="Arial"/>
          <w:sz w:val="16"/>
          <w:szCs w:val="16"/>
          <w:color w:val="005A64"/>
          <w:vertAlign w:val="superscript"/>
        </w:rPr>
      </w:pPr>
    </w:p>
    <w:p>
      <w:pPr>
        <w:ind w:left="380" w:right="2220" w:firstLine="3"/>
        <w:spacing w:after="0" w:line="203" w:lineRule="auto"/>
        <w:tabs>
          <w:tab w:leader="none" w:pos="582" w:val="left"/>
        </w:tabs>
        <w:numPr>
          <w:ilvl w:val="0"/>
          <w:numId w:val="63"/>
        </w:numPr>
        <w:rPr>
          <w:rFonts w:ascii="Arial" w:cs="Arial" w:eastAsia="Arial" w:hAnsi="Arial"/>
          <w:sz w:val="16"/>
          <w:szCs w:val="16"/>
          <w:color w:val="005A64"/>
          <w:vertAlign w:val="superscript"/>
        </w:rPr>
      </w:pPr>
      <w:r>
        <w:rPr>
          <w:rFonts w:ascii="Arial" w:cs="Arial" w:eastAsia="Arial" w:hAnsi="Arial"/>
          <w:sz w:val="12"/>
          <w:szCs w:val="12"/>
          <w:color w:val="005A64"/>
        </w:rPr>
        <w:t>The fair value of the share-based payments was determined pursuant to the regulations of IFRS 2 “Stock-based Payments”. This table shows the pro-rata share of personnel expenses resulting from stock-based compensation for the respective financial year. During the years ended December 31, 2024, 2023 and 2022, the amounts included expenses derived from a one-time signing bonus granted to Jens Holstein as of his appointment to the Management Board in the form of 4,246 phantom shares as well as expenses derived from the one-time signing bonus granted to Annemarie Hanekamp as of her appointment to the Management Board in the form of shares in the amount of €500,000.</w:t>
      </w:r>
    </w:p>
    <w:p>
      <w:pPr>
        <w:spacing w:after="0" w:line="1" w:lineRule="exact"/>
        <w:rPr>
          <w:rFonts w:ascii="Arial" w:cs="Arial" w:eastAsia="Arial" w:hAnsi="Arial"/>
          <w:sz w:val="16"/>
          <w:szCs w:val="16"/>
          <w:color w:val="005A64"/>
          <w:vertAlign w:val="superscript"/>
        </w:rPr>
      </w:pPr>
    </w:p>
    <w:p>
      <w:pPr>
        <w:ind w:left="380" w:right="2140"/>
        <w:spacing w:after="0" w:line="216" w:lineRule="auto"/>
        <w:rPr>
          <w:rFonts w:ascii="Arial" w:cs="Arial" w:eastAsia="Arial" w:hAnsi="Arial"/>
          <w:sz w:val="16"/>
          <w:szCs w:val="16"/>
          <w:color w:val="005A64"/>
          <w:vertAlign w:val="superscript"/>
        </w:rPr>
      </w:pPr>
      <w:r>
        <w:rPr>
          <w:rFonts w:ascii="Arial" w:cs="Arial" w:eastAsia="Arial" w:hAnsi="Arial"/>
          <w:sz w:val="13"/>
          <w:szCs w:val="13"/>
          <w:color w:val="auto"/>
        </w:rPr>
        <w:t>The amounts disclosed in the table are the amounts recognized as an expense during the period. Management Board members participated in our ESOP program (see Note 16). Out of the 5,152,410 option rights granted to our Management Board under the ESOP 2018 program, 4,921,630 options were exercised during the year ended December 31, 2022. The remaining 230,780 option rights were exercised by Sean Marett in May 2023. During the year ended December 31, 2024, our CEO Prof. Ugur Sahin, M.D., exercised all 4,374,963 options granted under the CEO Grant 2019 and Members of the Management Board, who participated in the LTI 2020 Board Program, exercised 209,128 options in August 2024 while 38,968 options are outstanding as of December 31, 2024 (see Note 16). For further information regarding outstanding options for each Management Board member from LTI 2021-2024 Board Programs, see Note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F-77</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ind w:left="112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005A64"/>
        </w:rPr>
        <w:t>21.3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5231130" cy="63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02">
                      <a:extLst>
                        <a:ext uri="{28A0092B-C50C-407E-A947-70E740481C1C}"/>
                      </a:extLst>
                    </a:blip>
                    <a:srcRect/>
                    <a:stretch>
                      <a:fillRect/>
                    </a:stretch>
                  </pic:blipFill>
                  <pic:spPr bwMode="auto">
                    <a:xfrm>
                      <a:off x="0" y="0"/>
                      <a:ext cx="5231130" cy="6350"/>
                    </a:xfrm>
                    <a:prstGeom prst="rect">
                      <a:avLst/>
                    </a:prstGeom>
                    <a:noFill/>
                  </pic:spPr>
                </pic:pic>
              </a:graphicData>
            </a:graphic>
          </wp:anchor>
        </w:drawing>
      </w:r>
    </w:p>
    <w:p>
      <w:pPr>
        <w:ind w:left="380" w:right="2540"/>
        <w:spacing w:after="0" w:line="234" w:lineRule="auto"/>
        <w:rPr>
          <w:sz w:val="20"/>
          <w:szCs w:val="20"/>
          <w:color w:val="auto"/>
        </w:rPr>
      </w:pPr>
      <w:r>
        <w:rPr>
          <w:rFonts w:ascii="Arial" w:cs="Arial" w:eastAsia="Arial" w:hAnsi="Arial"/>
          <w:sz w:val="13"/>
          <w:szCs w:val="13"/>
          <w:color w:val="auto"/>
        </w:rPr>
        <w:t>The total amount of transactions with ATHOS KG or entities controlled by it was as follows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-12700</wp:posOffset>
            </wp:positionV>
            <wp:extent cx="4293870" cy="127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03">
                      <a:extLst>
                        <a:ext uri="{28A0092B-C50C-407E-A947-70E740481C1C}"/>
                      </a:extLst>
                    </a:blip>
                    <a:srcRect/>
                    <a:stretch>
                      <a:fillRect/>
                    </a:stretch>
                  </pic:blipFill>
                  <pic:spPr bwMode="auto">
                    <a:xfrm>
                      <a:off x="0" y="0"/>
                      <a:ext cx="4293870" cy="12700"/>
                    </a:xfrm>
                    <a:prstGeom prst="rect">
                      <a:avLst/>
                    </a:prstGeom>
                    <a:noFill/>
                  </pic:spPr>
                </pic:pic>
              </a:graphicData>
            </a:graphic>
          </wp:anchor>
        </w:drawing>
      </w:r>
    </w:p>
    <w:p>
      <w:pPr>
        <w:spacing w:after="0" w:line="23"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005A64"/>
              </w:rPr>
              <w:t>Years ended</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005A64"/>
              </w:rPr>
              <w:t>December 31,</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640" w:type="dxa"/>
            <w:vAlign w:val="bottom"/>
            <w:gridSpan w:val="2"/>
            <w:vMerge w:val="restart"/>
          </w:tcPr>
          <w:p>
            <w:pPr>
              <w:ind w:left="20"/>
              <w:spacing w:after="0"/>
              <w:rPr>
                <w:sz w:val="20"/>
                <w:szCs w:val="20"/>
                <w:color w:val="auto"/>
              </w:rPr>
            </w:pPr>
            <w:r>
              <w:rPr>
                <w:rFonts w:ascii="Arial" w:cs="Arial" w:eastAsia="Arial" w:hAnsi="Arial"/>
                <w:sz w:val="12"/>
                <w:szCs w:val="12"/>
                <w:i w:val="1"/>
                <w:iCs w:val="1"/>
                <w:color w:val="005A64"/>
              </w:rPr>
              <w:t>(in millions €)</w:t>
            </w:r>
          </w:p>
        </w:tc>
        <w:tc>
          <w:tcPr>
            <w:tcW w:w="20" w:type="dxa"/>
            <w:vAlign w:val="bottom"/>
            <w:tcBorders>
              <w:bottom w:val="single" w:sz="8" w:color="BECE33"/>
            </w:tcBorders>
          </w:tcPr>
          <w:p>
            <w:pPr>
              <w:spacing w:after="0"/>
              <w:rPr>
                <w:sz w:val="11"/>
                <w:szCs w:val="11"/>
                <w:color w:val="auto"/>
              </w:rPr>
            </w:pPr>
          </w:p>
        </w:tc>
        <w:tc>
          <w:tcPr>
            <w:tcW w:w="980" w:type="dxa"/>
            <w:vAlign w:val="bottom"/>
            <w:tcBorders>
              <w:bottom w:val="single" w:sz="8" w:color="BECE33"/>
            </w:tcBorders>
          </w:tcPr>
          <w:p>
            <w:pPr>
              <w:spacing w:after="0"/>
              <w:rPr>
                <w:sz w:val="11"/>
                <w:szCs w:val="11"/>
                <w:color w:val="auto"/>
              </w:rPr>
            </w:pPr>
          </w:p>
        </w:tc>
        <w:tc>
          <w:tcPr>
            <w:tcW w:w="60" w:type="dxa"/>
            <w:vAlign w:val="bottom"/>
            <w:tcBorders>
              <w:bottom w:val="single" w:sz="8" w:color="BECE33"/>
            </w:tcBorders>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005A64"/>
              </w:rPr>
              <w:t>2023</w:t>
            </w:r>
          </w:p>
        </w:tc>
        <w:tc>
          <w:tcPr>
            <w:tcW w:w="10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005A64"/>
              </w:rPr>
              <w:t>2022</w:t>
            </w:r>
          </w:p>
        </w:tc>
        <w:tc>
          <w:tcPr>
            <w:tcW w:w="0" w:type="dxa"/>
            <w:vAlign w:val="bottom"/>
          </w:tcPr>
          <w:p>
            <w:pPr>
              <w:spacing w:after="0"/>
              <w:rPr>
                <w:sz w:val="1"/>
                <w:szCs w:val="1"/>
                <w:color w:val="auto"/>
              </w:rPr>
            </w:pPr>
          </w:p>
        </w:tc>
      </w:tr>
      <w:tr>
        <w:trPr>
          <w:trHeight w:val="156"/>
        </w:trPr>
        <w:tc>
          <w:tcPr>
            <w:tcW w:w="3640" w:type="dxa"/>
            <w:vAlign w:val="bottom"/>
            <w:gridSpan w:val="2"/>
            <w:vMerge w:val="continue"/>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2024</w:t>
            </w:r>
          </w:p>
        </w:tc>
        <w:tc>
          <w:tcPr>
            <w:tcW w:w="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620" w:type="dxa"/>
            <w:vAlign w:val="bottom"/>
            <w:tcBorders>
              <w:bottom w:val="single" w:sz="8" w:color="005A64"/>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80" w:type="dxa"/>
            <w:vAlign w:val="bottom"/>
            <w:vMerge w:val="restart"/>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3620" w:type="dxa"/>
            <w:vAlign w:val="bottom"/>
          </w:tcPr>
          <w:p>
            <w:pPr>
              <w:ind w:left="20"/>
              <w:spacing w:after="0" w:line="102" w:lineRule="exact"/>
              <w:rPr>
                <w:sz w:val="20"/>
                <w:szCs w:val="20"/>
                <w:color w:val="auto"/>
              </w:rPr>
            </w:pPr>
            <w:r>
              <w:rPr>
                <w:rFonts w:ascii="Arial" w:cs="Arial" w:eastAsia="Arial" w:hAnsi="Arial"/>
                <w:sz w:val="11"/>
                <w:szCs w:val="11"/>
                <w:color w:val="005A64"/>
              </w:rPr>
              <w:t>Purchases of various goods and services from entities controlled</w:t>
            </w:r>
          </w:p>
        </w:tc>
        <w:tc>
          <w:tcPr>
            <w:tcW w:w="2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980" w:type="dxa"/>
            <w:vAlign w:val="bottom"/>
          </w:tcPr>
          <w:p>
            <w:pPr>
              <w:ind w:left="20"/>
              <w:spacing w:after="0" w:line="102" w:lineRule="exact"/>
              <w:rPr>
                <w:sz w:val="20"/>
                <w:szCs w:val="20"/>
                <w:color w:val="auto"/>
              </w:rPr>
            </w:pPr>
            <w:r>
              <w:rPr>
                <w:rFonts w:ascii="Arial" w:cs="Arial" w:eastAsia="Arial" w:hAnsi="Arial"/>
                <w:sz w:val="11"/>
                <w:szCs w:val="11"/>
                <w:color w:val="005A64"/>
              </w:rPr>
              <w:t>0.2</w:t>
            </w:r>
          </w:p>
        </w:tc>
        <w:tc>
          <w:tcPr>
            <w:tcW w:w="6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980" w:type="dxa"/>
            <w:vAlign w:val="bottom"/>
          </w:tcPr>
          <w:p>
            <w:pPr>
              <w:ind w:left="20"/>
              <w:spacing w:after="0" w:line="102" w:lineRule="exact"/>
              <w:rPr>
                <w:sz w:val="20"/>
                <w:szCs w:val="20"/>
                <w:color w:val="auto"/>
              </w:rPr>
            </w:pPr>
            <w:r>
              <w:rPr>
                <w:rFonts w:ascii="Arial" w:cs="Arial" w:eastAsia="Arial" w:hAnsi="Arial"/>
                <w:sz w:val="11"/>
                <w:szCs w:val="11"/>
                <w:color w:val="005A64"/>
              </w:rPr>
              <w:t>0.3</w:t>
            </w:r>
          </w:p>
        </w:tc>
        <w:tc>
          <w:tcPr>
            <w:tcW w:w="80" w:type="dxa"/>
            <w:vAlign w:val="bottom"/>
            <w:vMerge w:val="continue"/>
          </w:tcPr>
          <w:p>
            <w:pPr>
              <w:spacing w:after="0"/>
              <w:rPr>
                <w:sz w:val="8"/>
                <w:szCs w:val="8"/>
                <w:color w:val="auto"/>
              </w:rPr>
            </w:pPr>
          </w:p>
        </w:tc>
        <w:tc>
          <w:tcPr>
            <w:tcW w:w="980" w:type="dxa"/>
            <w:vAlign w:val="bottom"/>
          </w:tcPr>
          <w:p>
            <w:pPr>
              <w:ind w:left="20"/>
              <w:spacing w:after="0" w:line="102" w:lineRule="exact"/>
              <w:rPr>
                <w:sz w:val="20"/>
                <w:szCs w:val="20"/>
                <w:color w:val="auto"/>
              </w:rPr>
            </w:pPr>
            <w:r>
              <w:rPr>
                <w:rFonts w:ascii="Arial" w:cs="Arial" w:eastAsia="Arial" w:hAnsi="Arial"/>
                <w:sz w:val="11"/>
                <w:szCs w:val="11"/>
                <w:color w:val="005A64"/>
              </w:rPr>
              <w:t>0.3</w:t>
            </w:r>
          </w:p>
        </w:tc>
        <w:tc>
          <w:tcPr>
            <w:tcW w:w="0" w:type="dxa"/>
            <w:vAlign w:val="bottom"/>
          </w:tcPr>
          <w:p>
            <w:pPr>
              <w:spacing w:after="0"/>
              <w:rPr>
                <w:sz w:val="1"/>
                <w:szCs w:val="1"/>
                <w:color w:val="auto"/>
              </w:rPr>
            </w:pPr>
          </w:p>
        </w:tc>
      </w:tr>
      <w:tr>
        <w:trPr>
          <w:trHeight w:val="160"/>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by ATHOS KG</w:t>
            </w: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Purchases of property and other assets from entities controlled</w:t>
            </w:r>
          </w:p>
        </w:tc>
        <w:tc>
          <w:tcPr>
            <w:tcW w:w="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color w:val="005A64"/>
              </w:rPr>
              <w:t>—</w:t>
            </w:r>
          </w:p>
        </w:tc>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005A64"/>
              </w:rPr>
              <w:t>—</w:t>
            </w:r>
          </w:p>
        </w:tc>
        <w:tc>
          <w:tcPr>
            <w:tcW w:w="1060" w:type="dxa"/>
            <w:vAlign w:val="bottom"/>
            <w:gridSpan w:val="2"/>
          </w:tcPr>
          <w:p>
            <w:pPr>
              <w:ind w:left="100"/>
              <w:spacing w:after="0"/>
              <w:rPr>
                <w:sz w:val="20"/>
                <w:szCs w:val="20"/>
                <w:color w:val="auto"/>
              </w:rPr>
            </w:pPr>
            <w:r>
              <w:rPr>
                <w:rFonts w:ascii="Arial" w:cs="Arial" w:eastAsia="Arial" w:hAnsi="Arial"/>
                <w:sz w:val="12"/>
                <w:szCs w:val="12"/>
                <w:color w:val="005A64"/>
              </w:rPr>
              <w:t>62.5</w:t>
            </w:r>
          </w:p>
        </w:tc>
        <w:tc>
          <w:tcPr>
            <w:tcW w:w="0" w:type="dxa"/>
            <w:vAlign w:val="bottom"/>
          </w:tcPr>
          <w:p>
            <w:pPr>
              <w:spacing w:after="0"/>
              <w:rPr>
                <w:sz w:val="1"/>
                <w:szCs w:val="1"/>
                <w:color w:val="auto"/>
              </w:rPr>
            </w:pPr>
          </w:p>
        </w:tc>
      </w:tr>
      <w:tr>
        <w:trPr>
          <w:trHeight w:val="160"/>
        </w:trPr>
        <w:tc>
          <w:tcPr>
            <w:tcW w:w="3640" w:type="dxa"/>
            <w:vAlign w:val="bottom"/>
            <w:gridSpan w:val="2"/>
          </w:tcPr>
          <w:p>
            <w:pPr>
              <w:ind w:left="20"/>
              <w:spacing w:after="0"/>
              <w:rPr>
                <w:sz w:val="20"/>
                <w:szCs w:val="20"/>
                <w:color w:val="auto"/>
              </w:rPr>
            </w:pPr>
            <w:r>
              <w:rPr>
                <w:rFonts w:ascii="Arial" w:cs="Arial" w:eastAsia="Arial" w:hAnsi="Arial"/>
                <w:sz w:val="12"/>
                <w:szCs w:val="12"/>
                <w:color w:val="005A64"/>
              </w:rPr>
              <w:t>by ATHOS KG</w:t>
            </w: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64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0.2</w:t>
            </w:r>
          </w:p>
        </w:tc>
        <w:tc>
          <w:tcPr>
            <w:tcW w:w="6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005A64"/>
              </w:rPr>
              <w:t>0.3</w:t>
            </w: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005A64"/>
              </w:rPr>
              <w:t>62.8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2547620</wp:posOffset>
            </wp:positionH>
            <wp:positionV relativeFrom="paragraph">
              <wp:posOffset>-649605</wp:posOffset>
            </wp:positionV>
            <wp:extent cx="673735" cy="68707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04">
                      <a:extLst>
                        <a:ext uri="{28A0092B-C50C-407E-A947-70E740481C1C}"/>
                      </a:extLst>
                    </a:blip>
                    <a:srcRect/>
                    <a:stretch>
                      <a:fillRect/>
                    </a:stretch>
                  </pic:blipFill>
                  <pic:spPr bwMode="auto">
                    <a:xfrm>
                      <a:off x="0" y="0"/>
                      <a:ext cx="673735" cy="687070"/>
                    </a:xfrm>
                    <a:prstGeom prst="rect">
                      <a:avLst/>
                    </a:prstGeom>
                    <a:noFill/>
                  </pic:spPr>
                </pic:pic>
              </a:graphicData>
            </a:graphic>
          </wp:anchor>
        </w:drawing>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amounts disclosed in the table are the amounts recognized as an expense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-84455</wp:posOffset>
            </wp:positionV>
            <wp:extent cx="4293870" cy="63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05">
                      <a:extLst>
                        <a:ext uri="{28A0092B-C50C-407E-A947-70E740481C1C}"/>
                      </a:extLst>
                    </a:blip>
                    <a:srcRect/>
                    <a:stretch>
                      <a:fillRect/>
                    </a:stretch>
                  </pic:blipFill>
                  <pic:spPr bwMode="auto">
                    <a:xfrm>
                      <a:off x="0" y="0"/>
                      <a:ext cx="4293870" cy="6350"/>
                    </a:xfrm>
                    <a:prstGeom prst="rect">
                      <a:avLst/>
                    </a:prstGeom>
                    <a:noFill/>
                  </pic:spPr>
                </pic:pic>
              </a:graphicData>
            </a:graphic>
          </wp:anchor>
        </w:drawing>
      </w:r>
    </w:p>
    <w:p>
      <w:pPr>
        <w:ind w:left="380" w:right="2080"/>
        <w:spacing w:after="0" w:line="218" w:lineRule="auto"/>
        <w:rPr>
          <w:sz w:val="20"/>
          <w:szCs w:val="20"/>
          <w:color w:val="auto"/>
        </w:rPr>
      </w:pPr>
      <w:r>
        <w:rPr>
          <w:rFonts w:ascii="Arial" w:cs="Arial" w:eastAsia="Arial" w:hAnsi="Arial"/>
          <w:sz w:val="13"/>
          <w:szCs w:val="13"/>
          <w:color w:val="auto"/>
        </w:rPr>
        <w:t>On December 22, 2022, we entered into a purchase agreement with Santo Service GmbH, pursuant to which we acquired the real estate property An der Goldgrube 12 and the existing laboratory and office building including any movable assets for a total consideration of €62.5 million. The purchase price was paid during the year ended December 31, 2022. Santo Service GmbH is wholly owned by AT Impf GmbH, that is controlled by ATHOS KG. The outstanding balances of transactions with ATHOS KG or entities controlled by them were as follows as of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2875280</wp:posOffset>
            </wp:positionH>
            <wp:positionV relativeFrom="paragraph">
              <wp:posOffset>123190</wp:posOffset>
            </wp:positionV>
            <wp:extent cx="828040" cy="39179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06">
                      <a:extLst>
                        <a:ext uri="{28A0092B-C50C-407E-A947-70E740481C1C}"/>
                      </a:extLst>
                    </a:blip>
                    <a:srcRect/>
                    <a:stretch>
                      <a:fillRect/>
                    </a:stretch>
                  </pic:blipFill>
                  <pic:spPr bwMode="auto">
                    <a:xfrm>
                      <a:off x="0" y="0"/>
                      <a:ext cx="828040" cy="391795"/>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-11430</wp:posOffset>
            </wp:positionV>
            <wp:extent cx="4262120" cy="127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07">
                      <a:extLst>
                        <a:ext uri="{28A0092B-C50C-407E-A947-70E740481C1C}"/>
                      </a:extLst>
                    </a:blip>
                    <a:srcRect/>
                    <a:stretch>
                      <a:fillRect/>
                    </a:stretch>
                  </pic:blipFill>
                  <pic:spPr bwMode="auto">
                    <a:xfrm>
                      <a:off x="0" y="0"/>
                      <a:ext cx="4262120" cy="12700"/>
                    </a:xfrm>
                    <a:prstGeom prst="rect">
                      <a:avLst/>
                    </a:prstGeom>
                    <a:noFill/>
                  </pic:spPr>
                </pic:pic>
              </a:graphicData>
            </a:graphic>
          </wp:anchor>
        </w:drawing>
      </w:r>
    </w:p>
    <w:p>
      <w:pPr>
        <w:spacing w:after="0" w:line="154"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4140" w:type="dxa"/>
            <w:vAlign w:val="bottom"/>
            <w:gridSpan w:val="2"/>
          </w:tcPr>
          <w:p>
            <w:pPr>
              <w:ind w:left="20"/>
              <w:spacing w:after="0"/>
              <w:rPr>
                <w:sz w:val="20"/>
                <w:szCs w:val="20"/>
                <w:color w:val="auto"/>
              </w:rPr>
            </w:pPr>
            <w:r>
              <w:rPr>
                <w:rFonts w:ascii="Arial" w:cs="Arial" w:eastAsia="Arial" w:hAnsi="Arial"/>
                <w:sz w:val="12"/>
                <w:szCs w:val="12"/>
                <w:i w:val="1"/>
                <w:iCs w:val="1"/>
                <w:color w:val="005A64"/>
              </w:rPr>
              <w:t>(in millions €)</w:t>
            </w:r>
          </w:p>
        </w:tc>
        <w:tc>
          <w:tcPr>
            <w:tcW w:w="40" w:type="dxa"/>
            <w:vAlign w:val="bottom"/>
            <w:tcBorders>
              <w:top w:val="single" w:sz="8" w:color="BECE33"/>
            </w:tcBorders>
          </w:tcPr>
          <w:p>
            <w:pPr>
              <w:spacing w:after="0"/>
              <w:rPr>
                <w:sz w:val="16"/>
                <w:szCs w:val="16"/>
                <w:color w:val="auto"/>
              </w:rPr>
            </w:pPr>
          </w:p>
        </w:tc>
        <w:tc>
          <w:tcPr>
            <w:tcW w:w="1280" w:type="dxa"/>
            <w:vAlign w:val="bottom"/>
            <w:tcBorders>
              <w:top w:val="single" w:sz="8" w:color="BECE33"/>
            </w:tcBorders>
            <w:gridSpan w:val="2"/>
          </w:tcPr>
          <w:p>
            <w:pPr>
              <w:spacing w:after="0"/>
              <w:rPr>
                <w:sz w:val="20"/>
                <w:szCs w:val="20"/>
                <w:color w:val="auto"/>
              </w:rPr>
            </w:pPr>
            <w:r>
              <w:rPr>
                <w:rFonts w:ascii="Arial" w:cs="Arial" w:eastAsia="Arial" w:hAnsi="Arial"/>
                <w:sz w:val="12"/>
                <w:szCs w:val="12"/>
                <w:b w:val="1"/>
                <w:bCs w:val="1"/>
                <w:color w:val="005A64"/>
              </w:rPr>
              <w:t>December 31, 2024</w:t>
            </w:r>
          </w:p>
        </w:tc>
        <w:tc>
          <w:tcPr>
            <w:tcW w:w="2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2"/>
                <w:szCs w:val="12"/>
                <w:b w:val="1"/>
                <w:bCs w:val="1"/>
                <w:color w:val="005A64"/>
              </w:rPr>
              <w:t>December 31, 2023</w:t>
            </w:r>
          </w:p>
        </w:tc>
      </w:tr>
      <w:tr>
        <w:trPr>
          <w:trHeight w:val="160"/>
        </w:trPr>
        <w:tc>
          <w:tcPr>
            <w:tcW w:w="4120" w:type="dxa"/>
            <w:vAlign w:val="bottom"/>
            <w:tcBorders>
              <w:top w:val="single" w:sz="8" w:color="005A64"/>
            </w:tcBorders>
          </w:tcPr>
          <w:p>
            <w:pPr>
              <w:ind w:left="20"/>
              <w:spacing w:after="0"/>
              <w:rPr>
                <w:sz w:val="20"/>
                <w:szCs w:val="20"/>
                <w:color w:val="auto"/>
              </w:rPr>
            </w:pPr>
            <w:r>
              <w:rPr>
                <w:rFonts w:ascii="Arial" w:cs="Arial" w:eastAsia="Arial" w:hAnsi="Arial"/>
                <w:sz w:val="12"/>
                <w:szCs w:val="12"/>
                <w:color w:val="005A64"/>
              </w:rPr>
              <w:t>ATHOS KG</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Borders>
              <w:top w:val="single" w:sz="8" w:color="005A64"/>
            </w:tcBorders>
          </w:tcPr>
          <w:p>
            <w:pPr>
              <w:spacing w:after="0"/>
              <w:rPr>
                <w:sz w:val="20"/>
                <w:szCs w:val="20"/>
                <w:color w:val="auto"/>
              </w:rPr>
            </w:pPr>
            <w:r>
              <w:rPr>
                <w:rFonts w:ascii="Arial" w:cs="Arial" w:eastAsia="Arial" w:hAnsi="Arial"/>
                <w:sz w:val="12"/>
                <w:szCs w:val="12"/>
                <w:color w:val="005A64"/>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5A64"/>
            </w:tcBorders>
          </w:tcPr>
          <w:p>
            <w:pPr>
              <w:spacing w:after="0"/>
              <w:rPr>
                <w:sz w:val="20"/>
                <w:szCs w:val="20"/>
                <w:color w:val="auto"/>
              </w:rPr>
            </w:pPr>
            <w:r>
              <w:rPr>
                <w:rFonts w:ascii="Arial" w:cs="Arial" w:eastAsia="Arial" w:hAnsi="Arial"/>
                <w:sz w:val="12"/>
                <w:szCs w:val="12"/>
                <w:color w:val="005A64"/>
              </w:rPr>
              <w:t>0.4</w:t>
            </w:r>
          </w:p>
        </w:tc>
      </w:tr>
      <w:tr>
        <w:trPr>
          <w:trHeight w:val="187"/>
        </w:trPr>
        <w:tc>
          <w:tcPr>
            <w:tcW w:w="4140" w:type="dxa"/>
            <w:vAlign w:val="bottom"/>
            <w:gridSpan w:val="2"/>
          </w:tcPr>
          <w:p>
            <w:pPr>
              <w:ind w:left="20"/>
              <w:spacing w:after="0"/>
              <w:rPr>
                <w:sz w:val="20"/>
                <w:szCs w:val="20"/>
                <w:color w:val="auto"/>
              </w:rPr>
            </w:pPr>
            <w:r>
              <w:rPr>
                <w:rFonts w:ascii="Arial" w:cs="Arial" w:eastAsia="Arial" w:hAnsi="Arial"/>
                <w:sz w:val="12"/>
                <w:szCs w:val="12"/>
                <w:b w:val="1"/>
                <w:bCs w:val="1"/>
                <w:color w:val="005A64"/>
              </w:rPr>
              <w:t>Total</w:t>
            </w:r>
          </w:p>
        </w:tc>
        <w:tc>
          <w:tcPr>
            <w:tcW w:w="4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2"/>
                <w:szCs w:val="12"/>
                <w:b w:val="1"/>
                <w:bCs w:val="1"/>
                <w:color w:val="005A64"/>
              </w:rPr>
              <w:t>—</w:t>
            </w:r>
          </w:p>
        </w:tc>
        <w:tc>
          <w:tcPr>
            <w:tcW w:w="1260" w:type="dxa"/>
            <w:vAlign w:val="bottom"/>
            <w:gridSpan w:val="2"/>
          </w:tcPr>
          <w:p>
            <w:pPr>
              <w:ind w:left="20"/>
              <w:spacing w:after="0"/>
              <w:rPr>
                <w:sz w:val="20"/>
                <w:szCs w:val="20"/>
                <w:color w:val="auto"/>
              </w:rPr>
            </w:pPr>
            <w:r>
              <w:rPr>
                <w:rFonts w:ascii="Arial" w:cs="Arial" w:eastAsia="Arial" w:hAnsi="Arial"/>
                <w:sz w:val="12"/>
                <w:szCs w:val="12"/>
                <w:b w:val="1"/>
                <w:bCs w:val="1"/>
                <w:color w:val="005A64"/>
              </w:rPr>
              <w:t>0.4</w:t>
            </w:r>
          </w:p>
        </w:tc>
      </w:tr>
    </w:tbl>
    <w:p>
      <w:pPr>
        <w:spacing w:after="0" w:line="37" w:lineRule="exact"/>
        <w:rPr>
          <w:sz w:val="20"/>
          <w:szCs w:val="20"/>
          <w:color w:val="auto"/>
        </w:rPr>
      </w:pPr>
    </w:p>
    <w:p>
      <w:pPr>
        <w:ind w:left="380" w:right="2260"/>
        <w:spacing w:after="0" w:line="220" w:lineRule="auto"/>
        <w:rPr>
          <w:sz w:val="20"/>
          <w:szCs w:val="20"/>
          <w:color w:val="auto"/>
        </w:rPr>
      </w:pPr>
      <w:r>
        <w:rPr>
          <w:rFonts w:ascii="Arial" w:cs="Arial" w:eastAsia="Arial" w:hAnsi="Arial"/>
          <w:sz w:val="13"/>
          <w:szCs w:val="13"/>
          <w:color w:val="auto"/>
        </w:rPr>
        <w:t>None of the balances are secured and no bad debt expense has been recognized in respect of amounts owed by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-167005</wp:posOffset>
            </wp:positionV>
            <wp:extent cx="4262120" cy="635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08">
                      <a:extLst>
                        <a:ext uri="{28A0092B-C50C-407E-A947-70E740481C1C}"/>
                      </a:extLst>
                    </a:blip>
                    <a:srcRect/>
                    <a:stretch>
                      <a:fillRect/>
                    </a:stretch>
                  </pic:blipFill>
                  <pic:spPr bwMode="auto">
                    <a:xfrm>
                      <a:off x="0" y="0"/>
                      <a:ext cx="4262120" cy="6350"/>
                    </a:xfrm>
                    <a:prstGeom prst="rect">
                      <a:avLst/>
                    </a:prstGeom>
                    <a:noFill/>
                  </pic:spPr>
                </pic:pic>
              </a:graphicData>
            </a:graphic>
          </wp:anchor>
        </w:drawing>
      </w:r>
    </w:p>
    <w:p>
      <w:pPr>
        <w:ind w:left="380" w:right="2260"/>
        <w:spacing w:after="0" w:line="213" w:lineRule="auto"/>
        <w:rPr>
          <w:sz w:val="20"/>
          <w:szCs w:val="20"/>
          <w:color w:val="auto"/>
        </w:rPr>
      </w:pPr>
      <w:r>
        <w:rPr>
          <w:rFonts w:ascii="Arial" w:cs="Arial" w:eastAsia="Arial" w:hAnsi="Arial"/>
          <w:sz w:val="13"/>
          <w:szCs w:val="13"/>
          <w:color w:val="auto"/>
        </w:rPr>
        <w:t>A number of individuals in key positions can control or exercise significant influence over BioNTech SE. There were no business relationships with individuals in key positions during the year ended December 31, 2024.</w:t>
      </w:r>
    </w:p>
    <w:p>
      <w:pPr>
        <w:ind w:left="380"/>
        <w:spacing w:after="0" w:line="207" w:lineRule="auto"/>
        <w:rPr>
          <w:sz w:val="20"/>
          <w:szCs w:val="20"/>
          <w:color w:val="auto"/>
        </w:rPr>
      </w:pPr>
      <w:r>
        <w:rPr>
          <w:rFonts w:ascii="Arial" w:cs="Arial" w:eastAsia="Arial" w:hAnsi="Arial"/>
          <w:sz w:val="16"/>
          <w:szCs w:val="16"/>
          <w:b w:val="1"/>
          <w:bCs w:val="1"/>
          <w:color w:val="005A64"/>
        </w:rPr>
        <w:t>22 Events After the Reporting Period</w:t>
      </w:r>
    </w:p>
    <w:p>
      <w:pPr>
        <w:ind w:left="380"/>
        <w:spacing w:after="0" w:line="211" w:lineRule="auto"/>
        <w:rPr>
          <w:sz w:val="20"/>
          <w:szCs w:val="20"/>
          <w:color w:val="auto"/>
        </w:rPr>
      </w:pPr>
      <w:r>
        <w:rPr>
          <w:rFonts w:ascii="Arial" w:cs="Arial" w:eastAsia="Arial" w:hAnsi="Arial"/>
          <w:sz w:val="13"/>
          <w:szCs w:val="13"/>
          <w:b w:val="1"/>
          <w:bCs w:val="1"/>
          <w:color w:val="005A64"/>
        </w:rPr>
        <w:t>Business Combinations</w:t>
      </w:r>
    </w:p>
    <w:p>
      <w:pPr>
        <w:ind w:left="380"/>
        <w:spacing w:after="0" w:line="211" w:lineRule="auto"/>
        <w:rPr>
          <w:sz w:val="20"/>
          <w:szCs w:val="20"/>
          <w:color w:val="auto"/>
        </w:rPr>
      </w:pPr>
      <w:r>
        <w:rPr>
          <w:rFonts w:ascii="Arial" w:cs="Arial" w:eastAsia="Arial" w:hAnsi="Arial"/>
          <w:sz w:val="13"/>
          <w:szCs w:val="13"/>
          <w:color w:val="005A64"/>
        </w:rPr>
        <w:t>Acquisition of Biotheus</w:t>
      </w:r>
    </w:p>
    <w:p>
      <w:pPr>
        <w:ind w:left="380" w:right="2180"/>
        <w:spacing w:after="0" w:line="210" w:lineRule="auto"/>
        <w:rPr>
          <w:sz w:val="20"/>
          <w:szCs w:val="20"/>
          <w:color w:val="auto"/>
        </w:rPr>
      </w:pPr>
      <w:r>
        <w:rPr>
          <w:rFonts w:ascii="Arial" w:cs="Arial" w:eastAsia="Arial" w:hAnsi="Arial"/>
          <w:sz w:val="13"/>
          <w:szCs w:val="13"/>
          <w:color w:val="auto"/>
        </w:rPr>
        <w:t>Our subsidiary, BioNTech Collaborations GmbH, entered into an agreement and plan of merger, or the merger agreement, with Biotheus on November 13, 2024. Following the satisfaction of several customary closing conditions and regulatory approvals as provided in the merger agreement, the acquisition of Biotheus closed on January 31, 2025. For further information, please refer to the description of this acquisition in Note 5.</w:t>
      </w:r>
    </w:p>
    <w:p>
      <w:pPr>
        <w:ind w:left="380"/>
        <w:spacing w:after="0" w:line="214" w:lineRule="auto"/>
        <w:rPr>
          <w:sz w:val="20"/>
          <w:szCs w:val="20"/>
          <w:color w:val="auto"/>
        </w:rPr>
      </w:pPr>
      <w:r>
        <w:rPr>
          <w:rFonts w:ascii="Arial" w:cs="Arial" w:eastAsia="Arial" w:hAnsi="Arial"/>
          <w:sz w:val="13"/>
          <w:szCs w:val="13"/>
          <w:b w:val="1"/>
          <w:bCs w:val="1"/>
          <w:color w:val="005A64"/>
        </w:rPr>
        <w:t>Contingent Liabilities and Other Financial Commitments</w:t>
      </w:r>
    </w:p>
    <w:p>
      <w:pPr>
        <w:ind w:left="380"/>
        <w:spacing w:after="0" w:line="211" w:lineRule="auto"/>
        <w:rPr>
          <w:sz w:val="20"/>
          <w:szCs w:val="20"/>
          <w:color w:val="auto"/>
        </w:rPr>
      </w:pPr>
      <w:r>
        <w:rPr>
          <w:rFonts w:ascii="Arial" w:cs="Arial" w:eastAsia="Arial" w:hAnsi="Arial"/>
          <w:sz w:val="13"/>
          <w:szCs w:val="13"/>
          <w:color w:val="005A64"/>
        </w:rPr>
        <w:t>Promosome</w:t>
      </w:r>
    </w:p>
    <w:p>
      <w:pPr>
        <w:jc w:val="both"/>
        <w:ind w:left="380" w:right="2160"/>
        <w:spacing w:after="0" w:line="226" w:lineRule="auto"/>
        <w:rPr>
          <w:sz w:val="20"/>
          <w:szCs w:val="20"/>
          <w:color w:val="auto"/>
        </w:rPr>
      </w:pPr>
      <w:r>
        <w:rPr>
          <w:rFonts w:ascii="Arial" w:cs="Arial" w:eastAsia="Arial" w:hAnsi="Arial"/>
          <w:sz w:val="13"/>
          <w:szCs w:val="13"/>
          <w:color w:val="auto"/>
        </w:rPr>
        <w:t>In January 2025, Promosome LLC filed a lawsuit against us and Pfizer in the Unified Patent Court, or the UPC, Munich Division, alleging that Comirnaty infringes EP 2 401 365 and seeking monetary relief. This proceeding is currently pending.</w:t>
      </w:r>
    </w:p>
    <w:p>
      <w:pPr>
        <w:sectPr>
          <w:pgSz w:w="11900" w:h="16840" w:orient="portrait"/>
          <w:cols w:equalWidth="0" w:num="1">
            <w:col w:w="9020"/>
          </w:cols>
          <w:pgMar w:left="1440" w:top="645" w:right="1440" w:bottom="745" w:gutter="0" w:footer="0" w:header="0"/>
          <w:type w:val="continuous"/>
        </w:sectPr>
      </w:pPr>
    </w:p>
    <w:bookmarkStart w:id="233" w:name="page234"/>
    <w:bookmarkEnd w:id="2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F-78</w:t>
      </w:r>
    </w:p>
    <w:p>
      <w:pPr>
        <w:ind w:left="380"/>
        <w:spacing w:after="0" w:line="225" w:lineRule="auto"/>
        <w:rPr>
          <w:sz w:val="20"/>
          <w:szCs w:val="20"/>
          <w:color w:val="auto"/>
        </w:rPr>
      </w:pPr>
      <w:r>
        <w:rPr>
          <w:rFonts w:ascii="Arial" w:cs="Arial" w:eastAsia="Arial" w:hAnsi="Arial"/>
          <w:sz w:val="12"/>
          <w:szCs w:val="12"/>
          <w:b w:val="1"/>
          <w:bCs w:val="1"/>
          <w:color w:val="3C9673"/>
        </w:rPr>
        <w:t>Annual Report on Form 20-F for the year ended December 31, 2024</w:t>
      </w:r>
    </w:p>
    <w:p>
      <w:pPr>
        <w:jc w:val="center"/>
        <w:ind w:right="5940"/>
        <w:spacing w:after="0"/>
        <w:rPr>
          <w:rFonts w:ascii="Arial" w:cs="Arial" w:eastAsia="Arial" w:hAnsi="Arial"/>
          <w:sz w:val="10"/>
          <w:szCs w:val="10"/>
          <w:b w:val="1"/>
          <w:bCs w:val="1"/>
          <w:color w:val="005A64"/>
        </w:rPr>
      </w:pPr>
      <w:hyperlink w:anchor="page3">
        <w:r>
          <w:rPr>
            <w:rFonts w:ascii="Arial" w:cs="Arial" w:eastAsia="Arial" w:hAnsi="Arial"/>
            <w:sz w:val="10"/>
            <w:szCs w:val="10"/>
            <w:b w:val="1"/>
            <w:bCs w:val="1"/>
            <w:color w:val="005A64"/>
          </w:rPr>
          <w:t>Table of Contents</w:t>
        </w:r>
      </w:hyperlink>
    </w:p>
    <w:p>
      <w:pPr>
        <w:spacing w:after="0" w:line="32" w:lineRule="exact"/>
        <w:rPr>
          <w:sz w:val="20"/>
          <w:szCs w:val="20"/>
          <w:color w:val="auto"/>
        </w:rPr>
      </w:pPr>
    </w:p>
    <w:p>
      <w:pPr>
        <w:ind w:left="380"/>
        <w:spacing w:after="0"/>
        <w:rPr>
          <w:sz w:val="20"/>
          <w:szCs w:val="20"/>
          <w:color w:val="auto"/>
        </w:rPr>
      </w:pPr>
      <w:r>
        <w:rPr>
          <w:rFonts w:ascii="Arial" w:cs="Arial" w:eastAsia="Arial" w:hAnsi="Arial"/>
          <w:sz w:val="13"/>
          <w:szCs w:val="13"/>
          <w:color w:val="005A64"/>
          <w:highlight w:val="white"/>
        </w:rPr>
        <w:t>CureVac Proceedings -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-84455</wp:posOffset>
            </wp:positionV>
            <wp:extent cx="3729355" cy="63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09">
                      <a:extLst>
                        <a:ext uri="{28A0092B-C50C-407E-A947-70E740481C1C}"/>
                      </a:extLst>
                    </a:blip>
                    <a:srcRect/>
                    <a:stretch>
                      <a:fillRect/>
                    </a:stretch>
                  </pic:blipFill>
                  <pic:spPr bwMode="auto">
                    <a:xfrm>
                      <a:off x="0" y="0"/>
                      <a:ext cx="3729355" cy="6350"/>
                    </a:xfrm>
                    <a:prstGeom prst="rect">
                      <a:avLst/>
                    </a:prstGeom>
                    <a:noFill/>
                  </pic:spPr>
                </pic:pic>
              </a:graphicData>
            </a:graphic>
          </wp:anchor>
        </w:drawing>
      </w:r>
    </w:p>
    <w:p>
      <w:pPr>
        <w:ind w:left="380" w:right="2540"/>
        <w:spacing w:after="0" w:line="210" w:lineRule="auto"/>
        <w:rPr>
          <w:sz w:val="20"/>
          <w:szCs w:val="20"/>
          <w:color w:val="auto"/>
        </w:rPr>
      </w:pPr>
      <w:r>
        <w:rPr>
          <w:rFonts w:ascii="Arial" w:cs="Arial" w:eastAsia="Arial" w:hAnsi="Arial"/>
          <w:sz w:val="13"/>
          <w:szCs w:val="13"/>
          <w:color w:val="auto"/>
          <w:highlight w:val="white"/>
        </w:rPr>
        <w:t xml:space="preserve">On January 27, 2025, the UK Appeals Court denied CureVac’s application to appeal; accordingly, the UK designations of EP’668 and EP’755 are finally revoked with no further opportunity to appeal in the UK. </w:t>
      </w:r>
      <w:r>
        <w:rPr>
          <w:rFonts w:ascii="Arial" w:cs="Arial" w:eastAsia="Arial" w:hAnsi="Arial"/>
          <w:sz w:val="13"/>
          <w:szCs w:val="13"/>
          <w:color w:val="005A64"/>
          <w:highlight w:val="white"/>
        </w:rPr>
        <w:t>Moderna Proceedings - Germany</w:t>
      </w:r>
    </w:p>
    <w:p>
      <w:pPr>
        <w:spacing w:after="0" w:line="2" w:lineRule="exact"/>
        <w:rPr>
          <w:sz w:val="20"/>
          <w:szCs w:val="20"/>
          <w:color w:val="auto"/>
        </w:rPr>
      </w:pPr>
    </w:p>
    <w:p>
      <w:pPr>
        <w:ind w:left="380" w:right="2140"/>
        <w:spacing w:after="0" w:line="210" w:lineRule="auto"/>
        <w:rPr>
          <w:sz w:val="20"/>
          <w:szCs w:val="20"/>
          <w:color w:val="auto"/>
        </w:rPr>
      </w:pPr>
      <w:r>
        <w:rPr>
          <w:rFonts w:ascii="Arial" w:cs="Arial" w:eastAsia="Arial" w:hAnsi="Arial"/>
          <w:sz w:val="13"/>
          <w:szCs w:val="13"/>
          <w:color w:val="auto"/>
        </w:rPr>
        <w:t xml:space="preserve">On January 21, 2025, the Düsseldorf Regional Court held a hearing on infringement with respect to EP’949. On March 5, 2025, the Court issued a first-instance decision declining to stay the infringement proceedings and finding infringement of EP’949 by BioNTech and Pfizer. BioNTech and Pfizer intend to appeal the Düsseldorf Regional Court’s infringement decision. The court has not ruled on the invalidity of EP’949 which will be decided in a next step by the EPO in the opposition appeal proceedings. The Opposition Division of the EPO found EP’949 to be valid in 2024; BioNTech appealed this decision, and the appeal is currently pending. Should Moderna nevertheless decide to enforce the Düsseldorf Regional Court’s first instance-decision on a preliminary basis, BioNTech and Pfizer will need to provide information and render accounts on relevant acts in Germany. A determination of compensation and damages will then follow in separate proceedings. The EPO’s decision as to the invalidity of EP’949 is expected before any determination of compensation and damages will take place. </w:t>
      </w:r>
      <w:r>
        <w:rPr>
          <w:rFonts w:ascii="Arial" w:cs="Arial" w:eastAsia="Arial" w:hAnsi="Arial"/>
          <w:sz w:val="13"/>
          <w:szCs w:val="13"/>
          <w:color w:val="005A64"/>
        </w:rPr>
        <w:t>Moderna Proceedings - US</w:t>
      </w:r>
    </w:p>
    <w:p>
      <w:pPr>
        <w:spacing w:after="0" w:line="7" w:lineRule="exact"/>
        <w:rPr>
          <w:sz w:val="20"/>
          <w:szCs w:val="20"/>
          <w:color w:val="auto"/>
        </w:rPr>
      </w:pPr>
    </w:p>
    <w:p>
      <w:pPr>
        <w:ind w:left="380" w:right="2280"/>
        <w:spacing w:after="0" w:line="210" w:lineRule="auto"/>
        <w:rPr>
          <w:sz w:val="20"/>
          <w:szCs w:val="20"/>
          <w:color w:val="auto"/>
        </w:rPr>
      </w:pPr>
      <w:r>
        <w:rPr>
          <w:rFonts w:ascii="Arial" w:cs="Arial" w:eastAsia="Arial" w:hAnsi="Arial"/>
          <w:sz w:val="13"/>
          <w:szCs w:val="13"/>
          <w:color w:val="auto"/>
        </w:rPr>
        <w:t>With respect to Pfizer and our inter partes proceedings against Moderna, on March 5, 2025, the United States Patent Trial and Appeal Board found all challenged claims of Moderna's US Patent Nos. 10,933,127 and 10,702,600 to be unpatentable and thus invalid. Moderna may appeal this decision.</w:t>
      </w:r>
    </w:p>
    <w:p>
      <w:pPr>
        <w:spacing w:after="0" w:line="2" w:lineRule="exact"/>
        <w:rPr>
          <w:sz w:val="20"/>
          <w:szCs w:val="20"/>
          <w:color w:val="auto"/>
        </w:rPr>
      </w:pPr>
    </w:p>
    <w:p>
      <w:pPr>
        <w:jc w:val="both"/>
        <w:ind w:left="380" w:right="2300"/>
        <w:spacing w:after="0" w:line="210" w:lineRule="auto"/>
        <w:rPr>
          <w:sz w:val="20"/>
          <w:szCs w:val="20"/>
          <w:color w:val="auto"/>
        </w:rPr>
      </w:pPr>
      <w:r>
        <w:rPr>
          <w:rFonts w:ascii="Arial" w:cs="Arial" w:eastAsia="Arial" w:hAnsi="Arial"/>
          <w:sz w:val="13"/>
          <w:szCs w:val="13"/>
          <w:color w:val="auto"/>
        </w:rPr>
        <w:t>Our assessment stated in Note 18 remains unchanged: None of these claims fulfill the criteria for recording a provision but represent contingent liabilities. These contingent liabilities are subject to significant uncertainties and, therefore, determining the likelihood of a loss and/or the measurement of any loss can be complex.</w:t>
      </w:r>
    </w:p>
    <w:p>
      <w:pPr>
        <w:spacing w:after="0" w:line="2" w:lineRule="exact"/>
        <w:rPr>
          <w:sz w:val="20"/>
          <w:szCs w:val="20"/>
          <w:color w:val="auto"/>
        </w:rPr>
      </w:pPr>
    </w:p>
    <w:p>
      <w:pPr>
        <w:ind w:left="380" w:right="2160"/>
        <w:spacing w:after="0" w:line="210" w:lineRule="auto"/>
        <w:rPr>
          <w:sz w:val="20"/>
          <w:szCs w:val="20"/>
          <w:color w:val="auto"/>
        </w:rPr>
      </w:pPr>
      <w:r>
        <w:rPr>
          <w:rFonts w:ascii="Arial" w:cs="Arial" w:eastAsia="Arial" w:hAnsi="Arial"/>
          <w:sz w:val="13"/>
          <w:szCs w:val="13"/>
          <w:color w:val="auto"/>
        </w:rPr>
        <w:t>Consequently, we are unable to estimate the range of reasonably possible loss. Our assessments, which result from a complex series of judgments about future events and uncertainties, are based on estimates and assumptions that have been deemed reasonable by management, but that may prove to be incomplete or inaccurate, and unanticipated events and circumstances may occur that might cause us to change those estimates and assumptions. We currently do not believe that any of these matters will have a material adverse effect on our financial position, and will continue to monitor the status of these and other claims that may arise. However, we could incur judgments, enter into settlements or revise our expectations regarding the outcome of matters, which could have a material adverse effect on our results of operations and/or our cash flows in the period in which the amounts are accrued or paid. We will continue to evaluate whether, if circumstances were to change in the future, the recording of a provision may be needed and whether potential indemnification entitlements exist against any such claim.</w:t>
      </w:r>
    </w:p>
    <w:p>
      <w:pPr>
        <w:ind w:left="380"/>
        <w:spacing w:after="0" w:line="221" w:lineRule="auto"/>
        <w:rPr>
          <w:sz w:val="20"/>
          <w:szCs w:val="20"/>
          <w:color w:val="auto"/>
        </w:rPr>
      </w:pPr>
      <w:r>
        <w:rPr>
          <w:rFonts w:ascii="Arial" w:cs="Arial" w:eastAsia="Arial" w:hAnsi="Arial"/>
          <w:sz w:val="13"/>
          <w:szCs w:val="13"/>
          <w:b w:val="1"/>
          <w:bCs w:val="1"/>
          <w:color w:val="005A64"/>
        </w:rPr>
        <w:t>Jens Holstein - retirement</w:t>
      </w:r>
    </w:p>
    <w:p>
      <w:pPr>
        <w:ind w:left="380" w:right="2100"/>
        <w:spacing w:after="0" w:line="234" w:lineRule="auto"/>
        <w:rPr>
          <w:sz w:val="20"/>
          <w:szCs w:val="20"/>
          <w:color w:val="auto"/>
        </w:rPr>
      </w:pPr>
      <w:r>
        <w:rPr>
          <w:rFonts w:ascii="Arial" w:cs="Arial" w:eastAsia="Arial" w:hAnsi="Arial"/>
          <w:sz w:val="13"/>
          <w:szCs w:val="13"/>
          <w:color w:val="auto"/>
        </w:rPr>
        <w:t>Jens Holstein, our Chief Financial Officer, plans to retire at the end of his term. A successor will be announced in due course.</w:t>
      </w:r>
    </w:p>
    <w:p>
      <w:pPr>
        <w:sectPr>
          <w:pgSz w:w="11900" w:h="16840" w:orient="portrait"/>
          <w:cols w:equalWidth="0" w:num="1">
            <w:col w:w="9020"/>
          </w:cols>
          <w:pgMar w:left="1440" w:top="1440" w:right="1440" w:bottom="1440" w:gutter="0" w:footer="0" w:header="0"/>
        </w:sectPr>
      </w:pPr>
    </w:p>
    <w:bookmarkStart w:id="234" w:name="page235"/>
    <w:bookmarkEnd w:id="234"/>
    <w:p>
      <w:pPr>
        <w:ind w:left="9980"/>
        <w:spacing w:after="0"/>
        <w:rPr>
          <w:sz w:val="20"/>
          <w:szCs w:val="20"/>
          <w:color w:val="auto"/>
        </w:rPr>
      </w:pPr>
      <w:r>
        <w:rPr>
          <w:rFonts w:ascii="Times New Roman" w:cs="Times New Roman" w:eastAsia="Times New Roman" w:hAnsi="Times New Roman"/>
          <w:sz w:val="13"/>
          <w:szCs w:val="13"/>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DESCRIPTION OF SECURITIES</w:t>
      </w:r>
    </w:p>
    <w:p>
      <w:pPr>
        <w:spacing w:after="0" w:line="144" w:lineRule="exact"/>
        <w:rPr>
          <w:sz w:val="20"/>
          <w:szCs w:val="20"/>
          <w:color w:val="auto"/>
        </w:rPr>
      </w:pPr>
    </w:p>
    <w:p>
      <w:pPr>
        <w:jc w:val="both"/>
        <w:ind w:right="20" w:firstLine="445"/>
        <w:spacing w:after="0" w:line="222" w:lineRule="auto"/>
        <w:rPr>
          <w:sz w:val="20"/>
          <w:szCs w:val="20"/>
          <w:color w:val="auto"/>
        </w:rPr>
      </w:pPr>
      <w:r>
        <w:rPr>
          <w:rFonts w:ascii="Arial" w:cs="Arial" w:eastAsia="Arial" w:hAnsi="Arial"/>
          <w:sz w:val="13"/>
          <w:szCs w:val="13"/>
          <w:i w:val="1"/>
          <w:iCs w:val="1"/>
          <w:color w:val="auto"/>
        </w:rPr>
        <w:t>The following description sets forth certain material terms and provisions of ordinary shares and American Depositary Shares representing ordinary shares of BioNTech SE (“BioNTech,” the “Company,” “we,” “us,” and “our”) that are registered under Section 12 of the U.S. Securities Exchange Act of 1934, as amended. This description also summarizes certain provisions of our articles of association and German law as of the date of the filing of the Annual Report on Form 20-F of which this exhibit forms a part. This summary does not purport to be complete and is qualified in its entirety by the provisions of our articles of association filed with the Securities and Exchange Commission as an exhibit to the Annual Report on Form 20- F of which this exhibit forms a part, as well as to the applicable provisions of German legislation on stock corporations. We encourage you to read our articles of association and the applicable provisions of German law for additional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Ordinary Shares</w:t>
      </w:r>
    </w:p>
    <w:p>
      <w:pPr>
        <w:spacing w:after="0" w:line="113" w:lineRule="exact"/>
        <w:rPr>
          <w:sz w:val="20"/>
          <w:szCs w:val="20"/>
          <w:color w:val="auto"/>
        </w:rPr>
      </w:pPr>
    </w:p>
    <w:p>
      <w:pPr>
        <w:jc w:val="both"/>
        <w:ind w:right="20"/>
        <w:spacing w:after="0" w:line="220" w:lineRule="auto"/>
        <w:rPr>
          <w:sz w:val="20"/>
          <w:szCs w:val="20"/>
          <w:color w:val="auto"/>
        </w:rPr>
      </w:pPr>
      <w:r>
        <w:rPr>
          <w:rFonts w:ascii="Arial" w:cs="Arial" w:eastAsia="Arial" w:hAnsi="Arial"/>
          <w:sz w:val="13"/>
          <w:szCs w:val="13"/>
          <w:color w:val="auto"/>
        </w:rPr>
        <w:t>We were incorporated as a German stock corporation (Aktiengesellschaft) with the legal name Petersberg 91. V AG under the laws of the Federal Republic of Germany on June 2, 2008. We changed our name to BioNTech AG on December 11, 2008. Effective as of March 8, 2019, the date on which the change of legal form and company was registered with the commercial register (</w:t>
      </w:r>
      <w:r>
        <w:rPr>
          <w:rFonts w:ascii="Arial" w:cs="Arial" w:eastAsia="Arial" w:hAnsi="Arial"/>
          <w:sz w:val="13"/>
          <w:szCs w:val="13"/>
          <w:i w:val="1"/>
          <w:iCs w:val="1"/>
          <w:color w:val="auto"/>
        </w:rPr>
        <w:t>Handelsregister</w:t>
      </w:r>
      <w:r>
        <w:rPr>
          <w:rFonts w:ascii="Arial" w:cs="Arial" w:eastAsia="Arial" w:hAnsi="Arial"/>
          <w:sz w:val="13"/>
          <w:szCs w:val="13"/>
          <w:color w:val="auto"/>
        </w:rPr>
        <w:t xml:space="preserve">) of the local court ( </w:t>
      </w:r>
      <w:r>
        <w:rPr>
          <w:rFonts w:ascii="Arial" w:cs="Arial" w:eastAsia="Arial" w:hAnsi="Arial"/>
          <w:sz w:val="13"/>
          <w:szCs w:val="13"/>
          <w:i w:val="1"/>
          <w:iCs w:val="1"/>
          <w:color w:val="auto"/>
        </w:rPr>
        <w:t>Amtsgericht</w:t>
      </w:r>
      <w:r>
        <w:rPr>
          <w:rFonts w:ascii="Arial" w:cs="Arial" w:eastAsia="Arial" w:hAnsi="Arial"/>
          <w:sz w:val="13"/>
          <w:szCs w:val="13"/>
          <w:color w:val="auto"/>
        </w:rPr>
        <w:t>) of Mainz, Germany, we converted to a Societas Europaea with the legal name BioNTech SE. We completed our initial public offering in October 2019. The principal legislation under which we operate and our shares are issued are the Council Regulation (EC) No 2157/2001 of October 8, 2001 on the Statute for a European company (SE), the German Law on the Implementation of Council Regulation (EC) No 2157/2001 of October 8, 2001 on the Statute for a European company (SE) (</w:t>
      </w:r>
      <w:r>
        <w:rPr>
          <w:rFonts w:ascii="Arial" w:cs="Arial" w:eastAsia="Arial" w:hAnsi="Arial"/>
          <w:sz w:val="13"/>
          <w:szCs w:val="13"/>
          <w:i w:val="1"/>
          <w:iCs w:val="1"/>
          <w:color w:val="auto"/>
        </w:rPr>
        <w:t>Gesetz zur Ausführung der Verordnung (EG) NR. 2157/2001 des Rates vom 8. Oktober 2001 über das Statut der Europäischen Gesellschaft (SE) (SE-Ausführungsgesetz—SEAG)</w:t>
      </w:r>
      <w:r>
        <w:rPr>
          <w:rFonts w:ascii="Arial" w:cs="Arial" w:eastAsia="Arial" w:hAnsi="Arial"/>
          <w:sz w:val="13"/>
          <w:szCs w:val="13"/>
          <w:color w:val="auto"/>
        </w:rPr>
        <w:t>) and the German Stock Corporation Act (Aktiengesetz), in each case as amended.</w:t>
      </w:r>
    </w:p>
    <w:p>
      <w:pPr>
        <w:spacing w:after="0" w:line="92"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 xml:space="preserve">We are registered with the commercial register ( </w:t>
      </w:r>
      <w:r>
        <w:rPr>
          <w:rFonts w:ascii="Arial" w:cs="Arial" w:eastAsia="Arial" w:hAnsi="Arial"/>
          <w:sz w:val="13"/>
          <w:szCs w:val="13"/>
          <w:i w:val="1"/>
          <w:iCs w:val="1"/>
          <w:color w:val="auto"/>
        </w:rPr>
        <w:t>Handelsregister</w:t>
      </w:r>
      <w:r>
        <w:rPr>
          <w:rFonts w:ascii="Arial" w:cs="Arial" w:eastAsia="Arial" w:hAnsi="Arial"/>
          <w:sz w:val="13"/>
          <w:szCs w:val="13"/>
          <w:color w:val="auto"/>
        </w:rPr>
        <w:t xml:space="preserve">) of the local court ( </w:t>
      </w:r>
      <w:r>
        <w:rPr>
          <w:rFonts w:ascii="Arial" w:cs="Arial" w:eastAsia="Arial" w:hAnsi="Arial"/>
          <w:sz w:val="13"/>
          <w:szCs w:val="13"/>
          <w:i w:val="1"/>
          <w:iCs w:val="1"/>
          <w:color w:val="auto"/>
        </w:rPr>
        <w:t>Amtsgericht</w:t>
      </w:r>
      <w:r>
        <w:rPr>
          <w:rFonts w:ascii="Arial" w:cs="Arial" w:eastAsia="Arial" w:hAnsi="Arial"/>
          <w:sz w:val="13"/>
          <w:szCs w:val="13"/>
          <w:color w:val="auto"/>
        </w:rPr>
        <w:t>) in Mainz, Germany, under number HRB 48720. Our statutory seat is in Mainz, Germany, and our registered office is An der Goldgrube 12, 55131 Mainz, Germany. Copies of our Articles of Association (</w:t>
      </w:r>
      <w:r>
        <w:rPr>
          <w:rFonts w:ascii="Arial" w:cs="Arial" w:eastAsia="Arial" w:hAnsi="Arial"/>
          <w:sz w:val="13"/>
          <w:szCs w:val="13"/>
          <w:i w:val="1"/>
          <w:iCs w:val="1"/>
          <w:color w:val="auto"/>
        </w:rPr>
        <w:t>Satzung</w:t>
      </w:r>
      <w:r>
        <w:rPr>
          <w:rFonts w:ascii="Arial" w:cs="Arial" w:eastAsia="Arial" w:hAnsi="Arial"/>
          <w:sz w:val="13"/>
          <w:szCs w:val="13"/>
          <w:color w:val="auto"/>
        </w:rPr>
        <w:t>) are publicly available from the commercial register (</w:t>
      </w:r>
      <w:r>
        <w:rPr>
          <w:rFonts w:ascii="Arial" w:cs="Arial" w:eastAsia="Arial" w:hAnsi="Arial"/>
          <w:sz w:val="13"/>
          <w:szCs w:val="13"/>
          <w:i w:val="1"/>
          <w:iCs w:val="1"/>
          <w:color w:val="auto"/>
        </w:rPr>
        <w:t>Handelsregister</w:t>
      </w:r>
      <w:r>
        <w:rPr>
          <w:rFonts w:ascii="Arial" w:cs="Arial" w:eastAsia="Arial" w:hAnsi="Arial"/>
          <w:sz w:val="13"/>
          <w:szCs w:val="13"/>
          <w:color w:val="auto"/>
        </w:rPr>
        <w:t>) at the local court of Mainz, Germany, electronically at www.unternehmensregister.de and as an exhibit to this Annual Report.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Share Capital</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 xml:space="preserve">We have share capital registered in the commercial register ( </w:t>
      </w:r>
      <w:r>
        <w:rPr>
          <w:rFonts w:ascii="Arial" w:cs="Arial" w:eastAsia="Arial" w:hAnsi="Arial"/>
          <w:sz w:val="13"/>
          <w:szCs w:val="13"/>
          <w:i w:val="1"/>
          <w:iCs w:val="1"/>
          <w:color w:val="auto"/>
        </w:rPr>
        <w:t>Handelsregister</w:t>
      </w:r>
      <w:r>
        <w:rPr>
          <w:rFonts w:ascii="Arial" w:cs="Arial" w:eastAsia="Arial" w:hAnsi="Arial"/>
          <w:sz w:val="13"/>
          <w:szCs w:val="13"/>
          <w:color w:val="auto"/>
        </w:rPr>
        <w:t xml:space="preserve">) in the amount of €248,552,200, which is divided into 248,552,200 registered shares ( </w:t>
      </w:r>
      <w:r>
        <w:rPr>
          <w:rFonts w:ascii="Arial" w:cs="Arial" w:eastAsia="Arial" w:hAnsi="Arial"/>
          <w:sz w:val="13"/>
          <w:szCs w:val="13"/>
          <w:i w:val="1"/>
          <w:iCs w:val="1"/>
          <w:color w:val="auto"/>
        </w:rPr>
        <w:t>Namensaktien</w:t>
      </w:r>
      <w:r>
        <w:rPr>
          <w:rFonts w:ascii="Arial" w:cs="Arial" w:eastAsia="Arial" w:hAnsi="Arial"/>
          <w:sz w:val="13"/>
          <w:szCs w:val="13"/>
          <w:color w:val="auto"/>
        </w:rPr>
        <w:t>). All shares are shares with no par value (</w:t>
      </w:r>
      <w:r>
        <w:rPr>
          <w:rFonts w:ascii="Arial" w:cs="Arial" w:eastAsia="Arial" w:hAnsi="Arial"/>
          <w:sz w:val="13"/>
          <w:szCs w:val="13"/>
          <w:i w:val="1"/>
          <w:iCs w:val="1"/>
          <w:color w:val="auto"/>
        </w:rPr>
        <w:t>Stückaktien ohne Nennbetrag</w:t>
      </w:r>
      <w:r>
        <w:rPr>
          <w:rFonts w:ascii="Arial" w:cs="Arial" w:eastAsia="Arial" w:hAnsi="Arial"/>
          <w:sz w:val="13"/>
          <w:szCs w:val="13"/>
          <w:color w:val="auto"/>
        </w:rPr>
        <w:t>) with a notional amount attributable to each ordinary share of €1.00. Each issued ordinary share is fully paid.</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Form, Certification and Transferability of Shares</w:t>
      </w:r>
    </w:p>
    <w:p>
      <w:pPr>
        <w:spacing w:after="0" w:line="113"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The form and contents of our share certificates, collective share certificates and global share certificates are determined by our Management Board. A shareholder’s right to certification of its shares is excluded, to the extent permitted by law and to the extent that certification is not required by the stock exchange on which the shares or rights or certificates representing them are admitted to trading. We are permitted to issue collective share certificates and global share certificates that represent multiple or all of our shares.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231F20"/>
        </w:rPr>
        <w:t>Our shares are freely transferable under German law.</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Anti-takeover Provisions of Our Charter Documents</w:t>
      </w:r>
    </w:p>
    <w:p>
      <w:pPr>
        <w:spacing w:after="0" w:line="113" w:lineRule="exact"/>
        <w:rPr>
          <w:sz w:val="20"/>
          <w:szCs w:val="20"/>
          <w:color w:val="auto"/>
        </w:rPr>
      </w:pPr>
    </w:p>
    <w:p>
      <w:pPr>
        <w:jc w:val="both"/>
        <w:ind w:right="20"/>
        <w:spacing w:after="0" w:line="224" w:lineRule="auto"/>
        <w:rPr>
          <w:sz w:val="20"/>
          <w:szCs w:val="20"/>
          <w:color w:val="auto"/>
        </w:rPr>
      </w:pPr>
      <w:r>
        <w:rPr>
          <w:rFonts w:ascii="Arial" w:cs="Arial" w:eastAsia="Arial" w:hAnsi="Arial"/>
          <w:sz w:val="13"/>
          <w:szCs w:val="13"/>
          <w:color w:val="auto"/>
        </w:rPr>
        <w:t xml:space="preserve">Our Articles of Association ( </w:t>
      </w:r>
      <w:r>
        <w:rPr>
          <w:rFonts w:ascii="Arial" w:cs="Arial" w:eastAsia="Arial" w:hAnsi="Arial"/>
          <w:sz w:val="13"/>
          <w:szCs w:val="13"/>
          <w:i w:val="1"/>
          <w:iCs w:val="1"/>
          <w:color w:val="auto"/>
        </w:rPr>
        <w:t>Satzung</w:t>
      </w:r>
      <w:r>
        <w:rPr>
          <w:rFonts w:ascii="Arial" w:cs="Arial" w:eastAsia="Arial" w:hAnsi="Arial"/>
          <w:sz w:val="13"/>
          <w:szCs w:val="13"/>
          <w:color w:val="auto"/>
        </w:rPr>
        <w:t>) do not include any provisions that would have a direct effect of delaying, deferring or preventing a change of control. However, in the event of a hostile takeover, we could use our authorized capital to increase our share capital to issue new shares to an investor at a premium. An increase in the number of shares outstanding could have a negative effect on a party’s ability to carry out a hostile takeover. The provisions of German law relating to public bids and takeovers that require any such bids to be carried out in a manner designed to safeguard equal and fair treatment to all shareholders and give them a right to be bought out at an adequate compensation where a party acquires “control” (as such term is defined in such provisions) over the relevant company do not apply.</w:t>
      </w:r>
    </w:p>
    <w:p>
      <w:pPr>
        <w:sectPr>
          <w:pgSz w:w="11900" w:h="16840" w:orient="portrait"/>
          <w:cols w:equalWidth="0" w:num="1">
            <w:col w:w="10600"/>
          </w:cols>
          <w:pgMar w:left="660" w:top="558" w:right="640" w:bottom="1440" w:gutter="0" w:footer="0" w:header="0"/>
        </w:sectPr>
      </w:pPr>
    </w:p>
    <w:bookmarkStart w:id="235" w:name="page236"/>
    <w:bookmarkEnd w:id="235"/>
    <w:p>
      <w:pPr>
        <w:spacing w:after="0" w:line="242"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Future Changes to the Share Capital</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Authorized Capital</w:t>
      </w:r>
    </w:p>
    <w:p>
      <w:pPr>
        <w:spacing w:after="0" w:line="113" w:lineRule="exact"/>
        <w:rPr>
          <w:sz w:val="20"/>
          <w:szCs w:val="20"/>
          <w:color w:val="auto"/>
        </w:rPr>
      </w:pPr>
    </w:p>
    <w:p>
      <w:pPr>
        <w:jc w:val="both"/>
        <w:ind w:right="20"/>
        <w:spacing w:after="0" w:line="222" w:lineRule="auto"/>
        <w:rPr>
          <w:sz w:val="20"/>
          <w:szCs w:val="20"/>
          <w:color w:val="auto"/>
        </w:rPr>
      </w:pPr>
      <w:r>
        <w:rPr>
          <w:rFonts w:ascii="Arial" w:cs="Arial" w:eastAsia="Arial" w:hAnsi="Arial"/>
          <w:sz w:val="13"/>
          <w:szCs w:val="13"/>
          <w:color w:val="auto"/>
        </w:rPr>
        <w:t>Under the relevant law, the general meeting of a European stock corporation (Societas Europaea) governed by German law can authorize the Management Board, with the consent of the Supervisory Board, to issue shares in a specified aggregate nominal amount of up to 50% of the issued share capital of such company at the time the resolution becomes effective. The shareholders’ authorization becomes effective upon registration in the commercial register (</w:t>
      </w:r>
      <w:r>
        <w:rPr>
          <w:rFonts w:ascii="Arial" w:cs="Arial" w:eastAsia="Arial" w:hAnsi="Arial"/>
          <w:sz w:val="13"/>
          <w:szCs w:val="13"/>
          <w:i w:val="1"/>
          <w:iCs w:val="1"/>
          <w:color w:val="auto"/>
        </w:rPr>
        <w:t>Handelsregister</w:t>
      </w:r>
      <w:r>
        <w:rPr>
          <w:rFonts w:ascii="Arial" w:cs="Arial" w:eastAsia="Arial" w:hAnsi="Arial"/>
          <w:sz w:val="13"/>
          <w:szCs w:val="13"/>
          <w:color w:val="auto"/>
        </w:rPr>
        <w:t>) and is valid for a maximum period of five years. Under § 4(5) of our Articles of Association (</w:t>
      </w:r>
      <w:r>
        <w:rPr>
          <w:rFonts w:ascii="Arial" w:cs="Arial" w:eastAsia="Arial" w:hAnsi="Arial"/>
          <w:sz w:val="13"/>
          <w:szCs w:val="13"/>
          <w:i w:val="1"/>
          <w:iCs w:val="1"/>
          <w:color w:val="auto"/>
        </w:rPr>
        <w:t>Satzung</w:t>
      </w:r>
      <w:r>
        <w:rPr>
          <w:rFonts w:ascii="Arial" w:cs="Arial" w:eastAsia="Arial" w:hAnsi="Arial"/>
          <w:sz w:val="13"/>
          <w:szCs w:val="13"/>
          <w:color w:val="auto"/>
        </w:rPr>
        <w:t>), the Management Board is authorized to increase our share capital, on one or more occasions, by a total of up to €122,657,313 by issuing, on one or more occasions, up to 122,657,313 new registered shares with no par value (</w:t>
      </w:r>
      <w:r>
        <w:rPr>
          <w:rFonts w:ascii="Arial" w:cs="Arial" w:eastAsia="Arial" w:hAnsi="Arial"/>
          <w:sz w:val="13"/>
          <w:szCs w:val="13"/>
          <w:i w:val="1"/>
          <w:iCs w:val="1"/>
          <w:color w:val="auto"/>
        </w:rPr>
        <w:t>Genehmigtes Kapital</w:t>
      </w:r>
      <w:r>
        <w:rPr>
          <w:rFonts w:ascii="Arial" w:cs="Arial" w:eastAsia="Arial" w:hAnsi="Arial"/>
          <w:sz w:val="13"/>
          <w:szCs w:val="13"/>
          <w:color w:val="auto"/>
        </w:rPr>
        <w:t>) in return for cash contributions or contributions in kind, in each case with consent of the Supervisory Board. This authorization expires on June 21, 2026.</w:t>
      </w:r>
    </w:p>
    <w:p>
      <w:pPr>
        <w:spacing w:after="0" w:line="90" w:lineRule="exact"/>
        <w:rPr>
          <w:sz w:val="20"/>
          <w:szCs w:val="20"/>
          <w:color w:val="auto"/>
        </w:rPr>
      </w:pPr>
    </w:p>
    <w:p>
      <w:pPr>
        <w:jc w:val="both"/>
        <w:ind w:right="40"/>
        <w:spacing w:after="0" w:line="233" w:lineRule="auto"/>
        <w:rPr>
          <w:sz w:val="20"/>
          <w:szCs w:val="20"/>
          <w:color w:val="auto"/>
        </w:rPr>
      </w:pPr>
      <w:r>
        <w:rPr>
          <w:rFonts w:ascii="Arial" w:cs="Arial" w:eastAsia="Arial" w:hAnsi="Arial"/>
          <w:sz w:val="13"/>
          <w:szCs w:val="13"/>
          <w:color w:val="auto"/>
        </w:rPr>
        <w:t>Any new shares issued from the authorized capital will participate in the profits starting with the financial year for which the annual financial statements have not yet been submitted to the general meeting at the time of registration of the implementation of the capital increase. Further details of a capital increase from the authorized capital may be specified by the Management Board.</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Conditional Capital</w:t>
      </w:r>
    </w:p>
    <w:p>
      <w:pPr>
        <w:spacing w:after="0" w:line="113" w:lineRule="exact"/>
        <w:rPr>
          <w:sz w:val="20"/>
          <w:szCs w:val="20"/>
          <w:color w:val="auto"/>
        </w:rPr>
      </w:pPr>
    </w:p>
    <w:p>
      <w:pPr>
        <w:jc w:val="both"/>
        <w:ind w:right="40"/>
        <w:spacing w:after="0" w:line="233" w:lineRule="auto"/>
        <w:rPr>
          <w:sz w:val="20"/>
          <w:szCs w:val="20"/>
          <w:color w:val="auto"/>
        </w:rPr>
      </w:pPr>
      <w:r>
        <w:rPr>
          <w:rFonts w:ascii="Arial" w:cs="Arial" w:eastAsia="Arial" w:hAnsi="Arial"/>
          <w:sz w:val="13"/>
          <w:szCs w:val="13"/>
          <w:color w:val="auto"/>
        </w:rPr>
        <w:t xml:space="preserve">Pursuant to § 4(6) of our Articles of Association ( </w:t>
      </w:r>
      <w:r>
        <w:rPr>
          <w:rFonts w:ascii="Arial" w:cs="Arial" w:eastAsia="Arial" w:hAnsi="Arial"/>
          <w:sz w:val="13"/>
          <w:szCs w:val="13"/>
          <w:i w:val="1"/>
          <w:iCs w:val="1"/>
          <w:color w:val="auto"/>
        </w:rPr>
        <w:t>Satzung</w:t>
      </w:r>
      <w:r>
        <w:rPr>
          <w:rFonts w:ascii="Arial" w:cs="Arial" w:eastAsia="Arial" w:hAnsi="Arial"/>
          <w:sz w:val="13"/>
          <w:szCs w:val="13"/>
          <w:color w:val="auto"/>
        </w:rPr>
        <w:t xml:space="preserve">), our share capital is conditionally increased by € 4,943,452 through issuance of new registered shares with no par value, or Conditional Capital ESOP 2027/2019 ( </w:t>
      </w:r>
      <w:r>
        <w:rPr>
          <w:rFonts w:ascii="Arial" w:cs="Arial" w:eastAsia="Arial" w:hAnsi="Arial"/>
          <w:sz w:val="13"/>
          <w:szCs w:val="13"/>
          <w:i w:val="1"/>
          <w:iCs w:val="1"/>
          <w:color w:val="auto"/>
        </w:rPr>
        <w:t>Bedingtes Kapital ESOP 2017/2019</w:t>
      </w:r>
      <w:r>
        <w:rPr>
          <w:rFonts w:ascii="Arial" w:cs="Arial" w:eastAsia="Arial" w:hAnsi="Arial"/>
          <w:sz w:val="13"/>
          <w:szCs w:val="13"/>
          <w:color w:val="auto"/>
        </w:rPr>
        <w:t>). The Conditional Capital ESOP 2017/2019 may only be used to issue shares to the holders of option rights granted under the authorization for the Conditional Capital ESOP 2017/2019, or the Authorization 2017/2019.</w:t>
      </w:r>
    </w:p>
    <w:p>
      <w:pPr>
        <w:spacing w:after="0" w:line="90" w:lineRule="exact"/>
        <w:rPr>
          <w:sz w:val="20"/>
          <w:szCs w:val="20"/>
          <w:color w:val="auto"/>
        </w:rPr>
      </w:pPr>
    </w:p>
    <w:p>
      <w:pPr>
        <w:jc w:val="both"/>
        <w:ind w:right="40"/>
        <w:spacing w:after="0" w:line="227" w:lineRule="auto"/>
        <w:rPr>
          <w:sz w:val="20"/>
          <w:szCs w:val="20"/>
          <w:color w:val="auto"/>
        </w:rPr>
      </w:pPr>
      <w:r>
        <w:rPr>
          <w:rFonts w:ascii="Arial" w:cs="Arial" w:eastAsia="Arial" w:hAnsi="Arial"/>
          <w:sz w:val="13"/>
          <w:szCs w:val="13"/>
          <w:color w:val="auto"/>
        </w:rPr>
        <w:t>The conditional capital increase will only be implemented to the extent that stock options under the Authorization 2017/2019 are exercised and such stock options are not serviced by our providing treasury shares or through cash payments. Any new shares issued under the Conditional Capital ESOP 2017/2019 pursuant to § 4(6) of our Articles of Association (</w:t>
      </w:r>
      <w:r>
        <w:rPr>
          <w:rFonts w:ascii="Arial" w:cs="Arial" w:eastAsia="Arial" w:hAnsi="Arial"/>
          <w:sz w:val="13"/>
          <w:szCs w:val="13"/>
          <w:i w:val="1"/>
          <w:iCs w:val="1"/>
          <w:color w:val="auto"/>
        </w:rPr>
        <w:t>Satzung</w:t>
      </w:r>
      <w:r>
        <w:rPr>
          <w:rFonts w:ascii="Arial" w:cs="Arial" w:eastAsia="Arial" w:hAnsi="Arial"/>
          <w:sz w:val="13"/>
          <w:szCs w:val="13"/>
          <w:color w:val="auto"/>
        </w:rPr>
        <w:t>) shall be entitled to dividends from the beginning of the previous financial year in case they are created by the exercise of subscription rights until the start of the Annual General Meeting of the Company and otherwise from the beginning of the financial year in which they are created as a result of the exercise of the stock options.</w:t>
      </w:r>
    </w:p>
    <w:p>
      <w:pPr>
        <w:spacing w:after="0" w:line="91" w:lineRule="exact"/>
        <w:rPr>
          <w:sz w:val="20"/>
          <w:szCs w:val="20"/>
          <w:color w:val="auto"/>
        </w:rPr>
      </w:pPr>
    </w:p>
    <w:p>
      <w:pPr>
        <w:jc w:val="both"/>
        <w:spacing w:after="0" w:line="224" w:lineRule="auto"/>
        <w:rPr>
          <w:sz w:val="20"/>
          <w:szCs w:val="20"/>
          <w:color w:val="auto"/>
        </w:rPr>
      </w:pPr>
      <w:r>
        <w:rPr>
          <w:rFonts w:ascii="Arial" w:cs="Arial" w:eastAsia="Arial" w:hAnsi="Arial"/>
          <w:sz w:val="13"/>
          <w:szCs w:val="13"/>
          <w:color w:val="auto"/>
        </w:rPr>
        <w:t xml:space="preserve">Pursuant to § 4(7) of our Articles of Association ( </w:t>
      </w:r>
      <w:r>
        <w:rPr>
          <w:rFonts w:ascii="Arial" w:cs="Arial" w:eastAsia="Arial" w:hAnsi="Arial"/>
          <w:sz w:val="13"/>
          <w:szCs w:val="13"/>
          <w:i w:val="1"/>
          <w:iCs w:val="1"/>
          <w:color w:val="auto"/>
        </w:rPr>
        <w:t>Satzung</w:t>
      </w:r>
      <w:r>
        <w:rPr>
          <w:rFonts w:ascii="Arial" w:cs="Arial" w:eastAsia="Arial" w:hAnsi="Arial"/>
          <w:sz w:val="13"/>
          <w:szCs w:val="13"/>
          <w:color w:val="auto"/>
        </w:rPr>
        <w:t>), our share capital is conditionally increased by € 24,855,220 through issuance of new registered shares with no par value, or Conditional Capital WSV 2024 (</w:t>
      </w:r>
      <w:r>
        <w:rPr>
          <w:rFonts w:ascii="Arial" w:cs="Arial" w:eastAsia="Arial" w:hAnsi="Arial"/>
          <w:sz w:val="13"/>
          <w:szCs w:val="13"/>
          <w:i w:val="1"/>
          <w:iCs w:val="1"/>
          <w:color w:val="auto"/>
        </w:rPr>
        <w:t>Bedingtes Kapital WSV 2024</w:t>
      </w:r>
      <w:r>
        <w:rPr>
          <w:rFonts w:ascii="Arial" w:cs="Arial" w:eastAsia="Arial" w:hAnsi="Arial"/>
          <w:sz w:val="13"/>
          <w:szCs w:val="13"/>
          <w:color w:val="auto"/>
        </w:rPr>
        <w:t xml:space="preserve"> ). The conditional capital may only be used to issue shares to the holders or creditors of option rights or conversion rights or those under an obligation to convert under warrant- linked or convertible bonds avail of their option rights or conversion rights or where they are under an obligation to convert, to the extent they satisfy their obligation to convert, or to the extent that we exercise a right to choose to grant our shares, in whole or in part instead of paying a monetary amount due, and to the extent cash compensation is not granted in each relevant case or treasury shares or shares of another stock-listed company are not utilized for servicing.</w:t>
      </w:r>
    </w:p>
    <w:p>
      <w:pPr>
        <w:spacing w:after="0" w:line="91" w:lineRule="exact"/>
        <w:rPr>
          <w:sz w:val="20"/>
          <w:szCs w:val="20"/>
          <w:color w:val="auto"/>
        </w:rPr>
      </w:pPr>
    </w:p>
    <w:p>
      <w:pPr>
        <w:jc w:val="both"/>
        <w:ind w:right="40"/>
        <w:spacing w:after="0" w:line="233" w:lineRule="auto"/>
        <w:rPr>
          <w:sz w:val="20"/>
          <w:szCs w:val="20"/>
          <w:color w:val="auto"/>
        </w:rPr>
      </w:pPr>
      <w:r>
        <w:rPr>
          <w:rFonts w:ascii="Arial" w:cs="Arial" w:eastAsia="Arial" w:hAnsi="Arial"/>
          <w:sz w:val="13"/>
          <w:szCs w:val="13"/>
          <w:color w:val="auto"/>
        </w:rPr>
        <w:t xml:space="preserve">Any new shares issued under the said Conditional Capital WSV 2024 pursuant to § 4(7) of our Articles of Association ( </w:t>
      </w:r>
      <w:r>
        <w:rPr>
          <w:rFonts w:ascii="Arial" w:cs="Arial" w:eastAsia="Arial" w:hAnsi="Arial"/>
          <w:sz w:val="13"/>
          <w:szCs w:val="13"/>
          <w:i w:val="1"/>
          <w:iCs w:val="1"/>
          <w:color w:val="auto"/>
        </w:rPr>
        <w:t>Satzung</w:t>
      </w:r>
      <w:r>
        <w:rPr>
          <w:rFonts w:ascii="Arial" w:cs="Arial" w:eastAsia="Arial" w:hAnsi="Arial"/>
          <w:sz w:val="13"/>
          <w:szCs w:val="13"/>
          <w:color w:val="auto"/>
        </w:rPr>
        <w:t>) shall carry an entitlement to dividends from the beginning of the financial year in which they are created; however, as far as the law permits, the Management Board can confer dividend rights for new shares in derogation of the foregoing.</w:t>
      </w:r>
    </w:p>
    <w:p>
      <w:pPr>
        <w:spacing w:after="0" w:line="90" w:lineRule="exact"/>
        <w:rPr>
          <w:sz w:val="20"/>
          <w:szCs w:val="20"/>
          <w:color w:val="auto"/>
        </w:rPr>
      </w:pPr>
    </w:p>
    <w:p>
      <w:pPr>
        <w:jc w:val="both"/>
        <w:ind w:right="40"/>
        <w:spacing w:after="0" w:line="227" w:lineRule="auto"/>
        <w:rPr>
          <w:sz w:val="20"/>
          <w:szCs w:val="20"/>
          <w:color w:val="auto"/>
        </w:rPr>
      </w:pPr>
      <w:r>
        <w:rPr>
          <w:rFonts w:ascii="Arial" w:cs="Arial" w:eastAsia="Arial" w:hAnsi="Arial"/>
          <w:sz w:val="13"/>
          <w:szCs w:val="13"/>
          <w:color w:val="auto"/>
        </w:rPr>
        <w:t xml:space="preserve">Pursuant to § 4(8) of our Articles of Association ( </w:t>
      </w:r>
      <w:r>
        <w:rPr>
          <w:rFonts w:ascii="Arial" w:cs="Arial" w:eastAsia="Arial" w:hAnsi="Arial"/>
          <w:sz w:val="13"/>
          <w:szCs w:val="13"/>
          <w:i w:val="1"/>
          <w:iCs w:val="1"/>
          <w:color w:val="auto"/>
        </w:rPr>
        <w:t>Satzung</w:t>
      </w:r>
      <w:r>
        <w:rPr>
          <w:rFonts w:ascii="Arial" w:cs="Arial" w:eastAsia="Arial" w:hAnsi="Arial"/>
          <w:sz w:val="13"/>
          <w:szCs w:val="13"/>
          <w:color w:val="auto"/>
        </w:rPr>
        <w:t>), our share capital is conditionally increased by €1,300,000 through issuance of new, registered shares with no par value, or Conditional Capital ESOP 2021 (</w:t>
      </w:r>
      <w:r>
        <w:rPr>
          <w:rFonts w:ascii="Arial" w:cs="Arial" w:eastAsia="Arial" w:hAnsi="Arial"/>
          <w:sz w:val="13"/>
          <w:szCs w:val="13"/>
          <w:i w:val="1"/>
          <w:iCs w:val="1"/>
          <w:color w:val="auto"/>
        </w:rPr>
        <w:t>Bedingtes Kapital ESOP 2021</w:t>
      </w:r>
      <w:r>
        <w:rPr>
          <w:rFonts w:ascii="Arial" w:cs="Arial" w:eastAsia="Arial" w:hAnsi="Arial"/>
          <w:sz w:val="13"/>
          <w:szCs w:val="13"/>
          <w:color w:val="auto"/>
        </w:rPr>
        <w:t xml:space="preserve"> ). The Conditional Capital ESOP 2021 serves exclusively to grant rights to the holders of stock options issued by the Company in accordance with the authorization granted by the Annual General Meeting on June 22, 2021 under agenda item 6 letter d) also as amended by the resolution of the Annual General Meeting on May 17, 2024 under agenda items 12 and 13, or the Authorization 2021.</w:t>
      </w:r>
    </w:p>
    <w:p>
      <w:pPr>
        <w:spacing w:after="0" w:line="91" w:lineRule="exact"/>
        <w:rPr>
          <w:sz w:val="20"/>
          <w:szCs w:val="20"/>
          <w:color w:val="auto"/>
        </w:rPr>
      </w:pPr>
    </w:p>
    <w:p>
      <w:pPr>
        <w:jc w:val="both"/>
        <w:ind w:right="40"/>
        <w:spacing w:after="0" w:line="233" w:lineRule="auto"/>
        <w:rPr>
          <w:sz w:val="20"/>
          <w:szCs w:val="20"/>
          <w:color w:val="auto"/>
        </w:rPr>
      </w:pPr>
      <w:r>
        <w:rPr>
          <w:rFonts w:ascii="Arial" w:cs="Arial" w:eastAsia="Arial" w:hAnsi="Arial"/>
          <w:sz w:val="13"/>
          <w:szCs w:val="13"/>
          <w:color w:val="auto"/>
        </w:rPr>
        <w:t>The conditional capital increase will only be implemented to the extent that stock options under our ESOP are exercised by the holders of the stock options issued by the Company on the basis of Authorization 2021 and such stock options are not settled by the Company with treasury shares or through cash payments. Any new shares issued under the Conditional Capital ESOP 2021 pursuant to § 4(8) of our Articles of Association (</w:t>
      </w:r>
      <w:r>
        <w:rPr>
          <w:rFonts w:ascii="Arial" w:cs="Arial" w:eastAsia="Arial" w:hAnsi="Arial"/>
          <w:sz w:val="13"/>
          <w:szCs w:val="13"/>
          <w:i w:val="1"/>
          <w:iCs w:val="1"/>
          <w:color w:val="auto"/>
        </w:rPr>
        <w:t>Satzung</w:t>
      </w:r>
      <w:r>
        <w:rPr>
          <w:rFonts w:ascii="Arial" w:cs="Arial" w:eastAsia="Arial" w:hAnsi="Arial"/>
          <w:sz w:val="13"/>
          <w:szCs w:val="13"/>
          <w:color w:val="auto"/>
        </w:rPr>
        <w:t>) shall participate in profits from the beginning of the preceding financial</w:t>
      </w:r>
    </w:p>
    <w:p>
      <w:pPr>
        <w:sectPr>
          <w:pgSz w:w="11900" w:h="16840" w:orient="portrait"/>
          <w:cols w:equalWidth="0" w:num="1">
            <w:col w:w="10620"/>
          </w:cols>
          <w:pgMar w:left="660" w:top="1440" w:right="620" w:bottom="1440" w:gutter="0" w:footer="0" w:header="0"/>
        </w:sectPr>
      </w:pPr>
    </w:p>
    <w:bookmarkStart w:id="236" w:name="page237"/>
    <w:bookmarkEnd w:id="236"/>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year in case they are created by the exercise of subscription rights until the start of the annual general meeting of the Company and otherwise from the beginning of the financial year in which they are created as a result of the exercise of the stock options.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Preemptive Rights</w:t>
      </w:r>
    </w:p>
    <w:p>
      <w:pPr>
        <w:spacing w:after="0" w:line="113"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German law generally provides shareholders with preemptive rights when new shares convertible bonds, bonds with warrants, profit participation rights or participating bonds are issued. This requirement, however, may also be satisfied by way of a credit institution subscribing for the securities and then offering them to the shareholders for purchase (</w:t>
      </w:r>
      <w:r>
        <w:rPr>
          <w:rFonts w:ascii="Arial" w:cs="Arial" w:eastAsia="Arial" w:hAnsi="Arial"/>
          <w:sz w:val="13"/>
          <w:szCs w:val="13"/>
          <w:i w:val="1"/>
          <w:iCs w:val="1"/>
          <w:color w:val="auto"/>
        </w:rPr>
        <w:t>mittelbares Bezugsrecht</w:t>
      </w:r>
      <w:r>
        <w:rPr>
          <w:rFonts w:ascii="Arial" w:cs="Arial" w:eastAsia="Arial" w:hAnsi="Arial"/>
          <w:sz w:val="13"/>
          <w:szCs w:val="13"/>
          <w:color w:val="auto"/>
        </w:rPr>
        <w:t>).</w:t>
      </w:r>
    </w:p>
    <w:p>
      <w:pPr>
        <w:spacing w:after="0" w:line="90" w:lineRule="exact"/>
        <w:rPr>
          <w:sz w:val="20"/>
          <w:szCs w:val="20"/>
          <w:color w:val="auto"/>
        </w:rPr>
      </w:pPr>
    </w:p>
    <w:p>
      <w:pPr>
        <w:jc w:val="both"/>
        <w:spacing w:after="0" w:line="222" w:lineRule="auto"/>
        <w:rPr>
          <w:sz w:val="20"/>
          <w:szCs w:val="20"/>
          <w:color w:val="auto"/>
        </w:rPr>
      </w:pPr>
      <w:r>
        <w:rPr>
          <w:rFonts w:ascii="Arial" w:cs="Arial" w:eastAsia="Arial" w:hAnsi="Arial"/>
          <w:sz w:val="13"/>
          <w:szCs w:val="13"/>
          <w:color w:val="auto"/>
        </w:rPr>
        <w:t>Further, it is possible for a shareholder resolution approved by three-quarters of the share capital voting on the resolution to exclude preemptive rights both where the general meeting itself resolves that the new securities are to be issued and in relation to the authorized capital, i.e., an authorization for the Management Board, with the consent of the Supervisory Board, to resolve on the issuance of new securities; provided, however, that in each case, the exclusion or the authorization to exclude preemptive rights, respectively, must be justified by specific facts, in accordance with established case law of the German Federal Court of Justice (</w:t>
      </w:r>
      <w:r>
        <w:rPr>
          <w:rFonts w:ascii="Arial" w:cs="Arial" w:eastAsia="Arial" w:hAnsi="Arial"/>
          <w:sz w:val="13"/>
          <w:szCs w:val="13"/>
          <w:i w:val="1"/>
          <w:iCs w:val="1"/>
          <w:color w:val="auto"/>
        </w:rPr>
        <w:t>BGH</w:t>
      </w:r>
      <w:r>
        <w:rPr>
          <w:rFonts w:ascii="Arial" w:cs="Arial" w:eastAsia="Arial" w:hAnsi="Arial"/>
          <w:sz w:val="13"/>
          <w:szCs w:val="13"/>
          <w:color w:val="auto"/>
        </w:rPr>
        <w:t xml:space="preserve">). The German Federal Court of Justice ( </w:t>
      </w:r>
      <w:r>
        <w:rPr>
          <w:rFonts w:ascii="Arial" w:cs="Arial" w:eastAsia="Arial" w:hAnsi="Arial"/>
          <w:sz w:val="13"/>
          <w:szCs w:val="13"/>
          <w:i w:val="1"/>
          <w:iCs w:val="1"/>
          <w:color w:val="auto"/>
        </w:rPr>
        <w:t>BGH</w:t>
      </w:r>
      <w:r>
        <w:rPr>
          <w:rFonts w:ascii="Arial" w:cs="Arial" w:eastAsia="Arial" w:hAnsi="Arial"/>
          <w:sz w:val="13"/>
          <w:szCs w:val="13"/>
          <w:color w:val="auto"/>
        </w:rPr>
        <w:t>) considers the exclusion of subscription rights justified if it (i) serves a purpose in the company’s interests, (ii) is suitable for attaining such purpose, and (iii) is necessary and appropriate. Additionally, the Management Board must submit a written report to the shareholders’ meeting in which it presents the reasons for the exclusion of the subscription rights.</w:t>
      </w:r>
    </w:p>
    <w:p>
      <w:pPr>
        <w:spacing w:after="0" w:line="90" w:lineRule="exact"/>
        <w:rPr>
          <w:sz w:val="20"/>
          <w:szCs w:val="20"/>
          <w:color w:val="auto"/>
        </w:rPr>
      </w:pPr>
    </w:p>
    <w:p>
      <w:pPr>
        <w:jc w:val="both"/>
        <w:ind w:right="20"/>
        <w:spacing w:after="0" w:line="248" w:lineRule="auto"/>
        <w:rPr>
          <w:sz w:val="20"/>
          <w:szCs w:val="20"/>
          <w:color w:val="auto"/>
        </w:rPr>
      </w:pPr>
      <w:r>
        <w:rPr>
          <w:rFonts w:ascii="Arial" w:cs="Arial" w:eastAsia="Arial" w:hAnsi="Arial"/>
          <w:sz w:val="13"/>
          <w:szCs w:val="13"/>
          <w:color w:val="auto"/>
        </w:rPr>
        <w:t xml:space="preserve">Accordingly, under our Articles of Association ( </w:t>
      </w:r>
      <w:r>
        <w:rPr>
          <w:rFonts w:ascii="Arial" w:cs="Arial" w:eastAsia="Arial" w:hAnsi="Arial"/>
          <w:sz w:val="13"/>
          <w:szCs w:val="13"/>
          <w:i w:val="1"/>
          <w:iCs w:val="1"/>
          <w:color w:val="auto"/>
        </w:rPr>
        <w:t>Satzung</w:t>
      </w:r>
      <w:r>
        <w:rPr>
          <w:rFonts w:ascii="Arial" w:cs="Arial" w:eastAsia="Arial" w:hAnsi="Arial"/>
          <w:sz w:val="13"/>
          <w:szCs w:val="13"/>
          <w:color w:val="auto"/>
        </w:rPr>
        <w:t>), the Management Board may, with the consent of the Supervisory Board, exclude such preemptive rights in a capital increase from the authorized capital in the following circumstances:</w:t>
      </w:r>
    </w:p>
    <w:p>
      <w:pPr>
        <w:spacing w:after="0" w:line="85" w:lineRule="exact"/>
        <w:rPr>
          <w:sz w:val="20"/>
          <w:szCs w:val="20"/>
          <w:color w:val="auto"/>
        </w:rPr>
      </w:pPr>
    </w:p>
    <w:p>
      <w:pPr>
        <w:ind w:left="480" w:hanging="247"/>
        <w:spacing w:after="0"/>
        <w:tabs>
          <w:tab w:leader="none" w:pos="480" w:val="left"/>
        </w:tabs>
        <w:numPr>
          <w:ilvl w:val="0"/>
          <w:numId w:val="64"/>
        </w:numPr>
        <w:rPr>
          <w:rFonts w:ascii="Arial" w:cs="Arial" w:eastAsia="Arial" w:hAnsi="Arial"/>
          <w:sz w:val="13"/>
          <w:szCs w:val="13"/>
          <w:color w:val="auto"/>
        </w:rPr>
      </w:pPr>
      <w:r>
        <w:rPr>
          <w:rFonts w:ascii="Arial" w:cs="Arial" w:eastAsia="Arial" w:hAnsi="Arial"/>
          <w:sz w:val="13"/>
          <w:szCs w:val="13"/>
          <w:color w:val="231F20"/>
        </w:rPr>
        <w:t>to exclude fractional amounts from the subscription right;</w:t>
      </w:r>
    </w:p>
    <w:p>
      <w:pPr>
        <w:spacing w:after="0" w:line="113" w:lineRule="exact"/>
        <w:rPr>
          <w:rFonts w:ascii="Arial" w:cs="Arial" w:eastAsia="Arial" w:hAnsi="Arial"/>
          <w:sz w:val="13"/>
          <w:szCs w:val="13"/>
          <w:color w:val="auto"/>
        </w:rPr>
      </w:pPr>
    </w:p>
    <w:p>
      <w:pPr>
        <w:jc w:val="both"/>
        <w:ind w:left="480" w:hanging="247"/>
        <w:spacing w:after="0" w:line="218" w:lineRule="auto"/>
        <w:tabs>
          <w:tab w:leader="none" w:pos="4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in the case of a capital increase against cash contributions, if the issue price of the new shares is not significantly lower than the market price of the company’s shares already listed on the stock exchange at the time the issue price is finally determined. However, this authorization shall only apply subject to the provision that the shares issued excluding subscription rights in accordance with Section 186(3) Sentence 4 AktG may not exceed a total of 10% of the share capital either at the time this authorization takes effect or, if this amount is lower, at the time this authorization is exercised. This limit of 10% of the share capital includes shares which are issued or disposed of during the term of this authorization until the date of its exercise in direct or equivalent application of Section 186(3) Sentence 4 AktG. Shares which are used to service bonds with convertible or option rights or convertible obligations are to be offset against the 10% limit if these bonds were issued during the authorization period under exclusion of shareholder subscription rights in accordance with Section 186(3) Sentence 4 AktG during the entitlement period. Treasury shares are to be offset against the 10% limit, where they were disposed of by the company during the term of this authorization with the exclusion of subscription rights pursuant to or in analogous application of Section 186(3) Sentence 4 AktG</w:t>
      </w:r>
      <w:r>
        <w:rPr>
          <w:rFonts w:ascii="Arial" w:cs="Arial" w:eastAsia="Arial" w:hAnsi="Arial"/>
          <w:sz w:val="13"/>
          <w:szCs w:val="13"/>
          <w:color w:val="231F20"/>
        </w:rPr>
        <w:t>;</w:t>
      </w:r>
    </w:p>
    <w:p>
      <w:pPr>
        <w:spacing w:after="0" w:line="91" w:lineRule="exact"/>
        <w:rPr>
          <w:rFonts w:ascii="Arial" w:cs="Arial" w:eastAsia="Arial" w:hAnsi="Arial"/>
          <w:sz w:val="13"/>
          <w:szCs w:val="13"/>
          <w:color w:val="auto"/>
        </w:rPr>
      </w:pPr>
    </w:p>
    <w:p>
      <w:pPr>
        <w:ind w:left="480" w:hanging="247"/>
        <w:spacing w:after="0" w:line="248" w:lineRule="auto"/>
        <w:tabs>
          <w:tab w:leader="none" w:pos="4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in the case of capital increases in exchange for contributions in kind, in particular in order to be able to offer the shares to third parties when purchasing companies, parts of companies or interests in companies as well as licenses or industrial property rights</w:t>
      </w:r>
      <w:r>
        <w:rPr>
          <w:rFonts w:ascii="Arial" w:cs="Arial" w:eastAsia="Arial" w:hAnsi="Arial"/>
          <w:sz w:val="13"/>
          <w:szCs w:val="13"/>
          <w:color w:val="231F20"/>
        </w:rPr>
        <w:t>;</w:t>
      </w:r>
    </w:p>
    <w:p>
      <w:pPr>
        <w:spacing w:after="0" w:line="85" w:lineRule="exact"/>
        <w:rPr>
          <w:rFonts w:ascii="Arial" w:cs="Arial" w:eastAsia="Arial" w:hAnsi="Arial"/>
          <w:sz w:val="13"/>
          <w:szCs w:val="13"/>
          <w:color w:val="auto"/>
        </w:rPr>
      </w:pPr>
    </w:p>
    <w:p>
      <w:pPr>
        <w:ind w:left="480" w:hanging="247"/>
        <w:spacing w:after="0" w:line="248" w:lineRule="auto"/>
        <w:tabs>
          <w:tab w:leader="none" w:pos="4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in order to grant subscription rights to new shares to holders of conversion or option rights in respect of bonds issued by the company or its subordinated domestic or foreign Group companies, to the extent to which they would be entitled after exercising their conversion or option rights or after fulfilling an agreed conversion obligation</w:t>
      </w:r>
      <w:r>
        <w:rPr>
          <w:rFonts w:ascii="Arial" w:cs="Arial" w:eastAsia="Arial" w:hAnsi="Arial"/>
          <w:sz w:val="13"/>
          <w:szCs w:val="13"/>
          <w:color w:val="231F20"/>
        </w:rPr>
        <w:t>;</w:t>
      </w:r>
    </w:p>
    <w:p>
      <w:pPr>
        <w:spacing w:after="0" w:line="85" w:lineRule="exact"/>
        <w:rPr>
          <w:rFonts w:ascii="Arial" w:cs="Arial" w:eastAsia="Arial" w:hAnsi="Arial"/>
          <w:sz w:val="13"/>
          <w:szCs w:val="13"/>
          <w:color w:val="auto"/>
        </w:rPr>
      </w:pPr>
    </w:p>
    <w:p>
      <w:pPr>
        <w:ind w:left="480" w:hanging="247"/>
        <w:spacing w:after="0" w:line="248" w:lineRule="auto"/>
        <w:tabs>
          <w:tab w:leader="none" w:pos="480" w:val="left"/>
        </w:tabs>
        <w:numPr>
          <w:ilvl w:val="0"/>
          <w:numId w:val="64"/>
        </w:numPr>
        <w:rPr>
          <w:rFonts w:ascii="Arial" w:cs="Arial" w:eastAsia="Arial" w:hAnsi="Arial"/>
          <w:sz w:val="13"/>
          <w:szCs w:val="13"/>
          <w:color w:val="231F20"/>
        </w:rPr>
      </w:pPr>
      <w:r>
        <w:rPr>
          <w:rFonts w:ascii="Arial" w:cs="Arial" w:eastAsia="Arial" w:hAnsi="Arial"/>
          <w:sz w:val="13"/>
          <w:szCs w:val="13"/>
          <w:color w:val="auto"/>
        </w:rPr>
        <w:t>to implement a scrip dividend by which shareholders are given the option to contribute their dividend entitlements (either in whole or part) as a contribution in kind against issuance of our new shares</w:t>
      </w:r>
      <w:r>
        <w:rPr>
          <w:rFonts w:ascii="Arial" w:cs="Arial" w:eastAsia="Arial" w:hAnsi="Arial"/>
          <w:sz w:val="13"/>
          <w:szCs w:val="13"/>
          <w:color w:val="231F20"/>
        </w:rPr>
        <w:t>;</w:t>
      </w:r>
    </w:p>
    <w:p>
      <w:pPr>
        <w:spacing w:after="0" w:line="85" w:lineRule="exact"/>
        <w:rPr>
          <w:rFonts w:ascii="Arial" w:cs="Arial" w:eastAsia="Arial" w:hAnsi="Arial"/>
          <w:sz w:val="13"/>
          <w:szCs w:val="13"/>
          <w:color w:val="231F20"/>
        </w:rPr>
      </w:pPr>
    </w:p>
    <w:p>
      <w:pPr>
        <w:ind w:left="480" w:hanging="247"/>
        <w:spacing w:after="0" w:line="248" w:lineRule="auto"/>
        <w:tabs>
          <w:tab w:leader="none" w:pos="4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in case shares are to be issued to a member of our Management Board or to another person who is employed by us or one of our affiliates. Additional restrictions with regard to the shares issued may be agreed upon; and</w:t>
      </w:r>
    </w:p>
    <w:p>
      <w:pPr>
        <w:sectPr>
          <w:pgSz w:w="11900" w:h="16840" w:orient="portrait"/>
          <w:cols w:equalWidth="0" w:num="1">
            <w:col w:w="10580"/>
          </w:cols>
          <w:pgMar w:left="660" w:top="1440" w:right="660" w:bottom="1440" w:gutter="0" w:footer="0" w:header="0"/>
        </w:sectPr>
      </w:pPr>
    </w:p>
    <w:bookmarkStart w:id="237" w:name="page238"/>
    <w:bookmarkEnd w:id="237"/>
    <w:p>
      <w:pPr>
        <w:spacing w:after="0" w:line="182" w:lineRule="exact"/>
        <w:rPr>
          <w:sz w:val="20"/>
          <w:szCs w:val="20"/>
          <w:color w:val="auto"/>
        </w:rPr>
      </w:pPr>
    </w:p>
    <w:p>
      <w:pPr>
        <w:ind w:left="480" w:right="80" w:hanging="247"/>
        <w:spacing w:after="0" w:line="248" w:lineRule="auto"/>
        <w:tabs>
          <w:tab w:leader="none" w:pos="480" w:val="left"/>
        </w:tabs>
        <w:numPr>
          <w:ilvl w:val="0"/>
          <w:numId w:val="65"/>
        </w:numPr>
        <w:rPr>
          <w:rFonts w:ascii="Arial" w:cs="Arial" w:eastAsia="Arial" w:hAnsi="Arial"/>
          <w:sz w:val="13"/>
          <w:szCs w:val="13"/>
          <w:color w:val="231F20"/>
        </w:rPr>
      </w:pPr>
      <w:r>
        <w:rPr>
          <w:rFonts w:ascii="Arial" w:cs="Arial" w:eastAsia="Arial" w:hAnsi="Arial"/>
          <w:sz w:val="13"/>
          <w:szCs w:val="13"/>
          <w:color w:val="auto"/>
        </w:rPr>
        <w:t>in order to be able to satisfy an option to acquire additional ordinary shares or American Depositary Shares that has been agreed with the issuing banks in connection with a public offering of our shares in the form of American Depositary Shares.</w:t>
      </w:r>
    </w:p>
    <w:p>
      <w:pPr>
        <w:spacing w:after="0" w:line="85" w:lineRule="exact"/>
        <w:rPr>
          <w:sz w:val="20"/>
          <w:szCs w:val="20"/>
          <w:color w:val="auto"/>
        </w:rPr>
      </w:pPr>
    </w:p>
    <w:p>
      <w:pPr>
        <w:jc w:val="both"/>
        <w:ind w:right="80"/>
        <w:spacing w:after="0" w:line="222" w:lineRule="auto"/>
        <w:rPr>
          <w:sz w:val="20"/>
          <w:szCs w:val="20"/>
          <w:color w:val="auto"/>
        </w:rPr>
      </w:pPr>
      <w:r>
        <w:rPr>
          <w:rFonts w:ascii="Arial" w:cs="Arial" w:eastAsia="Arial" w:hAnsi="Arial"/>
          <w:sz w:val="13"/>
          <w:szCs w:val="13"/>
          <w:color w:val="auto"/>
        </w:rPr>
        <w:t xml:space="preserve">The total number of new shares issued from the authorized capital and under exclusion of subscription rights pursuant to bullets one through three above may not exceed 20% of the share capital, either at the time that the amendment to the Articles of Association ( </w:t>
      </w:r>
      <w:r>
        <w:rPr>
          <w:rFonts w:ascii="Arial" w:cs="Arial" w:eastAsia="Arial" w:hAnsi="Arial"/>
          <w:sz w:val="13"/>
          <w:szCs w:val="13"/>
          <w:i w:val="1"/>
          <w:iCs w:val="1"/>
          <w:color w:val="auto"/>
        </w:rPr>
        <w:t>Satzung</w:t>
      </w:r>
      <w:r>
        <w:rPr>
          <w:rFonts w:ascii="Arial" w:cs="Arial" w:eastAsia="Arial" w:hAnsi="Arial"/>
          <w:sz w:val="13"/>
          <w:szCs w:val="13"/>
          <w:color w:val="auto"/>
        </w:rPr>
        <w:t xml:space="preserve"> ), resolved upon by the general meeting of June 21, 2021, came into effect or, if lower, at the time of utilization of the authorization. To be counted against the aforementioned 20% limit are: (i) those shares issued or to be issued to service conversion or option rights or conversion or option obligations or tender rights of the issuer under bonds, if the bonds have been issued during the term of this authorization up to the time of its exercise, excluding the subscription rights of shareholders, as well as, to a certain extent (ii) treasury shares that have been disposed under exclusion of subscription rights during the term of this authorization (except in the case of certain exceptions of the resolution to item no. 8 of the general meeting of August 19, 2019).</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Shareholders’ Meetings and Voting Rights</w:t>
      </w:r>
    </w:p>
    <w:p>
      <w:pPr>
        <w:spacing w:after="0" w:line="113" w:lineRule="exact"/>
        <w:rPr>
          <w:sz w:val="20"/>
          <w:szCs w:val="20"/>
          <w:color w:val="auto"/>
        </w:rPr>
      </w:pPr>
    </w:p>
    <w:p>
      <w:pPr>
        <w:jc w:val="both"/>
        <w:ind w:right="80"/>
        <w:spacing w:after="0" w:line="222" w:lineRule="auto"/>
        <w:rPr>
          <w:sz w:val="20"/>
          <w:szCs w:val="20"/>
          <w:color w:val="auto"/>
        </w:rPr>
      </w:pPr>
      <w:r>
        <w:rPr>
          <w:rFonts w:ascii="Arial" w:cs="Arial" w:eastAsia="Arial" w:hAnsi="Arial"/>
          <w:sz w:val="13"/>
          <w:szCs w:val="13"/>
          <w:color w:val="auto"/>
        </w:rPr>
        <w:t xml:space="preserve">Pursuant to our Articles of Association ( </w:t>
      </w:r>
      <w:r>
        <w:rPr>
          <w:rFonts w:ascii="Arial" w:cs="Arial" w:eastAsia="Arial" w:hAnsi="Arial"/>
          <w:sz w:val="13"/>
          <w:szCs w:val="13"/>
          <w:i w:val="1"/>
          <w:iCs w:val="1"/>
          <w:color w:val="auto"/>
        </w:rPr>
        <w:t>Satzung</w:t>
      </w:r>
      <w:r>
        <w:rPr>
          <w:rFonts w:ascii="Arial" w:cs="Arial" w:eastAsia="Arial" w:hAnsi="Arial"/>
          <w:sz w:val="13"/>
          <w:szCs w:val="13"/>
          <w:color w:val="auto"/>
        </w:rPr>
        <w:t>), shareholders’ meetings may be held in person or virtually at our seat or in any municipality in Germany with more than 500,000 inhabitants. Generally, shareholders’ meetings are convened by our Management Board, or our Supervisory Board. Shareholders representing in the aggregate at least five percent of our ordinary shares may, subject to certain formal prerequisites, request that a shareholders’ meeting be convened. Shareholders representing in the aggregate at least five percent of our ordinary shares or owning shares with an aggregate nominal value of at least €500,000 may request the addition of one or several items to the agenda of any shareholders’ meeting. Shareholders’ meetings may be summoned either via publication in the German Federal Gazette (</w:t>
      </w:r>
      <w:r>
        <w:rPr>
          <w:rFonts w:ascii="Arial" w:cs="Arial" w:eastAsia="Arial" w:hAnsi="Arial"/>
          <w:sz w:val="13"/>
          <w:szCs w:val="13"/>
          <w:i w:val="1"/>
          <w:iCs w:val="1"/>
          <w:color w:val="auto"/>
        </w:rPr>
        <w:t>Bundesanzeiger</w:t>
      </w:r>
      <w:r>
        <w:rPr>
          <w:rFonts w:ascii="Arial" w:cs="Arial" w:eastAsia="Arial" w:hAnsi="Arial"/>
          <w:sz w:val="13"/>
          <w:szCs w:val="13"/>
          <w:color w:val="auto"/>
        </w:rPr>
        <w:t>) or via mail or email, in each case generally at least 30 days before the meeting.</w:t>
      </w:r>
    </w:p>
    <w:p>
      <w:pPr>
        <w:spacing w:after="0" w:line="90" w:lineRule="exact"/>
        <w:rPr>
          <w:sz w:val="20"/>
          <w:szCs w:val="20"/>
          <w:color w:val="auto"/>
        </w:rPr>
      </w:pPr>
    </w:p>
    <w:p>
      <w:pPr>
        <w:jc w:val="both"/>
        <w:ind w:right="80"/>
        <w:spacing w:after="0" w:line="233" w:lineRule="auto"/>
        <w:rPr>
          <w:sz w:val="20"/>
          <w:szCs w:val="20"/>
          <w:color w:val="auto"/>
        </w:rPr>
      </w:pPr>
      <w:r>
        <w:rPr>
          <w:rFonts w:ascii="Arial" w:cs="Arial" w:eastAsia="Arial" w:hAnsi="Arial"/>
          <w:sz w:val="13"/>
          <w:szCs w:val="13"/>
          <w:color w:val="auto"/>
        </w:rPr>
        <w:t>Shareholders may participate and vote in the shareholders’ meeting if they are registered as a shareholder with the Company’s share register. A shareholder who wishes to attend the shareholders’ meeting—either in person or by proxy, which may also be appointed by us (</w:t>
      </w:r>
      <w:r>
        <w:rPr>
          <w:rFonts w:ascii="Arial" w:cs="Arial" w:eastAsia="Arial" w:hAnsi="Arial"/>
          <w:sz w:val="13"/>
          <w:szCs w:val="13"/>
          <w:i w:val="1"/>
          <w:iCs w:val="1"/>
          <w:color w:val="auto"/>
        </w:rPr>
        <w:t>Stimmrechtsvertreter</w:t>
      </w:r>
      <w:r>
        <w:rPr>
          <w:rFonts w:ascii="Arial" w:cs="Arial" w:eastAsia="Arial" w:hAnsi="Arial"/>
          <w:sz w:val="13"/>
          <w:szCs w:val="13"/>
          <w:color w:val="auto"/>
        </w:rPr>
        <w:t>)—must register for the meeting, which registration must occur no later than six days before the meeting (or at a later date, if so determined by our Management Board).</w:t>
      </w:r>
    </w:p>
    <w:p>
      <w:pPr>
        <w:spacing w:after="0" w:line="90" w:lineRule="exact"/>
        <w:rPr>
          <w:sz w:val="20"/>
          <w:szCs w:val="20"/>
          <w:color w:val="auto"/>
        </w:rPr>
      </w:pPr>
    </w:p>
    <w:p>
      <w:pPr>
        <w:spacing w:after="0" w:line="227" w:lineRule="auto"/>
        <w:rPr>
          <w:sz w:val="20"/>
          <w:szCs w:val="20"/>
          <w:color w:val="auto"/>
        </w:rPr>
      </w:pPr>
      <w:r>
        <w:rPr>
          <w:rFonts w:ascii="Arial" w:cs="Arial" w:eastAsia="Arial" w:hAnsi="Arial"/>
          <w:sz w:val="13"/>
          <w:szCs w:val="13"/>
          <w:color w:val="auto"/>
        </w:rPr>
        <w:t xml:space="preserve">Each share carries one vote at a shareholders’ meeting. Resolutions are, in accordance with our Articles of Association ( </w:t>
      </w:r>
      <w:r>
        <w:rPr>
          <w:rFonts w:ascii="Arial" w:cs="Arial" w:eastAsia="Arial" w:hAnsi="Arial"/>
          <w:sz w:val="13"/>
          <w:szCs w:val="13"/>
          <w:i w:val="1"/>
          <w:iCs w:val="1"/>
          <w:color w:val="auto"/>
        </w:rPr>
        <w:t>Satzung</w:t>
      </w:r>
      <w:r>
        <w:rPr>
          <w:rFonts w:ascii="Arial" w:cs="Arial" w:eastAsia="Arial" w:hAnsi="Arial"/>
          <w:sz w:val="13"/>
          <w:szCs w:val="13"/>
          <w:color w:val="auto"/>
        </w:rPr>
        <w:t>), generally taken by simple majority of the votes cast. However, under applicable German and European law, a number of resolutions must be passed by either a three-quarter majority of the votes cast or a three-quarter majority of the share capital represented at the meeting. The fact that in these cases the quorum is determined in relation to the share capital or shares present (as opposed to, for example, all shares eligible to vote) means that holders of a minority of our shares could potentially control the outcome of resolutions.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Claims against Directors and Shareholders’ Derivative Actions</w:t>
      </w:r>
    </w:p>
    <w:p>
      <w:pPr>
        <w:spacing w:after="0" w:line="113" w:lineRule="exact"/>
        <w:rPr>
          <w:sz w:val="20"/>
          <w:szCs w:val="20"/>
          <w:color w:val="auto"/>
        </w:rPr>
      </w:pPr>
    </w:p>
    <w:p>
      <w:pPr>
        <w:jc w:val="both"/>
        <w:ind w:right="80"/>
        <w:spacing w:after="0" w:line="227" w:lineRule="auto"/>
        <w:rPr>
          <w:sz w:val="20"/>
          <w:szCs w:val="20"/>
          <w:color w:val="auto"/>
        </w:rPr>
      </w:pPr>
      <w:r>
        <w:rPr>
          <w:rFonts w:ascii="Arial" w:cs="Arial" w:eastAsia="Arial" w:hAnsi="Arial"/>
          <w:sz w:val="13"/>
          <w:szCs w:val="13"/>
          <w:color w:val="auto"/>
        </w:rPr>
        <w:t>Under German law, generally, the company, rather than its shareholders, is the proper claimant in an action with respect to a wrong committed against the company, or in cases where there is an irregularity in the company’s internal management or supervision. Therefore, such claims may only be raised by the company represented by its management board, or, in the case of a wrong committed by a member of the management board, by the supervisory board. This concerns, in particular, claims against members of the management board or the supervisory board.</w:t>
      </w:r>
    </w:p>
    <w:p>
      <w:pPr>
        <w:spacing w:after="0" w:line="91" w:lineRule="exact"/>
        <w:rPr>
          <w:sz w:val="20"/>
          <w:szCs w:val="20"/>
          <w:color w:val="auto"/>
        </w:rPr>
      </w:pPr>
    </w:p>
    <w:p>
      <w:pPr>
        <w:jc w:val="both"/>
        <w:ind w:right="80"/>
        <w:spacing w:after="0" w:line="224" w:lineRule="auto"/>
        <w:rPr>
          <w:sz w:val="20"/>
          <w:szCs w:val="20"/>
          <w:color w:val="auto"/>
        </w:rPr>
      </w:pPr>
      <w:r>
        <w:rPr>
          <w:rFonts w:ascii="Arial" w:cs="Arial" w:eastAsia="Arial" w:hAnsi="Arial"/>
          <w:sz w:val="13"/>
          <w:szCs w:val="13"/>
          <w:color w:val="auto"/>
        </w:rPr>
        <w:t>However, pursuant to German case law, the supervisory board is obliged to pursue the company’s claims against the management board, unless the interest of the company keeps them from doing so. Further, 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also request that a representative pursue the claim on behalf of the company. The court may appoint such a representative upon the request of shareholders holding at least 10% of the company’s share capital or a participation of at least €1,000,000 in the share capital.</w:t>
      </w:r>
    </w:p>
    <w:p>
      <w:pPr>
        <w:spacing w:after="0" w:line="91" w:lineRule="exact"/>
        <w:rPr>
          <w:sz w:val="20"/>
          <w:szCs w:val="20"/>
          <w:color w:val="auto"/>
        </w:rPr>
      </w:pPr>
    </w:p>
    <w:p>
      <w:pPr>
        <w:jc w:val="both"/>
        <w:ind w:right="80"/>
        <w:spacing w:after="0" w:line="248" w:lineRule="auto"/>
        <w:rPr>
          <w:sz w:val="20"/>
          <w:szCs w:val="20"/>
          <w:color w:val="auto"/>
        </w:rPr>
      </w:pPr>
      <w:r>
        <w:rPr>
          <w:rFonts w:ascii="Arial" w:cs="Arial" w:eastAsia="Arial" w:hAnsi="Arial"/>
          <w:sz w:val="13"/>
          <w:szCs w:val="13"/>
          <w:color w:val="auto"/>
        </w:rPr>
        <w:t>If the company is unable to fulfill its third-party obligations, the company’s creditors may pursue the company’s damage claims against members of the management board for certain wrongdoings.</w:t>
      </w:r>
    </w:p>
    <w:p>
      <w:pPr>
        <w:sectPr>
          <w:pgSz w:w="11900" w:h="16840" w:orient="portrait"/>
          <w:cols w:equalWidth="0" w:num="1">
            <w:col w:w="10660"/>
          </w:cols>
          <w:pgMar w:left="660" w:top="1440" w:right="580" w:bottom="1440" w:gutter="0" w:footer="0" w:header="0"/>
        </w:sectPr>
      </w:pPr>
    </w:p>
    <w:bookmarkStart w:id="238" w:name="page239"/>
    <w:bookmarkEnd w:id="238"/>
    <w:p>
      <w:pPr>
        <w:spacing w:after="0" w:line="182" w:lineRule="exact"/>
        <w:rPr>
          <w:sz w:val="20"/>
          <w:szCs w:val="20"/>
          <w:color w:val="auto"/>
        </w:rPr>
      </w:pPr>
    </w:p>
    <w:p>
      <w:pPr>
        <w:jc w:val="both"/>
        <w:spacing w:after="0" w:line="227" w:lineRule="auto"/>
        <w:rPr>
          <w:sz w:val="20"/>
          <w:szCs w:val="20"/>
          <w:color w:val="auto"/>
        </w:rPr>
      </w:pPr>
      <w:r>
        <w:rPr>
          <w:rFonts w:ascii="Arial" w:cs="Arial" w:eastAsia="Arial" w:hAnsi="Arial"/>
          <w:sz w:val="13"/>
          <w:szCs w:val="13"/>
          <w:color w:val="auto"/>
        </w:rPr>
        <w:t>Under certain circumstances, shareholders can bring forward damage claims of the company against its management on their own behalf. In order to bring forward such a claim one shareholder alone or together with other shareholders needs to hold at least 1% of the company’s share capital or a participation of €100,000 in the share capital. Additionally, the claimant(s) must comply with special claim approval procedures conducted before a competent court which will allow the pertinent request only if there are circumstances justifying the assumption that damage has been afflicted on the company by improper conduct or a gross breach of the law or the articles of association.</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Dividend Rights</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Under German law, distributions of dividends on shares for a given financial year are generally determined by a process in which the management board and supervisory board submit a proposal to the company’s annual general shareholders’ meeting held in the subsequent financial year and such annual general shareholders’ meeting adopts a resolution.</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3"/>
          <w:szCs w:val="13"/>
          <w:color w:val="auto"/>
        </w:rPr>
        <w:t>German law provides that a resolution concerning dividends and distribution thereof may be adopted only if the company’s unconsolidated financial statements prepared in accordance with German law show net retained profits.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spacing w:after="0" w:line="209"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Shareholders generally participate in profit distributions in proportion to the number of shares they hold. Dividends on shares resolved by the general shareholders’ meeting are paid annually, shortly after the general shareholders’ meeting, in compliance with the rules of the respective clearing system. Dividend payment claims are subject to a three-year statute of limitation in the company’s favor</w:t>
      </w:r>
      <w:r>
        <w:rPr>
          <w:rFonts w:ascii="Arial" w:cs="Arial" w:eastAsia="Arial" w:hAnsi="Arial"/>
          <w:sz w:val="13"/>
          <w:szCs w:val="13"/>
          <w:color w:val="231F20"/>
        </w:rPr>
        <w: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Authorization to Purchase and Sell Our Own Shares</w:t>
      </w:r>
    </w:p>
    <w:p>
      <w:pPr>
        <w:spacing w:after="0" w:line="113" w:lineRule="exact"/>
        <w:rPr>
          <w:sz w:val="20"/>
          <w:szCs w:val="20"/>
          <w:color w:val="auto"/>
        </w:rPr>
      </w:pPr>
    </w:p>
    <w:p>
      <w:pPr>
        <w:jc w:val="both"/>
        <w:spacing w:after="0" w:line="220" w:lineRule="auto"/>
        <w:rPr>
          <w:sz w:val="20"/>
          <w:szCs w:val="20"/>
          <w:color w:val="auto"/>
        </w:rPr>
      </w:pPr>
      <w:r>
        <w:rPr>
          <w:rFonts w:ascii="Arial" w:cs="Arial" w:eastAsia="Arial" w:hAnsi="Arial"/>
          <w:sz w:val="13"/>
          <w:szCs w:val="13"/>
          <w:color w:val="auto"/>
        </w:rPr>
        <w:t>We may not purchase our own shares unless authorized by the shareholders’ meeting or in other very limited circumstances as set out in the AktG. The Company’s shareholders’ meeting held on May 17, 2024 authorized the Management Board until May 16, 2029, provided it complies with the legal requirement of equal treatment, to acquire treasury shares up to a total of 10% of the Company’s share capital at the time of the relevant resolution or at the time the authorization is exercised. These shares held by the Company (including shares attributable to it pursuant to the AktG) must never exceed 10% of the share capital. The shares may be purchased (i) through the stock exchange, (ii) by means of a public offer directed to all shareholders of the Company, (iii) by means of a public invitation to the shareholders to make a sales offer or (iv) from the Bill &amp; Melinda Gates Foundation under very limited circumstances as specified in the authorization. Such shares may not be purchased for trading purposes. The Management Board is authorized to use the shares only as specified in the authorization.</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Squeeze-Out of Minority Shareholders</w:t>
      </w:r>
    </w:p>
    <w:p>
      <w:pPr>
        <w:spacing w:after="0" w:line="113"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Under German law, the shareholders’ meeting of a stock corporation may resolve, upon request of a shareholder that holds at least 95% of the share capital, that the shares held by any remaining minority shareholders be transferred to the majority shareholder against payment of “adequate cash compensation” (</w:t>
      </w:r>
      <w:r>
        <w:rPr>
          <w:rFonts w:ascii="Arial" w:cs="Arial" w:eastAsia="Arial" w:hAnsi="Arial"/>
          <w:sz w:val="13"/>
          <w:szCs w:val="13"/>
          <w:i w:val="1"/>
          <w:iCs w:val="1"/>
          <w:color w:val="auto"/>
        </w:rPr>
        <w:t>Ausschluss von Minderheitsaktionären</w:t>
      </w:r>
      <w:r>
        <w:rPr>
          <w:rFonts w:ascii="Arial" w:cs="Arial" w:eastAsia="Arial" w:hAnsi="Arial"/>
          <w:sz w:val="13"/>
          <w:szCs w:val="13"/>
          <w:color w:val="auto"/>
        </w:rPr>
        <w:t xml:space="preserve"> ). This amount must take into account the full value of the company at the time of the resolution, which is generally determined using the future earnings value method (</w:t>
      </w:r>
      <w:r>
        <w:rPr>
          <w:rFonts w:ascii="Arial" w:cs="Arial" w:eastAsia="Arial" w:hAnsi="Arial"/>
          <w:sz w:val="13"/>
          <w:szCs w:val="13"/>
          <w:i w:val="1"/>
          <w:iCs w:val="1"/>
          <w:color w:val="auto"/>
        </w:rPr>
        <w:t>Ertragswertmethode</w:t>
      </w:r>
      <w:r>
        <w:rPr>
          <w:rFonts w:ascii="Arial" w:cs="Arial" w:eastAsia="Arial" w:hAnsi="Arial"/>
          <w:sz w:val="13"/>
          <w:szCs w:val="13"/>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A squeeze-out in the context of a merger ( </w:t>
      </w:r>
      <w:r>
        <w:rPr>
          <w:rFonts w:ascii="Arial" w:cs="Arial" w:eastAsia="Arial" w:hAnsi="Arial"/>
          <w:sz w:val="13"/>
          <w:szCs w:val="13"/>
          <w:i w:val="1"/>
          <w:iCs w:val="1"/>
          <w:color w:val="auto"/>
        </w:rPr>
        <w:t>umwandlungsrechtlicher Squeeze-Out</w:t>
      </w:r>
      <w:r>
        <w:rPr>
          <w:rFonts w:ascii="Arial" w:cs="Arial" w:eastAsia="Arial" w:hAnsi="Arial"/>
          <w:sz w:val="13"/>
          <w:szCs w:val="13"/>
          <w:color w:val="auto"/>
        </w:rPr>
        <w:t>) only requires a majority shareholder to hold at least 90% of the share capital.</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Liquidation Rights</w:t>
      </w:r>
    </w:p>
    <w:p>
      <w:pPr>
        <w:spacing w:after="0" w:line="113" w:lineRule="exact"/>
        <w:rPr>
          <w:sz w:val="20"/>
          <w:szCs w:val="20"/>
          <w:color w:val="auto"/>
        </w:rPr>
      </w:pPr>
    </w:p>
    <w:p>
      <w:pPr>
        <w:jc w:val="both"/>
        <w:spacing w:after="0" w:line="227" w:lineRule="auto"/>
        <w:rPr>
          <w:sz w:val="20"/>
          <w:szCs w:val="20"/>
          <w:color w:val="auto"/>
        </w:rPr>
      </w:pPr>
      <w:r>
        <w:rPr>
          <w:rFonts w:ascii="Arial" w:cs="Arial" w:eastAsia="Arial" w:hAnsi="Arial"/>
          <w:sz w:val="13"/>
          <w:szCs w:val="13"/>
          <w:color w:val="auto"/>
        </w:rPr>
        <w:t>Apart from liquidation, e.g., as a result of insolvency proceedings, we may be liquidated with a vote of the holders of at least three -quarters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provides certain protections for creditors, which must be observed in the event of liquidation.</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Differences in Corporate Law</w:t>
      </w:r>
    </w:p>
    <w:p>
      <w:pPr>
        <w:sectPr>
          <w:pgSz w:w="11900" w:h="16840" w:orient="portrait"/>
          <w:cols w:equalWidth="0" w:num="1">
            <w:col w:w="10580"/>
          </w:cols>
          <w:pgMar w:left="660" w:top="1440" w:right="660" w:bottom="1440" w:gutter="0" w:footer="0" w:header="0"/>
        </w:sectPr>
      </w:pPr>
    </w:p>
    <w:bookmarkStart w:id="239" w:name="page240"/>
    <w:bookmarkEnd w:id="239"/>
    <w:p>
      <w:pPr>
        <w:spacing w:after="0" w:line="242" w:lineRule="exact"/>
        <w:rPr>
          <w:sz w:val="20"/>
          <w:szCs w:val="20"/>
          <w:color w:val="auto"/>
        </w:rPr>
      </w:pPr>
    </w:p>
    <w:p>
      <w:pPr>
        <w:jc w:val="both"/>
        <w:spacing w:after="0" w:line="227" w:lineRule="auto"/>
        <w:rPr>
          <w:sz w:val="20"/>
          <w:szCs w:val="20"/>
          <w:color w:val="auto"/>
        </w:rPr>
      </w:pPr>
      <w:r>
        <w:rPr>
          <w:rFonts w:ascii="Arial" w:cs="Arial" w:eastAsia="Arial" w:hAnsi="Arial"/>
          <w:sz w:val="13"/>
          <w:szCs w:val="13"/>
          <w:color w:val="auto"/>
        </w:rPr>
        <w:t>The applicable provisions of the SE Regulation in conjunction with the German Stock Corporation Act as applied to a European stock corporation that has its legal seat in Germany differ from laws applicable to U.S. corporations and their shareholders. Set forth below is a summary of certain differences between the provisions of the SE Regulation in conjunction with the German Stock Corporation Act applicable to us and the General Corporation Law of the State of Delaware relating to shareholders’ rights and protections. This summary is not intended to be a complete discussion of the respective rights and it is qualified in its entirety by reference to Delaware law and European and German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6726555" cy="127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10">
                      <a:extLst>
                        <a:ext uri="{28A0092B-C50C-407E-A947-70E740481C1C}"/>
                      </a:extLst>
                    </a:blip>
                    <a:srcRect/>
                    <a:stretch>
                      <a:fillRect/>
                    </a:stretch>
                  </pic:blipFill>
                  <pic:spPr bwMode="auto">
                    <a:xfrm>
                      <a:off x="0" y="0"/>
                      <a:ext cx="6726555" cy="1270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360" w:type="dxa"/>
            <w:vAlign w:val="bottom"/>
            <w:tcBorders>
              <w:bottom w:val="single" w:sz="8" w:color="005A64"/>
            </w:tcBorders>
          </w:tcPr>
          <w:p>
            <w:pPr>
              <w:spacing w:after="0"/>
              <w:rPr>
                <w:sz w:val="13"/>
                <w:szCs w:val="13"/>
                <w:color w:val="auto"/>
              </w:rPr>
            </w:pPr>
          </w:p>
        </w:tc>
        <w:tc>
          <w:tcPr>
            <w:tcW w:w="140" w:type="dxa"/>
            <w:vAlign w:val="bottom"/>
          </w:tcPr>
          <w:p>
            <w:pPr>
              <w:spacing w:after="0"/>
              <w:rPr>
                <w:sz w:val="13"/>
                <w:szCs w:val="13"/>
                <w:color w:val="auto"/>
              </w:rPr>
            </w:pPr>
          </w:p>
        </w:tc>
        <w:tc>
          <w:tcPr>
            <w:tcW w:w="4000" w:type="dxa"/>
            <w:vAlign w:val="bottom"/>
            <w:tcBorders>
              <w:bottom w:val="single" w:sz="8" w:color="005A64"/>
            </w:tcBorders>
          </w:tcPr>
          <w:p>
            <w:pPr>
              <w:spacing w:after="0"/>
              <w:rPr>
                <w:sz w:val="20"/>
                <w:szCs w:val="20"/>
                <w:color w:val="auto"/>
              </w:rPr>
            </w:pPr>
            <w:r>
              <w:rPr>
                <w:rFonts w:ascii="Arial" w:cs="Arial" w:eastAsia="Arial" w:hAnsi="Arial"/>
                <w:sz w:val="11"/>
                <w:szCs w:val="11"/>
                <w:color w:val="auto"/>
              </w:rPr>
              <w:t>European Union/Federal Republic of Germany</w:t>
            </w:r>
          </w:p>
        </w:tc>
      </w:tr>
      <w:tr>
        <w:trPr>
          <w:trHeight w:val="139"/>
        </w:trPr>
        <w:tc>
          <w:tcPr>
            <w:tcW w:w="2360" w:type="dxa"/>
            <w:vAlign w:val="bottom"/>
          </w:tcPr>
          <w:p>
            <w:pPr>
              <w:spacing w:after="0"/>
              <w:rPr>
                <w:sz w:val="20"/>
                <w:szCs w:val="20"/>
                <w:color w:val="auto"/>
              </w:rPr>
            </w:pPr>
            <w:r>
              <w:rPr>
                <w:rFonts w:ascii="Arial" w:cs="Arial" w:eastAsia="Arial" w:hAnsi="Arial"/>
                <w:sz w:val="11"/>
                <w:szCs w:val="11"/>
                <w:color w:val="auto"/>
              </w:rPr>
              <w:t>Board System</w:t>
            </w:r>
          </w:p>
        </w:tc>
        <w:tc>
          <w:tcPr>
            <w:tcW w:w="14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A European stock corporation may choose to have a two-tier board structure</w:t>
            </w:r>
          </w:p>
        </w:tc>
      </w:tr>
      <w:tr>
        <w:trPr>
          <w:trHeight w:val="131"/>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composed of the Management Board (Vorstand) and the Supervisory Board</w:t>
            </w:r>
          </w:p>
        </w:tc>
      </w:tr>
      <w:tr>
        <w:trPr>
          <w:trHeight w:val="147"/>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(Aufsichtsrat). We have chosen this structure.</w:t>
            </w:r>
          </w:p>
        </w:tc>
      </w:tr>
      <w:tr>
        <w:trPr>
          <w:trHeight w:val="217"/>
        </w:trPr>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The Management Board is responsible for running the company’s affairs and</w:t>
            </w:r>
          </w:p>
        </w:tc>
      </w:tr>
      <w:tr>
        <w:trPr>
          <w:trHeight w:val="147"/>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representing the company in dealings with third parties.</w:t>
            </w:r>
          </w:p>
        </w:tc>
      </w:tr>
      <w:tr>
        <w:trPr>
          <w:trHeight w:val="217"/>
        </w:trPr>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The Supervisory Board of a European stock corporation under German law has</w:t>
            </w:r>
          </w:p>
        </w:tc>
      </w:tr>
      <w:tr>
        <w:trPr>
          <w:trHeight w:val="131"/>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a control and supervisory function. The Supervisory Board does not actively</w:t>
            </w:r>
          </w:p>
        </w:tc>
      </w:tr>
      <w:tr>
        <w:trPr>
          <w:trHeight w:val="131"/>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manage the company but certain Management Board actions require the</w:t>
            </w:r>
          </w:p>
        </w:tc>
      </w:tr>
      <w:tr>
        <w:trPr>
          <w:trHeight w:val="147"/>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approval of the Supervisory Board.</w:t>
            </w:r>
          </w:p>
        </w:tc>
      </w:tr>
      <w:tr>
        <w:trPr>
          <w:trHeight w:val="258"/>
        </w:trPr>
        <w:tc>
          <w:tcPr>
            <w:tcW w:w="2360" w:type="dxa"/>
            <w:vAlign w:val="bottom"/>
          </w:tcPr>
          <w:p>
            <w:pPr>
              <w:spacing w:after="0"/>
              <w:rPr>
                <w:sz w:val="20"/>
                <w:szCs w:val="20"/>
                <w:color w:val="auto"/>
              </w:rPr>
            </w:pPr>
            <w:r>
              <w:rPr>
                <w:rFonts w:ascii="Arial" w:cs="Arial" w:eastAsia="Arial" w:hAnsi="Arial"/>
                <w:sz w:val="11"/>
                <w:szCs w:val="11"/>
                <w:color w:val="auto"/>
              </w:rPr>
              <w:t>Appointment and Number of Directors</w:t>
            </w:r>
          </w:p>
        </w:tc>
        <w:tc>
          <w:tcPr>
            <w:tcW w:w="140" w:type="dxa"/>
            <w:vAlign w:val="bottom"/>
          </w:tcPr>
          <w:p>
            <w:pPr>
              <w:spacing w:after="0"/>
              <w:rPr>
                <w:sz w:val="22"/>
                <w:szCs w:val="22"/>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Under applicable European and German law, a European stock corporation</w:t>
            </w:r>
          </w:p>
        </w:tc>
      </w:tr>
      <w:tr>
        <w:trPr>
          <w:trHeight w:val="131"/>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governed by German law with a share capital of at least €3 million generally</w:t>
            </w:r>
          </w:p>
        </w:tc>
      </w:tr>
      <w:tr>
        <w:trPr>
          <w:trHeight w:val="131"/>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must have at least two members on its Management Board and the number of</w:t>
            </w:r>
          </w:p>
        </w:tc>
      </w:tr>
      <w:tr>
        <w:trPr>
          <w:trHeight w:val="131"/>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members shall be determined by or in the manner provided in the company’s</w:t>
            </w:r>
          </w:p>
        </w:tc>
      </w:tr>
      <w:tr>
        <w:trPr>
          <w:trHeight w:val="147"/>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articles of association.</w:t>
            </w:r>
          </w:p>
        </w:tc>
      </w:tr>
      <w:tr>
        <w:trPr>
          <w:trHeight w:val="217"/>
        </w:trPr>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The Supervisory Board must consist of at least three but—depending on the</w:t>
            </w:r>
          </w:p>
        </w:tc>
      </w:tr>
      <w:tr>
        <w:trPr>
          <w:trHeight w:val="131"/>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share capital—no more than 21 Supervisory Board members, whereby the</w:t>
            </w:r>
          </w:p>
        </w:tc>
      </w:tr>
      <w:tr>
        <w:trPr>
          <w:trHeight w:val="131"/>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number of Supervisory Board members must be divisible by three if this is</w:t>
            </w:r>
          </w:p>
        </w:tc>
      </w:tr>
      <w:tr>
        <w:trPr>
          <w:trHeight w:val="131"/>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necessary for the fulfilment of co-determination requirements. The articles of</w:t>
            </w:r>
          </w:p>
        </w:tc>
      </w:tr>
      <w:tr>
        <w:trPr>
          <w:trHeight w:val="131"/>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association of the company must specify if the Supervisory Board has more than</w:t>
            </w:r>
          </w:p>
        </w:tc>
      </w:tr>
      <w:tr>
        <w:trPr>
          <w:trHeight w:val="147"/>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three members.</w:t>
            </w:r>
          </w:p>
        </w:tc>
      </w:tr>
      <w:tr>
        <w:trPr>
          <w:trHeight w:val="217"/>
        </w:trPr>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Supervisory Board members are either appointed by the shareholders’ meeting</w:t>
            </w:r>
          </w:p>
        </w:tc>
      </w:tr>
      <w:tr>
        <w:trPr>
          <w:trHeight w:val="131"/>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or delegated by one or more individual shareholders if so provided for in the</w:t>
            </w:r>
          </w:p>
        </w:tc>
      </w:tr>
      <w:tr>
        <w:trPr>
          <w:trHeight w:val="131"/>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company’s articles of association. If the Supervisory Board consists of fewer</w:t>
            </w:r>
          </w:p>
        </w:tc>
      </w:tr>
      <w:tr>
        <w:trPr>
          <w:trHeight w:val="131"/>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members than is required to meet the quorum for resolutions (either statutory or</w:t>
            </w:r>
          </w:p>
        </w:tc>
      </w:tr>
      <w:tr>
        <w:trPr>
          <w:trHeight w:val="131"/>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pursuant to the company’s articles of association), a competent court may</w:t>
            </w:r>
          </w:p>
        </w:tc>
      </w:tr>
      <w:tr>
        <w:trPr>
          <w:trHeight w:val="131"/>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appoint additional members as needed to meet the quorum. The provisions of</w:t>
            </w:r>
          </w:p>
        </w:tc>
      </w:tr>
      <w:tr>
        <w:trPr>
          <w:trHeight w:val="131"/>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German law in relation to employees’ co-determination do not apply to the</w:t>
            </w:r>
          </w:p>
        </w:tc>
      </w:tr>
      <w:tr>
        <w:trPr>
          <w:trHeight w:val="147"/>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1"/>
                <w:szCs w:val="11"/>
                <w:color w:val="auto"/>
              </w:rPr>
              <w:t>Company.</w:t>
            </w:r>
          </w:p>
        </w:tc>
      </w:tr>
    </w:tbl>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1"/>
          <w:szCs w:val="1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2509520" cy="63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11">
                      <a:extLst>
                        <a:ext uri="{28A0092B-C50C-407E-A947-70E740481C1C}"/>
                      </a:extLst>
                    </a:blip>
                    <a:srcRect/>
                    <a:stretch>
                      <a:fillRect/>
                    </a:stretch>
                  </pic:blipFill>
                  <pic:spPr bwMode="auto">
                    <a:xfrm>
                      <a:off x="0" y="0"/>
                      <a:ext cx="2509520" cy="6350"/>
                    </a:xfrm>
                    <a:prstGeom prst="rect">
                      <a:avLst/>
                    </a:prstGeom>
                    <a:noFill/>
                  </pic:spPr>
                </pic:pic>
              </a:graphicData>
            </a:graphic>
          </wp:anchor>
        </w:drawing>
      </w:r>
    </w:p>
    <w:p>
      <w:pPr>
        <w:spacing w:after="0" w:line="35" w:lineRule="exact"/>
        <w:rPr>
          <w:sz w:val="20"/>
          <w:szCs w:val="20"/>
          <w:color w:val="auto"/>
        </w:rPr>
      </w:pPr>
    </w:p>
    <w:p>
      <w:pPr>
        <w:ind w:right="100"/>
        <w:spacing w:after="0" w:line="262" w:lineRule="auto"/>
        <w:rPr>
          <w:sz w:val="20"/>
          <w:szCs w:val="20"/>
          <w:color w:val="auto"/>
        </w:rPr>
      </w:pPr>
      <w:r>
        <w:rPr>
          <w:rFonts w:ascii="Arial" w:cs="Arial" w:eastAsia="Arial" w:hAnsi="Arial"/>
          <w:sz w:val="11"/>
          <w:szCs w:val="11"/>
          <w:color w:val="auto"/>
        </w:rPr>
        <w:t>Under Delaware law, a corporation has a unitary board structure, and it is the responsibility of the board of directors to appoint and oversee the management of the corporation on behalf of and in the best interests of the stockholders of the corporation.</w:t>
      </w:r>
    </w:p>
    <w:p>
      <w:pPr>
        <w:spacing w:after="0" w:line="74" w:lineRule="exact"/>
        <w:rPr>
          <w:sz w:val="20"/>
          <w:szCs w:val="20"/>
          <w:color w:val="auto"/>
        </w:rPr>
      </w:pPr>
    </w:p>
    <w:p>
      <w:pPr>
        <w:ind w:right="100"/>
        <w:spacing w:after="0" w:line="287" w:lineRule="auto"/>
        <w:rPr>
          <w:sz w:val="20"/>
          <w:szCs w:val="20"/>
          <w:color w:val="auto"/>
        </w:rPr>
      </w:pPr>
      <w:r>
        <w:rPr>
          <w:rFonts w:ascii="Arial" w:cs="Arial" w:eastAsia="Arial" w:hAnsi="Arial"/>
          <w:sz w:val="11"/>
          <w:szCs w:val="11"/>
          <w:color w:val="auto"/>
        </w:rPr>
        <w:t>Management is responsible for running the corporation and overseeing its day-to-day operations.</w:t>
      </w:r>
    </w:p>
    <w:p>
      <w:pPr>
        <w:spacing w:after="0" w:line="200" w:lineRule="exact"/>
        <w:rPr>
          <w:sz w:val="20"/>
          <w:szCs w:val="20"/>
          <w:color w:val="auto"/>
        </w:rPr>
      </w:pPr>
    </w:p>
    <w:p>
      <w:pPr>
        <w:spacing w:after="0" w:line="397" w:lineRule="exact"/>
        <w:rPr>
          <w:sz w:val="20"/>
          <w:szCs w:val="20"/>
          <w:color w:val="auto"/>
        </w:rPr>
      </w:pPr>
    </w:p>
    <w:p>
      <w:pPr>
        <w:ind w:right="200"/>
        <w:spacing w:after="0" w:line="287" w:lineRule="auto"/>
        <w:rPr>
          <w:sz w:val="20"/>
          <w:szCs w:val="20"/>
          <w:color w:val="auto"/>
        </w:rPr>
      </w:pPr>
      <w:r>
        <w:rPr>
          <w:rFonts w:ascii="Arial" w:cs="Arial" w:eastAsia="Arial" w:hAnsi="Arial"/>
          <w:sz w:val="11"/>
          <w:szCs w:val="11"/>
          <w:color w:val="auto"/>
        </w:rPr>
        <w:t>Under Delaware law, a corporation must have at least one director and the number of directors shall be fixed by or in the manner provided in the bylaws.</w:t>
      </w:r>
    </w:p>
    <w:p>
      <w:pPr>
        <w:sectPr>
          <w:pgSz w:w="11900" w:h="16840" w:orient="portrait"/>
          <w:cols w:equalWidth="0" w:num="2">
            <w:col w:w="6500" w:space="140"/>
            <w:col w:w="3980"/>
          </w:cols>
          <w:pgMar w:left="660" w:top="1440" w:right="620" w:bottom="1440" w:gutter="0" w:footer="0" w:header="0"/>
          <w:type w:val="continuous"/>
        </w:sectPr>
      </w:pPr>
    </w:p>
    <w:bookmarkStart w:id="240" w:name="page241"/>
    <w:bookmarkEnd w:id="2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413385</wp:posOffset>
            </wp:positionH>
            <wp:positionV relativeFrom="page">
              <wp:posOffset>1093470</wp:posOffset>
            </wp:positionV>
            <wp:extent cx="6726555" cy="127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12">
                      <a:extLst>
                        <a:ext uri="{28A0092B-C50C-407E-A947-70E740481C1C}"/>
                      </a:extLst>
                    </a:blip>
                    <a:srcRect/>
                    <a:stretch>
                      <a:fillRect/>
                    </a:stretch>
                  </pic:blipFill>
                  <pic:spPr bwMode="auto">
                    <a:xfrm>
                      <a:off x="0" y="0"/>
                      <a:ext cx="6726555" cy="12700"/>
                    </a:xfrm>
                    <a:prstGeom prst="rect">
                      <a:avLst/>
                    </a:prstGeom>
                    <a:noFill/>
                  </pic:spPr>
                </pic:pic>
              </a:graphicData>
            </a:graphic>
          </wp:anchor>
        </w:drawing>
      </w:r>
    </w:p>
    <w:p>
      <w:pPr>
        <w:spacing w:after="0" w:line="224" w:lineRule="exact"/>
        <w:rPr>
          <w:sz w:val="20"/>
          <w:szCs w:val="20"/>
          <w:color w:val="auto"/>
        </w:rPr>
      </w:pPr>
    </w:p>
    <w:p>
      <w:pPr>
        <w:ind w:left="2400"/>
        <w:spacing w:after="0"/>
        <w:rPr>
          <w:sz w:val="20"/>
          <w:szCs w:val="20"/>
          <w:color w:val="auto"/>
        </w:rPr>
      </w:pPr>
      <w:r>
        <w:rPr>
          <w:rFonts w:ascii="Arial" w:cs="Arial" w:eastAsia="Arial" w:hAnsi="Arial"/>
          <w:sz w:val="11"/>
          <w:szCs w:val="11"/>
          <w:color w:val="auto"/>
        </w:rPr>
        <w:t>European Union/Federal Republic of Germany</w:t>
      </w:r>
    </w:p>
    <w:p>
      <w:pPr>
        <w:spacing w:after="0" w:line="45" w:lineRule="exact"/>
        <w:rPr>
          <w:sz w:val="20"/>
          <w:szCs w:val="20"/>
          <w:color w:val="auto"/>
        </w:rPr>
      </w:pPr>
    </w:p>
    <w:p>
      <w:pPr>
        <w:spacing w:after="0"/>
        <w:tabs>
          <w:tab w:leader="none" w:pos="2380" w:val="left"/>
        </w:tabs>
        <w:rPr>
          <w:sz w:val="20"/>
          <w:szCs w:val="20"/>
          <w:color w:val="auto"/>
        </w:rPr>
      </w:pPr>
      <w:r>
        <w:rPr>
          <w:rFonts w:ascii="Arial" w:cs="Arial" w:eastAsia="Arial" w:hAnsi="Arial"/>
          <w:sz w:val="11"/>
          <w:szCs w:val="11"/>
          <w:color w:val="auto"/>
        </w:rPr>
        <w:t>Removal of Directors</w:t>
      </w:r>
      <w:r>
        <w:rPr>
          <w:sz w:val="20"/>
          <w:szCs w:val="20"/>
          <w:color w:val="auto"/>
        </w:rPr>
        <w:tab/>
      </w:r>
      <w:r>
        <w:rPr>
          <w:rFonts w:ascii="Arial" w:cs="Arial" w:eastAsia="Arial" w:hAnsi="Arial"/>
          <w:sz w:val="11"/>
          <w:szCs w:val="11"/>
          <w:color w:val="auto"/>
        </w:rPr>
        <w:t>Members of the Management Board of a European stock corporation are appointed</w:t>
      </w:r>
    </w:p>
    <w:p>
      <w:pPr>
        <w:spacing w:after="0" w:line="15" w:lineRule="exact"/>
        <w:rPr>
          <w:sz w:val="20"/>
          <w:szCs w:val="20"/>
          <w:color w:val="auto"/>
        </w:rPr>
      </w:pPr>
    </w:p>
    <w:p>
      <w:pPr>
        <w:ind w:left="2400"/>
        <w:spacing w:after="0" w:line="251" w:lineRule="auto"/>
        <w:rPr>
          <w:sz w:val="20"/>
          <w:szCs w:val="20"/>
          <w:color w:val="auto"/>
        </w:rPr>
      </w:pPr>
      <w:r>
        <w:rPr>
          <w:rFonts w:ascii="Arial" w:cs="Arial" w:eastAsia="Arial" w:hAnsi="Arial"/>
          <w:sz w:val="11"/>
          <w:szCs w:val="11"/>
          <w:color w:val="auto"/>
        </w:rPr>
        <w:t>by the Supervisory Board for a maximum period of six years with an opportunity to be reelected. The articles of association may provide for a shorter term which in our case is up to five years. The members of the Management Board may be reelected, even repeatedly. The Supervisory Board may remove a member of the Management Board prior to the expiration of his or her term only for cause, such as gross breach of duties (</w:t>
      </w:r>
      <w:r>
        <w:rPr>
          <w:rFonts w:ascii="Arial" w:cs="Arial" w:eastAsia="Arial" w:hAnsi="Arial"/>
          <w:sz w:val="11"/>
          <w:szCs w:val="11"/>
          <w:i w:val="1"/>
          <w:iCs w:val="1"/>
          <w:color w:val="auto"/>
        </w:rPr>
        <w:t>grobe Pflichtverletzung</w:t>
      </w:r>
      <w:r>
        <w:rPr>
          <w:rFonts w:ascii="Arial" w:cs="Arial" w:eastAsia="Arial" w:hAnsi="Arial"/>
          <w:sz w:val="11"/>
          <w:szCs w:val="11"/>
          <w:color w:val="auto"/>
        </w:rPr>
        <w:t>), the inability to manage the business properly (</w:t>
      </w:r>
      <w:r>
        <w:rPr>
          <w:rFonts w:ascii="Arial" w:cs="Arial" w:eastAsia="Arial" w:hAnsi="Arial"/>
          <w:sz w:val="11"/>
          <w:szCs w:val="11"/>
          <w:i w:val="1"/>
          <w:iCs w:val="1"/>
          <w:color w:val="auto"/>
        </w:rPr>
        <w:t>Unfähigkeit zur ordnungsgemäßen Pflichtausübung</w:t>
      </w:r>
      <w:r>
        <w:rPr>
          <w:rFonts w:ascii="Arial" w:cs="Arial" w:eastAsia="Arial" w:hAnsi="Arial"/>
          <w:sz w:val="11"/>
          <w:szCs w:val="11"/>
          <w:color w:val="auto"/>
        </w:rPr>
        <w:t>) or a vote of no-confidence during the shareholders’ meeting (</w:t>
      </w:r>
      <w:r>
        <w:rPr>
          <w:rFonts w:ascii="Arial" w:cs="Arial" w:eastAsia="Arial" w:hAnsi="Arial"/>
          <w:sz w:val="11"/>
          <w:szCs w:val="11"/>
          <w:i w:val="1"/>
          <w:iCs w:val="1"/>
          <w:color w:val="auto"/>
        </w:rPr>
        <w:t>Vertrauensentzug</w:t>
      </w:r>
      <w:r>
        <w:rPr>
          <w:rFonts w:ascii="Arial" w:cs="Arial" w:eastAsia="Arial" w:hAnsi="Arial"/>
          <w:sz w:val="11"/>
          <w:szCs w:val="11"/>
          <w:color w:val="auto"/>
        </w:rPr>
        <w:t>) . The shareholders themselves are not entitled to appoint or dismiss the members of the Management Board.</w:t>
      </w:r>
    </w:p>
    <w:p>
      <w:pPr>
        <w:spacing w:after="0" w:line="83" w:lineRule="exact"/>
        <w:rPr>
          <w:sz w:val="20"/>
          <w:szCs w:val="20"/>
          <w:color w:val="auto"/>
        </w:rPr>
      </w:pPr>
    </w:p>
    <w:p>
      <w:pPr>
        <w:ind w:left="2400" w:right="40"/>
        <w:spacing w:after="0" w:line="254" w:lineRule="auto"/>
        <w:rPr>
          <w:sz w:val="20"/>
          <w:szCs w:val="20"/>
          <w:color w:val="auto"/>
        </w:rPr>
      </w:pPr>
      <w:r>
        <w:rPr>
          <w:rFonts w:ascii="Arial" w:cs="Arial" w:eastAsia="Arial" w:hAnsi="Arial"/>
          <w:sz w:val="11"/>
          <w:szCs w:val="11"/>
          <w:color w:val="auto"/>
        </w:rPr>
        <w:t>Under European law, a member of the Supervisory Board of a company may be elected for a term of up to six years. The articles of association may provide for a shorter term. Our Supervisory Board members are, if the general meeting does not resolve on a shorter term, elected for a period up to the end of the general meeting deciding on the discharge for the fourth financial year after the election. Reelection, including repeated reelection, is permissible. Members of the Supervisory Board may be removed with or without cause by way of a general meeting resolution, with the applicable majority requirement depending on the relevant company’s articles of association.</w:t>
      </w:r>
    </w:p>
    <w:p>
      <w:pPr>
        <w:spacing w:after="0" w:line="119" w:lineRule="exact"/>
        <w:rPr>
          <w:sz w:val="20"/>
          <w:szCs w:val="20"/>
          <w:color w:val="auto"/>
        </w:rPr>
      </w:pPr>
    </w:p>
    <w:p>
      <w:pPr>
        <w:spacing w:after="0"/>
        <w:tabs>
          <w:tab w:leader="none" w:pos="2380" w:val="left"/>
        </w:tabs>
        <w:rPr>
          <w:sz w:val="20"/>
          <w:szCs w:val="20"/>
          <w:color w:val="auto"/>
        </w:rPr>
      </w:pPr>
      <w:r>
        <w:rPr>
          <w:rFonts w:ascii="Arial" w:cs="Arial" w:eastAsia="Arial" w:hAnsi="Arial"/>
          <w:sz w:val="11"/>
          <w:szCs w:val="11"/>
          <w:color w:val="auto"/>
        </w:rPr>
        <w:t>Vacancies on the Board of Directors</w:t>
      </w:r>
      <w:r>
        <w:rPr>
          <w:sz w:val="20"/>
          <w:szCs w:val="20"/>
          <w:color w:val="auto"/>
        </w:rPr>
        <w:tab/>
      </w:r>
      <w:r>
        <w:rPr>
          <w:rFonts w:ascii="Arial" w:cs="Arial" w:eastAsia="Arial" w:hAnsi="Arial"/>
          <w:sz w:val="11"/>
          <w:szCs w:val="11"/>
          <w:color w:val="auto"/>
        </w:rPr>
        <w:t>Under the law, vacant positions on the Management Board are filled by the</w:t>
      </w:r>
    </w:p>
    <w:p>
      <w:pPr>
        <w:spacing w:after="0" w:line="15" w:lineRule="exact"/>
        <w:rPr>
          <w:sz w:val="20"/>
          <w:szCs w:val="20"/>
          <w:color w:val="auto"/>
        </w:rPr>
      </w:pPr>
    </w:p>
    <w:p>
      <w:pPr>
        <w:ind w:left="2400" w:right="60"/>
        <w:spacing w:after="0" w:line="252" w:lineRule="auto"/>
        <w:rPr>
          <w:sz w:val="20"/>
          <w:szCs w:val="20"/>
          <w:color w:val="auto"/>
        </w:rPr>
      </w:pPr>
      <w:r>
        <w:rPr>
          <w:rFonts w:ascii="Arial" w:cs="Arial" w:eastAsia="Arial" w:hAnsi="Arial"/>
          <w:sz w:val="11"/>
          <w:szCs w:val="11"/>
          <w:color w:val="auto"/>
        </w:rPr>
        <w:t>Supervisory Board in accordance with the general rules of appointment, which provide that vacancies are filled by the simple majority of votes of Supervisory Board members present or represented by proxy at the vote (with, under certain circumstances, the chairman having a casting vote), unless otherwise provided by the company’s articles of association. In case of emergencies, a vacant position on the Management Board may be filled by an individual appointed by the court. Vacant positions on the Supervisory Board are filled in accordance with the general rules of appointment.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left="7"/>
        <w:spacing w:after="0"/>
        <w:rPr>
          <w:sz w:val="20"/>
          <w:szCs w:val="20"/>
          <w:color w:val="auto"/>
        </w:rPr>
      </w:pPr>
      <w:r>
        <w:rPr>
          <w:rFonts w:ascii="Arial" w:cs="Arial" w:eastAsia="Arial" w:hAnsi="Arial"/>
          <w:sz w:val="11"/>
          <w:szCs w:val="11"/>
          <w:color w:val="auto"/>
        </w:rPr>
        <w:t>Delaware</w:t>
      </w:r>
    </w:p>
    <w:p>
      <w:pPr>
        <w:spacing w:after="0" w:line="45" w:lineRule="exact"/>
        <w:rPr>
          <w:sz w:val="20"/>
          <w:szCs w:val="20"/>
          <w:color w:val="auto"/>
        </w:rPr>
      </w:pPr>
    </w:p>
    <w:p>
      <w:pPr>
        <w:ind w:left="7" w:right="40"/>
        <w:spacing w:after="0" w:line="253" w:lineRule="auto"/>
        <w:rPr>
          <w:sz w:val="20"/>
          <w:szCs w:val="20"/>
          <w:color w:val="auto"/>
        </w:rPr>
      </w:pPr>
      <w:r>
        <w:rPr>
          <w:rFonts w:ascii="Arial" w:cs="Arial" w:eastAsia="Arial" w:hAnsi="Arial"/>
          <w:sz w:val="11"/>
          <w:szCs w:val="11"/>
          <w:color w:val="auto"/>
        </w:rPr>
        <w:t>Under Delaware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w:t>
      </w:r>
    </w:p>
    <w:p>
      <w:pPr>
        <w:ind w:left="7" w:hanging="7"/>
        <w:spacing w:after="0" w:line="254" w:lineRule="auto"/>
        <w:tabs>
          <w:tab w:leader="none" w:pos="161" w:val="left"/>
        </w:tabs>
        <w:numPr>
          <w:ilvl w:val="0"/>
          <w:numId w:val="66"/>
        </w:numPr>
        <w:rPr>
          <w:rFonts w:ascii="Arial" w:cs="Arial" w:eastAsia="Arial" w:hAnsi="Arial"/>
          <w:sz w:val="11"/>
          <w:szCs w:val="11"/>
          <w:color w:val="auto"/>
        </w:rPr>
      </w:pPr>
      <w:r>
        <w:rPr>
          <w:rFonts w:ascii="Arial" w:cs="Arial" w:eastAsia="Arial" w:hAnsi="Arial"/>
          <w:sz w:val="11"/>
          <w:szCs w:val="11"/>
          <w:color w:val="auto"/>
        </w:rPr>
        <w:t>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 w:right="20"/>
        <w:spacing w:after="0" w:line="255" w:lineRule="auto"/>
        <w:rPr>
          <w:sz w:val="20"/>
          <w:szCs w:val="20"/>
          <w:color w:val="auto"/>
        </w:rPr>
      </w:pPr>
      <w:r>
        <w:rPr>
          <w:rFonts w:ascii="Arial" w:cs="Arial" w:eastAsia="Arial" w:hAnsi="Arial"/>
          <w:sz w:val="11"/>
          <w:szCs w:val="11"/>
          <w:color w:val="auto"/>
        </w:rPr>
        <w:t>Under Delaware law, vacancies and newly created directorships may be filled by a majority of the directors then in office (even though less than a quorum) or by a sole remaining director unless (i) otherwise provided in the certificate of incorporation or by-laws of the corporation or (ii) the certificate of incorporation directs that a particular class of stock is to elect such director, in which case a majority of the other directors elected by such class, or a sole remaining director elected by such class, will fill such vacancy.</w:t>
      </w:r>
    </w:p>
    <w:p>
      <w:pPr>
        <w:sectPr>
          <w:pgSz w:w="11900" w:h="16840" w:orient="portrait"/>
          <w:cols w:equalWidth="0" w:num="2">
            <w:col w:w="6540" w:space="153"/>
            <w:col w:w="3887"/>
          </w:cols>
          <w:pgMar w:left="660" w:top="1440" w:right="660" w:bottom="1440" w:gutter="0" w:footer="0" w:header="0"/>
        </w:sectPr>
      </w:pPr>
    </w:p>
    <w:bookmarkStart w:id="241" w:name="page242"/>
    <w:bookmarkEnd w:id="2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413385</wp:posOffset>
            </wp:positionH>
            <wp:positionV relativeFrom="page">
              <wp:posOffset>1093470</wp:posOffset>
            </wp:positionV>
            <wp:extent cx="6726555" cy="127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13">
                      <a:extLst>
                        <a:ext uri="{28A0092B-C50C-407E-A947-70E740481C1C}"/>
                      </a:extLst>
                    </a:blip>
                    <a:srcRect/>
                    <a:stretch>
                      <a:fillRect/>
                    </a:stretch>
                  </pic:blipFill>
                  <pic:spPr bwMode="auto">
                    <a:xfrm>
                      <a:off x="0" y="0"/>
                      <a:ext cx="6726555" cy="12700"/>
                    </a:xfrm>
                    <a:prstGeom prst="rect">
                      <a:avLst/>
                    </a:prstGeom>
                    <a:noFill/>
                  </pic:spPr>
                </pic:pic>
              </a:graphicData>
            </a:graphic>
          </wp:anchor>
        </w:drawing>
      </w:r>
    </w:p>
    <w:p>
      <w:pPr>
        <w:spacing w:after="0" w:line="224" w:lineRule="exact"/>
        <w:rPr>
          <w:sz w:val="20"/>
          <w:szCs w:val="20"/>
          <w:color w:val="auto"/>
        </w:rPr>
      </w:pPr>
    </w:p>
    <w:p>
      <w:pPr>
        <w:ind w:left="2400"/>
        <w:spacing w:after="0"/>
        <w:rPr>
          <w:sz w:val="20"/>
          <w:szCs w:val="20"/>
          <w:color w:val="auto"/>
        </w:rPr>
      </w:pPr>
      <w:r>
        <w:rPr>
          <w:rFonts w:ascii="Arial" w:cs="Arial" w:eastAsia="Arial" w:hAnsi="Arial"/>
          <w:sz w:val="11"/>
          <w:szCs w:val="11"/>
          <w:color w:val="auto"/>
        </w:rPr>
        <w:t>European Union/Federal Republic of Germany</w:t>
      </w:r>
    </w:p>
    <w:p>
      <w:pPr>
        <w:spacing w:after="0" w:line="45" w:lineRule="exact"/>
        <w:rPr>
          <w:sz w:val="20"/>
          <w:szCs w:val="20"/>
          <w:color w:val="auto"/>
        </w:rPr>
      </w:pPr>
    </w:p>
    <w:p>
      <w:pPr>
        <w:spacing w:after="0"/>
        <w:tabs>
          <w:tab w:leader="none" w:pos="2380" w:val="left"/>
        </w:tabs>
        <w:rPr>
          <w:sz w:val="20"/>
          <w:szCs w:val="20"/>
          <w:color w:val="auto"/>
        </w:rPr>
      </w:pPr>
      <w:r>
        <w:rPr>
          <w:rFonts w:ascii="Arial" w:cs="Arial" w:eastAsia="Arial" w:hAnsi="Arial"/>
          <w:sz w:val="11"/>
          <w:szCs w:val="11"/>
          <w:color w:val="auto"/>
        </w:rPr>
        <w:t>Annual General Meeting</w:t>
      </w:r>
      <w:r>
        <w:rPr>
          <w:sz w:val="20"/>
          <w:szCs w:val="20"/>
          <w:color w:val="auto"/>
        </w:rPr>
        <w:tab/>
      </w:r>
      <w:r>
        <w:rPr>
          <w:rFonts w:ascii="Arial" w:cs="Arial" w:eastAsia="Arial" w:hAnsi="Arial"/>
          <w:sz w:val="11"/>
          <w:szCs w:val="11"/>
          <w:color w:val="auto"/>
        </w:rPr>
        <w:t>A European stock corporation, which is governed by German law, must hold an</w:t>
      </w:r>
    </w:p>
    <w:p>
      <w:pPr>
        <w:spacing w:after="0" w:line="15" w:lineRule="exact"/>
        <w:rPr>
          <w:sz w:val="20"/>
          <w:szCs w:val="20"/>
          <w:color w:val="auto"/>
        </w:rPr>
      </w:pPr>
    </w:p>
    <w:p>
      <w:pPr>
        <w:ind w:left="2400"/>
        <w:spacing w:after="0" w:line="251" w:lineRule="auto"/>
        <w:rPr>
          <w:sz w:val="20"/>
          <w:szCs w:val="20"/>
          <w:color w:val="auto"/>
        </w:rPr>
      </w:pPr>
      <w:r>
        <w:rPr>
          <w:rFonts w:ascii="Arial" w:cs="Arial" w:eastAsia="Arial" w:hAnsi="Arial"/>
          <w:sz w:val="11"/>
          <w:szCs w:val="11"/>
          <w:color w:val="auto"/>
        </w:rPr>
        <w:t>annual shareholders’ meeting within six months of the end of its fiscal year. The annual shareholders’ meeting must be held at a location determined by the articles of association. If the articles of association do not provide for a specific location, the shareholders’ meeting shall be held at the company’s seat or, if applicable, at the venue (in Germany) where its shares are listed. Under the articles of association, the Management Board is authorized to provide for the Annual General Meeting to be held without the physical presence of the shareholders or their proxies at the location of the Annual General Meeting (virtual Annual General Meeting).</w:t>
      </w:r>
    </w:p>
    <w:p>
      <w:pPr>
        <w:spacing w:after="0" w:line="23" w:lineRule="exact"/>
        <w:rPr>
          <w:sz w:val="20"/>
          <w:szCs w:val="20"/>
          <w:color w:val="auto"/>
        </w:rPr>
      </w:pPr>
    </w:p>
    <w:p>
      <w:pPr>
        <w:spacing w:after="0"/>
        <w:tabs>
          <w:tab w:leader="none" w:pos="2380" w:val="left"/>
        </w:tabs>
        <w:rPr>
          <w:sz w:val="20"/>
          <w:szCs w:val="20"/>
          <w:color w:val="auto"/>
        </w:rPr>
      </w:pPr>
      <w:r>
        <w:rPr>
          <w:rFonts w:ascii="Arial" w:cs="Arial" w:eastAsia="Arial" w:hAnsi="Arial"/>
          <w:sz w:val="11"/>
          <w:szCs w:val="11"/>
          <w:color w:val="auto"/>
        </w:rPr>
        <w:t>General Meeting</w:t>
      </w:r>
      <w:r>
        <w:rPr>
          <w:sz w:val="20"/>
          <w:szCs w:val="20"/>
          <w:color w:val="auto"/>
        </w:rPr>
        <w:tab/>
      </w:r>
      <w:r>
        <w:rPr>
          <w:rFonts w:ascii="Arial" w:cs="Arial" w:eastAsia="Arial" w:hAnsi="Arial"/>
          <w:sz w:val="11"/>
          <w:szCs w:val="11"/>
          <w:color w:val="auto"/>
        </w:rPr>
        <w:t>Under the law, extraordinary shareholders’ meetings, in addition to the annual</w:t>
      </w:r>
    </w:p>
    <w:p>
      <w:pPr>
        <w:spacing w:after="0" w:line="15" w:lineRule="exact"/>
        <w:rPr>
          <w:sz w:val="20"/>
          <w:szCs w:val="20"/>
          <w:color w:val="auto"/>
        </w:rPr>
      </w:pPr>
    </w:p>
    <w:p>
      <w:pPr>
        <w:ind w:left="2400" w:right="140"/>
        <w:spacing w:after="0" w:line="253" w:lineRule="auto"/>
        <w:rPr>
          <w:sz w:val="20"/>
          <w:szCs w:val="20"/>
          <w:color w:val="auto"/>
        </w:rPr>
      </w:pPr>
      <w:r>
        <w:rPr>
          <w:rFonts w:ascii="Arial" w:cs="Arial" w:eastAsia="Arial" w:hAnsi="Arial"/>
          <w:sz w:val="11"/>
          <w:szCs w:val="11"/>
          <w:color w:val="auto"/>
        </w:rPr>
        <w:t>shareholders’ meetings, may be called either by the Management Board, or the Supervisory Board. Shareholders holding at least 5% of the company’s share capital are entitled to request that an extraordinary shareholders’ meeting be convened. In the event that the meeting is not then so convened, a competent court may order that the meeting be convened or authorize the shareholders or their representative to convene the meeting themselves.</w:t>
      </w:r>
    </w:p>
    <w:p>
      <w:pPr>
        <w:spacing w:after="0" w:line="19" w:lineRule="exact"/>
        <w:rPr>
          <w:sz w:val="20"/>
          <w:szCs w:val="20"/>
          <w:color w:val="auto"/>
        </w:rPr>
      </w:pPr>
    </w:p>
    <w:p>
      <w:pPr>
        <w:spacing w:after="0"/>
        <w:tabs>
          <w:tab w:leader="none" w:pos="2380" w:val="left"/>
        </w:tabs>
        <w:rPr>
          <w:sz w:val="20"/>
          <w:szCs w:val="20"/>
          <w:color w:val="auto"/>
        </w:rPr>
      </w:pPr>
      <w:r>
        <w:rPr>
          <w:rFonts w:ascii="Arial" w:cs="Arial" w:eastAsia="Arial" w:hAnsi="Arial"/>
          <w:sz w:val="11"/>
          <w:szCs w:val="11"/>
          <w:color w:val="auto"/>
        </w:rPr>
        <w:t>Notice of General Meetings</w:t>
      </w:r>
      <w:r>
        <w:rPr>
          <w:sz w:val="20"/>
          <w:szCs w:val="20"/>
          <w:color w:val="auto"/>
        </w:rPr>
        <w:tab/>
      </w:r>
      <w:r>
        <w:rPr>
          <w:rFonts w:ascii="Arial" w:cs="Arial" w:eastAsia="Arial" w:hAnsi="Arial"/>
          <w:sz w:val="11"/>
          <w:szCs w:val="11"/>
          <w:color w:val="auto"/>
        </w:rPr>
        <w:t>Under applicable European and German law, unless a longer period is otherwise</w:t>
      </w:r>
    </w:p>
    <w:p>
      <w:pPr>
        <w:spacing w:after="0" w:line="15" w:lineRule="exact"/>
        <w:rPr>
          <w:sz w:val="20"/>
          <w:szCs w:val="20"/>
          <w:color w:val="auto"/>
        </w:rPr>
      </w:pPr>
    </w:p>
    <w:p>
      <w:pPr>
        <w:ind w:left="2400"/>
        <w:spacing w:after="0" w:line="252" w:lineRule="auto"/>
        <w:rPr>
          <w:sz w:val="20"/>
          <w:szCs w:val="20"/>
          <w:color w:val="auto"/>
        </w:rPr>
      </w:pPr>
      <w:r>
        <w:rPr>
          <w:rFonts w:ascii="Arial" w:cs="Arial" w:eastAsia="Arial" w:hAnsi="Arial"/>
          <w:sz w:val="11"/>
          <w:szCs w:val="11"/>
          <w:color w:val="auto"/>
        </w:rPr>
        <w:t>provided for in the articles of association or applies because of registration requirements stipulated in the articles of association, the shareholders must be given at least 30 days’ advance notice of the shareholders’ meeting. Such notices must at least specify the name of the company, the statutory seat of the company, and the location, date and time of the shareholders’ meeting. In addition, the invitation must contain the agenda items as well as the Management Board’s and the Supervisory Board’s voting proposal for each agenda item and, depending on the circumstances, certain further information.</w:t>
      </w:r>
    </w:p>
    <w:p>
      <w:pPr>
        <w:spacing w:after="0" w:line="80" w:lineRule="exact"/>
        <w:rPr>
          <w:sz w:val="20"/>
          <w:szCs w:val="20"/>
          <w:color w:val="auto"/>
        </w:rPr>
      </w:pPr>
    </w:p>
    <w:p>
      <w:pPr>
        <w:ind w:left="2400" w:right="60"/>
        <w:spacing w:after="0" w:line="268" w:lineRule="auto"/>
        <w:rPr>
          <w:sz w:val="20"/>
          <w:szCs w:val="20"/>
          <w:color w:val="auto"/>
        </w:rPr>
      </w:pPr>
      <w:r>
        <w:rPr>
          <w:rFonts w:ascii="Arial" w:cs="Arial" w:eastAsia="Arial" w:hAnsi="Arial"/>
          <w:sz w:val="11"/>
          <w:szCs w:val="11"/>
          <w:color w:val="auto"/>
        </w:rPr>
        <w:t>If all shareholders entitled to attend the shareholders’ meeting are present or represented and do not object to the meeting being held, the formalities of calling and holding of a shareholders’ meeting do not apply.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Delaware</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1"/>
          <w:szCs w:val="11"/>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spacing w:after="0" w:line="268" w:lineRule="auto"/>
        <w:rPr>
          <w:sz w:val="20"/>
          <w:szCs w:val="20"/>
          <w:color w:val="auto"/>
        </w:rPr>
      </w:pPr>
      <w:r>
        <w:rPr>
          <w:rFonts w:ascii="Arial" w:cs="Arial" w:eastAsia="Arial" w:hAnsi="Arial"/>
          <w:sz w:val="11"/>
          <w:szCs w:val="11"/>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337" w:lineRule="exact"/>
        <w:rPr>
          <w:sz w:val="20"/>
          <w:szCs w:val="20"/>
          <w:color w:val="auto"/>
        </w:rPr>
      </w:pPr>
    </w:p>
    <w:p>
      <w:pPr>
        <w:spacing w:after="0" w:line="258" w:lineRule="auto"/>
        <w:rPr>
          <w:sz w:val="20"/>
          <w:szCs w:val="20"/>
          <w:color w:val="auto"/>
        </w:rPr>
      </w:pPr>
      <w:r>
        <w:rPr>
          <w:rFonts w:ascii="Arial" w:cs="Arial" w:eastAsia="Arial" w:hAnsi="Arial"/>
          <w:sz w:val="11"/>
          <w:szCs w:val="11"/>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ectPr>
          <w:pgSz w:w="11900" w:h="16840" w:orient="portrait"/>
          <w:cols w:equalWidth="0" w:num="2">
            <w:col w:w="6440" w:space="160"/>
            <w:col w:w="3960"/>
          </w:cols>
          <w:pgMar w:left="660" w:top="1440" w:right="680" w:bottom="1440" w:gutter="0" w:footer="0" w:header="0"/>
        </w:sectPr>
      </w:pPr>
    </w:p>
    <w:bookmarkStart w:id="242" w:name="page243"/>
    <w:bookmarkEnd w:id="2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413385</wp:posOffset>
            </wp:positionH>
            <wp:positionV relativeFrom="page">
              <wp:posOffset>1093470</wp:posOffset>
            </wp:positionV>
            <wp:extent cx="6726555" cy="127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14">
                      <a:extLst>
                        <a:ext uri="{28A0092B-C50C-407E-A947-70E740481C1C}"/>
                      </a:extLst>
                    </a:blip>
                    <a:srcRect/>
                    <a:stretch>
                      <a:fillRect/>
                    </a:stretch>
                  </pic:blipFill>
                  <pic:spPr bwMode="auto">
                    <a:xfrm>
                      <a:off x="0" y="0"/>
                      <a:ext cx="6726555" cy="12700"/>
                    </a:xfrm>
                    <a:prstGeom prst="rect">
                      <a:avLst/>
                    </a:prstGeom>
                    <a:noFill/>
                  </pic:spPr>
                </pic:pic>
              </a:graphicData>
            </a:graphic>
          </wp:anchor>
        </w:drawing>
      </w:r>
    </w:p>
    <w:p>
      <w:pPr>
        <w:spacing w:after="0" w:line="224" w:lineRule="exact"/>
        <w:rPr>
          <w:sz w:val="20"/>
          <w:szCs w:val="20"/>
          <w:color w:val="auto"/>
        </w:rPr>
      </w:pPr>
    </w:p>
    <w:p>
      <w:pPr>
        <w:ind w:left="2460"/>
        <w:spacing w:after="0"/>
        <w:rPr>
          <w:sz w:val="20"/>
          <w:szCs w:val="20"/>
          <w:color w:val="auto"/>
        </w:rPr>
      </w:pPr>
      <w:r>
        <w:rPr>
          <w:rFonts w:ascii="Arial" w:cs="Arial" w:eastAsia="Arial" w:hAnsi="Arial"/>
          <w:sz w:val="11"/>
          <w:szCs w:val="11"/>
          <w:color w:val="auto"/>
        </w:rPr>
        <w:t>European Union/Federal Republic of Germany</w:t>
      </w:r>
    </w:p>
    <w:p>
      <w:pPr>
        <w:spacing w:after="0" w:line="45" w:lineRule="exact"/>
        <w:rPr>
          <w:sz w:val="20"/>
          <w:szCs w:val="20"/>
          <w:color w:val="auto"/>
        </w:rPr>
      </w:pPr>
    </w:p>
    <w:p>
      <w:pPr>
        <w:spacing w:after="0"/>
        <w:tabs>
          <w:tab w:leader="none" w:pos="2440" w:val="left"/>
        </w:tabs>
        <w:rPr>
          <w:sz w:val="20"/>
          <w:szCs w:val="20"/>
          <w:color w:val="auto"/>
        </w:rPr>
      </w:pPr>
      <w:r>
        <w:rPr>
          <w:rFonts w:ascii="Arial" w:cs="Arial" w:eastAsia="Arial" w:hAnsi="Arial"/>
          <w:sz w:val="11"/>
          <w:szCs w:val="11"/>
          <w:color w:val="auto"/>
        </w:rPr>
        <w:t>Proxy</w:t>
      </w:r>
      <w:r>
        <w:rPr>
          <w:sz w:val="20"/>
          <w:szCs w:val="20"/>
          <w:color w:val="auto"/>
        </w:rPr>
        <w:tab/>
      </w:r>
      <w:r>
        <w:rPr>
          <w:rFonts w:ascii="Arial" w:cs="Arial" w:eastAsia="Arial" w:hAnsi="Arial"/>
          <w:sz w:val="11"/>
          <w:szCs w:val="11"/>
          <w:color w:val="auto"/>
        </w:rPr>
        <w:t>A shareholder may designate another person to attend, speak and vote at a</w:t>
      </w:r>
    </w:p>
    <w:p>
      <w:pPr>
        <w:spacing w:after="0" w:line="15" w:lineRule="exact"/>
        <w:rPr>
          <w:sz w:val="20"/>
          <w:szCs w:val="20"/>
          <w:color w:val="auto"/>
        </w:rPr>
      </w:pPr>
    </w:p>
    <w:p>
      <w:pPr>
        <w:ind w:left="2460"/>
        <w:spacing w:after="0"/>
        <w:rPr>
          <w:sz w:val="20"/>
          <w:szCs w:val="20"/>
          <w:color w:val="auto"/>
        </w:rPr>
      </w:pPr>
      <w:r>
        <w:rPr>
          <w:rFonts w:ascii="Arial" w:cs="Arial" w:eastAsia="Arial" w:hAnsi="Arial"/>
          <w:sz w:val="11"/>
          <w:szCs w:val="11"/>
          <w:color w:val="auto"/>
        </w:rPr>
        <w:t>shareholders’ meeting of the company on such shareholder’s behalf by proxy.</w:t>
      </w:r>
    </w:p>
    <w:p>
      <w:pPr>
        <w:spacing w:after="0" w:line="96" w:lineRule="exact"/>
        <w:rPr>
          <w:sz w:val="20"/>
          <w:szCs w:val="20"/>
          <w:color w:val="auto"/>
        </w:rPr>
      </w:pPr>
    </w:p>
    <w:p>
      <w:pPr>
        <w:ind w:left="2460"/>
        <w:spacing w:after="0"/>
        <w:rPr>
          <w:sz w:val="20"/>
          <w:szCs w:val="20"/>
          <w:color w:val="auto"/>
        </w:rPr>
      </w:pPr>
      <w:r>
        <w:rPr>
          <w:rFonts w:ascii="Arial" w:cs="Arial" w:eastAsia="Arial" w:hAnsi="Arial"/>
          <w:sz w:val="11"/>
          <w:szCs w:val="11"/>
          <w:color w:val="auto"/>
        </w:rPr>
        <w:t>With respect to Management Board meetings, a Management Board member</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may transmit its (written or verbal) vote via another Management Board member.</w:t>
      </w:r>
    </w:p>
    <w:p>
      <w:pPr>
        <w:spacing w:after="0" w:line="96" w:lineRule="exact"/>
        <w:rPr>
          <w:sz w:val="20"/>
          <w:szCs w:val="20"/>
          <w:color w:val="auto"/>
        </w:rPr>
      </w:pPr>
    </w:p>
    <w:p>
      <w:pPr>
        <w:ind w:left="2460"/>
        <w:spacing w:after="0"/>
        <w:rPr>
          <w:sz w:val="20"/>
          <w:szCs w:val="20"/>
          <w:color w:val="auto"/>
        </w:rPr>
      </w:pPr>
      <w:r>
        <w:rPr>
          <w:rFonts w:ascii="Arial" w:cs="Arial" w:eastAsia="Arial" w:hAnsi="Arial"/>
          <w:sz w:val="11"/>
          <w:szCs w:val="11"/>
          <w:color w:val="auto"/>
        </w:rPr>
        <w:t>With respect to Supervisory Board meetings, a Supervisory Board member may</w:t>
      </w:r>
    </w:p>
    <w:p>
      <w:pPr>
        <w:spacing w:after="0" w:line="15" w:lineRule="exact"/>
        <w:rPr>
          <w:sz w:val="20"/>
          <w:szCs w:val="20"/>
          <w:color w:val="auto"/>
        </w:rPr>
      </w:pPr>
    </w:p>
    <w:p>
      <w:pPr>
        <w:ind w:left="2460" w:right="260"/>
        <w:spacing w:after="0" w:line="268" w:lineRule="auto"/>
        <w:rPr>
          <w:sz w:val="20"/>
          <w:szCs w:val="20"/>
          <w:color w:val="auto"/>
        </w:rPr>
      </w:pPr>
      <w:r>
        <w:rPr>
          <w:rFonts w:ascii="Arial" w:cs="Arial" w:eastAsia="Arial" w:hAnsi="Arial"/>
          <w:sz w:val="11"/>
          <w:szCs w:val="11"/>
          <w:color w:val="auto"/>
        </w:rPr>
        <w:t>participate in voting by issuing a written vote to another Supervisory Board member or any third party entitled to attend the Supervisory Board meeting.</w:t>
      </w:r>
    </w:p>
    <w:p>
      <w:pPr>
        <w:spacing w:after="0" w:line="112" w:lineRule="exact"/>
        <w:rPr>
          <w:sz w:val="20"/>
          <w:szCs w:val="20"/>
          <w:color w:val="auto"/>
        </w:rPr>
      </w:pPr>
    </w:p>
    <w:p>
      <w:pPr>
        <w:spacing w:after="0"/>
        <w:tabs>
          <w:tab w:leader="none" w:pos="2440" w:val="left"/>
        </w:tabs>
        <w:rPr>
          <w:sz w:val="20"/>
          <w:szCs w:val="20"/>
          <w:color w:val="auto"/>
        </w:rPr>
      </w:pPr>
      <w:r>
        <w:rPr>
          <w:rFonts w:ascii="Arial" w:cs="Arial" w:eastAsia="Arial" w:hAnsi="Arial"/>
          <w:sz w:val="11"/>
          <w:szCs w:val="11"/>
          <w:color w:val="auto"/>
        </w:rPr>
        <w:t>Preemptive Rights</w:t>
      </w:r>
      <w:r>
        <w:rPr>
          <w:sz w:val="20"/>
          <w:szCs w:val="20"/>
          <w:color w:val="auto"/>
        </w:rPr>
        <w:tab/>
      </w:r>
      <w:r>
        <w:rPr>
          <w:rFonts w:ascii="Arial" w:cs="Arial" w:eastAsia="Arial" w:hAnsi="Arial"/>
          <w:sz w:val="11"/>
          <w:szCs w:val="11"/>
          <w:color w:val="auto"/>
        </w:rPr>
        <w:t>Under the law applicable to European stock corporations governed by German</w:t>
      </w:r>
    </w:p>
    <w:p>
      <w:pPr>
        <w:spacing w:after="0" w:line="15" w:lineRule="exact"/>
        <w:rPr>
          <w:sz w:val="20"/>
          <w:szCs w:val="20"/>
          <w:color w:val="auto"/>
        </w:rPr>
      </w:pPr>
    </w:p>
    <w:p>
      <w:pPr>
        <w:ind w:left="2460" w:right="100"/>
        <w:spacing w:after="0" w:line="252" w:lineRule="auto"/>
        <w:rPr>
          <w:sz w:val="20"/>
          <w:szCs w:val="20"/>
          <w:color w:val="auto"/>
        </w:rPr>
      </w:pPr>
      <w:r>
        <w:rPr>
          <w:rFonts w:ascii="Arial" w:cs="Arial" w:eastAsia="Arial" w:hAnsi="Arial"/>
          <w:sz w:val="11"/>
          <w:szCs w:val="11"/>
          <w:color w:val="auto"/>
        </w:rPr>
        <w:t>law, existing shareholders have a statutory subscription right for any additional issue of shares or any security convertible into shares pro rata to the nominal value of their respective holdings in the company, unless (i) shareholders representing three-quarters of the registered share capital present at the shareholders’ meeting have resolved upon the whole or partial exclusion of the subscription right and (ii) there exists good and objective cause for such exclusion. No separate resolution on the exclusion of subscription rights is required if all shareholders waive their statutory subscription rights.</w:t>
      </w:r>
    </w:p>
    <w:p>
      <w:pPr>
        <w:spacing w:after="0" w:line="19" w:lineRule="exact"/>
        <w:rPr>
          <w:sz w:val="20"/>
          <w:szCs w:val="20"/>
          <w:color w:val="auto"/>
        </w:rPr>
      </w:pPr>
    </w:p>
    <w:p>
      <w:pPr>
        <w:spacing w:after="0"/>
        <w:tabs>
          <w:tab w:leader="none" w:pos="2440" w:val="left"/>
        </w:tabs>
        <w:rPr>
          <w:sz w:val="20"/>
          <w:szCs w:val="20"/>
          <w:color w:val="auto"/>
        </w:rPr>
      </w:pPr>
      <w:r>
        <w:rPr>
          <w:rFonts w:ascii="Arial" w:cs="Arial" w:eastAsia="Arial" w:hAnsi="Arial"/>
          <w:sz w:val="11"/>
          <w:szCs w:val="11"/>
          <w:color w:val="auto"/>
        </w:rPr>
        <w:t>Authority to Allot</w:t>
      </w:r>
      <w:r>
        <w:rPr>
          <w:sz w:val="20"/>
          <w:szCs w:val="20"/>
          <w:color w:val="auto"/>
        </w:rPr>
        <w:tab/>
      </w:r>
      <w:r>
        <w:rPr>
          <w:rFonts w:ascii="Arial" w:cs="Arial" w:eastAsia="Arial" w:hAnsi="Arial"/>
          <w:sz w:val="11"/>
          <w:szCs w:val="11"/>
          <w:color w:val="auto"/>
        </w:rPr>
        <w:t>Under applicable European and German law, the Management Board may not</w:t>
      </w:r>
    </w:p>
    <w:p>
      <w:pPr>
        <w:spacing w:after="0" w:line="15" w:lineRule="exact"/>
        <w:rPr>
          <w:sz w:val="20"/>
          <w:szCs w:val="20"/>
          <w:color w:val="auto"/>
        </w:rPr>
      </w:pPr>
    </w:p>
    <w:p>
      <w:pPr>
        <w:ind w:left="2460" w:right="40"/>
        <w:spacing w:after="0" w:line="254" w:lineRule="auto"/>
        <w:rPr>
          <w:sz w:val="20"/>
          <w:szCs w:val="20"/>
          <w:color w:val="auto"/>
        </w:rPr>
      </w:pPr>
      <w:r>
        <w:rPr>
          <w:rFonts w:ascii="Arial" w:cs="Arial" w:eastAsia="Arial" w:hAnsi="Arial"/>
          <w:sz w:val="11"/>
          <w:szCs w:val="11"/>
          <w:color w:val="auto"/>
        </w:rPr>
        <w:t>allot shares, grant rights to subscribe for or to convert any security into shares unless a shareholder resolution to that effect has been passed at the company’s shareholders’ meeting granting the Management Board with such authority— subject to the approval of the Supervisory Board—in each case in accordance with the provisions of the German Stock Corporation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Delaware</w:t>
      </w:r>
    </w:p>
    <w:p>
      <w:pPr>
        <w:spacing w:after="0" w:line="45" w:lineRule="exact"/>
        <w:rPr>
          <w:sz w:val="20"/>
          <w:szCs w:val="20"/>
          <w:color w:val="auto"/>
        </w:rPr>
      </w:pPr>
    </w:p>
    <w:p>
      <w:pPr>
        <w:spacing w:after="0" w:line="258" w:lineRule="auto"/>
        <w:rPr>
          <w:sz w:val="20"/>
          <w:szCs w:val="20"/>
          <w:color w:val="auto"/>
        </w:rPr>
      </w:pPr>
      <w:r>
        <w:rPr>
          <w:rFonts w:ascii="Arial" w:cs="Arial" w:eastAsia="Arial" w:hAnsi="Arial"/>
          <w:sz w:val="11"/>
          <w:szCs w:val="11"/>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200" w:lineRule="exact"/>
        <w:rPr>
          <w:sz w:val="20"/>
          <w:szCs w:val="20"/>
          <w:color w:val="auto"/>
        </w:rPr>
      </w:pPr>
    </w:p>
    <w:p>
      <w:pPr>
        <w:spacing w:after="0" w:line="384" w:lineRule="exact"/>
        <w:rPr>
          <w:sz w:val="20"/>
          <w:szCs w:val="20"/>
          <w:color w:val="auto"/>
        </w:rPr>
      </w:pPr>
    </w:p>
    <w:p>
      <w:pPr>
        <w:ind w:right="100"/>
        <w:spacing w:after="0" w:line="262" w:lineRule="auto"/>
        <w:rPr>
          <w:sz w:val="20"/>
          <w:szCs w:val="20"/>
          <w:color w:val="auto"/>
        </w:rPr>
      </w:pPr>
      <w:r>
        <w:rPr>
          <w:rFonts w:ascii="Arial" w:cs="Arial" w:eastAsia="Arial" w:hAnsi="Arial"/>
          <w:sz w:val="11"/>
          <w:szCs w:val="11"/>
          <w:color w:val="auto"/>
        </w:rPr>
        <w:t>Under Delaware law, stockholders have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5" w:lineRule="auto"/>
        <w:rPr>
          <w:sz w:val="20"/>
          <w:szCs w:val="20"/>
          <w:color w:val="auto"/>
        </w:rPr>
      </w:pPr>
      <w:r>
        <w:rPr>
          <w:rFonts w:ascii="Arial" w:cs="Arial" w:eastAsia="Arial" w:hAnsi="Arial"/>
          <w:sz w:val="11"/>
          <w:szCs w:val="11"/>
          <w:color w:val="auto"/>
        </w:rPr>
        <w:t>Under Delaware law, if the corporation’s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ectPr>
          <w:pgSz w:w="11900" w:h="16840" w:orient="portrait"/>
          <w:cols w:equalWidth="0" w:num="2">
            <w:col w:w="6440" w:space="180"/>
            <w:col w:w="3920"/>
          </w:cols>
          <w:pgMar w:left="660" w:top="1440" w:right="700" w:bottom="1440" w:gutter="0" w:footer="0" w:header="0"/>
        </w:sectPr>
      </w:pPr>
    </w:p>
    <w:bookmarkStart w:id="243" w:name="page244"/>
    <w:bookmarkEnd w:id="2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413385</wp:posOffset>
            </wp:positionH>
            <wp:positionV relativeFrom="page">
              <wp:posOffset>1093470</wp:posOffset>
            </wp:positionV>
            <wp:extent cx="6726555" cy="127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15">
                      <a:extLst>
                        <a:ext uri="{28A0092B-C50C-407E-A947-70E740481C1C}"/>
                      </a:extLst>
                    </a:blip>
                    <a:srcRect/>
                    <a:stretch>
                      <a:fillRect/>
                    </a:stretch>
                  </pic:blipFill>
                  <pic:spPr bwMode="auto">
                    <a:xfrm>
                      <a:off x="0" y="0"/>
                      <a:ext cx="6726555" cy="12700"/>
                    </a:xfrm>
                    <a:prstGeom prst="rect">
                      <a:avLst/>
                    </a:prstGeom>
                    <a:noFill/>
                  </pic:spPr>
                </pic:pic>
              </a:graphicData>
            </a:graphic>
          </wp:anchor>
        </w:drawing>
      </w:r>
    </w:p>
    <w:p>
      <w:pPr>
        <w:spacing w:after="0" w:line="224" w:lineRule="exact"/>
        <w:rPr>
          <w:sz w:val="20"/>
          <w:szCs w:val="20"/>
          <w:color w:val="auto"/>
        </w:rPr>
      </w:pPr>
    </w:p>
    <w:p>
      <w:pPr>
        <w:jc w:val="center"/>
        <w:ind w:left="300"/>
        <w:spacing w:after="0"/>
        <w:rPr>
          <w:sz w:val="20"/>
          <w:szCs w:val="20"/>
          <w:color w:val="auto"/>
        </w:rPr>
      </w:pPr>
      <w:r>
        <w:rPr>
          <w:rFonts w:ascii="Arial" w:cs="Arial" w:eastAsia="Arial" w:hAnsi="Arial"/>
          <w:sz w:val="11"/>
          <w:szCs w:val="11"/>
          <w:color w:val="auto"/>
        </w:rPr>
        <w:t>European Union/Federal Republic of Germany</w:t>
      </w:r>
    </w:p>
    <w:p>
      <w:pPr>
        <w:spacing w:after="0" w:line="45" w:lineRule="exact"/>
        <w:rPr>
          <w:sz w:val="20"/>
          <w:szCs w:val="20"/>
          <w:color w:val="auto"/>
        </w:rPr>
      </w:pPr>
    </w:p>
    <w:p>
      <w:pPr>
        <w:spacing w:after="0"/>
        <w:tabs>
          <w:tab w:leader="none" w:pos="2360" w:val="left"/>
        </w:tabs>
        <w:rPr>
          <w:sz w:val="20"/>
          <w:szCs w:val="20"/>
          <w:color w:val="auto"/>
        </w:rPr>
      </w:pPr>
      <w:r>
        <w:rPr>
          <w:rFonts w:ascii="Arial" w:cs="Arial" w:eastAsia="Arial" w:hAnsi="Arial"/>
          <w:sz w:val="11"/>
          <w:szCs w:val="11"/>
          <w:color w:val="auto"/>
        </w:rPr>
        <w:t>Liability of Directors and Officers</w:t>
      </w:r>
      <w:r>
        <w:rPr>
          <w:sz w:val="20"/>
          <w:szCs w:val="20"/>
          <w:color w:val="auto"/>
        </w:rPr>
        <w:tab/>
      </w:r>
      <w:r>
        <w:rPr>
          <w:rFonts w:ascii="Arial" w:cs="Arial" w:eastAsia="Arial" w:hAnsi="Arial"/>
          <w:sz w:val="11"/>
          <w:szCs w:val="11"/>
          <w:color w:val="auto"/>
        </w:rPr>
        <w:t>Under German law, any provision, whether contained in the company’s articles of</w:t>
      </w:r>
    </w:p>
    <w:p>
      <w:pPr>
        <w:spacing w:after="0" w:line="15" w:lineRule="exact"/>
        <w:rPr>
          <w:sz w:val="20"/>
          <w:szCs w:val="20"/>
          <w:color w:val="auto"/>
        </w:rPr>
      </w:pPr>
    </w:p>
    <w:p>
      <w:pPr>
        <w:ind w:left="2380" w:right="100"/>
        <w:spacing w:after="0" w:line="255" w:lineRule="auto"/>
        <w:rPr>
          <w:sz w:val="20"/>
          <w:szCs w:val="20"/>
          <w:color w:val="auto"/>
        </w:rPr>
      </w:pPr>
      <w:r>
        <w:rPr>
          <w:rFonts w:ascii="Arial" w:cs="Arial" w:eastAsia="Arial" w:hAnsi="Arial"/>
          <w:sz w:val="11"/>
          <w:szCs w:val="11"/>
          <w:color w:val="auto"/>
        </w:rPr>
        <w:t>association or any contract or otherwise, that purports to exempt a Management or Supervisory Board member from any liability that would otherwise attach to such board member in connection with any negligence, default, breach of duty or breach of trust in relation to the company is void.</w:t>
      </w:r>
    </w:p>
    <w:p>
      <w:pPr>
        <w:spacing w:after="0" w:line="79" w:lineRule="exact"/>
        <w:rPr>
          <w:sz w:val="20"/>
          <w:szCs w:val="20"/>
          <w:color w:val="auto"/>
        </w:rPr>
      </w:pPr>
    </w:p>
    <w:p>
      <w:pPr>
        <w:ind w:left="2380"/>
        <w:spacing w:after="0" w:line="252" w:lineRule="auto"/>
        <w:rPr>
          <w:sz w:val="20"/>
          <w:szCs w:val="20"/>
          <w:color w:val="auto"/>
        </w:rPr>
      </w:pPr>
      <w:r>
        <w:rPr>
          <w:rFonts w:ascii="Arial" w:cs="Arial" w:eastAsia="Arial" w:hAnsi="Arial"/>
          <w:sz w:val="11"/>
          <w:szCs w:val="11"/>
          <w:color w:val="auto"/>
        </w:rPr>
        <w:t>Under German law, members of both the Management Board and members of the Supervisory Board are liable to the company, and in certain cases to third parties or shareholders, for any damage caused to them due to a breach of such member’s duty of care. Apart from insolvency or special circumstances, only the company has the right to claim damages from members of either board. The company may waive or settle claims for damages against a negligent Management or Supervisory Board member only after the expiry of three years and only if the company’s shareholder meeting approves thereof and no minority holding at least 10% of the capital stock raises an objection. In case a third party raises claims directly against members of the Management Board or of the Supervisory Board, such members may claim from the company under additional requirements indemnification regarding liabilities arising out of or in connection with their services to the company.</w:t>
      </w:r>
    </w:p>
    <w:p>
      <w:pPr>
        <w:spacing w:after="0" w:line="125" w:lineRule="exact"/>
        <w:rPr>
          <w:sz w:val="20"/>
          <w:szCs w:val="20"/>
          <w:color w:val="auto"/>
        </w:rPr>
      </w:pPr>
    </w:p>
    <w:p>
      <w:pPr>
        <w:spacing w:after="0"/>
        <w:tabs>
          <w:tab w:leader="none" w:pos="2360" w:val="left"/>
        </w:tabs>
        <w:rPr>
          <w:sz w:val="20"/>
          <w:szCs w:val="20"/>
          <w:color w:val="auto"/>
        </w:rPr>
      </w:pPr>
      <w:r>
        <w:rPr>
          <w:rFonts w:ascii="Arial" w:cs="Arial" w:eastAsia="Arial" w:hAnsi="Arial"/>
          <w:sz w:val="11"/>
          <w:szCs w:val="11"/>
          <w:color w:val="auto"/>
        </w:rPr>
        <w:t>Voting Rights</w:t>
      </w:r>
      <w:r>
        <w:rPr>
          <w:sz w:val="20"/>
          <w:szCs w:val="20"/>
          <w:color w:val="auto"/>
        </w:rPr>
        <w:tab/>
      </w:r>
      <w:r>
        <w:rPr>
          <w:rFonts w:ascii="Arial" w:cs="Arial" w:eastAsia="Arial" w:hAnsi="Arial"/>
          <w:sz w:val="11"/>
          <w:szCs w:val="11"/>
          <w:color w:val="auto"/>
        </w:rPr>
        <w:t>Under the relevant European and German law, each share, except for statutory non-</w:t>
      </w:r>
    </w:p>
    <w:p>
      <w:pPr>
        <w:spacing w:after="0" w:line="15" w:lineRule="exact"/>
        <w:rPr>
          <w:sz w:val="20"/>
          <w:szCs w:val="20"/>
          <w:color w:val="auto"/>
        </w:rPr>
      </w:pPr>
    </w:p>
    <w:p>
      <w:pPr>
        <w:ind w:left="2380" w:right="40"/>
        <w:spacing w:after="0" w:line="252" w:lineRule="auto"/>
        <w:rPr>
          <w:sz w:val="20"/>
          <w:szCs w:val="20"/>
          <w:color w:val="auto"/>
        </w:rPr>
      </w:pPr>
      <w:r>
        <w:rPr>
          <w:rFonts w:ascii="Arial" w:cs="Arial" w:eastAsia="Arial" w:hAnsi="Arial"/>
          <w:sz w:val="11"/>
          <w:szCs w:val="11"/>
          <w:color w:val="auto"/>
        </w:rPr>
        <w:t>voting preferred shares (</w:t>
      </w:r>
      <w:r>
        <w:rPr>
          <w:rFonts w:ascii="Arial" w:cs="Arial" w:eastAsia="Arial" w:hAnsi="Arial"/>
          <w:sz w:val="11"/>
          <w:szCs w:val="11"/>
          <w:i w:val="1"/>
          <w:iCs w:val="1"/>
          <w:color w:val="auto"/>
        </w:rPr>
        <w:t>nicht stimmberechtigte Vorzugsaktien</w:t>
      </w:r>
      <w:r>
        <w:rPr>
          <w:rFonts w:ascii="Arial" w:cs="Arial" w:eastAsia="Arial" w:hAnsi="Arial"/>
          <w:sz w:val="11"/>
          <w:szCs w:val="11"/>
          <w:color w:val="auto"/>
        </w:rPr>
        <w:t>), entitles its holder to vote at the shareholders’ meeting with, in the case of no- par value shares, each share conferring one vote. While German law does not provide for a minimum attendance quorum for shareholders’ meetings, the company’s articles of association may so provide. In general, resolutions adopted at a shareholders’ meeting may be passed by a simple majority of votes cast, unless a higher majority is required by law or under the company’s articles of association.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left="6"/>
        <w:spacing w:after="0"/>
        <w:rPr>
          <w:sz w:val="20"/>
          <w:szCs w:val="20"/>
          <w:color w:val="auto"/>
        </w:rPr>
      </w:pPr>
      <w:r>
        <w:rPr>
          <w:rFonts w:ascii="Arial" w:cs="Arial" w:eastAsia="Arial" w:hAnsi="Arial"/>
          <w:sz w:val="11"/>
          <w:szCs w:val="11"/>
          <w:color w:val="auto"/>
        </w:rPr>
        <w:t>Delaware</w:t>
      </w:r>
    </w:p>
    <w:p>
      <w:pPr>
        <w:spacing w:after="0" w:line="45" w:lineRule="exact"/>
        <w:rPr>
          <w:sz w:val="20"/>
          <w:szCs w:val="20"/>
          <w:color w:val="auto"/>
        </w:rPr>
      </w:pPr>
    </w:p>
    <w:p>
      <w:pPr>
        <w:ind w:left="6"/>
        <w:spacing w:after="0" w:line="258" w:lineRule="auto"/>
        <w:rPr>
          <w:sz w:val="20"/>
          <w:szCs w:val="20"/>
          <w:color w:val="auto"/>
        </w:rPr>
      </w:pPr>
      <w:r>
        <w:rPr>
          <w:rFonts w:ascii="Arial" w:cs="Arial" w:eastAsia="Arial" w:hAnsi="Arial"/>
          <w:sz w:val="11"/>
          <w:szCs w:val="11"/>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78" w:lineRule="exact"/>
        <w:rPr>
          <w:sz w:val="20"/>
          <w:szCs w:val="20"/>
          <w:color w:val="auto"/>
        </w:rPr>
      </w:pPr>
    </w:p>
    <w:p>
      <w:pPr>
        <w:ind w:left="6" w:right="400" w:hanging="6"/>
        <w:spacing w:after="0" w:line="287" w:lineRule="auto"/>
        <w:tabs>
          <w:tab w:leader="none" w:pos="106" w:val="left"/>
        </w:tabs>
        <w:numPr>
          <w:ilvl w:val="0"/>
          <w:numId w:val="67"/>
        </w:numPr>
        <w:rPr>
          <w:rFonts w:ascii="Arial" w:cs="Arial" w:eastAsia="Arial" w:hAnsi="Arial"/>
          <w:sz w:val="11"/>
          <w:szCs w:val="11"/>
          <w:color w:val="auto"/>
        </w:rPr>
      </w:pPr>
      <w:r>
        <w:rPr>
          <w:rFonts w:ascii="Arial" w:cs="Arial" w:eastAsia="Arial" w:hAnsi="Arial"/>
          <w:sz w:val="11"/>
          <w:szCs w:val="11"/>
          <w:color w:val="auto"/>
        </w:rPr>
        <w:t>any breach of the director’s duty of loyalty to the corporation or its stockholders;</w:t>
      </w:r>
    </w:p>
    <w:p>
      <w:pPr>
        <w:spacing w:after="0" w:line="61" w:lineRule="exact"/>
        <w:rPr>
          <w:rFonts w:ascii="Arial" w:cs="Arial" w:eastAsia="Arial" w:hAnsi="Arial"/>
          <w:sz w:val="11"/>
          <w:szCs w:val="11"/>
          <w:color w:val="auto"/>
        </w:rPr>
      </w:pPr>
    </w:p>
    <w:p>
      <w:pPr>
        <w:ind w:left="6" w:right="40" w:hanging="6"/>
        <w:spacing w:after="0" w:line="287" w:lineRule="auto"/>
        <w:tabs>
          <w:tab w:leader="none" w:pos="137" w:val="left"/>
        </w:tabs>
        <w:numPr>
          <w:ilvl w:val="0"/>
          <w:numId w:val="67"/>
        </w:numPr>
        <w:rPr>
          <w:rFonts w:ascii="Arial" w:cs="Arial" w:eastAsia="Arial" w:hAnsi="Arial"/>
          <w:sz w:val="11"/>
          <w:szCs w:val="11"/>
          <w:color w:val="auto"/>
        </w:rPr>
      </w:pPr>
      <w:r>
        <w:rPr>
          <w:rFonts w:ascii="Arial" w:cs="Arial" w:eastAsia="Arial" w:hAnsi="Arial"/>
          <w:sz w:val="11"/>
          <w:szCs w:val="11"/>
          <w:color w:val="auto"/>
        </w:rPr>
        <w:t>acts or omissions not in good faith or that involve intentional misconduct or a knowing violation of law;</w:t>
      </w:r>
    </w:p>
    <w:p>
      <w:pPr>
        <w:spacing w:after="0" w:line="61" w:lineRule="exact"/>
        <w:rPr>
          <w:rFonts w:ascii="Arial" w:cs="Arial" w:eastAsia="Arial" w:hAnsi="Arial"/>
          <w:sz w:val="11"/>
          <w:szCs w:val="11"/>
          <w:color w:val="auto"/>
        </w:rPr>
      </w:pPr>
    </w:p>
    <w:p>
      <w:pPr>
        <w:ind w:left="6" w:hanging="6"/>
        <w:spacing w:after="0" w:line="287" w:lineRule="auto"/>
        <w:tabs>
          <w:tab w:leader="none" w:pos="106" w:val="left"/>
        </w:tabs>
        <w:numPr>
          <w:ilvl w:val="0"/>
          <w:numId w:val="67"/>
        </w:numPr>
        <w:rPr>
          <w:rFonts w:ascii="Arial" w:cs="Arial" w:eastAsia="Arial" w:hAnsi="Arial"/>
          <w:sz w:val="11"/>
          <w:szCs w:val="11"/>
          <w:color w:val="auto"/>
        </w:rPr>
      </w:pPr>
      <w:r>
        <w:rPr>
          <w:rFonts w:ascii="Arial" w:cs="Arial" w:eastAsia="Arial" w:hAnsi="Arial"/>
          <w:sz w:val="11"/>
          <w:szCs w:val="11"/>
          <w:color w:val="auto"/>
        </w:rPr>
        <w:t>intentional or negligent payment of unlawful dividends or stock purchases or redemptions; or</w:t>
      </w:r>
    </w:p>
    <w:p>
      <w:pPr>
        <w:spacing w:after="0" w:line="61" w:lineRule="exact"/>
        <w:rPr>
          <w:rFonts w:ascii="Arial" w:cs="Arial" w:eastAsia="Arial" w:hAnsi="Arial"/>
          <w:sz w:val="11"/>
          <w:szCs w:val="11"/>
          <w:color w:val="auto"/>
        </w:rPr>
      </w:pPr>
    </w:p>
    <w:p>
      <w:pPr>
        <w:ind w:left="6" w:right="140" w:hanging="6"/>
        <w:spacing w:after="0" w:line="287" w:lineRule="auto"/>
        <w:tabs>
          <w:tab w:leader="none" w:pos="199" w:val="left"/>
        </w:tabs>
        <w:numPr>
          <w:ilvl w:val="0"/>
          <w:numId w:val="67"/>
        </w:numPr>
        <w:rPr>
          <w:rFonts w:ascii="Arial" w:cs="Arial" w:eastAsia="Arial" w:hAnsi="Arial"/>
          <w:sz w:val="11"/>
          <w:szCs w:val="11"/>
          <w:color w:val="auto"/>
        </w:rPr>
      </w:pPr>
      <w:r>
        <w:rPr>
          <w:rFonts w:ascii="Arial" w:cs="Arial" w:eastAsia="Arial" w:hAnsi="Arial"/>
          <w:sz w:val="11"/>
          <w:szCs w:val="11"/>
          <w:color w:val="auto"/>
        </w:rPr>
        <w:t>any transaction from which the director derives an improper personal benefit.</w:t>
      </w:r>
    </w:p>
    <w:p>
      <w:pPr>
        <w:spacing w:after="0" w:line="324" w:lineRule="exact"/>
        <w:rPr>
          <w:sz w:val="20"/>
          <w:szCs w:val="20"/>
          <w:color w:val="auto"/>
        </w:rPr>
      </w:pPr>
    </w:p>
    <w:p>
      <w:pPr>
        <w:ind w:left="6" w:right="100"/>
        <w:spacing w:after="0" w:line="268" w:lineRule="auto"/>
        <w:rPr>
          <w:sz w:val="20"/>
          <w:szCs w:val="20"/>
          <w:color w:val="auto"/>
        </w:rPr>
      </w:pPr>
      <w:r>
        <w:rPr>
          <w:rFonts w:ascii="Arial" w:cs="Arial" w:eastAsia="Arial" w:hAnsi="Arial"/>
          <w:sz w:val="11"/>
          <w:szCs w:val="11"/>
          <w:color w:val="auto"/>
        </w:rPr>
        <w:t>Delaware law provides that, unless otherwise provided in the certificate of incorporation, each stockholder is entitled to one vote for each share of capital stock held by such stockholder.</w:t>
      </w:r>
    </w:p>
    <w:p>
      <w:pPr>
        <w:spacing w:after="0" w:line="769" w:lineRule="exact"/>
        <w:rPr>
          <w:sz w:val="20"/>
          <w:szCs w:val="20"/>
          <w:color w:val="auto"/>
        </w:rPr>
      </w:pPr>
    </w:p>
    <w:p>
      <w:pPr>
        <w:sectPr>
          <w:pgSz w:w="11900" w:h="16840" w:orient="portrait"/>
          <w:cols w:equalWidth="0" w:num="2">
            <w:col w:w="6740" w:space="114"/>
            <w:col w:w="3706"/>
          </w:cols>
          <w:pgMar w:left="660" w:top="1440" w:right="680" w:bottom="1440" w:gutter="0" w:footer="0" w:header="0"/>
        </w:sectPr>
      </w:pPr>
    </w:p>
    <w:tbl>
      <w:tblPr>
        <w:tblLayout w:type="fixed"/>
        <w:tblInd w:w="0" w:type="dxa"/>
        <w:tblCellMar>
          <w:top w:w="0" w:type="dxa"/>
          <w:left w:w="0" w:type="dxa"/>
          <w:bottom w:w="0" w:type="dxa"/>
          <w:right w:w="0" w:type="dxa"/>
        </w:tblCellMar>
      </w:tblPr>
      <w:tr>
        <w:trPr>
          <w:trHeight w:val="131"/>
        </w:trPr>
        <w:tc>
          <w:tcPr>
            <w:tcW w:w="2240" w:type="dxa"/>
            <w:vAlign w:val="bottom"/>
          </w:tcPr>
          <w:p>
            <w:pPr>
              <w:spacing w:after="0"/>
              <w:rPr>
                <w:sz w:val="20"/>
                <w:szCs w:val="20"/>
                <w:color w:val="auto"/>
              </w:rPr>
            </w:pPr>
            <w:r>
              <w:rPr>
                <w:rFonts w:ascii="Arial" w:cs="Arial" w:eastAsia="Arial" w:hAnsi="Arial"/>
                <w:sz w:val="11"/>
                <w:szCs w:val="11"/>
                <w:color w:val="auto"/>
              </w:rPr>
              <w:t>Shareholder Vote on Certain Transactions</w:t>
            </w:r>
          </w:p>
        </w:tc>
        <w:tc>
          <w:tcPr>
            <w:tcW w:w="120" w:type="dxa"/>
            <w:vAlign w:val="bottom"/>
          </w:tcPr>
          <w:p>
            <w:pPr>
              <w:spacing w:after="0"/>
              <w:rPr>
                <w:sz w:val="11"/>
                <w:szCs w:val="11"/>
                <w:color w:val="auto"/>
              </w:rPr>
            </w:pPr>
          </w:p>
        </w:tc>
        <w:tc>
          <w:tcPr>
            <w:tcW w:w="4360" w:type="dxa"/>
            <w:vAlign w:val="bottom"/>
          </w:tcPr>
          <w:p>
            <w:pPr>
              <w:ind w:left="20"/>
              <w:spacing w:after="0"/>
              <w:rPr>
                <w:sz w:val="20"/>
                <w:szCs w:val="20"/>
                <w:color w:val="auto"/>
              </w:rPr>
            </w:pPr>
            <w:r>
              <w:rPr>
                <w:rFonts w:ascii="Arial" w:cs="Arial" w:eastAsia="Arial" w:hAnsi="Arial"/>
                <w:sz w:val="11"/>
                <w:szCs w:val="11"/>
                <w:color w:val="auto"/>
              </w:rPr>
              <w:t>Under applicable European and German law, certain shareholders’ resolutions of</w:t>
            </w:r>
          </w:p>
        </w:tc>
      </w:tr>
      <w:tr>
        <w:trPr>
          <w:trHeight w:val="131"/>
        </w:trPr>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60" w:type="dxa"/>
            <w:vAlign w:val="bottom"/>
          </w:tcPr>
          <w:p>
            <w:pPr>
              <w:ind w:left="20"/>
              <w:spacing w:after="0"/>
              <w:rPr>
                <w:sz w:val="20"/>
                <w:szCs w:val="20"/>
                <w:color w:val="auto"/>
              </w:rPr>
            </w:pPr>
            <w:r>
              <w:rPr>
                <w:rFonts w:ascii="Arial" w:cs="Arial" w:eastAsia="Arial" w:hAnsi="Arial"/>
                <w:sz w:val="11"/>
                <w:szCs w:val="11"/>
                <w:color w:val="auto"/>
              </w:rPr>
              <w:t>fundamental importance require the vote of at least three-quarters of the share capital</w:t>
            </w:r>
          </w:p>
        </w:tc>
      </w:tr>
      <w:tr>
        <w:trPr>
          <w:trHeight w:val="131"/>
        </w:trPr>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60" w:type="dxa"/>
            <w:vAlign w:val="bottom"/>
          </w:tcPr>
          <w:p>
            <w:pPr>
              <w:ind w:left="20"/>
              <w:spacing w:after="0"/>
              <w:rPr>
                <w:sz w:val="20"/>
                <w:szCs w:val="20"/>
                <w:color w:val="auto"/>
              </w:rPr>
            </w:pPr>
            <w:r>
              <w:rPr>
                <w:rFonts w:ascii="Arial" w:cs="Arial" w:eastAsia="Arial" w:hAnsi="Arial"/>
                <w:sz w:val="11"/>
                <w:szCs w:val="11"/>
                <w:color w:val="auto"/>
              </w:rPr>
              <w:t>present or represented in the voting at the time of adoption of the resolution.</w:t>
            </w:r>
          </w:p>
        </w:tc>
      </w:tr>
      <w:tr>
        <w:trPr>
          <w:trHeight w:val="131"/>
        </w:trPr>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60" w:type="dxa"/>
            <w:vAlign w:val="bottom"/>
          </w:tcPr>
          <w:p>
            <w:pPr>
              <w:ind w:left="20"/>
              <w:spacing w:after="0"/>
              <w:rPr>
                <w:sz w:val="20"/>
                <w:szCs w:val="20"/>
                <w:color w:val="auto"/>
              </w:rPr>
            </w:pPr>
            <w:r>
              <w:rPr>
                <w:rFonts w:ascii="Arial" w:cs="Arial" w:eastAsia="Arial" w:hAnsi="Arial"/>
                <w:sz w:val="11"/>
                <w:szCs w:val="11"/>
                <w:color w:val="auto"/>
              </w:rPr>
              <w:t>Resolutions of fundamental importance include, in particular, capital increases with</w:t>
            </w:r>
          </w:p>
        </w:tc>
      </w:tr>
      <w:tr>
        <w:trPr>
          <w:trHeight w:val="131"/>
        </w:trPr>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60" w:type="dxa"/>
            <w:vAlign w:val="bottom"/>
          </w:tcPr>
          <w:p>
            <w:pPr>
              <w:ind w:left="20"/>
              <w:spacing w:after="0"/>
              <w:rPr>
                <w:sz w:val="20"/>
                <w:szCs w:val="20"/>
                <w:color w:val="auto"/>
              </w:rPr>
            </w:pPr>
            <w:r>
              <w:rPr>
                <w:rFonts w:ascii="Arial" w:cs="Arial" w:eastAsia="Arial" w:hAnsi="Arial"/>
                <w:sz w:val="11"/>
                <w:szCs w:val="11"/>
                <w:color w:val="auto"/>
              </w:rPr>
              <w:t>exclusion of subscription rights, capital decreases, the creation of authorized or</w:t>
            </w:r>
          </w:p>
        </w:tc>
      </w:tr>
      <w:tr>
        <w:trPr>
          <w:trHeight w:val="131"/>
        </w:trPr>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60" w:type="dxa"/>
            <w:vAlign w:val="bottom"/>
          </w:tcPr>
          <w:p>
            <w:pPr>
              <w:ind w:left="20"/>
              <w:spacing w:after="0"/>
              <w:rPr>
                <w:sz w:val="20"/>
                <w:szCs w:val="20"/>
                <w:color w:val="auto"/>
              </w:rPr>
            </w:pPr>
            <w:r>
              <w:rPr>
                <w:rFonts w:ascii="Arial" w:cs="Arial" w:eastAsia="Arial" w:hAnsi="Arial"/>
                <w:sz w:val="11"/>
                <w:szCs w:val="11"/>
                <w:color w:val="auto"/>
              </w:rPr>
              <w:t>conditional share capital, the dissolution of a company, a merger into or with another</w:t>
            </w:r>
          </w:p>
        </w:tc>
      </w:tr>
      <w:tr>
        <w:trPr>
          <w:trHeight w:val="131"/>
        </w:trPr>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60" w:type="dxa"/>
            <w:vAlign w:val="bottom"/>
          </w:tcPr>
          <w:p>
            <w:pPr>
              <w:ind w:left="20"/>
              <w:spacing w:after="0"/>
              <w:rPr>
                <w:sz w:val="20"/>
                <w:szCs w:val="20"/>
                <w:color w:val="auto"/>
              </w:rPr>
            </w:pPr>
            <w:r>
              <w:rPr>
                <w:rFonts w:ascii="Arial" w:cs="Arial" w:eastAsia="Arial" w:hAnsi="Arial"/>
                <w:sz w:val="11"/>
                <w:szCs w:val="11"/>
                <w:color w:val="auto"/>
              </w:rPr>
              <w:t>company, split-offs and split-ups, the conclusion of inter-company agreements</w:t>
            </w:r>
          </w:p>
        </w:tc>
      </w:tr>
      <w:tr>
        <w:trPr>
          <w:trHeight w:val="131"/>
        </w:trPr>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60" w:type="dxa"/>
            <w:vAlign w:val="bottom"/>
          </w:tcPr>
          <w:p>
            <w:pPr>
              <w:ind w:left="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Unternehmensverträge</w:t>
            </w:r>
            <w:r>
              <w:rPr>
                <w:rFonts w:ascii="Arial" w:cs="Arial" w:eastAsia="Arial" w:hAnsi="Arial"/>
                <w:sz w:val="11"/>
                <w:szCs w:val="11"/>
                <w:color w:val="auto"/>
              </w:rPr>
              <w:t>), in particular domination agreements (</w:t>
            </w:r>
            <w:r>
              <w:rPr>
                <w:rFonts w:ascii="Arial" w:cs="Arial" w:eastAsia="Arial" w:hAnsi="Arial"/>
                <w:sz w:val="11"/>
                <w:szCs w:val="11"/>
                <w:i w:val="1"/>
                <w:iCs w:val="1"/>
                <w:color w:val="auto"/>
              </w:rPr>
              <w:t>Beherrschungsverträge</w:t>
            </w:r>
            <w:r>
              <w:rPr>
                <w:rFonts w:ascii="Arial" w:cs="Arial" w:eastAsia="Arial" w:hAnsi="Arial"/>
                <w:sz w:val="11"/>
                <w:szCs w:val="11"/>
                <w:color w:val="auto"/>
              </w:rPr>
              <w:t>)</w:t>
            </w:r>
          </w:p>
        </w:tc>
      </w:tr>
      <w:tr>
        <w:trPr>
          <w:trHeight w:val="147"/>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60" w:type="dxa"/>
            <w:vAlign w:val="bottom"/>
          </w:tcPr>
          <w:p>
            <w:pPr>
              <w:ind w:left="20"/>
              <w:spacing w:after="0"/>
              <w:rPr>
                <w:sz w:val="20"/>
                <w:szCs w:val="20"/>
                <w:color w:val="auto"/>
              </w:rPr>
            </w:pPr>
            <w:r>
              <w:rPr>
                <w:rFonts w:ascii="Arial" w:cs="Arial" w:eastAsia="Arial" w:hAnsi="Arial"/>
                <w:sz w:val="11"/>
                <w:szCs w:val="11"/>
                <w:color w:val="auto"/>
              </w:rPr>
              <w:t>and profit and loss transfer agreements (</w:t>
            </w:r>
            <w:r>
              <w:rPr>
                <w:rFonts w:ascii="Arial" w:cs="Arial" w:eastAsia="Arial" w:hAnsi="Arial"/>
                <w:sz w:val="11"/>
                <w:szCs w:val="11"/>
                <w:i w:val="1"/>
                <w:iCs w:val="1"/>
                <w:color w:val="auto"/>
              </w:rPr>
              <w:t>Ergebnisabführungsverträge</w:t>
            </w:r>
            <w:r>
              <w:rPr>
                <w:rFonts w:ascii="Arial" w:cs="Arial" w:eastAsia="Arial" w:hAnsi="Arial"/>
                <w:sz w:val="11"/>
                <w:szCs w:val="11"/>
                <w:color w:val="auto"/>
              </w:rPr>
              <w:t>).</w:t>
            </w:r>
          </w:p>
        </w:tc>
      </w:tr>
      <w:tr>
        <w:trPr>
          <w:trHeight w:val="318"/>
        </w:trPr>
        <w:tc>
          <w:tcPr>
            <w:tcW w:w="2240" w:type="dxa"/>
            <w:vAlign w:val="bottom"/>
            <w:tcBorders>
              <w:bottom w:val="single" w:sz="8" w:color="005A64"/>
            </w:tcBorders>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Borders>
              <w:bottom w:val="single" w:sz="8" w:color="005A64"/>
            </w:tcBorders>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ind w:left="6" w:right="20"/>
        <w:spacing w:after="0" w:line="262" w:lineRule="auto"/>
        <w:rPr>
          <w:sz w:val="20"/>
          <w:szCs w:val="20"/>
          <w:color w:val="auto"/>
        </w:rPr>
      </w:pPr>
      <w:r>
        <w:rPr>
          <w:rFonts w:ascii="Arial" w:cs="Arial" w:eastAsia="Arial" w:hAnsi="Arial"/>
          <w:sz w:val="11"/>
          <w:szCs w:val="11"/>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74" w:lineRule="exact"/>
        <w:rPr>
          <w:sz w:val="20"/>
          <w:szCs w:val="20"/>
          <w:color w:val="auto"/>
        </w:rPr>
      </w:pPr>
    </w:p>
    <w:p>
      <w:pPr>
        <w:ind w:left="166" w:hanging="166"/>
        <w:spacing w:after="0"/>
        <w:tabs>
          <w:tab w:leader="none" w:pos="166" w:val="left"/>
        </w:tabs>
        <w:numPr>
          <w:ilvl w:val="0"/>
          <w:numId w:val="68"/>
        </w:numPr>
        <w:rPr>
          <w:rFonts w:ascii="Arial" w:cs="Arial" w:eastAsia="Arial" w:hAnsi="Arial"/>
          <w:sz w:val="11"/>
          <w:szCs w:val="11"/>
          <w:color w:val="auto"/>
        </w:rPr>
      </w:pPr>
      <w:r>
        <w:rPr>
          <w:rFonts w:ascii="Arial" w:cs="Arial" w:eastAsia="Arial" w:hAnsi="Arial"/>
          <w:sz w:val="11"/>
          <w:szCs w:val="11"/>
          <w:color w:val="auto"/>
        </w:rPr>
        <w:t>the approval of the board of directors; and</w:t>
      </w:r>
    </w:p>
    <w:p>
      <w:pPr>
        <w:spacing w:after="0" w:line="106" w:lineRule="exact"/>
        <w:rPr>
          <w:rFonts w:ascii="Arial" w:cs="Arial" w:eastAsia="Arial" w:hAnsi="Arial"/>
          <w:sz w:val="11"/>
          <w:szCs w:val="11"/>
          <w:color w:val="auto"/>
        </w:rPr>
      </w:pPr>
    </w:p>
    <w:p>
      <w:pPr>
        <w:ind w:left="6" w:hanging="6"/>
        <w:spacing w:after="0" w:line="262" w:lineRule="auto"/>
        <w:tabs>
          <w:tab w:leader="none" w:pos="168" w:val="left"/>
        </w:tabs>
        <w:numPr>
          <w:ilvl w:val="0"/>
          <w:numId w:val="68"/>
        </w:numPr>
        <w:rPr>
          <w:rFonts w:ascii="Arial" w:cs="Arial" w:eastAsia="Arial" w:hAnsi="Arial"/>
          <w:sz w:val="11"/>
          <w:szCs w:val="11"/>
          <w:color w:val="auto"/>
        </w:rPr>
      </w:pPr>
      <w:r>
        <w:rPr>
          <w:rFonts w:ascii="Arial" w:cs="Arial" w:eastAsia="Arial" w:hAnsi="Arial"/>
          <w:sz w:val="11"/>
          <w:szCs w:val="11"/>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66040</wp:posOffset>
            </wp:positionV>
            <wp:extent cx="2374900" cy="63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16">
                      <a:extLst>
                        <a:ext uri="{28A0092B-C50C-407E-A947-70E740481C1C}"/>
                      </a:extLst>
                    </a:blip>
                    <a:srcRect/>
                    <a:stretch>
                      <a:fillRect/>
                    </a:stretch>
                  </pic:blipFill>
                  <pic:spPr bwMode="auto">
                    <a:xfrm>
                      <a:off x="0" y="0"/>
                      <a:ext cx="2374900" cy="6350"/>
                    </a:xfrm>
                    <a:prstGeom prst="rect">
                      <a:avLst/>
                    </a:prstGeom>
                    <a:noFill/>
                  </pic:spPr>
                </pic:pic>
              </a:graphicData>
            </a:graphic>
          </wp:anchor>
        </w:drawing>
      </w:r>
    </w:p>
    <w:p>
      <w:pPr>
        <w:sectPr>
          <w:pgSz w:w="11900" w:h="16840" w:orient="portrait"/>
          <w:cols w:equalWidth="0" w:num="2">
            <w:col w:w="6720" w:space="134"/>
            <w:col w:w="3706"/>
          </w:cols>
          <w:pgMar w:left="660" w:top="1440" w:right="680" w:bottom="1440" w:gutter="0" w:footer="0" w:header="0"/>
          <w:type w:val="continuous"/>
        </w:sectPr>
      </w:pPr>
    </w:p>
    <w:bookmarkStart w:id="244" w:name="page245"/>
    <w:bookmarkEnd w:id="2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413385</wp:posOffset>
            </wp:positionH>
            <wp:positionV relativeFrom="page">
              <wp:posOffset>1093470</wp:posOffset>
            </wp:positionV>
            <wp:extent cx="6726555" cy="127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17">
                      <a:extLst>
                        <a:ext uri="{28A0092B-C50C-407E-A947-70E740481C1C}"/>
                      </a:extLst>
                    </a:blip>
                    <a:srcRect/>
                    <a:stretch>
                      <a:fillRect/>
                    </a:stretch>
                  </pic:blipFill>
                  <pic:spPr bwMode="auto">
                    <a:xfrm>
                      <a:off x="0" y="0"/>
                      <a:ext cx="6726555" cy="1270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240" w:type="dxa"/>
            <w:vAlign w:val="bottom"/>
            <w:tcBorders>
              <w:bottom w:val="single" w:sz="8" w:color="005A64"/>
            </w:tcBorders>
          </w:tcPr>
          <w:p>
            <w:pPr>
              <w:spacing w:after="0"/>
              <w:rPr>
                <w:sz w:val="13"/>
                <w:szCs w:val="13"/>
                <w:color w:val="auto"/>
              </w:rPr>
            </w:pPr>
          </w:p>
        </w:tc>
        <w:tc>
          <w:tcPr>
            <w:tcW w:w="140" w:type="dxa"/>
            <w:vAlign w:val="bottom"/>
          </w:tcPr>
          <w:p>
            <w:pPr>
              <w:spacing w:after="0"/>
              <w:rPr>
                <w:sz w:val="13"/>
                <w:szCs w:val="13"/>
                <w:color w:val="auto"/>
              </w:rPr>
            </w:pPr>
          </w:p>
        </w:tc>
        <w:tc>
          <w:tcPr>
            <w:tcW w:w="4020" w:type="dxa"/>
            <w:vAlign w:val="bottom"/>
            <w:tcBorders>
              <w:bottom w:val="single" w:sz="8" w:color="005A64"/>
            </w:tcBorders>
          </w:tcPr>
          <w:p>
            <w:pPr>
              <w:ind w:left="20"/>
              <w:spacing w:after="0"/>
              <w:rPr>
                <w:sz w:val="20"/>
                <w:szCs w:val="20"/>
                <w:color w:val="auto"/>
              </w:rPr>
            </w:pPr>
            <w:r>
              <w:rPr>
                <w:rFonts w:ascii="Arial" w:cs="Arial" w:eastAsia="Arial" w:hAnsi="Arial"/>
                <w:sz w:val="11"/>
                <w:szCs w:val="11"/>
                <w:color w:val="auto"/>
              </w:rPr>
              <w:t>European Union/Federal Republic of Germany</w:t>
            </w:r>
          </w:p>
        </w:tc>
      </w:tr>
      <w:tr>
        <w:trPr>
          <w:trHeight w:val="139"/>
        </w:trPr>
        <w:tc>
          <w:tcPr>
            <w:tcW w:w="2240" w:type="dxa"/>
            <w:vAlign w:val="bottom"/>
          </w:tcPr>
          <w:p>
            <w:pPr>
              <w:spacing w:after="0"/>
              <w:rPr>
                <w:sz w:val="20"/>
                <w:szCs w:val="20"/>
                <w:color w:val="auto"/>
              </w:rPr>
            </w:pPr>
            <w:r>
              <w:rPr>
                <w:rFonts w:ascii="Arial" w:cs="Arial" w:eastAsia="Arial" w:hAnsi="Arial"/>
                <w:sz w:val="11"/>
                <w:szCs w:val="11"/>
                <w:color w:val="auto"/>
              </w:rPr>
              <w:t>Standard of Conduct for Directors</w:t>
            </w:r>
          </w:p>
        </w:tc>
        <w:tc>
          <w:tcPr>
            <w:tcW w:w="140" w:type="dxa"/>
            <w:vAlign w:val="bottom"/>
          </w:tcPr>
          <w:p>
            <w:pPr>
              <w:spacing w:after="0"/>
              <w:rPr>
                <w:sz w:val="12"/>
                <w:szCs w:val="12"/>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Under applicable European and German law, both Management and Supervisory</w:t>
            </w:r>
          </w:p>
        </w:tc>
      </w:tr>
      <w:tr>
        <w:trPr>
          <w:trHeight w:val="131"/>
        </w:trPr>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Board members must conduct their affairs with “the care and diligence of a</w:t>
            </w:r>
          </w:p>
        </w:tc>
      </w:tr>
      <w:tr>
        <w:trPr>
          <w:trHeight w:val="131"/>
        </w:trPr>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prudent business man” and act in the best interest of the company. The scope of</w:t>
            </w:r>
          </w:p>
        </w:tc>
      </w:tr>
      <w:tr>
        <w:trPr>
          <w:trHeight w:val="131"/>
        </w:trPr>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the fiduciary duties of Management and Supervisory Board members is generally</w:t>
            </w:r>
          </w:p>
        </w:tc>
      </w:tr>
      <w:tr>
        <w:trPr>
          <w:trHeight w:val="147"/>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determined by European and German legislation and by the courts.</w:t>
            </w:r>
          </w:p>
        </w:tc>
      </w:tr>
      <w:tr>
        <w:trPr>
          <w:trHeight w:val="217"/>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Statutory and fiduciary duties of members of the Management Board to the</w:t>
            </w:r>
          </w:p>
        </w:tc>
      </w:tr>
      <w:tr>
        <w:trPr>
          <w:trHeight w:val="147"/>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company include, among others:</w:t>
            </w:r>
          </w:p>
        </w:tc>
      </w:tr>
      <w:tr>
        <w:trPr>
          <w:trHeight w:val="217"/>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 to act in accordance with the law, the company’s articles of association and the</w:t>
            </w:r>
          </w:p>
        </w:tc>
      </w:tr>
      <w:tr>
        <w:trPr>
          <w:trHeight w:val="147"/>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rules of procedure for the Management Board, if any;</w:t>
            </w:r>
          </w:p>
        </w:tc>
      </w:tr>
      <w:tr>
        <w:trPr>
          <w:trHeight w:val="217"/>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 to report to the Supervisory Board on a regular basis as well as on certain</w:t>
            </w:r>
          </w:p>
        </w:tc>
      </w:tr>
      <w:tr>
        <w:trPr>
          <w:trHeight w:val="147"/>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important occasions;</w:t>
            </w:r>
          </w:p>
        </w:tc>
      </w:tr>
      <w:tr>
        <w:trPr>
          <w:trHeight w:val="232"/>
        </w:trPr>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 to exercise reasonable care, skill and diligence;</w:t>
            </w:r>
          </w:p>
        </w:tc>
      </w:tr>
      <w:tr>
        <w:trPr>
          <w:trHeight w:val="232"/>
        </w:trPr>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 to maintain a proper accounting system;</w:t>
            </w:r>
          </w:p>
        </w:tc>
      </w:tr>
      <w:tr>
        <w:trPr>
          <w:trHeight w:val="217"/>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 to not compete, directly or indirectly, with the company without permission by</w:t>
            </w:r>
          </w:p>
        </w:tc>
      </w:tr>
      <w:tr>
        <w:trPr>
          <w:trHeight w:val="147"/>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the supervisory board; and</w:t>
            </w:r>
          </w:p>
        </w:tc>
      </w:tr>
      <w:tr>
        <w:trPr>
          <w:trHeight w:val="232"/>
        </w:trPr>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 to secure that no further transactions are made in case of insolvency.</w:t>
            </w:r>
          </w:p>
        </w:tc>
      </w:tr>
      <w:tr>
        <w:trPr>
          <w:trHeight w:val="217"/>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Statutory and fiduciary duties of members of the Supervisory Board to the</w:t>
            </w:r>
          </w:p>
        </w:tc>
      </w:tr>
      <w:tr>
        <w:trPr>
          <w:trHeight w:val="147"/>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company include, among others:</w:t>
            </w:r>
          </w:p>
        </w:tc>
      </w:tr>
      <w:tr>
        <w:trPr>
          <w:trHeight w:val="217"/>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 to effectively supervise the Management Board’s handling of the company’s</w:t>
            </w:r>
          </w:p>
        </w:tc>
      </w:tr>
      <w:tr>
        <w:trPr>
          <w:trHeight w:val="147"/>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affairs;</w:t>
            </w:r>
          </w:p>
        </w:tc>
      </w:tr>
      <w:tr>
        <w:trPr>
          <w:trHeight w:val="217"/>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 to evaluate and issue a resolution on certain transactions which can only be</w:t>
            </w:r>
          </w:p>
        </w:tc>
      </w:tr>
      <w:tr>
        <w:trPr>
          <w:trHeight w:val="147"/>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conducted by the Management Board after approval of the Supervisory Board;</w:t>
            </w:r>
          </w:p>
        </w:tc>
      </w:tr>
      <w:tr>
        <w:trPr>
          <w:trHeight w:val="232"/>
        </w:trPr>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 to approve the company’s financial statements;</w:t>
            </w:r>
          </w:p>
        </w:tc>
      </w:tr>
      <w:tr>
        <w:trPr>
          <w:trHeight w:val="217"/>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 to appoint the Management Board members and to represent the company in</w:t>
            </w:r>
          </w:p>
        </w:tc>
      </w:tr>
      <w:tr>
        <w:trPr>
          <w:trHeight w:val="147"/>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transactions between the company and members of the Management Board; and</w:t>
            </w:r>
          </w:p>
        </w:tc>
      </w:tr>
      <w:tr>
        <w:trPr>
          <w:trHeight w:val="217"/>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 to approve service contracts between individual members of the Management</w:t>
            </w:r>
          </w:p>
        </w:tc>
      </w:tr>
      <w:tr>
        <w:trPr>
          <w:trHeight w:val="147"/>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Board and the company.</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22225</wp:posOffset>
            </wp:positionV>
            <wp:extent cx="2567305" cy="635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18">
                      <a:extLst>
                        <a:ext uri="{28A0092B-C50C-407E-A947-70E740481C1C}"/>
                      </a:extLst>
                    </a:blip>
                    <a:srcRect/>
                    <a:stretch>
                      <a:fillRect/>
                    </a:stretch>
                  </pic:blipFill>
                  <pic:spPr bwMode="auto">
                    <a:xfrm>
                      <a:off x="0" y="0"/>
                      <a:ext cx="2567305" cy="6350"/>
                    </a:xfrm>
                    <a:prstGeom prst="rect">
                      <a:avLst/>
                    </a:prstGeom>
                    <a:noFill/>
                  </pic:spPr>
                </pic:pic>
              </a:graphicData>
            </a:graphic>
          </wp:anchor>
        </w:drawing>
      </w:r>
    </w:p>
    <w:p>
      <w:pPr>
        <w:spacing w:after="0" w:line="35" w:lineRule="exact"/>
        <w:rPr>
          <w:sz w:val="20"/>
          <w:szCs w:val="20"/>
          <w:color w:val="auto"/>
        </w:rPr>
      </w:pPr>
    </w:p>
    <w:p>
      <w:pPr>
        <w:jc w:val="both"/>
        <w:ind w:right="140"/>
        <w:spacing w:after="0" w:line="258" w:lineRule="auto"/>
        <w:rPr>
          <w:sz w:val="20"/>
          <w:szCs w:val="20"/>
          <w:color w:val="auto"/>
        </w:rPr>
      </w:pPr>
      <w:r>
        <w:rPr>
          <w:rFonts w:ascii="Arial" w:cs="Arial" w:eastAsia="Arial" w:hAnsi="Arial"/>
          <w:sz w:val="11"/>
          <w:szCs w:val="11"/>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 informed basis and in a manner they reasonably believe to be in the best interest of the stockholders.</w:t>
      </w:r>
    </w:p>
    <w:p>
      <w:pPr>
        <w:spacing w:after="0" w:line="78" w:lineRule="exact"/>
        <w:rPr>
          <w:sz w:val="20"/>
          <w:szCs w:val="20"/>
          <w:color w:val="auto"/>
        </w:rPr>
      </w:pPr>
    </w:p>
    <w:p>
      <w:pPr>
        <w:spacing w:after="0" w:line="252" w:lineRule="auto"/>
        <w:rPr>
          <w:sz w:val="20"/>
          <w:szCs w:val="20"/>
          <w:color w:val="auto"/>
        </w:rPr>
      </w:pPr>
      <w:r>
        <w:rPr>
          <w:rFonts w:ascii="Arial" w:cs="Arial" w:eastAsia="Arial" w:hAnsi="Arial"/>
          <w:sz w:val="11"/>
          <w:szCs w:val="11"/>
          <w:color w:val="auto"/>
        </w:rPr>
        <w:t>Directors of a Delaware corporation owe fiduciary duties of care and loyalty to the corporation and to its stockholders.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80" w:lineRule="exact"/>
        <w:rPr>
          <w:sz w:val="20"/>
          <w:szCs w:val="20"/>
          <w:color w:val="auto"/>
        </w:rPr>
      </w:pPr>
    </w:p>
    <w:p>
      <w:pPr>
        <w:ind w:right="20"/>
        <w:spacing w:after="0" w:line="262" w:lineRule="auto"/>
        <w:rPr>
          <w:sz w:val="20"/>
          <w:szCs w:val="20"/>
          <w:color w:val="auto"/>
        </w:rPr>
      </w:pPr>
      <w:r>
        <w:rPr>
          <w:rFonts w:ascii="Arial" w:cs="Arial" w:eastAsia="Arial" w:hAnsi="Arial"/>
          <w:sz w:val="11"/>
          <w:szCs w:val="11"/>
          <w:color w:val="auto"/>
        </w:rPr>
        <w:t>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ectPr>
          <w:pgSz w:w="11900" w:h="16840" w:orient="portrait"/>
          <w:cols w:equalWidth="0" w:num="2">
            <w:col w:w="6400" w:space="160"/>
            <w:col w:w="4000"/>
          </w:cols>
          <w:pgMar w:left="660" w:top="1440" w:right="680" w:bottom="1440" w:gutter="0" w:footer="0" w:header="0"/>
        </w:sectPr>
      </w:pPr>
    </w:p>
    <w:bookmarkStart w:id="245" w:name="page246"/>
    <w:bookmarkEnd w:id="2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413385</wp:posOffset>
            </wp:positionH>
            <wp:positionV relativeFrom="page">
              <wp:posOffset>1093470</wp:posOffset>
            </wp:positionV>
            <wp:extent cx="6726555" cy="127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19">
                      <a:extLst>
                        <a:ext uri="{28A0092B-C50C-407E-A947-70E740481C1C}"/>
                      </a:extLst>
                    </a:blip>
                    <a:srcRect/>
                    <a:stretch>
                      <a:fillRect/>
                    </a:stretch>
                  </pic:blipFill>
                  <pic:spPr bwMode="auto">
                    <a:xfrm>
                      <a:off x="0" y="0"/>
                      <a:ext cx="6726555" cy="1270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320" w:type="dxa"/>
            <w:vAlign w:val="bottom"/>
            <w:tcBorders>
              <w:bottom w:val="single" w:sz="8" w:color="005A64"/>
            </w:tcBorders>
          </w:tcPr>
          <w:p>
            <w:pPr>
              <w:spacing w:after="0"/>
              <w:rPr>
                <w:sz w:val="13"/>
                <w:szCs w:val="13"/>
                <w:color w:val="auto"/>
              </w:rPr>
            </w:pPr>
          </w:p>
        </w:tc>
        <w:tc>
          <w:tcPr>
            <w:tcW w:w="140" w:type="dxa"/>
            <w:vAlign w:val="bottom"/>
          </w:tcPr>
          <w:p>
            <w:pPr>
              <w:spacing w:after="0"/>
              <w:rPr>
                <w:sz w:val="13"/>
                <w:szCs w:val="13"/>
                <w:color w:val="auto"/>
              </w:rPr>
            </w:pPr>
          </w:p>
        </w:tc>
        <w:tc>
          <w:tcPr>
            <w:tcW w:w="4020" w:type="dxa"/>
            <w:vAlign w:val="bottom"/>
            <w:tcBorders>
              <w:bottom w:val="single" w:sz="8" w:color="005A64"/>
            </w:tcBorders>
          </w:tcPr>
          <w:p>
            <w:pPr>
              <w:ind w:left="20"/>
              <w:spacing w:after="0"/>
              <w:rPr>
                <w:sz w:val="20"/>
                <w:szCs w:val="20"/>
                <w:color w:val="auto"/>
              </w:rPr>
            </w:pPr>
            <w:r>
              <w:rPr>
                <w:rFonts w:ascii="Arial" w:cs="Arial" w:eastAsia="Arial" w:hAnsi="Arial"/>
                <w:sz w:val="11"/>
                <w:szCs w:val="11"/>
                <w:color w:val="auto"/>
              </w:rPr>
              <w:t>European Union/Federal Republic of Germany</w:t>
            </w:r>
          </w:p>
        </w:tc>
      </w:tr>
      <w:tr>
        <w:trPr>
          <w:trHeight w:val="139"/>
        </w:trPr>
        <w:tc>
          <w:tcPr>
            <w:tcW w:w="2320" w:type="dxa"/>
            <w:vAlign w:val="bottom"/>
          </w:tcPr>
          <w:p>
            <w:pPr>
              <w:spacing w:after="0"/>
              <w:rPr>
                <w:sz w:val="20"/>
                <w:szCs w:val="20"/>
                <w:color w:val="auto"/>
              </w:rPr>
            </w:pPr>
            <w:r>
              <w:rPr>
                <w:rFonts w:ascii="Arial" w:cs="Arial" w:eastAsia="Arial" w:hAnsi="Arial"/>
                <w:sz w:val="11"/>
                <w:szCs w:val="11"/>
                <w:color w:val="auto"/>
              </w:rPr>
              <w:t>Stockholder Actions</w:t>
            </w:r>
          </w:p>
        </w:tc>
        <w:tc>
          <w:tcPr>
            <w:tcW w:w="140" w:type="dxa"/>
            <w:vAlign w:val="bottom"/>
          </w:tcPr>
          <w:p>
            <w:pPr>
              <w:spacing w:after="0"/>
              <w:rPr>
                <w:sz w:val="12"/>
                <w:szCs w:val="12"/>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Under German law, generally, the company, rather than its shareholders, is the</w:t>
            </w:r>
          </w:p>
        </w:tc>
      </w:tr>
      <w:tr>
        <w:trPr>
          <w:trHeight w:val="131"/>
        </w:trPr>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proper claimant in an action with respect to a wrong committed against the</w:t>
            </w:r>
          </w:p>
        </w:tc>
      </w:tr>
      <w:tr>
        <w:trPr>
          <w:trHeight w:val="131"/>
        </w:trPr>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company, or in cases where there is an irregularity in the company’s internal</w:t>
            </w:r>
          </w:p>
        </w:tc>
      </w:tr>
      <w:tr>
        <w:trPr>
          <w:trHeight w:val="131"/>
        </w:trPr>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management or supervision. Therefore, such claims may only be raised by the</w:t>
            </w:r>
          </w:p>
        </w:tc>
      </w:tr>
      <w:tr>
        <w:trPr>
          <w:trHeight w:val="131"/>
        </w:trPr>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company represented by its Management Board, or, in the case of a wrong</w:t>
            </w:r>
          </w:p>
        </w:tc>
      </w:tr>
      <w:tr>
        <w:trPr>
          <w:trHeight w:val="147"/>
        </w:trPr>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committed by a member of the Management Board, by the Supervisory Board.</w:t>
            </w:r>
          </w:p>
        </w:tc>
      </w:tr>
      <w:tr>
        <w:trPr>
          <w:trHeight w:val="217"/>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Additionally, pursuant to German case law, the Supervisory Board is obliged to</w:t>
            </w:r>
          </w:p>
        </w:tc>
      </w:tr>
      <w:tr>
        <w:trPr>
          <w:trHeight w:val="131"/>
        </w:trPr>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pursue the company’s claims against the Management Board, unless the interest</w:t>
            </w:r>
          </w:p>
        </w:tc>
      </w:tr>
      <w:tr>
        <w:trPr>
          <w:trHeight w:val="147"/>
        </w:trPr>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of the company keeps them from doing so.</w:t>
            </w:r>
          </w:p>
        </w:tc>
      </w:tr>
      <w:tr>
        <w:trPr>
          <w:trHeight w:val="217"/>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The Management Board, or, if a claim is against a member of the Management</w:t>
            </w:r>
          </w:p>
        </w:tc>
      </w:tr>
      <w:tr>
        <w:trPr>
          <w:trHeight w:val="131"/>
        </w:trPr>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Board, the Supervisory Board, is obliged to pursue the company’s claims against</w:t>
            </w:r>
          </w:p>
        </w:tc>
      </w:tr>
      <w:tr>
        <w:trPr>
          <w:trHeight w:val="131"/>
        </w:trPr>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the designated individuals if so resolved by a simple majority of votes cast during</w:t>
            </w:r>
          </w:p>
        </w:tc>
      </w:tr>
      <w:tr>
        <w:trPr>
          <w:trHeight w:val="131"/>
        </w:trPr>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a shareholders’ meeting. With a simple majority of votes, shareholders can</w:t>
            </w:r>
          </w:p>
        </w:tc>
      </w:tr>
      <w:tr>
        <w:trPr>
          <w:trHeight w:val="147"/>
        </w:trPr>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request that a representative pursues the claim on behalf of the company.</w:t>
            </w:r>
          </w:p>
        </w:tc>
      </w:tr>
      <w:tr>
        <w:trPr>
          <w:trHeight w:val="217"/>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If the company is unable to fulfill its third- party obligations, the company’s</w:t>
            </w:r>
          </w:p>
        </w:tc>
      </w:tr>
      <w:tr>
        <w:trPr>
          <w:trHeight w:val="131"/>
        </w:trPr>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creditors may pursue the company’s damage claims against members of the</w:t>
            </w:r>
          </w:p>
        </w:tc>
      </w:tr>
      <w:tr>
        <w:trPr>
          <w:trHeight w:val="147"/>
        </w:trPr>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Management Board for certain wrongdoings.</w:t>
            </w:r>
          </w:p>
        </w:tc>
      </w:tr>
      <w:tr>
        <w:trPr>
          <w:trHeight w:val="217"/>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Under certain circumstances, shareholders can bring forward damage claims of</w:t>
            </w:r>
          </w:p>
        </w:tc>
      </w:tr>
      <w:tr>
        <w:trPr>
          <w:trHeight w:val="131"/>
        </w:trPr>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the company against its management on their own behalf. In order to bring</w:t>
            </w:r>
          </w:p>
        </w:tc>
      </w:tr>
      <w:tr>
        <w:trPr>
          <w:trHeight w:val="131"/>
        </w:trPr>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forward such a claim one shareholder alone or together with other shareholders</w:t>
            </w:r>
          </w:p>
        </w:tc>
      </w:tr>
      <w:tr>
        <w:trPr>
          <w:trHeight w:val="131"/>
        </w:trPr>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needs to hold at least one percent of the company’s share capital or a</w:t>
            </w:r>
          </w:p>
        </w:tc>
      </w:tr>
      <w:tr>
        <w:trPr>
          <w:trHeight w:val="131"/>
        </w:trPr>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participation of €100,000 in the share capital. Additionally, the claimant(s)</w:t>
            </w:r>
          </w:p>
        </w:tc>
      </w:tr>
      <w:tr>
        <w:trPr>
          <w:trHeight w:val="147"/>
        </w:trPr>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need(s) to pass through special claim approval procedures.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left="8"/>
        <w:spacing w:after="0"/>
        <w:rPr>
          <w:sz w:val="20"/>
          <w:szCs w:val="20"/>
          <w:color w:val="auto"/>
        </w:rPr>
      </w:pPr>
      <w:r>
        <w:rPr>
          <w:rFonts w:ascii="Arial" w:cs="Arial" w:eastAsia="Arial" w:hAnsi="Arial"/>
          <w:sz w:val="11"/>
          <w:szCs w:val="1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22225</wp:posOffset>
            </wp:positionV>
            <wp:extent cx="2515870" cy="63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20">
                      <a:extLst>
                        <a:ext uri="{28A0092B-C50C-407E-A947-70E740481C1C}"/>
                      </a:extLst>
                    </a:blip>
                    <a:srcRect/>
                    <a:stretch>
                      <a:fillRect/>
                    </a:stretch>
                  </pic:blipFill>
                  <pic:spPr bwMode="auto">
                    <a:xfrm>
                      <a:off x="0" y="0"/>
                      <a:ext cx="2515870" cy="6350"/>
                    </a:xfrm>
                    <a:prstGeom prst="rect">
                      <a:avLst/>
                    </a:prstGeom>
                    <a:noFill/>
                  </pic:spPr>
                </pic:pic>
              </a:graphicData>
            </a:graphic>
          </wp:anchor>
        </w:drawing>
      </w:r>
    </w:p>
    <w:p>
      <w:pPr>
        <w:spacing w:after="0" w:line="35" w:lineRule="exact"/>
        <w:rPr>
          <w:sz w:val="20"/>
          <w:szCs w:val="20"/>
          <w:color w:val="auto"/>
        </w:rPr>
      </w:pPr>
    </w:p>
    <w:p>
      <w:pPr>
        <w:ind w:left="8" w:right="100"/>
        <w:spacing w:after="0" w:line="268" w:lineRule="auto"/>
        <w:rPr>
          <w:sz w:val="20"/>
          <w:szCs w:val="20"/>
          <w:color w:val="auto"/>
        </w:rPr>
      </w:pPr>
      <w:r>
        <w:rPr>
          <w:rFonts w:ascii="Arial" w:cs="Arial" w:eastAsia="Arial" w:hAnsi="Arial"/>
          <w:sz w:val="11"/>
          <w:szCs w:val="11"/>
          <w:color w:val="auto"/>
        </w:rPr>
        <w:t>Under Delaware law, a stockholder may initiate a derivative action to enforce a right of a corporation if the corporation fails to enforce the right itself. The complaint must:</w:t>
      </w:r>
    </w:p>
    <w:p>
      <w:pPr>
        <w:spacing w:after="0" w:line="72" w:lineRule="exact"/>
        <w:rPr>
          <w:sz w:val="20"/>
          <w:szCs w:val="20"/>
          <w:color w:val="auto"/>
        </w:rPr>
      </w:pPr>
    </w:p>
    <w:p>
      <w:pPr>
        <w:ind w:left="8" w:right="100" w:hanging="8"/>
        <w:spacing w:after="0" w:line="268" w:lineRule="auto"/>
        <w:tabs>
          <w:tab w:leader="none" w:pos="170" w:val="left"/>
        </w:tabs>
        <w:numPr>
          <w:ilvl w:val="0"/>
          <w:numId w:val="69"/>
        </w:numPr>
        <w:rPr>
          <w:rFonts w:ascii="Arial" w:cs="Arial" w:eastAsia="Arial" w:hAnsi="Arial"/>
          <w:sz w:val="11"/>
          <w:szCs w:val="11"/>
          <w:color w:val="auto"/>
        </w:rPr>
      </w:pPr>
      <w:r>
        <w:rPr>
          <w:rFonts w:ascii="Arial" w:cs="Arial" w:eastAsia="Arial" w:hAnsi="Arial"/>
          <w:sz w:val="11"/>
          <w:szCs w:val="11"/>
          <w:color w:val="auto"/>
        </w:rPr>
        <w:t>state that the plaintiff was a stockholder at the time of the transaction of which the plaintiff complains or that the plaintiffs shares thereafter devolved on the plaintiff by operation of law; and</w:t>
      </w:r>
    </w:p>
    <w:p>
      <w:pPr>
        <w:spacing w:after="0" w:line="71" w:lineRule="exact"/>
        <w:rPr>
          <w:rFonts w:ascii="Arial" w:cs="Arial" w:eastAsia="Arial" w:hAnsi="Arial"/>
          <w:sz w:val="11"/>
          <w:szCs w:val="11"/>
          <w:color w:val="auto"/>
        </w:rPr>
      </w:pPr>
    </w:p>
    <w:p>
      <w:pPr>
        <w:ind w:left="8" w:right="100" w:hanging="8"/>
        <w:spacing w:after="0" w:line="268" w:lineRule="auto"/>
        <w:tabs>
          <w:tab w:leader="none" w:pos="109" w:val="left"/>
        </w:tabs>
        <w:numPr>
          <w:ilvl w:val="0"/>
          <w:numId w:val="69"/>
        </w:numPr>
        <w:rPr>
          <w:rFonts w:ascii="Arial" w:cs="Arial" w:eastAsia="Arial" w:hAnsi="Arial"/>
          <w:sz w:val="11"/>
          <w:szCs w:val="11"/>
          <w:color w:val="auto"/>
        </w:rPr>
      </w:pPr>
      <w:r>
        <w:rPr>
          <w:rFonts w:ascii="Arial" w:cs="Arial" w:eastAsia="Arial" w:hAnsi="Arial"/>
          <w:sz w:val="11"/>
          <w:szCs w:val="11"/>
          <w:color w:val="auto"/>
        </w:rPr>
        <w:t>either (i) allege with particularity the efforts made by the plaintiff to obtain the action the plaintiff desires from the directors and the reasons for the plaintiff’s failure to obtain the action, or (ii) or state the reasons for not making the effort.</w:t>
      </w:r>
    </w:p>
    <w:p>
      <w:pPr>
        <w:spacing w:after="0" w:line="72" w:lineRule="exact"/>
        <w:rPr>
          <w:sz w:val="20"/>
          <w:szCs w:val="20"/>
          <w:color w:val="auto"/>
        </w:rPr>
      </w:pPr>
    </w:p>
    <w:p>
      <w:pPr>
        <w:ind w:left="8" w:right="120"/>
        <w:spacing w:after="0" w:line="268" w:lineRule="auto"/>
        <w:rPr>
          <w:sz w:val="20"/>
          <w:szCs w:val="20"/>
          <w:color w:val="auto"/>
        </w:rPr>
      </w:pPr>
      <w:r>
        <w:rPr>
          <w:rFonts w:ascii="Arial" w:cs="Arial" w:eastAsia="Arial" w:hAnsi="Arial"/>
          <w:sz w:val="11"/>
          <w:szCs w:val="11"/>
          <w:color w:val="auto"/>
        </w:rPr>
        <w:t>Additionally, the plaintiff must remain a stockholder through the duration of the derivative suit. The action will not be dismissed or compromised without the approval of the Delaware Court of Chancery.</w:t>
      </w:r>
    </w:p>
    <w:p>
      <w:pPr>
        <w:spacing w:after="0" w:line="1732" w:lineRule="exact"/>
        <w:rPr>
          <w:sz w:val="20"/>
          <w:szCs w:val="20"/>
          <w:color w:val="auto"/>
        </w:rPr>
      </w:pPr>
    </w:p>
    <w:p>
      <w:pPr>
        <w:sectPr>
          <w:pgSz w:w="11900" w:h="16840" w:orient="portrait"/>
          <w:cols w:equalWidth="0" w:num="2">
            <w:col w:w="6480" w:space="152"/>
            <w:col w:w="3948"/>
          </w:cols>
          <w:pgMar w:left="660" w:top="1440" w:right="660" w:bottom="1440" w:gutter="0" w:footer="0" w:header="0"/>
        </w:sectPr>
      </w:pP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Depositary Shares</w:t>
      </w:r>
    </w:p>
    <w:p>
      <w:pPr>
        <w:spacing w:after="0" w:line="164" w:lineRule="exact"/>
        <w:rPr>
          <w:sz w:val="20"/>
          <w:szCs w:val="20"/>
          <w:color w:val="auto"/>
        </w:rPr>
      </w:pPr>
    </w:p>
    <w:p>
      <w:pPr>
        <w:jc w:val="both"/>
        <w:spacing w:after="0" w:line="227" w:lineRule="auto"/>
        <w:rPr>
          <w:sz w:val="20"/>
          <w:szCs w:val="20"/>
          <w:color w:val="auto"/>
        </w:rPr>
      </w:pPr>
      <w:r>
        <w:rPr>
          <w:rFonts w:ascii="Arial" w:cs="Arial" w:eastAsia="Arial" w:hAnsi="Arial"/>
          <w:sz w:val="13"/>
          <w:szCs w:val="13"/>
          <w:color w:val="auto"/>
        </w:rPr>
        <w:t>The Bank of New York Mellon, as depositary, will register and deliver the American Depositary Shares, or the ADSs. Each ADS will represent one share (or a right to receive one share) deposited with The Bank of New York Mellon SA/NV as custodian for the depositary in Germany.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22" w:lineRule="exact"/>
        <w:rPr>
          <w:sz w:val="20"/>
          <w:szCs w:val="20"/>
          <w:color w:val="auto"/>
        </w:rPr>
      </w:pPr>
    </w:p>
    <w:p>
      <w:pPr>
        <w:jc w:val="both"/>
        <w:ind w:right="20"/>
        <w:spacing w:after="0" w:line="224" w:lineRule="auto"/>
        <w:rPr>
          <w:sz w:val="20"/>
          <w:szCs w:val="20"/>
          <w:color w:val="auto"/>
        </w:rPr>
      </w:pPr>
      <w:r>
        <w:rPr>
          <w:rFonts w:ascii="Arial" w:cs="Arial" w:eastAsia="Arial" w:hAnsi="Arial"/>
          <w:sz w:val="13"/>
          <w:szCs w:val="13"/>
          <w:color w:val="auto"/>
        </w:rPr>
        <w:t>You may hold ADSs either (i) directly (a) by having an American Depositary Receipt, or an ADR, which is a certificate evidencing a specific number of ADSs registered in your name, or (b) by having uncertificated ADSs registered in your name, or (ii)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ectPr>
          <w:pgSz w:w="11900" w:h="16840" w:orient="portrait"/>
          <w:cols w:equalWidth="0" w:num="1">
            <w:col w:w="10580"/>
          </w:cols>
          <w:pgMar w:left="660" w:top="1440" w:right="660" w:bottom="1440" w:gutter="0" w:footer="0" w:header="0"/>
          <w:type w:val="continuous"/>
        </w:sectPr>
      </w:pPr>
    </w:p>
    <w:bookmarkStart w:id="246" w:name="page247"/>
    <w:bookmarkEnd w:id="246"/>
    <w:p>
      <w:pPr>
        <w:spacing w:after="0" w:line="242" w:lineRule="exact"/>
        <w:rPr>
          <w:sz w:val="20"/>
          <w:szCs w:val="20"/>
          <w:color w:val="auto"/>
        </w:rPr>
      </w:pPr>
    </w:p>
    <w:p>
      <w:pPr>
        <w:spacing w:after="0"/>
        <w:rPr>
          <w:sz w:val="20"/>
          <w:szCs w:val="20"/>
          <w:color w:val="auto"/>
        </w:rPr>
      </w:pPr>
      <w:r>
        <w:rPr>
          <w:rFonts w:ascii="Arial" w:cs="Arial" w:eastAsia="Arial" w:hAnsi="Arial"/>
          <w:sz w:val="13"/>
          <w:szCs w:val="13"/>
          <w:color w:val="auto"/>
        </w:rPr>
        <w:t>Registered holders of uncertificated ADSs will receive statements from the depositary confirming their holdings.</w:t>
      </w:r>
    </w:p>
    <w:p>
      <w:pPr>
        <w:spacing w:after="0" w:line="144" w:lineRule="exact"/>
        <w:rPr>
          <w:sz w:val="20"/>
          <w:szCs w:val="20"/>
          <w:color w:val="auto"/>
        </w:rPr>
      </w:pPr>
    </w:p>
    <w:p>
      <w:pPr>
        <w:jc w:val="both"/>
        <w:ind w:right="20"/>
        <w:spacing w:after="0" w:line="227" w:lineRule="auto"/>
        <w:rPr>
          <w:sz w:val="20"/>
          <w:szCs w:val="20"/>
          <w:color w:val="auto"/>
        </w:rPr>
      </w:pPr>
      <w:r>
        <w:rPr>
          <w:rFonts w:ascii="Arial" w:cs="Arial" w:eastAsia="Arial" w:hAnsi="Arial"/>
          <w:sz w:val="13"/>
          <w:szCs w:val="13"/>
          <w:color w:val="auto"/>
        </w:rPr>
        <w:t>As an ADS holder, we will not treat you as one of our shareholders and you will not have shareholder rights. European and German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summary of the material provisions of the deposit agreement. For more complete information, you should read the entire deposit agreement and the form of ADR.</w:t>
      </w:r>
    </w:p>
    <w:p>
      <w:pPr>
        <w:spacing w:after="0"/>
        <w:rPr>
          <w:sz w:val="20"/>
          <w:szCs w:val="20"/>
          <w:color w:val="auto"/>
        </w:rPr>
      </w:pPr>
      <w:r>
        <w:rPr>
          <w:rFonts w:ascii="Arial" w:cs="Arial" w:eastAsia="Arial" w:hAnsi="Arial"/>
          <w:sz w:val="13"/>
          <w:szCs w:val="13"/>
          <w:color w:val="auto"/>
        </w:rPr>
        <w:t>Those documents are filed as exhibits to the registration statement of which this prospectus forms a part.</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Dividends and Other Distributions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How will ADS holders receive dividends and other distributions on the shares?</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116" w:lineRule="exact"/>
        <w:rPr>
          <w:sz w:val="20"/>
          <w:szCs w:val="20"/>
          <w:color w:val="auto"/>
        </w:rPr>
      </w:pPr>
    </w:p>
    <w:p>
      <w:pPr>
        <w:jc w:val="both"/>
        <w:spacing w:after="0" w:line="227" w:lineRule="auto"/>
        <w:rPr>
          <w:sz w:val="20"/>
          <w:szCs w:val="20"/>
          <w:color w:val="auto"/>
        </w:rPr>
      </w:pPr>
      <w:r>
        <w:rPr>
          <w:rFonts w:ascii="Arial" w:cs="Arial" w:eastAsia="Arial" w:hAnsi="Arial"/>
          <w:sz w:val="13"/>
          <w:szCs w:val="13"/>
          <w:i w:val="1"/>
          <w:iCs w:val="1"/>
          <w:color w:val="auto"/>
        </w:rPr>
        <w:t>Cash</w:t>
      </w:r>
      <w:r>
        <w:rPr>
          <w:rFonts w:ascii="Arial" w:cs="Arial" w:eastAsia="Arial" w:hAnsi="Arial"/>
          <w:sz w:val="13"/>
          <w:szCs w:val="13"/>
          <w:color w:val="auto"/>
        </w:rPr>
        <w:t>. The depositary will convert any cash dividend or other cash distribution we pay on the shares into U.S. dollars, if it can do so on a reasonable basis and can transfer the U.S.</w:t>
      </w:r>
      <w:r>
        <w:rPr>
          <w:rFonts w:ascii="Arial" w:cs="Arial" w:eastAsia="Arial" w:hAnsi="Arial"/>
          <w:sz w:val="13"/>
          <w:szCs w:val="13"/>
          <w:i w:val="1"/>
          <w:iCs w:val="1"/>
          <w:color w:val="auto"/>
        </w:rPr>
        <w:t xml:space="preserve"> </w:t>
      </w:r>
      <w:r>
        <w:rPr>
          <w:rFonts w:ascii="Arial" w:cs="Arial" w:eastAsia="Arial" w:hAnsi="Arial"/>
          <w:sz w:val="13"/>
          <w:szCs w:val="13"/>
          <w:color w:val="auto"/>
        </w:rPr>
        <w:t>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22"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 xml:space="preserve">Before making a distribution, any withholding taxes, or other governmental charges that must be paid will be deducted. The depositary will distribute only whole U.S. dollars and cents and will round fractional cents to the nearest whole cent. </w:t>
      </w:r>
      <w:r>
        <w:rPr>
          <w:rFonts w:ascii="Arial" w:cs="Arial" w:eastAsia="Arial" w:hAnsi="Arial"/>
          <w:sz w:val="13"/>
          <w:szCs w:val="13"/>
          <w:i w:val="1"/>
          <w:iCs w:val="1"/>
          <w:color w:val="auto"/>
        </w:rPr>
        <w:t>If the exchange rates fluctuate during a time when the depositary cannot convert the foreign currency, you may lose some of</w:t>
      </w:r>
      <w:r>
        <w:rPr>
          <w:rFonts w:ascii="Arial" w:cs="Arial" w:eastAsia="Arial" w:hAnsi="Arial"/>
          <w:sz w:val="13"/>
          <w:szCs w:val="13"/>
          <w:color w:val="auto"/>
        </w:rPr>
        <w:t xml:space="preserve"> </w:t>
      </w:r>
      <w:r>
        <w:rPr>
          <w:rFonts w:ascii="Arial" w:cs="Arial" w:eastAsia="Arial" w:hAnsi="Arial"/>
          <w:sz w:val="13"/>
          <w:szCs w:val="13"/>
          <w:i w:val="1"/>
          <w:iCs w:val="1"/>
          <w:color w:val="auto"/>
        </w:rPr>
        <w:t>the value of the distribution.</w:t>
      </w:r>
    </w:p>
    <w:p>
      <w:pPr>
        <w:spacing w:after="0" w:line="121" w:lineRule="exact"/>
        <w:rPr>
          <w:sz w:val="20"/>
          <w:szCs w:val="20"/>
          <w:color w:val="auto"/>
        </w:rPr>
      </w:pPr>
    </w:p>
    <w:p>
      <w:pPr>
        <w:jc w:val="both"/>
        <w:ind w:right="20"/>
        <w:spacing w:after="0" w:line="227" w:lineRule="auto"/>
        <w:rPr>
          <w:sz w:val="20"/>
          <w:szCs w:val="20"/>
          <w:color w:val="auto"/>
        </w:rPr>
      </w:pPr>
      <w:r>
        <w:rPr>
          <w:rFonts w:ascii="Arial" w:cs="Arial" w:eastAsia="Arial" w:hAnsi="Arial"/>
          <w:sz w:val="13"/>
          <w:szCs w:val="13"/>
          <w:i w:val="1"/>
          <w:iCs w:val="1"/>
          <w:color w:val="auto"/>
        </w:rPr>
        <w:t xml:space="preserve">Shares. </w:t>
      </w:r>
      <w:r>
        <w:rPr>
          <w:rFonts w:ascii="Arial" w:cs="Arial" w:eastAsia="Arial" w:hAnsi="Arial"/>
          <w:sz w:val="13"/>
          <w:szCs w:val="13"/>
          <w:color w:val="auto"/>
        </w:rPr>
        <w:t>The depositary may distribute additional ADSs representing any shares we distribute as a dividend or free distribution. The depositary will only distribute whole ADSs. It will</w:t>
      </w:r>
      <w:r>
        <w:rPr>
          <w:rFonts w:ascii="Arial" w:cs="Arial" w:eastAsia="Arial" w:hAnsi="Arial"/>
          <w:sz w:val="13"/>
          <w:szCs w:val="13"/>
          <w:i w:val="1"/>
          <w:iCs w:val="1"/>
          <w:color w:val="auto"/>
        </w:rPr>
        <w:t xml:space="preserve"> </w:t>
      </w:r>
      <w:r>
        <w:rPr>
          <w:rFonts w:ascii="Arial" w:cs="Arial" w:eastAsia="Arial" w:hAnsi="Arial"/>
          <w:sz w:val="13"/>
          <w:szCs w:val="13"/>
          <w:color w:val="auto"/>
        </w:rPr>
        <w:t>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22" w:lineRule="exact"/>
        <w:rPr>
          <w:sz w:val="20"/>
          <w:szCs w:val="20"/>
          <w:color w:val="auto"/>
        </w:rPr>
      </w:pPr>
    </w:p>
    <w:p>
      <w:pPr>
        <w:jc w:val="both"/>
        <w:spacing w:after="0" w:line="220" w:lineRule="auto"/>
        <w:rPr>
          <w:sz w:val="20"/>
          <w:szCs w:val="20"/>
          <w:color w:val="auto"/>
        </w:rPr>
      </w:pPr>
      <w:r>
        <w:rPr>
          <w:rFonts w:ascii="Arial" w:cs="Arial" w:eastAsia="Arial" w:hAnsi="Arial"/>
          <w:sz w:val="13"/>
          <w:szCs w:val="13"/>
          <w:i w:val="1"/>
          <w:iCs w:val="1"/>
          <w:color w:val="auto"/>
        </w:rPr>
        <w:t xml:space="preserve">Rights to purchase additional shares. </w:t>
      </w:r>
      <w:r>
        <w:rPr>
          <w:rFonts w:ascii="Arial" w:cs="Arial" w:eastAsia="Arial" w:hAnsi="Arial"/>
          <w:sz w:val="13"/>
          <w:szCs w:val="13"/>
          <w:color w:val="auto"/>
        </w:rPr>
        <w:t>If we offer holders of our securities any rights to subscribe for additional shares or any other rights, the depositary may (i) exercise those rights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w:t>
      </w:r>
      <w:r>
        <w:rPr>
          <w:rFonts w:ascii="Arial" w:cs="Arial" w:eastAsia="Arial" w:hAnsi="Arial"/>
          <w:sz w:val="13"/>
          <w:szCs w:val="13"/>
          <w:b w:val="1"/>
          <w:bCs w:val="1"/>
          <w:color w:val="auto"/>
        </w:rPr>
        <w:t>In that case, you will receive no value for them.</w:t>
      </w:r>
      <w:r>
        <w:rPr>
          <w:rFonts w:ascii="Arial" w:cs="Arial" w:eastAsia="Arial" w:hAnsi="Arial"/>
          <w:sz w:val="13"/>
          <w:szCs w:val="13"/>
          <w:color w:val="auto"/>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22" w:lineRule="exact"/>
        <w:rPr>
          <w:sz w:val="20"/>
          <w:szCs w:val="20"/>
          <w:color w:val="auto"/>
        </w:rPr>
      </w:pPr>
    </w:p>
    <w:p>
      <w:pPr>
        <w:jc w:val="both"/>
        <w:ind w:right="20"/>
        <w:spacing w:after="0" w:line="227" w:lineRule="auto"/>
        <w:rPr>
          <w:sz w:val="20"/>
          <w:szCs w:val="20"/>
          <w:color w:val="auto"/>
        </w:rPr>
      </w:pPr>
      <w:r>
        <w:rPr>
          <w:rFonts w:ascii="Arial" w:cs="Arial" w:eastAsia="Arial" w:hAnsi="Arial"/>
          <w:sz w:val="13"/>
          <w:szCs w:val="13"/>
          <w:i w:val="1"/>
          <w:iCs w:val="1"/>
          <w:color w:val="auto"/>
        </w:rPr>
        <w:t xml:space="preserve">Other Distributions. </w:t>
      </w:r>
      <w:r>
        <w:rPr>
          <w:rFonts w:ascii="Arial" w:cs="Arial" w:eastAsia="Arial" w:hAnsi="Arial"/>
          <w:sz w:val="13"/>
          <w:szCs w:val="13"/>
          <w:color w:val="auto"/>
        </w:rPr>
        <w:t>The depositary will send to ADS holders anything else we distribute on deposited securities by any means it thinks is legal, fair and practical. If it cannot make the</w:t>
      </w:r>
      <w:r>
        <w:rPr>
          <w:rFonts w:ascii="Arial" w:cs="Arial" w:eastAsia="Arial" w:hAnsi="Arial"/>
          <w:sz w:val="13"/>
          <w:szCs w:val="13"/>
          <w:i w:val="1"/>
          <w:iCs w:val="1"/>
          <w:color w:val="auto"/>
        </w:rPr>
        <w:t xml:space="preserve"> </w:t>
      </w:r>
      <w:r>
        <w:rPr>
          <w:rFonts w:ascii="Arial" w:cs="Arial" w:eastAsia="Arial" w:hAnsi="Arial"/>
          <w:sz w:val="13"/>
          <w:szCs w:val="13"/>
          <w:color w:val="auto"/>
        </w:rPr>
        <w:t>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w:t>
      </w:r>
    </w:p>
    <w:p>
      <w:pPr>
        <w:sectPr>
          <w:pgSz w:w="11900" w:h="16840" w:orient="portrait"/>
          <w:cols w:equalWidth="0" w:num="1">
            <w:col w:w="10580"/>
          </w:cols>
          <w:pgMar w:left="660" w:top="1440" w:right="660" w:bottom="1440" w:gutter="0" w:footer="0" w:header="0"/>
        </w:sectPr>
      </w:pPr>
    </w:p>
    <w:bookmarkStart w:id="247" w:name="page248"/>
    <w:bookmarkEnd w:id="247"/>
    <w:p>
      <w:pPr>
        <w:spacing w:after="0" w:line="236" w:lineRule="exact"/>
        <w:rPr>
          <w:sz w:val="20"/>
          <w:szCs w:val="20"/>
          <w:color w:val="auto"/>
        </w:rPr>
      </w:pPr>
    </w:p>
    <w:p>
      <w:pPr>
        <w:spacing w:after="0"/>
        <w:rPr>
          <w:sz w:val="20"/>
          <w:szCs w:val="20"/>
          <w:color w:val="auto"/>
        </w:rPr>
      </w:pPr>
      <w:r>
        <w:rPr>
          <w:rFonts w:ascii="Arial" w:cs="Arial" w:eastAsia="Arial" w:hAnsi="Arial"/>
          <w:sz w:val="13"/>
          <w:szCs w:val="13"/>
          <w:color w:val="auto"/>
        </w:rPr>
        <w:t>to make that distribution. The depositary may sell a portion of the distributed securities or property sufficient to pay its fees and expenses in connection with that distribution. U.S.</w:t>
      </w:r>
    </w:p>
    <w:p>
      <w:pPr>
        <w:spacing w:after="0"/>
        <w:rPr>
          <w:sz w:val="20"/>
          <w:szCs w:val="20"/>
          <w:color w:val="auto"/>
        </w:rPr>
      </w:pPr>
      <w:r>
        <w:rPr>
          <w:rFonts w:ascii="Arial" w:cs="Arial" w:eastAsia="Arial" w:hAnsi="Arial"/>
          <w:sz w:val="13"/>
          <w:szCs w:val="13"/>
          <w:color w:val="auto"/>
        </w:rPr>
        <w:t>securities laws may restrict the ability of the depositary to distribute securities to all or certain ADS holders, and the securities distributed may be subject to restrictions on transfer.</w:t>
      </w:r>
    </w:p>
    <w:p>
      <w:pPr>
        <w:spacing w:after="0" w:line="132" w:lineRule="exact"/>
        <w:rPr>
          <w:sz w:val="20"/>
          <w:szCs w:val="20"/>
          <w:color w:val="auto"/>
        </w:rPr>
      </w:pPr>
    </w:p>
    <w:p>
      <w:pPr>
        <w:jc w:val="both"/>
        <w:spacing w:after="0" w:line="220" w:lineRule="auto"/>
        <w:rPr>
          <w:sz w:val="20"/>
          <w:szCs w:val="20"/>
          <w:color w:val="auto"/>
        </w:rPr>
      </w:pPr>
      <w:r>
        <w:rPr>
          <w:rFonts w:ascii="Arial" w:cs="Arial" w:eastAsia="Arial" w:hAnsi="Arial"/>
          <w:sz w:val="13"/>
          <w:szCs w:val="13"/>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This means that you may not receive the distributions we make on our shares or any value for them if it is illegal or impractical for us to make them available to you.</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Deposit, Withdrawal and Cancellation</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How are ADSs issued?</w:t>
      </w:r>
    </w:p>
    <w:p>
      <w:pPr>
        <w:spacing w:after="0" w:line="144"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How can ADS holders withdraw the deposited securities?</w:t>
      </w:r>
    </w:p>
    <w:p>
      <w:pPr>
        <w:spacing w:after="0" w:line="144" w:lineRule="exact"/>
        <w:rPr>
          <w:sz w:val="20"/>
          <w:szCs w:val="20"/>
          <w:color w:val="auto"/>
        </w:rPr>
      </w:pPr>
    </w:p>
    <w:p>
      <w:pPr>
        <w:jc w:val="both"/>
        <w:ind w:right="40"/>
        <w:spacing w:after="0" w:line="224" w:lineRule="auto"/>
        <w:rPr>
          <w:sz w:val="20"/>
          <w:szCs w:val="20"/>
          <w:color w:val="auto"/>
        </w:rPr>
      </w:pPr>
      <w:r>
        <w:rPr>
          <w:rFonts w:ascii="Arial" w:cs="Arial" w:eastAsia="Arial" w:hAnsi="Arial"/>
          <w:sz w:val="13"/>
          <w:szCs w:val="13"/>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How do ADS holders interchange between certificated ADSs and uncertificated ADSs?</w:t>
      </w:r>
    </w:p>
    <w:p>
      <w:pPr>
        <w:spacing w:after="0" w:line="144" w:lineRule="exact"/>
        <w:rPr>
          <w:sz w:val="20"/>
          <w:szCs w:val="20"/>
          <w:color w:val="auto"/>
        </w:rPr>
      </w:pPr>
    </w:p>
    <w:p>
      <w:pPr>
        <w:jc w:val="both"/>
        <w:ind w:right="40"/>
        <w:spacing w:after="0" w:line="233" w:lineRule="auto"/>
        <w:rPr>
          <w:sz w:val="20"/>
          <w:szCs w:val="20"/>
          <w:color w:val="auto"/>
        </w:rPr>
      </w:pPr>
      <w:r>
        <w:rPr>
          <w:rFonts w:ascii="Arial" w:cs="Arial" w:eastAsia="Arial" w:hAnsi="Arial"/>
          <w:sz w:val="13"/>
          <w:szCs w:val="13"/>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Voting Rights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How do ADS holders vote?</w:t>
      </w:r>
    </w:p>
    <w:p>
      <w:pPr>
        <w:spacing w:after="0" w:line="144" w:lineRule="exact"/>
        <w:rPr>
          <w:sz w:val="20"/>
          <w:szCs w:val="20"/>
          <w:color w:val="auto"/>
        </w:rPr>
      </w:pPr>
    </w:p>
    <w:p>
      <w:pPr>
        <w:jc w:val="both"/>
        <w:ind w:right="20"/>
        <w:spacing w:after="0" w:line="222" w:lineRule="auto"/>
        <w:rPr>
          <w:sz w:val="20"/>
          <w:szCs w:val="20"/>
          <w:color w:val="auto"/>
        </w:rPr>
      </w:pPr>
      <w:r>
        <w:rPr>
          <w:rFonts w:ascii="Arial" w:cs="Arial" w:eastAsia="Arial" w:hAnsi="Arial"/>
          <w:sz w:val="13"/>
          <w:szCs w:val="13"/>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State of New York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20"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b w:val="1"/>
          <w:bCs w:val="1"/>
          <w:color w:val="auto"/>
        </w:rPr>
        <w:t xml:space="preserve">Except by instructing the depositary as described above, you won’t be able to exercise voting rights unless you surrender your ADSs and withdraw the shares. However, you may not know about the meeting enough in advance to withdraw the shares. </w:t>
      </w:r>
      <w:r>
        <w:rPr>
          <w:rFonts w:ascii="Arial" w:cs="Arial" w:eastAsia="Arial" w:hAnsi="Arial"/>
          <w:sz w:val="13"/>
          <w:szCs w:val="13"/>
          <w:color w:val="auto"/>
        </w:rPr>
        <w:t>In any event, the depositary will not exercise any discretion in voting deposited securities and it</w:t>
      </w:r>
      <w:r>
        <w:rPr>
          <w:rFonts w:ascii="Arial" w:cs="Arial" w:eastAsia="Arial" w:hAnsi="Arial"/>
          <w:sz w:val="13"/>
          <w:szCs w:val="13"/>
          <w:b w:val="1"/>
          <w:bCs w:val="1"/>
          <w:color w:val="auto"/>
        </w:rPr>
        <w:t xml:space="preserve"> </w:t>
      </w:r>
      <w:r>
        <w:rPr>
          <w:rFonts w:ascii="Arial" w:cs="Arial" w:eastAsia="Arial" w:hAnsi="Arial"/>
          <w:sz w:val="13"/>
          <w:szCs w:val="13"/>
          <w:color w:val="auto"/>
        </w:rPr>
        <w:t>will only vote or attempt to vote as instructed or as described in the following sentence. If (i) we asked the depositary to solicit your instructions at least</w:t>
      </w:r>
    </w:p>
    <w:p>
      <w:pPr>
        <w:sectPr>
          <w:pgSz w:w="11900" w:h="16840" w:orient="portrait"/>
          <w:cols w:equalWidth="0" w:num="1">
            <w:col w:w="10600"/>
          </w:cols>
          <w:pgMar w:left="660" w:top="1440" w:right="640" w:bottom="1440" w:gutter="0" w:footer="0" w:header="0"/>
        </w:sectPr>
      </w:pPr>
    </w:p>
    <w:bookmarkStart w:id="248" w:name="page249"/>
    <w:bookmarkEnd w:id="248"/>
    <w:p>
      <w:pPr>
        <w:spacing w:after="0" w:line="242" w:lineRule="exact"/>
        <w:rPr>
          <w:sz w:val="20"/>
          <w:szCs w:val="20"/>
          <w:color w:val="auto"/>
        </w:rPr>
      </w:pPr>
    </w:p>
    <w:p>
      <w:pPr>
        <w:spacing w:after="0"/>
        <w:rPr>
          <w:sz w:val="20"/>
          <w:szCs w:val="20"/>
          <w:color w:val="auto"/>
        </w:rPr>
      </w:pPr>
      <w:r>
        <w:rPr>
          <w:rFonts w:ascii="Arial" w:cs="Arial" w:eastAsia="Arial" w:hAnsi="Arial"/>
          <w:sz w:val="13"/>
          <w:szCs w:val="13"/>
          <w:color w:val="auto"/>
        </w:rPr>
        <w:t>30 days before the meeting date, (ii) the depositary does not receive voting instructions from you by the specified date and (iii) we confirm to the depositary that:</w:t>
      </w:r>
    </w:p>
    <w:p>
      <w:pPr>
        <w:spacing w:after="0" w:line="144" w:lineRule="exact"/>
        <w:rPr>
          <w:sz w:val="20"/>
          <w:szCs w:val="20"/>
          <w:color w:val="auto"/>
        </w:rPr>
      </w:pPr>
    </w:p>
    <w:p>
      <w:pPr>
        <w:ind w:left="480" w:hanging="247"/>
        <w:spacing w:after="0"/>
        <w:tabs>
          <w:tab w:leader="none" w:pos="4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we wish the depositary to vote uninstructed shares;</w:t>
      </w:r>
    </w:p>
    <w:p>
      <w:pPr>
        <w:spacing w:after="0" w:line="143" w:lineRule="exact"/>
        <w:rPr>
          <w:rFonts w:ascii="Arial" w:cs="Arial" w:eastAsia="Arial" w:hAnsi="Arial"/>
          <w:sz w:val="13"/>
          <w:szCs w:val="13"/>
          <w:color w:val="auto"/>
        </w:rPr>
      </w:pPr>
    </w:p>
    <w:p>
      <w:pPr>
        <w:ind w:left="480" w:hanging="247"/>
        <w:spacing w:after="0"/>
        <w:tabs>
          <w:tab w:leader="none" w:pos="4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we reasonably do not know of any substantial shareholder opposition to a particular question; and</w:t>
      </w:r>
    </w:p>
    <w:p>
      <w:pPr>
        <w:spacing w:after="0" w:line="143" w:lineRule="exact"/>
        <w:rPr>
          <w:rFonts w:ascii="Arial" w:cs="Arial" w:eastAsia="Arial" w:hAnsi="Arial"/>
          <w:sz w:val="13"/>
          <w:szCs w:val="13"/>
          <w:color w:val="auto"/>
        </w:rPr>
      </w:pPr>
    </w:p>
    <w:p>
      <w:pPr>
        <w:ind w:left="480" w:hanging="247"/>
        <w:spacing w:after="0"/>
        <w:tabs>
          <w:tab w:leader="none" w:pos="4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particular question is not materially adverse to the interests of shareholders,</w:t>
      </w:r>
    </w:p>
    <w:p>
      <w:pPr>
        <w:spacing w:after="0" w:line="144" w:lineRule="exact"/>
        <w:rPr>
          <w:sz w:val="20"/>
          <w:szCs w:val="20"/>
          <w:color w:val="auto"/>
        </w:rPr>
      </w:pPr>
    </w:p>
    <w:p>
      <w:pPr>
        <w:jc w:val="both"/>
        <w:ind w:right="20"/>
        <w:spacing w:after="0" w:line="248" w:lineRule="auto"/>
        <w:rPr>
          <w:sz w:val="20"/>
          <w:szCs w:val="20"/>
          <w:color w:val="auto"/>
        </w:rPr>
      </w:pPr>
      <w:r>
        <w:rPr>
          <w:rFonts w:ascii="Arial" w:cs="Arial" w:eastAsia="Arial" w:hAnsi="Arial"/>
          <w:sz w:val="13"/>
          <w:szCs w:val="13"/>
          <w:color w:val="auto"/>
        </w:rPr>
        <w:t>the depositary will consider you to have authorized and directed it to vote the number of deposited securities represented by your ADSs in favor of any resolution that we proposed in the invitation to the shareholders’ meeting.</w:t>
      </w:r>
    </w:p>
    <w:p>
      <w:pPr>
        <w:spacing w:after="0" w:line="116"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Arial" w:cs="Arial" w:eastAsia="Arial" w:hAnsi="Arial"/>
          <w:sz w:val="13"/>
          <w:szCs w:val="13"/>
          <w:b w:val="1"/>
          <w:bCs w:val="1"/>
          <w:color w:val="auto"/>
        </w:rPr>
        <w:t>This means that you may not be able to exercise voting rights and</w:t>
      </w:r>
      <w:r>
        <w:rPr>
          <w:rFonts w:ascii="Arial" w:cs="Arial" w:eastAsia="Arial" w:hAnsi="Arial"/>
          <w:sz w:val="13"/>
          <w:szCs w:val="13"/>
          <w:color w:val="auto"/>
        </w:rPr>
        <w:t xml:space="preserve"> </w:t>
      </w:r>
      <w:r>
        <w:rPr>
          <w:rFonts w:ascii="Arial" w:cs="Arial" w:eastAsia="Arial" w:hAnsi="Arial"/>
          <w:sz w:val="13"/>
          <w:szCs w:val="13"/>
          <w:b w:val="1"/>
          <w:bCs w:val="1"/>
          <w:color w:val="auto"/>
        </w:rPr>
        <w:t>there may be nothing you can do if your shares are not voted as you requested.</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ectPr>
          <w:pgSz w:w="11900" w:h="16840" w:orient="portrait"/>
          <w:cols w:equalWidth="0" w:num="1">
            <w:col w:w="10580"/>
          </w:cols>
          <w:pgMar w:left="660" w:top="1440" w:right="660" w:bottom="1440" w:gutter="0" w:footer="0" w:header="0"/>
        </w:sectPr>
      </w:pPr>
    </w:p>
    <w:bookmarkStart w:id="249" w:name="page250"/>
    <w:bookmarkEnd w:id="249"/>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700" w:type="dxa"/>
            <w:vAlign w:val="bottom"/>
          </w:tcPr>
          <w:p>
            <w:pPr>
              <w:spacing w:after="0"/>
              <w:rPr>
                <w:sz w:val="20"/>
                <w:szCs w:val="20"/>
                <w:color w:val="auto"/>
              </w:rPr>
            </w:pPr>
            <w:r>
              <w:rPr>
                <w:rFonts w:ascii="Arial" w:cs="Arial" w:eastAsia="Arial" w:hAnsi="Arial"/>
                <w:sz w:val="13"/>
                <w:szCs w:val="13"/>
                <w:b w:val="1"/>
                <w:bCs w:val="1"/>
                <w:color w:val="auto"/>
              </w:rPr>
              <w:t>Fees and Expenses</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700" w:type="dxa"/>
            <w:vAlign w:val="bottom"/>
          </w:tcPr>
          <w:p>
            <w:pPr>
              <w:jc w:val="center"/>
              <w:ind w:right="1034"/>
              <w:spacing w:after="0"/>
              <w:rPr>
                <w:sz w:val="20"/>
                <w:szCs w:val="20"/>
                <w:color w:val="auto"/>
              </w:rPr>
            </w:pPr>
            <w:r>
              <w:rPr>
                <w:rFonts w:ascii="Arial" w:cs="Arial" w:eastAsia="Arial" w:hAnsi="Arial"/>
                <w:sz w:val="13"/>
                <w:szCs w:val="13"/>
                <w:b w:val="1"/>
                <w:bCs w:val="1"/>
                <w:i w:val="1"/>
                <w:iCs w:val="1"/>
                <w:color w:val="auto"/>
              </w:rPr>
              <w:t>Persons depositing or withdrawing</w:t>
            </w:r>
          </w:p>
        </w:tc>
        <w:tc>
          <w:tcPr>
            <w:tcW w:w="2580" w:type="dxa"/>
            <w:vAlign w:val="bottom"/>
            <w:vMerge w:val="restart"/>
          </w:tcPr>
          <w:p>
            <w:pPr>
              <w:ind w:left="2320"/>
              <w:spacing w:after="0"/>
              <w:rPr>
                <w:sz w:val="20"/>
                <w:szCs w:val="20"/>
                <w:color w:val="auto"/>
              </w:rPr>
            </w:pPr>
            <w:r>
              <w:rPr>
                <w:rFonts w:ascii="Arial" w:cs="Arial" w:eastAsia="Arial" w:hAnsi="Arial"/>
                <w:sz w:val="13"/>
                <w:szCs w:val="13"/>
                <w:b w:val="1"/>
                <w:bCs w:val="1"/>
                <w:i w:val="1"/>
                <w:iCs w:val="1"/>
                <w:color w:val="auto"/>
                <w:w w:val="94"/>
              </w:rPr>
              <w:t>For</w:t>
            </w:r>
            <w:r>
              <w:rPr>
                <w:rFonts w:ascii="Arial" w:cs="Arial" w:eastAsia="Arial" w:hAnsi="Arial"/>
                <w:sz w:val="13"/>
                <w:szCs w:val="13"/>
                <w:b w:val="1"/>
                <w:bCs w:val="1"/>
                <w:color w:val="auto"/>
                <w:w w:val="94"/>
              </w:rPr>
              <w:t>:</w:t>
            </w:r>
          </w:p>
        </w:tc>
        <w:tc>
          <w:tcPr>
            <w:tcW w:w="0" w:type="dxa"/>
            <w:vAlign w:val="bottom"/>
          </w:tcPr>
          <w:p>
            <w:pPr>
              <w:spacing w:after="0"/>
              <w:rPr>
                <w:sz w:val="1"/>
                <w:szCs w:val="1"/>
                <w:color w:val="auto"/>
              </w:rPr>
            </w:pPr>
          </w:p>
        </w:tc>
      </w:tr>
      <w:tr>
        <w:trPr>
          <w:trHeight w:val="179"/>
        </w:trPr>
        <w:tc>
          <w:tcPr>
            <w:tcW w:w="5700" w:type="dxa"/>
            <w:vAlign w:val="bottom"/>
          </w:tcPr>
          <w:p>
            <w:pPr>
              <w:jc w:val="center"/>
              <w:ind w:right="1034"/>
              <w:spacing w:after="0"/>
              <w:rPr>
                <w:sz w:val="20"/>
                <w:szCs w:val="20"/>
                <w:color w:val="auto"/>
              </w:rPr>
            </w:pPr>
            <w:r>
              <w:rPr>
                <w:rFonts w:ascii="Arial" w:cs="Arial" w:eastAsia="Arial" w:hAnsi="Arial"/>
                <w:sz w:val="13"/>
                <w:szCs w:val="13"/>
                <w:b w:val="1"/>
                <w:bCs w:val="1"/>
                <w:i w:val="1"/>
                <w:iCs w:val="1"/>
                <w:color w:val="auto"/>
              </w:rPr>
              <w:t>shares or ADS holders must pay</w:t>
            </w:r>
            <w:r>
              <w:rPr>
                <w:rFonts w:ascii="Arial" w:cs="Arial" w:eastAsia="Arial" w:hAnsi="Arial"/>
                <w:sz w:val="13"/>
                <w:szCs w:val="13"/>
                <w:b w:val="1"/>
                <w:bCs w:val="1"/>
                <w:color w:val="auto"/>
              </w:rPr>
              <w:t>:</w:t>
            </w: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0" w:orient="portrait"/>
          <w:cols w:equalWidth="0" w:num="1">
            <w:col w:w="10580"/>
          </w:cols>
          <w:pgMar w:left="660" w:top="1440" w:right="660" w:bottom="1440" w:gutter="0" w:footer="0" w:header="0"/>
        </w:sectPr>
      </w:pP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$5.00 (or less) per 100 ADSs (or portion of 100 ADSs)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80"/>
        <w:spacing w:after="0" w:line="248" w:lineRule="auto"/>
        <w:rPr>
          <w:sz w:val="20"/>
          <w:szCs w:val="20"/>
          <w:color w:val="auto"/>
        </w:rPr>
      </w:pPr>
      <w:r>
        <w:rPr>
          <w:rFonts w:ascii="Arial" w:cs="Arial" w:eastAsia="Arial" w:hAnsi="Arial"/>
          <w:sz w:val="13"/>
          <w:szCs w:val="13"/>
          <w:color w:val="auto"/>
        </w:rPr>
        <w:t>Issuance of ADSs, including issuances resulting from a distribution of shares or rights or other property</w:t>
      </w:r>
    </w:p>
    <w:p>
      <w:pPr>
        <w:spacing w:after="0" w:line="35" w:lineRule="exact"/>
        <w:rPr>
          <w:sz w:val="20"/>
          <w:szCs w:val="20"/>
          <w:color w:val="auto"/>
        </w:rPr>
      </w:pPr>
    </w:p>
    <w:p>
      <w:pPr>
        <w:ind w:right="200"/>
        <w:spacing w:after="0" w:line="248" w:lineRule="auto"/>
        <w:rPr>
          <w:sz w:val="20"/>
          <w:szCs w:val="20"/>
          <w:color w:val="auto"/>
        </w:rPr>
      </w:pPr>
      <w:r>
        <w:rPr>
          <w:rFonts w:ascii="Arial" w:cs="Arial" w:eastAsia="Arial" w:hAnsi="Arial"/>
          <w:sz w:val="13"/>
          <w:szCs w:val="13"/>
          <w:color w:val="auto"/>
        </w:rPr>
        <w:t>Cancellation of ADSs for the purpose of withdrawal, including if the deposit agreement terminates</w:t>
      </w:r>
    </w:p>
    <w:p>
      <w:pPr>
        <w:spacing w:after="0" w:line="200" w:lineRule="exact"/>
        <w:rPr>
          <w:sz w:val="20"/>
          <w:szCs w:val="20"/>
          <w:color w:val="auto"/>
        </w:rPr>
      </w:pPr>
    </w:p>
    <w:p>
      <w:pPr>
        <w:sectPr>
          <w:pgSz w:w="11900" w:h="16840" w:orient="portrait"/>
          <w:cols w:equalWidth="0" w:num="2">
            <w:col w:w="5340" w:space="720"/>
            <w:col w:w="4520"/>
          </w:cols>
          <w:pgMar w:left="660" w:top="1440" w:right="660" w:bottom="1440" w:gutter="0" w:footer="0" w:header="0"/>
          <w:type w:val="continuous"/>
        </w:sectPr>
      </w:pPr>
    </w:p>
    <w:p>
      <w:pPr>
        <w:spacing w:after="0" w:line="128" w:lineRule="exact"/>
        <w:rPr>
          <w:sz w:val="20"/>
          <w:szCs w:val="20"/>
          <w:color w:val="auto"/>
        </w:rPr>
      </w:pPr>
    </w:p>
    <w:p>
      <w:pPr>
        <w:spacing w:after="0"/>
        <w:tabs>
          <w:tab w:leader="none" w:pos="6040" w:val="left"/>
        </w:tabs>
        <w:rPr>
          <w:sz w:val="20"/>
          <w:szCs w:val="20"/>
          <w:color w:val="auto"/>
        </w:rPr>
      </w:pPr>
      <w:r>
        <w:rPr>
          <w:rFonts w:ascii="Arial" w:cs="Arial" w:eastAsia="Arial" w:hAnsi="Arial"/>
          <w:sz w:val="13"/>
          <w:szCs w:val="13"/>
          <w:color w:val="auto"/>
        </w:rPr>
        <w:t>$.05 (or less) per ADS</w:t>
      </w:r>
      <w:r>
        <w:rPr>
          <w:sz w:val="20"/>
          <w:szCs w:val="20"/>
          <w:color w:val="auto"/>
        </w:rPr>
        <w:tab/>
      </w:r>
      <w:r>
        <w:rPr>
          <w:rFonts w:ascii="Arial" w:cs="Arial" w:eastAsia="Arial" w:hAnsi="Arial"/>
          <w:sz w:val="13"/>
          <w:szCs w:val="13"/>
          <w:color w:val="auto"/>
        </w:rPr>
        <w:t>Any cash distribution to ADS holders</w:t>
      </w:r>
    </w:p>
    <w:p>
      <w:pPr>
        <w:spacing w:after="0" w:line="295" w:lineRule="exact"/>
        <w:rPr>
          <w:sz w:val="20"/>
          <w:szCs w:val="20"/>
          <w:color w:val="auto"/>
        </w:rPr>
      </w:pPr>
    </w:p>
    <w:p>
      <w:pPr>
        <w:spacing w:after="0"/>
        <w:tabs>
          <w:tab w:leader="none" w:pos="6040" w:val="left"/>
        </w:tabs>
        <w:rPr>
          <w:sz w:val="20"/>
          <w:szCs w:val="20"/>
          <w:color w:val="auto"/>
        </w:rPr>
      </w:pPr>
      <w:r>
        <w:rPr>
          <w:rFonts w:ascii="Arial" w:cs="Arial" w:eastAsia="Arial" w:hAnsi="Arial"/>
          <w:sz w:val="13"/>
          <w:szCs w:val="13"/>
          <w:color w:val="auto"/>
        </w:rPr>
        <w:t>A fee equivalent to the fee that would be payable if securities distributed to you</w:t>
      </w:r>
      <w:r>
        <w:rPr>
          <w:sz w:val="20"/>
          <w:szCs w:val="20"/>
          <w:color w:val="auto"/>
        </w:rPr>
        <w:tab/>
      </w:r>
      <w:r>
        <w:rPr>
          <w:rFonts w:ascii="Arial" w:cs="Arial" w:eastAsia="Arial" w:hAnsi="Arial"/>
          <w:sz w:val="13"/>
          <w:szCs w:val="13"/>
          <w:color w:val="auto"/>
        </w:rPr>
        <w:t>Distribution of securities distributed to holders of deposited securities</w:t>
      </w:r>
    </w:p>
    <w:p>
      <w:pPr>
        <w:spacing w:after="0" w:line="23" w:lineRule="exact"/>
        <w:rPr>
          <w:sz w:val="20"/>
          <w:szCs w:val="20"/>
          <w:color w:val="auto"/>
        </w:rPr>
      </w:pPr>
    </w:p>
    <w:p>
      <w:pPr>
        <w:spacing w:after="0"/>
        <w:tabs>
          <w:tab w:leader="none" w:pos="6040" w:val="left"/>
        </w:tabs>
        <w:rPr>
          <w:sz w:val="20"/>
          <w:szCs w:val="20"/>
          <w:color w:val="auto"/>
        </w:rPr>
      </w:pPr>
      <w:r>
        <w:rPr>
          <w:rFonts w:ascii="Arial" w:cs="Arial" w:eastAsia="Arial" w:hAnsi="Arial"/>
          <w:sz w:val="13"/>
          <w:szCs w:val="13"/>
          <w:color w:val="auto"/>
        </w:rPr>
        <w:t>had been shares and the shares had been deposited for issuance of ADSs</w:t>
      </w:r>
      <w:r>
        <w:rPr>
          <w:sz w:val="20"/>
          <w:szCs w:val="20"/>
          <w:color w:val="auto"/>
        </w:rPr>
        <w:tab/>
      </w:r>
      <w:r>
        <w:rPr>
          <w:rFonts w:ascii="Arial" w:cs="Arial" w:eastAsia="Arial" w:hAnsi="Arial"/>
          <w:sz w:val="13"/>
          <w:szCs w:val="13"/>
          <w:color w:val="auto"/>
        </w:rPr>
        <w:t>(including rights) that are distributed by the depositary to ADS holders</w:t>
      </w:r>
    </w:p>
    <w:p>
      <w:pPr>
        <w:spacing w:after="0" w:line="284" w:lineRule="exact"/>
        <w:rPr>
          <w:sz w:val="20"/>
          <w:szCs w:val="20"/>
          <w:color w:val="auto"/>
        </w:rPr>
      </w:pPr>
    </w:p>
    <w:p>
      <w:pPr>
        <w:spacing w:after="0"/>
        <w:tabs>
          <w:tab w:leader="none" w:pos="6040" w:val="left"/>
        </w:tabs>
        <w:rPr>
          <w:sz w:val="20"/>
          <w:szCs w:val="20"/>
          <w:color w:val="auto"/>
        </w:rPr>
      </w:pPr>
      <w:r>
        <w:rPr>
          <w:rFonts w:ascii="Arial" w:cs="Arial" w:eastAsia="Arial" w:hAnsi="Arial"/>
          <w:sz w:val="13"/>
          <w:szCs w:val="13"/>
          <w:color w:val="auto"/>
        </w:rPr>
        <w:t>$.05 (or less) per ADS per calendar year</w:t>
      </w:r>
      <w:r>
        <w:rPr>
          <w:sz w:val="20"/>
          <w:szCs w:val="20"/>
          <w:color w:val="auto"/>
        </w:rPr>
        <w:tab/>
      </w:r>
      <w:r>
        <w:rPr>
          <w:rFonts w:ascii="Arial" w:cs="Arial" w:eastAsia="Arial" w:hAnsi="Arial"/>
          <w:sz w:val="13"/>
          <w:szCs w:val="13"/>
          <w:color w:val="auto"/>
        </w:rPr>
        <w:t>Depositary services</w:t>
      </w:r>
    </w:p>
    <w:p>
      <w:pPr>
        <w:spacing w:after="0" w:line="295" w:lineRule="exact"/>
        <w:rPr>
          <w:sz w:val="20"/>
          <w:szCs w:val="20"/>
          <w:color w:val="auto"/>
        </w:rPr>
      </w:pPr>
    </w:p>
    <w:p>
      <w:pPr>
        <w:spacing w:after="0"/>
        <w:tabs>
          <w:tab w:leader="none" w:pos="6040" w:val="left"/>
        </w:tabs>
        <w:rPr>
          <w:sz w:val="20"/>
          <w:szCs w:val="20"/>
          <w:color w:val="auto"/>
        </w:rPr>
      </w:pPr>
      <w:r>
        <w:rPr>
          <w:rFonts w:ascii="Arial" w:cs="Arial" w:eastAsia="Arial" w:hAnsi="Arial"/>
          <w:sz w:val="13"/>
          <w:szCs w:val="13"/>
          <w:color w:val="auto"/>
        </w:rPr>
        <w:t>Registration or transfer fees</w:t>
      </w:r>
      <w:r>
        <w:rPr>
          <w:sz w:val="20"/>
          <w:szCs w:val="20"/>
          <w:color w:val="auto"/>
        </w:rPr>
        <w:tab/>
      </w:r>
      <w:r>
        <w:rPr>
          <w:rFonts w:ascii="Arial" w:cs="Arial" w:eastAsia="Arial" w:hAnsi="Arial"/>
          <w:sz w:val="13"/>
          <w:szCs w:val="13"/>
          <w:color w:val="auto"/>
        </w:rPr>
        <w:t>Transfer and registration of shares on our share register to or from the 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3"/>
          <w:szCs w:val="13"/>
          <w:color w:val="auto"/>
        </w:rPr>
        <w:t>of the depositary or its agent when you deposit or withdraw shares</w:t>
      </w:r>
    </w:p>
    <w:p>
      <w:pPr>
        <w:spacing w:after="0" w:line="258" w:lineRule="exact"/>
        <w:rPr>
          <w:sz w:val="20"/>
          <w:szCs w:val="20"/>
          <w:color w:val="auto"/>
        </w:rPr>
      </w:pPr>
    </w:p>
    <w:p>
      <w:pPr>
        <w:spacing w:after="0"/>
        <w:tabs>
          <w:tab w:leader="none" w:pos="6040" w:val="left"/>
        </w:tabs>
        <w:rPr>
          <w:sz w:val="20"/>
          <w:szCs w:val="20"/>
          <w:color w:val="auto"/>
        </w:rPr>
      </w:pPr>
      <w:r>
        <w:rPr>
          <w:rFonts w:ascii="Arial" w:cs="Arial" w:eastAsia="Arial" w:hAnsi="Arial"/>
          <w:sz w:val="13"/>
          <w:szCs w:val="13"/>
          <w:color w:val="auto"/>
        </w:rPr>
        <w:t>Expenses of the depositary</w:t>
      </w:r>
      <w:r>
        <w:rPr>
          <w:sz w:val="20"/>
          <w:szCs w:val="20"/>
          <w:color w:val="auto"/>
        </w:rPr>
        <w:tab/>
      </w:r>
      <w:r>
        <w:rPr>
          <w:rFonts w:ascii="Arial" w:cs="Arial" w:eastAsia="Arial" w:hAnsi="Arial"/>
          <w:sz w:val="13"/>
          <w:szCs w:val="13"/>
          <w:color w:val="auto"/>
        </w:rPr>
        <w:t>Cable and facsimile transmissions (when expressly provided in the deposit</w:t>
      </w:r>
    </w:p>
    <w:p>
      <w:pPr>
        <w:ind w:left="6060"/>
        <w:spacing w:after="0"/>
        <w:rPr>
          <w:sz w:val="20"/>
          <w:szCs w:val="20"/>
          <w:color w:val="auto"/>
        </w:rPr>
      </w:pPr>
      <w:r>
        <w:rPr>
          <w:rFonts w:ascii="Arial" w:cs="Arial" w:eastAsia="Arial" w:hAnsi="Arial"/>
          <w:sz w:val="13"/>
          <w:szCs w:val="13"/>
          <w:color w:val="auto"/>
        </w:rPr>
        <w:t>agreement)</w:t>
      </w:r>
    </w:p>
    <w:p>
      <w:pPr>
        <w:spacing w:after="0" w:line="51" w:lineRule="exact"/>
        <w:rPr>
          <w:sz w:val="20"/>
          <w:szCs w:val="20"/>
          <w:color w:val="auto"/>
        </w:rPr>
      </w:pPr>
    </w:p>
    <w:p>
      <w:pPr>
        <w:ind w:left="6060"/>
        <w:spacing w:after="0"/>
        <w:rPr>
          <w:sz w:val="20"/>
          <w:szCs w:val="20"/>
          <w:color w:val="auto"/>
        </w:rPr>
      </w:pPr>
      <w:r>
        <w:rPr>
          <w:rFonts w:ascii="Arial" w:cs="Arial" w:eastAsia="Arial" w:hAnsi="Arial"/>
          <w:sz w:val="13"/>
          <w:szCs w:val="13"/>
          <w:color w:val="auto"/>
        </w:rPr>
        <w:t>Converting foreign currency to U.S. dollars</w:t>
      </w:r>
    </w:p>
    <w:p>
      <w:pPr>
        <w:spacing w:after="0" w:line="356" w:lineRule="exact"/>
        <w:rPr>
          <w:sz w:val="20"/>
          <w:szCs w:val="20"/>
          <w:color w:val="auto"/>
        </w:rPr>
      </w:pPr>
    </w:p>
    <w:p>
      <w:pPr>
        <w:spacing w:after="0"/>
        <w:tabs>
          <w:tab w:leader="none" w:pos="6040" w:val="left"/>
        </w:tabs>
        <w:rPr>
          <w:sz w:val="20"/>
          <w:szCs w:val="20"/>
          <w:color w:val="auto"/>
        </w:rPr>
      </w:pPr>
      <w:r>
        <w:rPr>
          <w:rFonts w:ascii="Arial" w:cs="Arial" w:eastAsia="Arial" w:hAnsi="Arial"/>
          <w:sz w:val="13"/>
          <w:szCs w:val="13"/>
          <w:color w:val="auto"/>
        </w:rPr>
        <w:t>Taxes and other governmental charges the depositary or the custodian has to</w:t>
      </w:r>
      <w:r>
        <w:rPr>
          <w:sz w:val="20"/>
          <w:szCs w:val="20"/>
          <w:color w:val="auto"/>
        </w:rPr>
        <w:tab/>
      </w:r>
      <w:r>
        <w:rPr>
          <w:rFonts w:ascii="Arial" w:cs="Arial" w:eastAsia="Arial" w:hAnsi="Arial"/>
          <w:sz w:val="13"/>
          <w:szCs w:val="13"/>
          <w:color w:val="auto"/>
        </w:rPr>
        <w:t>As necessary</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pay on any ADSs or shares underlying ADSs, such as stock transfer taxes,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stamp duty or withholding taxes</w:t>
      </w:r>
    </w:p>
    <w:p>
      <w:pPr>
        <w:spacing w:after="0" w:line="284" w:lineRule="exact"/>
        <w:rPr>
          <w:sz w:val="20"/>
          <w:szCs w:val="20"/>
          <w:color w:val="auto"/>
        </w:rPr>
      </w:pPr>
    </w:p>
    <w:p>
      <w:pPr>
        <w:spacing w:after="0"/>
        <w:tabs>
          <w:tab w:leader="none" w:pos="6040" w:val="left"/>
        </w:tabs>
        <w:rPr>
          <w:sz w:val="20"/>
          <w:szCs w:val="20"/>
          <w:color w:val="auto"/>
        </w:rPr>
      </w:pPr>
      <w:r>
        <w:rPr>
          <w:rFonts w:ascii="Arial" w:cs="Arial" w:eastAsia="Arial" w:hAnsi="Arial"/>
          <w:sz w:val="13"/>
          <w:szCs w:val="13"/>
          <w:color w:val="auto"/>
        </w:rPr>
        <w:t>Any charges incurred by the depositary or its agents for servicing the</w:t>
      </w:r>
      <w:r>
        <w:rPr>
          <w:sz w:val="20"/>
          <w:szCs w:val="20"/>
          <w:color w:val="auto"/>
        </w:rPr>
        <w:tab/>
      </w:r>
      <w:r>
        <w:rPr>
          <w:rFonts w:ascii="Arial" w:cs="Arial" w:eastAsia="Arial" w:hAnsi="Arial"/>
          <w:sz w:val="13"/>
          <w:szCs w:val="13"/>
          <w:color w:val="auto"/>
        </w:rPr>
        <w:t>As necessary</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deposited securities</w:t>
      </w:r>
    </w:p>
    <w:p>
      <w:pPr>
        <w:spacing w:after="0" w:line="173" w:lineRule="exact"/>
        <w:rPr>
          <w:sz w:val="20"/>
          <w:szCs w:val="20"/>
          <w:color w:val="auto"/>
        </w:rPr>
      </w:pPr>
    </w:p>
    <w:p>
      <w:pPr>
        <w:jc w:val="both"/>
        <w:spacing w:after="0" w:line="227" w:lineRule="auto"/>
        <w:rPr>
          <w:sz w:val="20"/>
          <w:szCs w:val="20"/>
          <w:color w:val="auto"/>
        </w:rPr>
      </w:pPr>
      <w:r>
        <w:rPr>
          <w:rFonts w:ascii="Arial" w:cs="Arial" w:eastAsia="Arial" w:hAnsi="Arial"/>
          <w:sz w:val="13"/>
          <w:szCs w:val="13"/>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w:t>
      </w:r>
    </w:p>
    <w:p>
      <w:pPr>
        <w:sectPr>
          <w:pgSz w:w="11900" w:h="16840" w:orient="portrait"/>
          <w:cols w:equalWidth="0" w:num="1">
            <w:col w:w="10580"/>
          </w:cols>
          <w:pgMar w:left="660" w:top="1440" w:right="660" w:bottom="1440" w:gutter="0" w:footer="0" w:header="0"/>
          <w:type w:val="continuous"/>
        </w:sectPr>
      </w:pPr>
    </w:p>
    <w:bookmarkStart w:id="250" w:name="page251"/>
    <w:bookmarkEnd w:id="250"/>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16" w:lineRule="exact"/>
        <w:rPr>
          <w:sz w:val="20"/>
          <w:szCs w:val="20"/>
          <w:color w:val="auto"/>
        </w:rPr>
      </w:pPr>
    </w:p>
    <w:p>
      <w:pPr>
        <w:jc w:val="both"/>
        <w:spacing w:after="0" w:line="227" w:lineRule="auto"/>
        <w:rPr>
          <w:sz w:val="20"/>
          <w:szCs w:val="20"/>
          <w:color w:val="auto"/>
        </w:rPr>
      </w:pPr>
      <w:r>
        <w:rPr>
          <w:rFonts w:ascii="Arial" w:cs="Arial" w:eastAsia="Arial" w:hAnsi="Arial"/>
          <w:sz w:val="13"/>
          <w:szCs w:val="13"/>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22" w:lineRule="exact"/>
        <w:rPr>
          <w:sz w:val="20"/>
          <w:szCs w:val="20"/>
          <w:color w:val="auto"/>
        </w:rPr>
      </w:pPr>
    </w:p>
    <w:p>
      <w:pPr>
        <w:jc w:val="both"/>
        <w:spacing w:after="0" w:line="222" w:lineRule="auto"/>
        <w:rPr>
          <w:sz w:val="20"/>
          <w:szCs w:val="20"/>
          <w:color w:val="auto"/>
        </w:rPr>
      </w:pPr>
      <w:r>
        <w:rPr>
          <w:rFonts w:ascii="Arial" w:cs="Arial" w:eastAsia="Arial" w:hAnsi="Arial"/>
          <w:sz w:val="13"/>
          <w:szCs w:val="13"/>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Payment of Taxes</w:t>
      </w:r>
    </w:p>
    <w:p>
      <w:pPr>
        <w:spacing w:after="0" w:line="144" w:lineRule="exact"/>
        <w:rPr>
          <w:sz w:val="20"/>
          <w:szCs w:val="20"/>
          <w:color w:val="auto"/>
        </w:rPr>
      </w:pPr>
    </w:p>
    <w:p>
      <w:pPr>
        <w:jc w:val="both"/>
        <w:ind w:right="20"/>
        <w:spacing w:after="0"/>
        <w:rPr>
          <w:sz w:val="20"/>
          <w:szCs w:val="20"/>
          <w:color w:val="auto"/>
        </w:rPr>
      </w:pPr>
      <w:r>
        <w:rPr>
          <w:rFonts w:ascii="Arial" w:cs="Arial" w:eastAsia="Arial" w:hAnsi="Arial"/>
          <w:sz w:val="13"/>
          <w:szCs w:val="13"/>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Tender and Exchange Offers; Redemption, Replacement or Cancellation of Deposited Securities</w:t>
      </w:r>
    </w:p>
    <w:p>
      <w:pPr>
        <w:spacing w:after="0" w:line="144" w:lineRule="exact"/>
        <w:rPr>
          <w:sz w:val="20"/>
          <w:szCs w:val="20"/>
          <w:color w:val="auto"/>
        </w:rPr>
      </w:pPr>
    </w:p>
    <w:p>
      <w:pPr>
        <w:jc w:val="both"/>
        <w:ind w:right="20"/>
        <w:spacing w:after="0" w:line="248" w:lineRule="auto"/>
        <w:rPr>
          <w:sz w:val="20"/>
          <w:szCs w:val="20"/>
          <w:color w:val="auto"/>
        </w:rPr>
      </w:pPr>
      <w:r>
        <w:rPr>
          <w:rFonts w:ascii="Arial" w:cs="Arial" w:eastAsia="Arial" w:hAnsi="Arial"/>
          <w:sz w:val="13"/>
          <w:szCs w:val="13"/>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16" w:lineRule="exact"/>
        <w:rPr>
          <w:sz w:val="20"/>
          <w:szCs w:val="20"/>
          <w:color w:val="auto"/>
        </w:rPr>
      </w:pPr>
    </w:p>
    <w:p>
      <w:pPr>
        <w:jc w:val="both"/>
        <w:spacing w:after="0" w:line="224" w:lineRule="auto"/>
        <w:rPr>
          <w:sz w:val="20"/>
          <w:szCs w:val="20"/>
          <w:color w:val="auto"/>
        </w:rPr>
      </w:pPr>
      <w:r>
        <w:rPr>
          <w:rFonts w:ascii="Arial" w:cs="Arial" w:eastAsia="Arial" w:hAnsi="Arial"/>
          <w:sz w:val="13"/>
          <w:szCs w:val="13"/>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21" w:lineRule="exact"/>
        <w:rPr>
          <w:sz w:val="20"/>
          <w:szCs w:val="20"/>
          <w:color w:val="auto"/>
        </w:rPr>
      </w:pPr>
    </w:p>
    <w:p>
      <w:pPr>
        <w:jc w:val="both"/>
        <w:ind w:right="20"/>
        <w:spacing w:after="0" w:line="248" w:lineRule="auto"/>
        <w:rPr>
          <w:sz w:val="20"/>
          <w:szCs w:val="20"/>
          <w:color w:val="auto"/>
        </w:rPr>
      </w:pPr>
      <w:r>
        <w:rPr>
          <w:rFonts w:ascii="Arial" w:cs="Arial" w:eastAsia="Arial" w:hAnsi="Arial"/>
          <w:sz w:val="13"/>
          <w:szCs w:val="13"/>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16" w:lineRule="exact"/>
        <w:rPr>
          <w:sz w:val="20"/>
          <w:szCs w:val="20"/>
          <w:color w:val="auto"/>
        </w:rPr>
      </w:pPr>
    </w:p>
    <w:p>
      <w:pPr>
        <w:jc w:val="both"/>
        <w:ind w:right="20"/>
        <w:spacing w:after="0" w:line="248" w:lineRule="auto"/>
        <w:rPr>
          <w:sz w:val="20"/>
          <w:szCs w:val="20"/>
          <w:color w:val="auto"/>
        </w:rPr>
      </w:pPr>
      <w:r>
        <w:rPr>
          <w:rFonts w:ascii="Arial" w:cs="Arial" w:eastAsia="Arial" w:hAnsi="Arial"/>
          <w:sz w:val="13"/>
          <w:szCs w:val="13"/>
          <w:color w:val="auto"/>
        </w:rPr>
        <w:t>If there are no deposited securities underlying ADSs, including if the deposited securities are cancelled, or if the deposited securities underlying ADSs have become apparently worthless, the depositary may call for surrender or of those ADSs or cancel those ADSs upon notice to the ADS holders.</w:t>
      </w:r>
    </w:p>
    <w:p>
      <w:pPr>
        <w:sectPr>
          <w:pgSz w:w="11900" w:h="16840" w:orient="portrait"/>
          <w:cols w:equalWidth="0" w:num="1">
            <w:col w:w="10580"/>
          </w:cols>
          <w:pgMar w:left="660" w:top="1440" w:right="660" w:bottom="1440" w:gutter="0" w:footer="0" w:header="0"/>
        </w:sectPr>
      </w:pPr>
    </w:p>
    <w:bookmarkStart w:id="251" w:name="page252"/>
    <w:bookmarkEnd w:id="251"/>
    <w:p>
      <w:pPr>
        <w:spacing w:after="0" w:line="2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Amendment and Termination</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How may the deposit agreement be amended?</w:t>
      </w:r>
    </w:p>
    <w:p>
      <w:pPr>
        <w:spacing w:after="0" w:line="144" w:lineRule="exact"/>
        <w:rPr>
          <w:sz w:val="20"/>
          <w:szCs w:val="20"/>
          <w:color w:val="auto"/>
        </w:rPr>
      </w:pPr>
    </w:p>
    <w:p>
      <w:pPr>
        <w:jc w:val="both"/>
        <w:spacing w:after="0" w:line="230" w:lineRule="auto"/>
        <w:rPr>
          <w:sz w:val="20"/>
          <w:szCs w:val="20"/>
          <w:color w:val="auto"/>
        </w:rPr>
      </w:pPr>
      <w:r>
        <w:rPr>
          <w:rFonts w:ascii="Arial" w:cs="Arial" w:eastAsia="Arial" w:hAnsi="Arial"/>
          <w:sz w:val="13"/>
          <w:szCs w:val="13"/>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3"/>
          <w:szCs w:val="13"/>
          <w:b w:val="1"/>
          <w:bCs w:val="1"/>
          <w:color w:val="auto"/>
        </w:rPr>
        <w:t>At the time an amendment becomes effective,</w:t>
      </w:r>
      <w:r>
        <w:rPr>
          <w:rFonts w:ascii="Arial" w:cs="Arial" w:eastAsia="Arial" w:hAnsi="Arial"/>
          <w:sz w:val="13"/>
          <w:szCs w:val="13"/>
          <w:color w:val="auto"/>
        </w:rPr>
        <w:t xml:space="preserve"> </w:t>
      </w:r>
      <w:r>
        <w:rPr>
          <w:rFonts w:ascii="Arial" w:cs="Arial" w:eastAsia="Arial" w:hAnsi="Arial"/>
          <w:sz w:val="13"/>
          <w:szCs w:val="13"/>
          <w:b w:val="1"/>
          <w:bCs w:val="1"/>
          <w:color w:val="auto"/>
        </w:rPr>
        <w:t>you are considered, by continuing to hold your ADSs, to agree to the amendment and to be bound by the ADRs and the deposit agreement as amended.</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How may the deposit agreement be terminated?</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The depositary will initiate termination of the deposit agreement if we instruct it to do so. The depositary may initiate termination of the deposit agreement if:</w:t>
      </w:r>
    </w:p>
    <w:p>
      <w:pPr>
        <w:spacing w:after="0" w:line="154" w:lineRule="exact"/>
        <w:rPr>
          <w:sz w:val="20"/>
          <w:szCs w:val="20"/>
          <w:color w:val="auto"/>
        </w:rPr>
      </w:pPr>
    </w:p>
    <w:p>
      <w:pPr>
        <w:ind w:left="960" w:hanging="484"/>
        <w:spacing w:after="0"/>
        <w:tabs>
          <w:tab w:leader="none" w:pos="9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60 days have passed since the depositary told us it wants to resign but a successor depositary has not been appointed and accepted its appointment;</w:t>
      </w:r>
    </w:p>
    <w:p>
      <w:pPr>
        <w:spacing w:after="0" w:line="173" w:lineRule="exact"/>
        <w:rPr>
          <w:rFonts w:ascii="Arial" w:cs="Arial" w:eastAsia="Arial" w:hAnsi="Arial"/>
          <w:sz w:val="13"/>
          <w:szCs w:val="13"/>
          <w:color w:val="auto"/>
        </w:rPr>
      </w:pPr>
    </w:p>
    <w:p>
      <w:pPr>
        <w:ind w:left="960" w:right="20" w:hanging="484"/>
        <w:spacing w:after="0" w:line="297" w:lineRule="auto"/>
        <w:tabs>
          <w:tab w:leader="none" w:pos="9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115" w:lineRule="exact"/>
        <w:rPr>
          <w:rFonts w:ascii="Arial" w:cs="Arial" w:eastAsia="Arial" w:hAnsi="Arial"/>
          <w:sz w:val="13"/>
          <w:szCs w:val="13"/>
          <w:color w:val="auto"/>
        </w:rPr>
      </w:pPr>
    </w:p>
    <w:p>
      <w:pPr>
        <w:ind w:left="960" w:hanging="484"/>
        <w:spacing w:after="0" w:line="297" w:lineRule="auto"/>
        <w:tabs>
          <w:tab w:leader="none" w:pos="9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we delist our ordinary shares from an exchange outside the United States on which they were listed and do not list the shares on another exchange outside the United States;</w:t>
      </w:r>
    </w:p>
    <w:p>
      <w:pPr>
        <w:spacing w:after="0" w:line="115" w:lineRule="exact"/>
        <w:rPr>
          <w:rFonts w:ascii="Arial" w:cs="Arial" w:eastAsia="Arial" w:hAnsi="Arial"/>
          <w:sz w:val="13"/>
          <w:szCs w:val="13"/>
          <w:color w:val="auto"/>
        </w:rPr>
      </w:pPr>
    </w:p>
    <w:p>
      <w:pPr>
        <w:ind w:left="960" w:hanging="484"/>
        <w:spacing w:after="0"/>
        <w:tabs>
          <w:tab w:leader="none" w:pos="9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depositary has reason to believe the ADSs have become, or will become, ineligible for registration on Form F-6 under the Securities Act;</w:t>
      </w:r>
    </w:p>
    <w:p>
      <w:pPr>
        <w:spacing w:after="0" w:line="173" w:lineRule="exact"/>
        <w:rPr>
          <w:rFonts w:ascii="Arial" w:cs="Arial" w:eastAsia="Arial" w:hAnsi="Arial"/>
          <w:sz w:val="13"/>
          <w:szCs w:val="13"/>
          <w:color w:val="auto"/>
        </w:rPr>
      </w:pPr>
    </w:p>
    <w:p>
      <w:pPr>
        <w:ind w:left="960" w:hanging="484"/>
        <w:spacing w:after="0"/>
        <w:tabs>
          <w:tab w:leader="none" w:pos="9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we appear to be insolvent or enter insolvency proceedings</w:t>
      </w:r>
    </w:p>
    <w:p>
      <w:pPr>
        <w:spacing w:after="0" w:line="173" w:lineRule="exact"/>
        <w:rPr>
          <w:rFonts w:ascii="Arial" w:cs="Arial" w:eastAsia="Arial" w:hAnsi="Arial"/>
          <w:sz w:val="13"/>
          <w:szCs w:val="13"/>
          <w:color w:val="auto"/>
        </w:rPr>
      </w:pPr>
    </w:p>
    <w:p>
      <w:pPr>
        <w:ind w:left="960" w:hanging="484"/>
        <w:spacing w:after="0"/>
        <w:tabs>
          <w:tab w:leader="none" w:pos="9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all or substantially all the value of the deposited securities has been distributed either in cash or in the form of securities;</w:t>
      </w:r>
    </w:p>
    <w:p>
      <w:pPr>
        <w:spacing w:after="0" w:line="173" w:lineRule="exact"/>
        <w:rPr>
          <w:rFonts w:ascii="Arial" w:cs="Arial" w:eastAsia="Arial" w:hAnsi="Arial"/>
          <w:sz w:val="13"/>
          <w:szCs w:val="13"/>
          <w:color w:val="auto"/>
        </w:rPr>
      </w:pPr>
    </w:p>
    <w:p>
      <w:pPr>
        <w:ind w:left="960" w:hanging="484"/>
        <w:spacing w:after="0"/>
        <w:tabs>
          <w:tab w:leader="none" w:pos="9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there are no deposited securities underlying the ADSs or the underlying deposited securities have become apparently worthless; or</w:t>
      </w:r>
    </w:p>
    <w:p>
      <w:pPr>
        <w:spacing w:after="0" w:line="173" w:lineRule="exact"/>
        <w:rPr>
          <w:rFonts w:ascii="Arial" w:cs="Arial" w:eastAsia="Arial" w:hAnsi="Arial"/>
          <w:sz w:val="13"/>
          <w:szCs w:val="13"/>
          <w:color w:val="auto"/>
        </w:rPr>
      </w:pPr>
    </w:p>
    <w:p>
      <w:pPr>
        <w:ind w:left="960" w:hanging="484"/>
        <w:spacing w:after="0"/>
        <w:tabs>
          <w:tab w:leader="none" w:pos="9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there has been a replacement of deposited securities.</w:t>
      </w:r>
    </w:p>
    <w:p>
      <w:pPr>
        <w:spacing w:after="0" w:line="164" w:lineRule="exact"/>
        <w:rPr>
          <w:sz w:val="20"/>
          <w:szCs w:val="20"/>
          <w:color w:val="auto"/>
        </w:rPr>
      </w:pPr>
    </w:p>
    <w:p>
      <w:pPr>
        <w:jc w:val="both"/>
        <w:spacing w:after="0" w:line="227" w:lineRule="auto"/>
        <w:rPr>
          <w:sz w:val="20"/>
          <w:szCs w:val="20"/>
          <w:color w:val="auto"/>
        </w:rPr>
      </w:pPr>
      <w:r>
        <w:rPr>
          <w:rFonts w:ascii="Arial" w:cs="Arial" w:eastAsia="Arial" w:hAnsi="Arial"/>
          <w:sz w:val="13"/>
          <w:szCs w:val="13"/>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22" w:lineRule="exact"/>
        <w:rPr>
          <w:sz w:val="20"/>
          <w:szCs w:val="20"/>
          <w:color w:val="auto"/>
        </w:rPr>
      </w:pPr>
    </w:p>
    <w:p>
      <w:pPr>
        <w:jc w:val="both"/>
        <w:spacing w:after="0" w:line="222" w:lineRule="auto"/>
        <w:rPr>
          <w:sz w:val="20"/>
          <w:szCs w:val="20"/>
          <w:color w:val="auto"/>
        </w:rPr>
      </w:pPr>
      <w:r>
        <w:rPr>
          <w:rFonts w:ascii="Arial" w:cs="Arial" w:eastAsia="Arial" w:hAnsi="Arial"/>
          <w:sz w:val="13"/>
          <w:szCs w:val="13"/>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Limitations on Obligations and Liability</w:t>
      </w:r>
    </w:p>
    <w:p>
      <w:pPr>
        <w:sectPr>
          <w:pgSz w:w="11900" w:h="16840" w:orient="portrait"/>
          <w:cols w:equalWidth="0" w:num="1">
            <w:col w:w="10580"/>
          </w:cols>
          <w:pgMar w:left="660" w:top="1440" w:right="660" w:bottom="1440" w:gutter="0" w:footer="0" w:header="0"/>
        </w:sectPr>
      </w:pPr>
    </w:p>
    <w:bookmarkStart w:id="252" w:name="page253"/>
    <w:bookmarkEnd w:id="252"/>
    <w:p>
      <w:pPr>
        <w:spacing w:after="0" w:line="24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Limits on our Obligations and the Obligations of the Depositary; Limits on Liability to Holders of ADSs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The deposit agreement expressly limits our obligations and the obligations of the depositary. It also limits our liability and the liability of the depositary. We and the depositary:</w:t>
      </w:r>
    </w:p>
    <w:p>
      <w:pPr>
        <w:spacing w:after="0" w:line="73" w:lineRule="exact"/>
        <w:rPr>
          <w:sz w:val="20"/>
          <w:szCs w:val="20"/>
          <w:color w:val="auto"/>
        </w:rPr>
      </w:pPr>
    </w:p>
    <w:p>
      <w:pPr>
        <w:ind w:left="960" w:hanging="241"/>
        <w:spacing w:after="0" w:line="297" w:lineRule="auto"/>
        <w:tabs>
          <w:tab w:leader="none" w:pos="9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are only obligated to take the actions specifically set forth in the deposit agreement without negligence or bad faith, and the depositary will not be a fiduciary or have any fiduciary duty to holders of ADSs;</w:t>
      </w:r>
    </w:p>
    <w:p>
      <w:pPr>
        <w:spacing w:after="0" w:line="115" w:lineRule="exact"/>
        <w:rPr>
          <w:rFonts w:ascii="Arial" w:cs="Arial" w:eastAsia="Arial" w:hAnsi="Arial"/>
          <w:sz w:val="13"/>
          <w:szCs w:val="13"/>
          <w:color w:val="auto"/>
        </w:rPr>
      </w:pPr>
    </w:p>
    <w:p>
      <w:pPr>
        <w:ind w:left="960" w:hanging="241"/>
        <w:spacing w:after="0" w:line="297" w:lineRule="auto"/>
        <w:tabs>
          <w:tab w:leader="none" w:pos="9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15" w:lineRule="exact"/>
        <w:rPr>
          <w:rFonts w:ascii="Arial" w:cs="Arial" w:eastAsia="Arial" w:hAnsi="Arial"/>
          <w:sz w:val="13"/>
          <w:szCs w:val="13"/>
          <w:color w:val="auto"/>
        </w:rPr>
      </w:pPr>
    </w:p>
    <w:p>
      <w:pPr>
        <w:ind w:left="960" w:hanging="241"/>
        <w:spacing w:after="0"/>
        <w:tabs>
          <w:tab w:leader="none" w:pos="9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are not liable if we or it exercises discretion permitted under the deposit agreement;</w:t>
      </w:r>
    </w:p>
    <w:p>
      <w:pPr>
        <w:spacing w:after="0" w:line="173" w:lineRule="exact"/>
        <w:rPr>
          <w:rFonts w:ascii="Arial" w:cs="Arial" w:eastAsia="Arial" w:hAnsi="Arial"/>
          <w:sz w:val="13"/>
          <w:szCs w:val="13"/>
          <w:color w:val="auto"/>
        </w:rPr>
      </w:pPr>
    </w:p>
    <w:p>
      <w:pPr>
        <w:ind w:left="960" w:right="20" w:hanging="241"/>
        <w:spacing w:after="0" w:line="297" w:lineRule="auto"/>
        <w:tabs>
          <w:tab w:leader="none" w:pos="9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115" w:lineRule="exact"/>
        <w:rPr>
          <w:rFonts w:ascii="Arial" w:cs="Arial" w:eastAsia="Arial" w:hAnsi="Arial"/>
          <w:sz w:val="13"/>
          <w:szCs w:val="13"/>
          <w:color w:val="auto"/>
        </w:rPr>
      </w:pPr>
    </w:p>
    <w:p>
      <w:pPr>
        <w:ind w:left="960" w:hanging="241"/>
        <w:spacing w:after="0"/>
        <w:tabs>
          <w:tab w:leader="none" w:pos="9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have no obligation to become involved in a lawsuit or other proceeding related to the ADSs or the deposit agreement on your behalf or on behalf of any other person;</w:t>
      </w:r>
    </w:p>
    <w:p>
      <w:pPr>
        <w:spacing w:after="0" w:line="173" w:lineRule="exact"/>
        <w:rPr>
          <w:rFonts w:ascii="Arial" w:cs="Arial" w:eastAsia="Arial" w:hAnsi="Arial"/>
          <w:sz w:val="13"/>
          <w:szCs w:val="13"/>
          <w:color w:val="auto"/>
        </w:rPr>
      </w:pPr>
    </w:p>
    <w:p>
      <w:pPr>
        <w:ind w:left="960" w:hanging="241"/>
        <w:spacing w:after="0"/>
        <w:tabs>
          <w:tab w:leader="none" w:pos="9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may rely upon any documents we believe or it believes in good faith to be genuine and to have been signed or presented by the proper person;</w:t>
      </w:r>
    </w:p>
    <w:p>
      <w:pPr>
        <w:spacing w:after="0" w:line="173" w:lineRule="exact"/>
        <w:rPr>
          <w:rFonts w:ascii="Arial" w:cs="Arial" w:eastAsia="Arial" w:hAnsi="Arial"/>
          <w:sz w:val="13"/>
          <w:szCs w:val="13"/>
          <w:color w:val="auto"/>
        </w:rPr>
      </w:pPr>
    </w:p>
    <w:p>
      <w:pPr>
        <w:ind w:left="960" w:hanging="241"/>
        <w:spacing w:after="0"/>
        <w:tabs>
          <w:tab w:leader="none" w:pos="9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are not liable for the acts or omissions of any securities depository, clearing agency or settlement system; and</w:t>
      </w:r>
    </w:p>
    <w:p>
      <w:pPr>
        <w:spacing w:after="0" w:line="173" w:lineRule="exact"/>
        <w:rPr>
          <w:rFonts w:ascii="Arial" w:cs="Arial" w:eastAsia="Arial" w:hAnsi="Arial"/>
          <w:sz w:val="13"/>
          <w:szCs w:val="13"/>
          <w:color w:val="auto"/>
        </w:rPr>
      </w:pPr>
    </w:p>
    <w:p>
      <w:pPr>
        <w:jc w:val="both"/>
        <w:ind w:left="960" w:hanging="241"/>
        <w:spacing w:after="0" w:line="278" w:lineRule="auto"/>
        <w:tabs>
          <w:tab w:leader="none" w:pos="9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In the deposit agreement, we and the depositary agree to indemnify each other under certain circumstances.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Requirements for Depositary Actions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Before the depositary will deliver or register a transfer of ADSs, make a distribution on ADSs, or permit withdrawal of shares, the depositary may require:</w:t>
      </w:r>
    </w:p>
    <w:p>
      <w:pPr>
        <w:spacing w:after="0" w:line="144" w:lineRule="exact"/>
        <w:rPr>
          <w:sz w:val="20"/>
          <w:szCs w:val="20"/>
          <w:color w:val="auto"/>
        </w:rPr>
      </w:pPr>
    </w:p>
    <w:p>
      <w:pPr>
        <w:ind w:left="960" w:hanging="241"/>
        <w:spacing w:after="0" w:line="248" w:lineRule="auto"/>
        <w:tabs>
          <w:tab w:leader="none" w:pos="9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payment of stock transfer or other taxes or other governmental charges and transfer or registration fees charged by third parties for the transfer of any shares or other deposited securities;</w:t>
      </w:r>
    </w:p>
    <w:p>
      <w:pPr>
        <w:spacing w:after="0" w:line="115" w:lineRule="exact"/>
        <w:rPr>
          <w:rFonts w:ascii="Arial" w:cs="Arial" w:eastAsia="Arial" w:hAnsi="Arial"/>
          <w:sz w:val="13"/>
          <w:szCs w:val="13"/>
          <w:color w:val="auto"/>
        </w:rPr>
      </w:pPr>
    </w:p>
    <w:p>
      <w:pPr>
        <w:ind w:left="960" w:hanging="241"/>
        <w:spacing w:after="0"/>
        <w:tabs>
          <w:tab w:leader="none" w:pos="9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satisfactory proof of the identity and genuineness of any signature or other information it deems necessary; and</w:t>
      </w:r>
    </w:p>
    <w:p>
      <w:pPr>
        <w:spacing w:after="0" w:line="143" w:lineRule="exact"/>
        <w:rPr>
          <w:rFonts w:ascii="Arial" w:cs="Arial" w:eastAsia="Arial" w:hAnsi="Arial"/>
          <w:sz w:val="13"/>
          <w:szCs w:val="13"/>
          <w:color w:val="auto"/>
        </w:rPr>
      </w:pPr>
    </w:p>
    <w:p>
      <w:pPr>
        <w:ind w:left="960" w:hanging="241"/>
        <w:spacing w:after="0"/>
        <w:tabs>
          <w:tab w:leader="none" w:pos="9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compliance with regulations it may establish, from time to time, consistent with the deposit agreement, including presentation of transfer documents.</w:t>
      </w:r>
    </w:p>
    <w:p>
      <w:pPr>
        <w:sectPr>
          <w:pgSz w:w="11900" w:h="16840" w:orient="portrait"/>
          <w:cols w:equalWidth="0" w:num="1">
            <w:col w:w="10580"/>
          </w:cols>
          <w:pgMar w:left="660" w:top="1440" w:right="660" w:bottom="1440" w:gutter="0" w:footer="0" w:header="0"/>
        </w:sectPr>
      </w:pPr>
    </w:p>
    <w:bookmarkStart w:id="253" w:name="page254"/>
    <w:bookmarkEnd w:id="253"/>
    <w:p>
      <w:pPr>
        <w:spacing w:after="0" w:line="242"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The depositary may refuse to deliver ADSs or register transfers of ADSs when the transfer books of the depositary or our transfer books are closed or at any time if the depositary or we think it advisable to do so.</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Your Right to Receive the Shares Underlying your ADSs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ADS holders have the right to cancel their ADSs and withdraw the underlying shares at any time except:</w:t>
      </w:r>
    </w:p>
    <w:p>
      <w:pPr>
        <w:spacing w:after="0" w:line="144" w:lineRule="exact"/>
        <w:rPr>
          <w:sz w:val="20"/>
          <w:szCs w:val="20"/>
          <w:color w:val="auto"/>
        </w:rPr>
      </w:pPr>
    </w:p>
    <w:p>
      <w:pPr>
        <w:ind w:left="960" w:hanging="241"/>
        <w:spacing w:after="0" w:line="248" w:lineRule="auto"/>
        <w:tabs>
          <w:tab w:leader="none" w:pos="9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115" w:lineRule="exact"/>
        <w:rPr>
          <w:rFonts w:ascii="Arial" w:cs="Arial" w:eastAsia="Arial" w:hAnsi="Arial"/>
          <w:sz w:val="13"/>
          <w:szCs w:val="13"/>
          <w:color w:val="auto"/>
        </w:rPr>
      </w:pPr>
    </w:p>
    <w:p>
      <w:pPr>
        <w:ind w:left="960" w:hanging="241"/>
        <w:spacing w:after="0"/>
        <w:tabs>
          <w:tab w:leader="none" w:pos="9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when you owe money to pay fees, taxes and similar charges; or</w:t>
      </w:r>
    </w:p>
    <w:p>
      <w:pPr>
        <w:spacing w:after="0" w:line="143" w:lineRule="exact"/>
        <w:rPr>
          <w:rFonts w:ascii="Arial" w:cs="Arial" w:eastAsia="Arial" w:hAnsi="Arial"/>
          <w:sz w:val="13"/>
          <w:szCs w:val="13"/>
          <w:color w:val="auto"/>
        </w:rPr>
      </w:pPr>
    </w:p>
    <w:p>
      <w:pPr>
        <w:ind w:left="960" w:hanging="241"/>
        <w:spacing w:after="0" w:line="248" w:lineRule="auto"/>
        <w:tabs>
          <w:tab w:leader="none" w:pos="9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when it is necessary to prohibit withdrawals in order to comply with any laws or governmental regulations that apply to ADSs or to the withdrawal of shares or other deposited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This right of withdrawal may not be limited by any other provision of the deposit agreement.</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 Registration System</w:t>
      </w:r>
    </w:p>
    <w:p>
      <w:pPr>
        <w:spacing w:after="0" w:line="144" w:lineRule="exact"/>
        <w:rPr>
          <w:sz w:val="20"/>
          <w:szCs w:val="20"/>
          <w:color w:val="auto"/>
        </w:rPr>
      </w:pPr>
    </w:p>
    <w:p>
      <w:pPr>
        <w:jc w:val="both"/>
        <w:spacing w:after="0" w:line="224" w:lineRule="auto"/>
        <w:rPr>
          <w:sz w:val="20"/>
          <w:szCs w:val="20"/>
          <w:color w:val="auto"/>
        </w:rPr>
      </w:pPr>
      <w:r>
        <w:rPr>
          <w:rFonts w:ascii="Arial" w:cs="Arial" w:eastAsia="Arial" w:hAnsi="Arial"/>
          <w:sz w:val="13"/>
          <w:szCs w:val="13"/>
          <w:color w:val="auto"/>
        </w:rPr>
        <w:t>In the deposit agreement, all parties to the deposit agreement acknowledge that the Direct Registration System, or DRS, and Profile Modification System, or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21" w:lineRule="exact"/>
        <w:rPr>
          <w:sz w:val="20"/>
          <w:szCs w:val="20"/>
          <w:color w:val="auto"/>
        </w:rPr>
      </w:pPr>
    </w:p>
    <w:p>
      <w:pPr>
        <w:jc w:val="both"/>
        <w:spacing w:after="0" w:line="224" w:lineRule="auto"/>
        <w:rPr>
          <w:sz w:val="20"/>
          <w:szCs w:val="20"/>
          <w:color w:val="auto"/>
        </w:rPr>
      </w:pPr>
      <w:r>
        <w:rPr>
          <w:rFonts w:ascii="Arial" w:cs="Arial" w:eastAsia="Arial" w:hAnsi="Arial"/>
          <w:sz w:val="13"/>
          <w:szCs w:val="13"/>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Shareholder Communications; Inspection of Register of Holders of ADSs</w:t>
      </w:r>
    </w:p>
    <w:p>
      <w:pPr>
        <w:spacing w:after="0" w:line="144"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Jury Trial Waiver</w:t>
      </w:r>
    </w:p>
    <w:p>
      <w:pPr>
        <w:spacing w:after="0" w:line="144"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121"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You will not, by agreeing to the terms of the deposit agreement, be deemed to have waived our or the depositary’s compliance with U.S. federal securities laws and the rules and regulations promulgated thereunder.</w:t>
      </w:r>
    </w:p>
    <w:p>
      <w:pPr>
        <w:sectPr>
          <w:pgSz w:w="11900" w:h="16840" w:orient="portrait"/>
          <w:cols w:equalWidth="0" w:num="1">
            <w:col w:w="10580"/>
          </w:cols>
          <w:pgMar w:left="660" w:top="1440" w:right="660" w:bottom="1440" w:gutter="0" w:footer="0" w:header="0"/>
        </w:sectPr>
      </w:pPr>
    </w:p>
    <w:bookmarkStart w:id="254" w:name="page255"/>
    <w:bookmarkEnd w:id="254"/>
    <w:p>
      <w:pPr>
        <w:ind w:left="9900"/>
        <w:spacing w:after="0"/>
        <w:rPr>
          <w:sz w:val="20"/>
          <w:szCs w:val="20"/>
          <w:color w:val="auto"/>
        </w:rPr>
      </w:pPr>
      <w:r>
        <w:rPr>
          <w:rFonts w:ascii="Times New Roman" w:cs="Times New Roman" w:eastAsia="Times New Roman" w:hAnsi="Times New Roman"/>
          <w:sz w:val="13"/>
          <w:szCs w:val="13"/>
          <w:b w:val="1"/>
          <w:bCs w:val="1"/>
          <w:color w:val="auto"/>
        </w:rPr>
        <w:t>Exhibit 4.54</w:t>
      </w:r>
    </w:p>
    <w:p>
      <w:pPr>
        <w:spacing w:after="0" w:line="32" w:lineRule="exact"/>
        <w:rPr>
          <w:sz w:val="20"/>
          <w:szCs w:val="20"/>
          <w:color w:val="auto"/>
        </w:rPr>
      </w:pPr>
    </w:p>
    <w:p>
      <w:pPr>
        <w:ind w:left="280" w:right="200" w:hanging="6"/>
        <w:spacing w:after="0" w:line="248" w:lineRule="auto"/>
        <w:tabs>
          <w:tab w:leader="none" w:pos="593"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Certain information in this document has been omitted from this exhibit because it is both (i) not material and (ii) the type of information that the Registrant treats as private or confidential.</w:t>
      </w:r>
    </w:p>
    <w:p>
      <w:pPr>
        <w:spacing w:after="0" w:line="234"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6"/>
          <w:szCs w:val="16"/>
          <w:b w:val="1"/>
          <w:bCs w:val="1"/>
          <w:i w:val="1"/>
          <w:iCs w:val="1"/>
          <w:color w:val="auto"/>
        </w:rPr>
        <w:t>Confidential</w:t>
      </w:r>
    </w:p>
    <w:p>
      <w:pPr>
        <w:spacing w:after="0" w:line="30"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6"/>
          <w:szCs w:val="16"/>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969010" cy="10287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21">
                      <a:extLst>
                        <a:ext uri="{28A0092B-C50C-407E-A947-70E740481C1C}"/>
                      </a:extLst>
                    </a:blip>
                    <a:srcRect/>
                    <a:stretch>
                      <a:fillRect/>
                    </a:stretch>
                  </pic:blipFill>
                  <pic:spPr bwMode="auto">
                    <a:xfrm>
                      <a:off x="0" y="0"/>
                      <a:ext cx="969010" cy="10287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BioNTech SE · An der Goldgrube 12 · 55131 Mainz Germany</w:t>
      </w:r>
    </w:p>
    <w:p>
      <w:pPr>
        <w:sectPr>
          <w:pgSz w:w="11900" w:h="16840" w:orient="portrait"/>
          <w:cols w:equalWidth="0" w:num="1">
            <w:col w:w="10660"/>
          </w:cols>
          <w:pgMar w:left="660" w:top="750" w:right="5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760"/>
        <w:spacing w:after="0"/>
        <w:rPr>
          <w:sz w:val="20"/>
          <w:szCs w:val="20"/>
          <w:color w:val="auto"/>
        </w:rPr>
      </w:pPr>
      <w:r>
        <w:rPr>
          <w:rFonts w:ascii="Arial" w:cs="Arial" w:eastAsia="Arial" w:hAnsi="Arial"/>
          <w:sz w:val="9"/>
          <w:szCs w:val="9"/>
          <w:color w:val="auto"/>
        </w:rPr>
        <w:t>Reference number:</w:t>
      </w:r>
    </w:p>
    <w:p>
      <w:pPr>
        <w:spacing w:after="0" w:line="6" w:lineRule="exact"/>
        <w:rPr>
          <w:sz w:val="20"/>
          <w:szCs w:val="20"/>
          <w:color w:val="auto"/>
        </w:rPr>
      </w:pPr>
    </w:p>
    <w:p>
      <w:pPr>
        <w:ind w:left="5760"/>
        <w:spacing w:after="0"/>
        <w:rPr>
          <w:sz w:val="20"/>
          <w:szCs w:val="20"/>
          <w:color w:val="auto"/>
        </w:rPr>
      </w:pPr>
      <w:r>
        <w:rPr>
          <w:rFonts w:ascii="Arial" w:cs="Arial" w:eastAsia="Arial" w:hAnsi="Arial"/>
          <w:sz w:val="9"/>
          <w:szCs w:val="9"/>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9"/>
          <w:szCs w:val="9"/>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9"/>
          <w:szCs w:val="9"/>
          <w:color w:val="auto"/>
        </w:rPr>
        <w:t>[***]</w:t>
      </w:r>
    </w:p>
    <w:p>
      <w:pPr>
        <w:spacing w:after="0" w:line="91" w:lineRule="exact"/>
        <w:rPr>
          <w:sz w:val="20"/>
          <w:szCs w:val="20"/>
          <w:color w:val="auto"/>
        </w:rPr>
      </w:pPr>
    </w:p>
    <w:p>
      <w:pPr>
        <w:sectPr>
          <w:pgSz w:w="11900" w:h="16840" w:orient="portrait"/>
          <w:cols w:equalWidth="0" w:num="2">
            <w:col w:w="7420" w:space="720"/>
            <w:col w:w="2520"/>
          </w:cols>
          <w:pgMar w:left="660" w:top="750" w:right="580" w:bottom="1440" w:gutter="0" w:footer="0" w:header="0"/>
          <w:type w:val="continuous"/>
        </w:sectPr>
      </w:pPr>
    </w:p>
    <w:p>
      <w:pPr>
        <w:ind w:left="5760"/>
        <w:spacing w:after="0"/>
        <w:rPr>
          <w:sz w:val="20"/>
          <w:szCs w:val="20"/>
          <w:color w:val="auto"/>
        </w:rPr>
      </w:pPr>
      <w:r>
        <w:rPr>
          <w:rFonts w:ascii="Arial" w:cs="Arial" w:eastAsia="Arial" w:hAnsi="Arial"/>
          <w:sz w:val="9"/>
          <w:szCs w:val="9"/>
          <w:color w:val="auto"/>
        </w:rPr>
        <w:t>Department: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color w:val="auto"/>
        </w:rPr>
        <w:t>[***]</w:t>
      </w:r>
    </w:p>
    <w:p>
      <w:pPr>
        <w:spacing w:after="0" w:line="38" w:lineRule="exact"/>
        <w:rPr>
          <w:sz w:val="20"/>
          <w:szCs w:val="20"/>
          <w:color w:val="auto"/>
        </w:rPr>
      </w:pPr>
    </w:p>
    <w:p>
      <w:pPr>
        <w:sectPr>
          <w:pgSz w:w="11900" w:h="16840" w:orient="portrait"/>
          <w:cols w:equalWidth="0" w:num="2">
            <w:col w:w="7420" w:space="720"/>
            <w:col w:w="2520"/>
          </w:cols>
          <w:pgMar w:left="660" w:top="750" w:right="580" w:bottom="1440" w:gutter="0" w:footer="0" w:header="0"/>
          <w:type w:val="continuous"/>
        </w:sectPr>
      </w:pPr>
    </w:p>
    <w:p>
      <w:pPr>
        <w:ind w:left="5760"/>
        <w:spacing w:after="0"/>
        <w:rPr>
          <w:sz w:val="20"/>
          <w:szCs w:val="20"/>
          <w:color w:val="auto"/>
        </w:rPr>
      </w:pPr>
      <w:r>
        <w:rPr>
          <w:rFonts w:ascii="Arial" w:cs="Arial" w:eastAsia="Arial" w:hAnsi="Arial"/>
          <w:sz w:val="9"/>
          <w:szCs w:val="9"/>
          <w:color w:val="auto"/>
        </w:rPr>
        <w:t>Phone:</w:t>
      </w:r>
    </w:p>
    <w:p>
      <w:pPr>
        <w:spacing w:after="0" w:line="3" w:lineRule="exact"/>
        <w:rPr>
          <w:sz w:val="20"/>
          <w:szCs w:val="20"/>
          <w:color w:val="auto"/>
        </w:rPr>
      </w:pPr>
    </w:p>
    <w:p>
      <w:pPr>
        <w:ind w:left="5760"/>
        <w:spacing w:after="0"/>
        <w:rPr>
          <w:sz w:val="20"/>
          <w:szCs w:val="20"/>
          <w:color w:val="auto"/>
        </w:rPr>
      </w:pPr>
      <w:r>
        <w:rPr>
          <w:rFonts w:ascii="Arial" w:cs="Arial" w:eastAsia="Arial" w:hAnsi="Arial"/>
          <w:sz w:val="9"/>
          <w:szCs w:val="9"/>
          <w:color w:val="auto"/>
        </w:rPr>
        <w:t>Fax:</w:t>
      </w:r>
    </w:p>
    <w:p>
      <w:pPr>
        <w:ind w:left="5760"/>
        <w:spacing w:after="0" w:line="234" w:lineRule="auto"/>
        <w:rPr>
          <w:sz w:val="20"/>
          <w:szCs w:val="20"/>
          <w:color w:val="auto"/>
        </w:rPr>
      </w:pPr>
      <w:r>
        <w:rPr>
          <w:rFonts w:ascii="Arial" w:cs="Arial" w:eastAsia="Arial" w:hAnsi="Arial"/>
          <w:sz w:val="9"/>
          <w:szCs w:val="9"/>
          <w:color w:val="auto"/>
        </w:rPr>
        <w:t>Email:</w:t>
      </w:r>
    </w:p>
    <w:p>
      <w:pPr>
        <w:ind w:left="5760"/>
        <w:spacing w:after="0"/>
        <w:rPr>
          <w:sz w:val="20"/>
          <w:szCs w:val="20"/>
          <w:color w:val="auto"/>
        </w:rPr>
      </w:pPr>
      <w:r>
        <w:rPr>
          <w:rFonts w:ascii="Arial" w:cs="Arial" w:eastAsia="Arial" w:hAnsi="Arial"/>
          <w:sz w:val="8"/>
          <w:szCs w:val="8"/>
          <w:color w:val="auto"/>
        </w:rPr>
        <w:t>Website: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color w:val="auto"/>
        </w:rPr>
        <w:t>[***]</w:t>
      </w:r>
    </w:p>
    <w:p>
      <w:pPr>
        <w:spacing w:after="0" w:line="3" w:lineRule="exact"/>
        <w:rPr>
          <w:sz w:val="20"/>
          <w:szCs w:val="20"/>
          <w:color w:val="auto"/>
        </w:rPr>
      </w:pPr>
    </w:p>
    <w:p>
      <w:pPr>
        <w:spacing w:after="0"/>
        <w:rPr>
          <w:sz w:val="20"/>
          <w:szCs w:val="20"/>
          <w:color w:val="auto"/>
        </w:rPr>
      </w:pPr>
      <w:r>
        <w:rPr>
          <w:rFonts w:ascii="Arial" w:cs="Arial" w:eastAsia="Arial" w:hAnsi="Arial"/>
          <w:sz w:val="9"/>
          <w:szCs w:val="9"/>
          <w:color w:val="auto"/>
        </w:rPr>
        <w:t>[***]</w:t>
      </w:r>
    </w:p>
    <w:p>
      <w:pPr>
        <w:spacing w:after="0" w:line="234" w:lineRule="auto"/>
        <w:rPr>
          <w:sz w:val="20"/>
          <w:szCs w:val="20"/>
          <w:color w:val="auto"/>
        </w:rPr>
      </w:pPr>
      <w:r>
        <w:rPr>
          <w:rFonts w:ascii="Arial" w:cs="Arial" w:eastAsia="Arial" w:hAnsi="Arial"/>
          <w:sz w:val="9"/>
          <w:szCs w:val="9"/>
          <w:color w:val="auto"/>
        </w:rPr>
        <w:t>[***]</w:t>
      </w:r>
    </w:p>
    <w:p>
      <w:pPr>
        <w:spacing w:after="0"/>
        <w:rPr>
          <w:sz w:val="20"/>
          <w:szCs w:val="20"/>
          <w:color w:val="auto"/>
        </w:rPr>
      </w:pPr>
      <w:r>
        <w:rPr>
          <w:rFonts w:ascii="Arial" w:cs="Arial" w:eastAsia="Arial" w:hAnsi="Arial"/>
          <w:sz w:val="9"/>
          <w:szCs w:val="9"/>
          <w:color w:val="auto"/>
        </w:rPr>
        <w:t>[***]</w:t>
      </w:r>
    </w:p>
    <w:p>
      <w:pPr>
        <w:spacing w:after="0" w:line="19" w:lineRule="exact"/>
        <w:rPr>
          <w:sz w:val="20"/>
          <w:szCs w:val="20"/>
          <w:color w:val="auto"/>
        </w:rPr>
      </w:pPr>
    </w:p>
    <w:p>
      <w:pPr>
        <w:sectPr>
          <w:pgSz w:w="11900" w:h="16840" w:orient="portrait"/>
          <w:cols w:equalWidth="0" w:num="2">
            <w:col w:w="7420" w:space="720"/>
            <w:col w:w="2520"/>
          </w:cols>
          <w:pgMar w:left="660" w:top="750" w:right="580" w:bottom="1440" w:gutter="0" w:footer="0" w:header="0"/>
          <w:type w:val="continuous"/>
        </w:sectPr>
      </w:pPr>
    </w:p>
    <w:p>
      <w:pPr>
        <w:spacing w:after="0" w:line="1" w:lineRule="exact"/>
        <w:rPr>
          <w:sz w:val="20"/>
          <w:szCs w:val="20"/>
          <w:color w:val="auto"/>
        </w:rPr>
      </w:pPr>
    </w:p>
    <w:p>
      <w:pPr>
        <w:ind w:left="5760"/>
        <w:spacing w:after="0"/>
        <w:rPr>
          <w:sz w:val="20"/>
          <w:szCs w:val="20"/>
          <w:color w:val="auto"/>
        </w:rPr>
      </w:pPr>
      <w:r>
        <w:rPr>
          <w:rFonts w:ascii="Arial" w:cs="Arial" w:eastAsia="Arial" w:hAnsi="Arial"/>
          <w:sz w:val="8"/>
          <w:szCs w:val="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9"/>
          <w:szCs w:val="9"/>
          <w:color w:val="auto"/>
        </w:rPr>
        <w:t>November 12, 2024</w:t>
      </w:r>
    </w:p>
    <w:p>
      <w:pPr>
        <w:spacing w:after="0" w:line="29" w:lineRule="exact"/>
        <w:rPr>
          <w:sz w:val="20"/>
          <w:szCs w:val="20"/>
          <w:color w:val="auto"/>
        </w:rPr>
      </w:pPr>
    </w:p>
    <w:p>
      <w:pPr>
        <w:sectPr>
          <w:pgSz w:w="11900" w:h="16840" w:orient="portrait"/>
          <w:cols w:equalWidth="0" w:num="2">
            <w:col w:w="7420" w:space="720"/>
            <w:col w:w="2520"/>
          </w:cols>
          <w:pgMar w:left="660" w:top="750" w:right="580"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5"/>
          <w:szCs w:val="15"/>
          <w:color w:val="auto"/>
        </w:rPr>
        <w:t>Duality Biologics (Suzhou) Co. Ltd.</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Attn. John Zhu, [***]</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Unit 1105-1106,</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No 868 Ying Hua Road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Pudong New District, Shanghai</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China</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Via E-mail:</w:t>
            </w:r>
          </w:p>
        </w:tc>
        <w:tc>
          <w:tcPr>
            <w:tcW w:w="38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840" w:type="dxa"/>
            <w:vAlign w:val="bottom"/>
            <w:vMerge w:val="restart"/>
          </w:tcPr>
          <w:p>
            <w:pPr>
              <w:ind w:left="2500"/>
              <w:spacing w:after="0"/>
              <w:rPr>
                <w:sz w:val="20"/>
                <w:szCs w:val="20"/>
                <w:color w:val="auto"/>
              </w:rPr>
            </w:pPr>
            <w:r>
              <w:rPr>
                <w:rFonts w:ascii="Times New Roman" w:cs="Times New Roman" w:eastAsia="Times New Roman" w:hAnsi="Times New Roman"/>
                <w:sz w:val="15"/>
                <w:szCs w:val="15"/>
                <w:color w:val="auto"/>
              </w:rPr>
              <w:t>Date:</w:t>
            </w:r>
          </w:p>
        </w:tc>
        <w:tc>
          <w:tcPr>
            <w:tcW w:w="2200" w:type="dxa"/>
            <w:vAlign w:val="bottom"/>
            <w:vMerge w:val="restart"/>
          </w:tcPr>
          <w:p>
            <w:pPr>
              <w:ind w:left="1040"/>
              <w:spacing w:after="0"/>
              <w:rPr>
                <w:sz w:val="20"/>
                <w:szCs w:val="20"/>
                <w:color w:val="auto"/>
              </w:rPr>
            </w:pPr>
            <w:r>
              <w:rPr>
                <w:rFonts w:ascii="Times New Roman" w:cs="Times New Roman" w:eastAsia="Times New Roman" w:hAnsi="Times New Roman"/>
                <w:sz w:val="15"/>
                <w:szCs w:val="15"/>
                <w:color w:val="auto"/>
                <w:w w:val="98"/>
              </w:rPr>
              <w:t>12 November 2024</w:t>
            </w:r>
          </w:p>
        </w:tc>
        <w:tc>
          <w:tcPr>
            <w:tcW w:w="0" w:type="dxa"/>
            <w:vAlign w:val="bottom"/>
          </w:tcPr>
          <w:p>
            <w:pPr>
              <w:spacing w:after="0"/>
              <w:rPr>
                <w:sz w:val="1"/>
                <w:szCs w:val="1"/>
                <w:color w:val="auto"/>
              </w:rPr>
            </w:pPr>
          </w:p>
        </w:tc>
      </w:tr>
      <w:tr>
        <w:trPr>
          <w:trHeight w:val="116"/>
        </w:trPr>
        <w:tc>
          <w:tcPr>
            <w:tcW w:w="32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3840" w:type="dxa"/>
            <w:vAlign w:val="bottom"/>
            <w:vMerge w:val="continue"/>
          </w:tcPr>
          <w:p>
            <w:pPr>
              <w:spacing w:after="0"/>
              <w:rPr>
                <w:sz w:val="10"/>
                <w:szCs w:val="10"/>
                <w:color w:val="auto"/>
              </w:rPr>
            </w:pPr>
          </w:p>
        </w:tc>
        <w:tc>
          <w:tcPr>
            <w:tcW w:w="2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220" w:type="dxa"/>
            <w:vAlign w:val="bottom"/>
            <w:vMerge w:val="continue"/>
          </w:tcPr>
          <w:p>
            <w:pPr>
              <w:spacing w:after="0"/>
              <w:rPr>
                <w:sz w:val="7"/>
                <w:szCs w:val="7"/>
                <w:color w:val="auto"/>
              </w:rPr>
            </w:pPr>
          </w:p>
        </w:tc>
        <w:tc>
          <w:tcPr>
            <w:tcW w:w="3840" w:type="dxa"/>
            <w:vAlign w:val="bottom"/>
          </w:tcPr>
          <w:p>
            <w:pPr>
              <w:spacing w:after="0"/>
              <w:rPr>
                <w:sz w:val="7"/>
                <w:szCs w:val="7"/>
                <w:color w:val="auto"/>
              </w:rPr>
            </w:pPr>
          </w:p>
        </w:tc>
        <w:tc>
          <w:tcPr>
            <w:tcW w:w="2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 Combination trials under License and Collaboration Agreements (HER2, B7H3 and TROP2)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Dear John Zhu,</w:t>
      </w:r>
    </w:p>
    <w:p>
      <w:pPr>
        <w:spacing w:after="0" w:line="198" w:lineRule="exact"/>
        <w:rPr>
          <w:sz w:val="20"/>
          <w:szCs w:val="20"/>
          <w:color w:val="auto"/>
        </w:rPr>
      </w:pPr>
    </w:p>
    <w:p>
      <w:pPr>
        <w:ind w:left="480" w:hanging="247"/>
        <w:spacing w:after="0" w:line="261" w:lineRule="auto"/>
        <w:tabs>
          <w:tab w:leader="none" w:pos="4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Reference is hereby made to the License and Collaboration Agreement (TROP2) dated August 4, 2023 (as amended and supplemented from time to time, the “ </w:t>
      </w:r>
      <w:r>
        <w:rPr>
          <w:rFonts w:ascii="Times New Roman" w:cs="Times New Roman" w:eastAsia="Times New Roman" w:hAnsi="Times New Roman"/>
          <w:sz w:val="15"/>
          <w:szCs w:val="15"/>
          <w:b w:val="1"/>
          <w:bCs w:val="1"/>
          <w:color w:val="auto"/>
        </w:rPr>
        <w:t>Duality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TROP2 Agreement</w:t>
      </w:r>
      <w:r>
        <w:rPr>
          <w:rFonts w:ascii="Times New Roman" w:cs="Times New Roman" w:eastAsia="Times New Roman" w:hAnsi="Times New Roman"/>
          <w:sz w:val="15"/>
          <w:szCs w:val="15"/>
          <w:color w:val="auto"/>
        </w:rPr>
        <w:t>”), the License and Collaboration Agreement (B7H3) dated March 31, 2023 (as amended and supplemented from time to time, the “</w:t>
      </w:r>
      <w:r>
        <w:rPr>
          <w:rFonts w:ascii="Times New Roman" w:cs="Times New Roman" w:eastAsia="Times New Roman" w:hAnsi="Times New Roman"/>
          <w:sz w:val="15"/>
          <w:szCs w:val="15"/>
          <w:b w:val="1"/>
          <w:bCs w:val="1"/>
          <w:color w:val="auto"/>
        </w:rPr>
        <w:t xml:space="preserve"> Duality B7H3 Agreement</w:t>
      </w:r>
      <w:r>
        <w:rPr>
          <w:rFonts w:ascii="Times New Roman" w:cs="Times New Roman" w:eastAsia="Times New Roman" w:hAnsi="Times New Roman"/>
          <w:sz w:val="15"/>
          <w:szCs w:val="15"/>
          <w:color w:val="auto"/>
        </w:rPr>
        <w:t>”) and the License and Collaboration Agreement (HER2) dated March 16, 2023 (as amended and supplemented from time to time, the “</w:t>
      </w:r>
      <w:r>
        <w:rPr>
          <w:rFonts w:ascii="Times New Roman" w:cs="Times New Roman" w:eastAsia="Times New Roman" w:hAnsi="Times New Roman"/>
          <w:sz w:val="15"/>
          <w:szCs w:val="15"/>
          <w:b w:val="1"/>
          <w:bCs w:val="1"/>
          <w:color w:val="auto"/>
        </w:rPr>
        <w:t xml:space="preserve"> Duality HER2 Agreement</w:t>
      </w:r>
      <w:r>
        <w:rPr>
          <w:rFonts w:ascii="Times New Roman" w:cs="Times New Roman" w:eastAsia="Times New Roman" w:hAnsi="Times New Roman"/>
          <w:sz w:val="15"/>
          <w:szCs w:val="15"/>
          <w:color w:val="auto"/>
        </w:rPr>
        <w:t>”), each entered into by and between Duality Biologics (Suzhou) Co. Ltd., a company incorporated in the People’s Republic of China (“</w:t>
      </w:r>
      <w:r>
        <w:rPr>
          <w:rFonts w:ascii="Times New Roman" w:cs="Times New Roman" w:eastAsia="Times New Roman" w:hAnsi="Times New Roman"/>
          <w:sz w:val="15"/>
          <w:szCs w:val="15"/>
          <w:b w:val="1"/>
          <w:bCs w:val="1"/>
          <w:color w:val="auto"/>
        </w:rPr>
        <w:t xml:space="preserve"> Duality</w:t>
      </w:r>
      <w:r>
        <w:rPr>
          <w:rFonts w:ascii="Times New Roman" w:cs="Times New Roman" w:eastAsia="Times New Roman" w:hAnsi="Times New Roman"/>
          <w:sz w:val="15"/>
          <w:szCs w:val="15"/>
          <w:color w:val="auto"/>
        </w:rPr>
        <w:t>”)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BioNTech SE (“</w:t>
      </w:r>
      <w:r>
        <w:rPr>
          <w:rFonts w:ascii="Times New Roman" w:cs="Times New Roman" w:eastAsia="Times New Roman" w:hAnsi="Times New Roman"/>
          <w:sz w:val="15"/>
          <w:szCs w:val="15"/>
          <w:b w:val="1"/>
          <w:bCs w:val="1"/>
          <w:color w:val="auto"/>
        </w:rPr>
        <w:t>BioNTech</w:t>
      </w:r>
      <w:r>
        <w:rPr>
          <w:rFonts w:ascii="Times New Roman" w:cs="Times New Roman" w:eastAsia="Times New Roman" w:hAnsi="Times New Roman"/>
          <w:sz w:val="15"/>
          <w:szCs w:val="15"/>
          <w:color w:val="auto"/>
        </w:rPr>
        <w:t xml:space="preserve">”) (the Duality TROP2 Agreement, Duality B7H3 Agreement and Duality HER2 Agreement together, the “ </w:t>
      </w:r>
      <w:r>
        <w:rPr>
          <w:rFonts w:ascii="Times New Roman" w:cs="Times New Roman" w:eastAsia="Times New Roman" w:hAnsi="Times New Roman"/>
          <w:sz w:val="15"/>
          <w:szCs w:val="15"/>
          <w:b w:val="1"/>
          <w:bCs w:val="1"/>
          <w:color w:val="auto"/>
        </w:rPr>
        <w:t>License Agreements</w:t>
      </w:r>
      <w:r>
        <w:rPr>
          <w:rFonts w:ascii="Times New Roman" w:cs="Times New Roman" w:eastAsia="Times New Roman" w:hAnsi="Times New Roman"/>
          <w:sz w:val="15"/>
          <w:szCs w:val="15"/>
          <w:color w:val="auto"/>
        </w:rPr>
        <w:t>”). Duality and BioNTech are each referred to herein, individually, as a “</w:t>
      </w:r>
      <w:r>
        <w:rPr>
          <w:rFonts w:ascii="Times New Roman" w:cs="Times New Roman" w:eastAsia="Times New Roman" w:hAnsi="Times New Roman"/>
          <w:sz w:val="15"/>
          <w:szCs w:val="15"/>
          <w:b w:val="1"/>
          <w:bCs w:val="1"/>
          <w:color w:val="auto"/>
        </w:rPr>
        <w:t>Party</w:t>
      </w:r>
      <w:r>
        <w:rPr>
          <w:rFonts w:ascii="Times New Roman" w:cs="Times New Roman" w:eastAsia="Times New Roman" w:hAnsi="Times New Roman"/>
          <w:sz w:val="15"/>
          <w:szCs w:val="15"/>
          <w:color w:val="auto"/>
        </w:rPr>
        <w:t>” and, collectively, as the “</w:t>
      </w:r>
      <w:r>
        <w:rPr>
          <w:rFonts w:ascii="Times New Roman" w:cs="Times New Roman" w:eastAsia="Times New Roman" w:hAnsi="Times New Roman"/>
          <w:sz w:val="15"/>
          <w:szCs w:val="15"/>
          <w:b w:val="1"/>
          <w:bCs w:val="1"/>
          <w:color w:val="auto"/>
        </w:rPr>
        <w:t>Parties</w:t>
      </w:r>
      <w:r>
        <w:rPr>
          <w:rFonts w:ascii="Times New Roman" w:cs="Times New Roman" w:eastAsia="Times New Roman" w:hAnsi="Times New Roman"/>
          <w:sz w:val="15"/>
          <w:szCs w:val="15"/>
          <w:color w:val="auto"/>
        </w:rPr>
        <w:t>”.</w:t>
      </w:r>
    </w:p>
    <w:p>
      <w:pPr>
        <w:spacing w:after="0" w:line="131" w:lineRule="exact"/>
        <w:rPr>
          <w:rFonts w:ascii="Times New Roman" w:cs="Times New Roman" w:eastAsia="Times New Roman" w:hAnsi="Times New Roman"/>
          <w:sz w:val="15"/>
          <w:szCs w:val="15"/>
          <w:color w:val="auto"/>
        </w:rPr>
      </w:pPr>
    </w:p>
    <w:p>
      <w:pPr>
        <w:jc w:val="both"/>
        <w:ind w:left="480" w:right="80" w:hanging="247"/>
        <w:spacing w:after="0" w:line="261" w:lineRule="auto"/>
        <w:tabs>
          <w:tab w:leader="none" w:pos="4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BioNTech wishes to collaborate with Duality in order to undertake certain Development activities in the Territory and Retained Territory with the Duality Licensed Products (as defined below) in combination with other product(s) that are proprietary to or owned or Controlled by BioNTech or any of its Affiliates (the “ </w:t>
      </w:r>
      <w:r>
        <w:rPr>
          <w:rFonts w:ascii="Times New Roman" w:cs="Times New Roman" w:eastAsia="Times New Roman" w:hAnsi="Times New Roman"/>
          <w:sz w:val="15"/>
          <w:szCs w:val="15"/>
          <w:b w:val="1"/>
          <w:bCs w:val="1"/>
          <w:color w:val="auto"/>
        </w:rPr>
        <w:t>BioNTech</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Products</w:t>
      </w:r>
      <w:r>
        <w:rPr>
          <w:rFonts w:ascii="Times New Roman" w:cs="Times New Roman" w:eastAsia="Times New Roman" w:hAnsi="Times New Roman"/>
          <w:sz w:val="15"/>
          <w:szCs w:val="15"/>
          <w:color w:val="auto"/>
        </w:rPr>
        <w:t>”), pursuant to the terms herein. In accordance with Section 2.1(b) (</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Retained Territory License Grant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of the License Agreements, all such Development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activities in the Retained Territory shall be for the sole purpose of Developing, having Developed, Manufacturing, having Manufactured, Commercializing and otherwise exploiting the Duality Licensed Products in the Territory, including in combination with BioNTech Products.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1</w:t>
      </w:r>
    </w:p>
    <w:p>
      <w:pPr>
        <w:sectPr>
          <w:pgSz w:w="11900" w:h="16840" w:orient="portrait"/>
          <w:cols w:equalWidth="0" w:num="1">
            <w:col w:w="10660"/>
          </w:cols>
          <w:pgMar w:left="660" w:top="750" w:right="580" w:bottom="1440" w:gutter="0" w:footer="0" w:header="0"/>
          <w:type w:val="continuous"/>
        </w:sectPr>
      </w:pPr>
    </w:p>
    <w:bookmarkStart w:id="255" w:name="page256"/>
    <w:bookmarkEnd w:id="255"/>
    <w:p>
      <w:pPr>
        <w:spacing w:after="0" w:line="91" w:lineRule="exact"/>
        <w:rPr>
          <w:sz w:val="20"/>
          <w:szCs w:val="20"/>
          <w:color w:val="auto"/>
        </w:rPr>
      </w:pPr>
    </w:p>
    <w:p>
      <w:pPr>
        <w:jc w:val="both"/>
        <w:ind w:left="480" w:hanging="247"/>
        <w:spacing w:after="0" w:line="257" w:lineRule="auto"/>
        <w:tabs>
          <w:tab w:leader="none" w:pos="48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accordance with the terms of the License Agreement(s), BioNTech or its Affiliates may conduct non-clinical or clinical studies with respect to a Duality Licensed Product(s) in combination with a BioNTech Product, itself or through a Third Party designee(s) (including a Third Party Collaborator), and grant to any such Third Party designee(s) a sublicense of rights under Section 2.1 (</w:t>
      </w:r>
      <w:r>
        <w:rPr>
          <w:rFonts w:ascii="Times New Roman" w:cs="Times New Roman" w:eastAsia="Times New Roman" w:hAnsi="Times New Roman"/>
          <w:sz w:val="15"/>
          <w:szCs w:val="15"/>
          <w:i w:val="1"/>
          <w:iCs w:val="1"/>
          <w:color w:val="auto"/>
        </w:rPr>
        <w:t>License Grant</w:t>
      </w:r>
      <w:r>
        <w:rPr>
          <w:rFonts w:ascii="Times New Roman" w:cs="Times New Roman" w:eastAsia="Times New Roman" w:hAnsi="Times New Roman"/>
          <w:sz w:val="15"/>
          <w:szCs w:val="15"/>
          <w:color w:val="auto"/>
        </w:rPr>
        <w:t>) of the applicable License Agreement for the performance of the applicable non-clinical or clinical study in the Territory or, subject to Duality’s prior written consent, Retained Territory. Provided that any sublicenses granted to any such Third Party designee(s) under Section 2.1 (</w:t>
      </w:r>
      <w:r>
        <w:rPr>
          <w:rFonts w:ascii="Times New Roman" w:cs="Times New Roman" w:eastAsia="Times New Roman" w:hAnsi="Times New Roman"/>
          <w:sz w:val="15"/>
          <w:szCs w:val="15"/>
          <w:i w:val="1"/>
          <w:iCs w:val="1"/>
          <w:color w:val="auto"/>
        </w:rPr>
        <w:t>License Grant</w:t>
      </w:r>
      <w:r>
        <w:rPr>
          <w:rFonts w:ascii="Times New Roman" w:cs="Times New Roman" w:eastAsia="Times New Roman" w:hAnsi="Times New Roman"/>
          <w:sz w:val="15"/>
          <w:szCs w:val="15"/>
          <w:color w:val="auto"/>
        </w:rPr>
        <w:t>) of the applicable License Agreement are limited to the performance of such study, and activities (including regulatory activities) that are necessary or reasonably useful to support such study, then notwithstanding any provision to the contrary set forth in the applicable License Agreement, any such Third Party designee will be considered a subcontractor subject to the first sentence of Section 2.2(c) (</w:t>
      </w:r>
      <w:r>
        <w:rPr>
          <w:rFonts w:ascii="Times New Roman" w:cs="Times New Roman" w:eastAsia="Times New Roman" w:hAnsi="Times New Roman"/>
          <w:sz w:val="15"/>
          <w:szCs w:val="15"/>
          <w:i w:val="1"/>
          <w:iCs w:val="1"/>
          <w:color w:val="auto"/>
        </w:rPr>
        <w:t>Licensee’s Responsibility</w:t>
      </w:r>
      <w:r>
        <w:rPr>
          <w:rFonts w:ascii="Times New Roman" w:cs="Times New Roman" w:eastAsia="Times New Roman" w:hAnsi="Times New Roman"/>
          <w:sz w:val="15"/>
          <w:szCs w:val="15"/>
          <w:color w:val="auto"/>
        </w:rPr>
        <w:t xml:space="preserve">) of the Duality TROP2 Agreement, which is incorporated herein, </w:t>
      </w:r>
      <w:r>
        <w:rPr>
          <w:rFonts w:ascii="Times New Roman" w:cs="Times New Roman" w:eastAsia="Times New Roman" w:hAnsi="Times New Roman"/>
          <w:sz w:val="15"/>
          <w:szCs w:val="15"/>
          <w:i w:val="1"/>
          <w:iCs w:val="1"/>
          <w:color w:val="auto"/>
        </w:rPr>
        <w:t>mutatis mutandis</w:t>
      </w:r>
      <w:r>
        <w:rPr>
          <w:rFonts w:ascii="Times New Roman" w:cs="Times New Roman" w:eastAsia="Times New Roman" w:hAnsi="Times New Roman"/>
          <w:sz w:val="15"/>
          <w:szCs w:val="15"/>
          <w:color w:val="auto"/>
        </w:rPr>
        <w:t>, and will not be subject to the obligations in the License Agreements applicable to Sublicensees as a result of such sublicense (including those set forth in Section 2.2 (</w:t>
      </w:r>
      <w:r>
        <w:rPr>
          <w:rFonts w:ascii="Times New Roman" w:cs="Times New Roman" w:eastAsia="Times New Roman" w:hAnsi="Times New Roman"/>
          <w:sz w:val="15"/>
          <w:szCs w:val="15"/>
          <w:i w:val="1"/>
          <w:iCs w:val="1"/>
          <w:color w:val="auto"/>
        </w:rPr>
        <w:t>Sublicense Rights</w:t>
      </w:r>
      <w:r>
        <w:rPr>
          <w:rFonts w:ascii="Times New Roman" w:cs="Times New Roman" w:eastAsia="Times New Roman" w:hAnsi="Times New Roman"/>
          <w:sz w:val="15"/>
          <w:szCs w:val="15"/>
          <w:color w:val="auto"/>
        </w:rPr>
        <w:t>) of the License Agreements).</w:t>
      </w:r>
    </w:p>
    <w:p>
      <w:pPr>
        <w:spacing w:after="0" w:line="132" w:lineRule="exact"/>
        <w:rPr>
          <w:rFonts w:ascii="Times New Roman" w:cs="Times New Roman" w:eastAsia="Times New Roman" w:hAnsi="Times New Roman"/>
          <w:sz w:val="15"/>
          <w:szCs w:val="15"/>
          <w:color w:val="auto"/>
        </w:rPr>
      </w:pPr>
    </w:p>
    <w:p>
      <w:pPr>
        <w:ind w:left="480" w:hanging="247"/>
        <w:spacing w:after="0"/>
        <w:tabs>
          <w:tab w:leader="none" w:pos="48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Defined terms used in this letter agreement (this “ </w:t>
      </w:r>
      <w:r>
        <w:rPr>
          <w:rFonts w:ascii="Times New Roman" w:cs="Times New Roman" w:eastAsia="Times New Roman" w:hAnsi="Times New Roman"/>
          <w:sz w:val="15"/>
          <w:szCs w:val="15"/>
          <w:b w:val="1"/>
          <w:bCs w:val="1"/>
          <w:color w:val="auto"/>
        </w:rPr>
        <w:t>Letter Agreement</w:t>
      </w:r>
      <w:r>
        <w:rPr>
          <w:rFonts w:ascii="Times New Roman" w:cs="Times New Roman" w:eastAsia="Times New Roman" w:hAnsi="Times New Roman"/>
          <w:sz w:val="15"/>
          <w:szCs w:val="15"/>
          <w:color w:val="auto"/>
        </w:rPr>
        <w:t>”) but not herein defined shall have the meanings ascribed to them in the License Agreements.</w:t>
      </w:r>
    </w:p>
    <w:p>
      <w:pPr>
        <w:spacing w:after="0" w:line="175" w:lineRule="exact"/>
        <w:rPr>
          <w:rFonts w:ascii="Times New Roman" w:cs="Times New Roman" w:eastAsia="Times New Roman" w:hAnsi="Times New Roman"/>
          <w:sz w:val="15"/>
          <w:szCs w:val="15"/>
          <w:color w:val="auto"/>
        </w:rPr>
      </w:pPr>
    </w:p>
    <w:p>
      <w:pPr>
        <w:jc w:val="both"/>
        <w:ind w:left="480" w:hanging="247"/>
        <w:spacing w:after="0" w:line="259" w:lineRule="auto"/>
        <w:tabs>
          <w:tab w:leader="none" w:pos="48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any conflict between the terms and conditions of this Letter Agreement and the License Agreement(s), the terms and conditions set forth in this Letter Agreement shall control with respect to the subject matters that are set out in this Letter Agreement solely in relation to the [***] defined in Paragraph 8 below. For clarity: (a) nothing in this Letter Agreement shall affect the application of the provisions of the License Agreements with respect to the Exploitation of any Duality Licensed Product (as defined in Paragraph 8 (a)) as a monotherapy or in combination with a standard of care product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not in combination with any BioNTech Product); and (b) any variation between a provision of this Letter Agreement and any License Agreement shall not be considered in the interpretation of this Letter Agreement or such License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t>
      </w:r>
    </w:p>
    <w:p>
      <w:pPr>
        <w:spacing w:after="0" w:line="175" w:lineRule="exact"/>
        <w:rPr>
          <w:sz w:val="20"/>
          <w:szCs w:val="20"/>
          <w:color w:val="auto"/>
        </w:rPr>
      </w:pPr>
    </w:p>
    <w:p>
      <w:pPr>
        <w:ind w:left="480" w:hanging="247"/>
        <w:spacing w:after="0"/>
        <w:tabs>
          <w:tab w:leader="none" w:pos="48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1" w:lineRule="exact"/>
        <w:rPr>
          <w:rFonts w:ascii="Times New Roman" w:cs="Times New Roman" w:eastAsia="Times New Roman" w:hAnsi="Times New Roman"/>
          <w:sz w:val="15"/>
          <w:szCs w:val="15"/>
          <w:color w:val="auto"/>
        </w:rPr>
      </w:pPr>
    </w:p>
    <w:p>
      <w:pPr>
        <w:ind w:left="480" w:hanging="247"/>
        <w:spacing w:after="0"/>
        <w:tabs>
          <w:tab w:leader="none" w:pos="48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Performance of Combination Trials</w:t>
      </w:r>
    </w:p>
    <w:p>
      <w:pPr>
        <w:spacing w:after="0" w:line="175" w:lineRule="exact"/>
        <w:rPr>
          <w:sz w:val="20"/>
          <w:szCs w:val="20"/>
          <w:color w:val="auto"/>
        </w:rPr>
      </w:pPr>
    </w:p>
    <w:p>
      <w:pPr>
        <w:ind w:left="480" w:hanging="247"/>
        <w:spacing w:after="0"/>
        <w:tabs>
          <w:tab w:leader="none" w:pos="48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hereby agree that, unless otherwise agreed by the Parties in writing, the terms of this Letter Agreement shall apply with respect to:</w:t>
      </w:r>
    </w:p>
    <w:p>
      <w:pPr>
        <w:spacing w:after="0" w:line="167" w:lineRule="exact"/>
        <w:rPr>
          <w:rFonts w:ascii="Times New Roman" w:cs="Times New Roman" w:eastAsia="Times New Roman" w:hAnsi="Times New Roman"/>
          <w:sz w:val="15"/>
          <w:szCs w:val="15"/>
          <w:color w:val="auto"/>
        </w:rPr>
      </w:pPr>
    </w:p>
    <w:p>
      <w:pPr>
        <w:jc w:val="right"/>
        <w:ind w:left="960" w:hanging="243"/>
        <w:spacing w:after="0" w:line="26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 for the study of Original ADC Licensed Products (as defined in each License Agreement, and together, “ </w:t>
      </w:r>
      <w:r>
        <w:rPr>
          <w:rFonts w:ascii="Times New Roman" w:cs="Times New Roman" w:eastAsia="Times New Roman" w:hAnsi="Times New Roman"/>
          <w:sz w:val="15"/>
          <w:szCs w:val="15"/>
          <w:b w:val="1"/>
          <w:bCs w:val="1"/>
          <w:color w:val="auto"/>
        </w:rPr>
        <w:t>Duality Licensed Products</w:t>
      </w:r>
      <w:r>
        <w:rPr>
          <w:rFonts w:ascii="Times New Roman" w:cs="Times New Roman" w:eastAsia="Times New Roman" w:hAnsi="Times New Roman"/>
          <w:sz w:val="15"/>
          <w:szCs w:val="15"/>
          <w:color w:val="auto"/>
        </w:rPr>
        <w:t>”) in combination with BioNTech Product(s) (for clarity, whether or not in combination with chemotherapy or other standard of care agents), where such [***] or such cohort:</w:t>
      </w:r>
    </w:p>
    <w:p>
      <w:pPr>
        <w:jc w:val="both"/>
        <w:ind w:left="960" w:firstLine="1"/>
        <w:spacing w:after="0" w:line="259" w:lineRule="auto"/>
        <w:tabs>
          <w:tab w:leader="none" w:pos="1144" w:val="left"/>
        </w:tabs>
        <w:numPr>
          <w:ilvl w:val="2"/>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 sponsored by Duality; (ii) enrolls patients (1) solely in the Retained Territory or (2) in both the Territory and the Retained Territory; and (iii) is set forth in Schedule 1 (any such [***] or cohort thereof, a “</w:t>
      </w:r>
      <w:r>
        <w:rPr>
          <w:rFonts w:ascii="Times New Roman" w:cs="Times New Roman" w:eastAsia="Times New Roman" w:hAnsi="Times New Roman"/>
          <w:sz w:val="15"/>
          <w:szCs w:val="15"/>
          <w:b w:val="1"/>
          <w:bCs w:val="1"/>
          <w:color w:val="auto"/>
        </w:rPr>
        <w:t>Duality Combination Trial</w:t>
      </w:r>
      <w:r>
        <w:rPr>
          <w:rFonts w:ascii="Times New Roman" w:cs="Times New Roman" w:eastAsia="Times New Roman" w:hAnsi="Times New Roman"/>
          <w:sz w:val="15"/>
          <w:szCs w:val="15"/>
          <w:color w:val="auto"/>
        </w:rPr>
        <w:t>”), and other Development activities in connection with such Duality Combination Trial (any such Duality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10580"/>
          </w:cols>
          <w:pgMar w:left="660" w:top="1440" w:right="660" w:bottom="1440" w:gutter="0" w:footer="0" w:header="0"/>
        </w:sectPr>
      </w:pPr>
    </w:p>
    <w:bookmarkStart w:id="256" w:name="page257"/>
    <w:bookmarkEnd w:id="256"/>
    <w:p>
      <w:pPr>
        <w:spacing w:after="0" w:line="87" w:lineRule="exact"/>
        <w:rPr>
          <w:sz w:val="20"/>
          <w:szCs w:val="20"/>
          <w:color w:val="auto"/>
        </w:rPr>
      </w:pPr>
    </w:p>
    <w:p>
      <w:pPr>
        <w:jc w:val="both"/>
        <w:ind w:left="727"/>
        <w:spacing w:after="0" w:line="266" w:lineRule="auto"/>
        <w:rPr>
          <w:sz w:val="20"/>
          <w:szCs w:val="20"/>
          <w:color w:val="auto"/>
        </w:rPr>
      </w:pPr>
      <w:r>
        <w:rPr>
          <w:rFonts w:ascii="Times New Roman" w:cs="Times New Roman" w:eastAsia="Times New Roman" w:hAnsi="Times New Roman"/>
          <w:sz w:val="15"/>
          <w:szCs w:val="15"/>
          <w:color w:val="auto"/>
        </w:rPr>
        <w:t xml:space="preserve">Combination Trial together with any such other Development activities in connection therewith, the “ </w:t>
      </w:r>
      <w:r>
        <w:rPr>
          <w:rFonts w:ascii="Times New Roman" w:cs="Times New Roman" w:eastAsia="Times New Roman" w:hAnsi="Times New Roman"/>
          <w:sz w:val="15"/>
          <w:szCs w:val="15"/>
          <w:b w:val="1"/>
          <w:bCs w:val="1"/>
          <w:color w:val="auto"/>
        </w:rPr>
        <w:t>Duality Combination Development Activities</w:t>
      </w:r>
      <w:r>
        <w:rPr>
          <w:rFonts w:ascii="Times New Roman" w:cs="Times New Roman" w:eastAsia="Times New Roman" w:hAnsi="Times New Roman"/>
          <w:sz w:val="15"/>
          <w:szCs w:val="15"/>
          <w:color w:val="auto"/>
        </w:rPr>
        <w:t>”). [***] Duality shall only act as the clinical sponsor of the Duality Combination Trials as specified in Schedule 1 and the applicable Development Plan for the Duality Combination Development Activities. Under the oversight of the JSC, Duality shall be responsible for the performance of Duality Combination Development Activities allocated to Duality under this Letter Agreement or as otherwise agreed by the Parties in writing; and</w:t>
      </w:r>
    </w:p>
    <w:p>
      <w:pPr>
        <w:spacing w:after="0" w:line="139" w:lineRule="exact"/>
        <w:rPr>
          <w:sz w:val="20"/>
          <w:szCs w:val="20"/>
          <w:color w:val="auto"/>
        </w:rPr>
      </w:pPr>
    </w:p>
    <w:p>
      <w:pPr>
        <w:jc w:val="both"/>
        <w:ind w:left="727" w:hanging="241"/>
        <w:spacing w:after="0" w:line="256" w:lineRule="auto"/>
        <w:tabs>
          <w:tab w:leader="none" w:pos="767"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any [***] for the study of Duality Licensed Products in combination with BioNTech Product(s) that: (i) is sponsored by BioNTech or its Affiliates or a Third Party Collaborator (as defined below), (ii) enrolls patients (1) solely in the Retained Territory or (2) in both the Territory and the Retained Territory, and (iii) is set forth in Schedule 1 (any such Clinical Trial, a “</w:t>
      </w:r>
      <w:r>
        <w:rPr>
          <w:rFonts w:ascii="Times New Roman" w:cs="Times New Roman" w:eastAsia="Times New Roman" w:hAnsi="Times New Roman"/>
          <w:sz w:val="15"/>
          <w:szCs w:val="15"/>
          <w:b w:val="1"/>
          <w:bCs w:val="1"/>
          <w:color w:val="auto"/>
        </w:rPr>
        <w:t>BioNTech Combination Trial</w:t>
      </w:r>
      <w:r>
        <w:rPr>
          <w:rFonts w:ascii="Times New Roman" w:cs="Times New Roman" w:eastAsia="Times New Roman" w:hAnsi="Times New Roman"/>
          <w:sz w:val="15"/>
          <w:szCs w:val="15"/>
          <w:color w:val="auto"/>
        </w:rPr>
        <w:t>”, and, together with any other Development activities in connection with such BioNTech Combination Trial, the “</w:t>
      </w:r>
      <w:r>
        <w:rPr>
          <w:rFonts w:ascii="Times New Roman" w:cs="Times New Roman" w:eastAsia="Times New Roman" w:hAnsi="Times New Roman"/>
          <w:sz w:val="15"/>
          <w:szCs w:val="15"/>
          <w:b w:val="1"/>
          <w:bCs w:val="1"/>
          <w:color w:val="auto"/>
        </w:rPr>
        <w:t>BioNTech Combination Development Activities</w:t>
      </w:r>
      <w:r>
        <w:rPr>
          <w:rFonts w:ascii="Times New Roman" w:cs="Times New Roman" w:eastAsia="Times New Roman" w:hAnsi="Times New Roman"/>
          <w:sz w:val="15"/>
          <w:szCs w:val="15"/>
          <w:color w:val="auto"/>
        </w:rPr>
        <w:t xml:space="preserve">”). Under the oversight of the JSC, Duality shall be responsible for the performance of BioNTech Combination Development Activities allocated to Duality under this Letter Agreement or as otherwise agreed by the Parties in writing. BioNTech Combination Trials together with Duality Combination Trials are collectively “ </w:t>
      </w:r>
      <w:r>
        <w:rPr>
          <w:rFonts w:ascii="Times New Roman" w:cs="Times New Roman" w:eastAsia="Times New Roman" w:hAnsi="Times New Roman"/>
          <w:sz w:val="15"/>
          <w:szCs w:val="15"/>
          <w:b w:val="1"/>
          <w:bCs w:val="1"/>
          <w:color w:val="auto"/>
        </w:rPr>
        <w:t>Combination Trials</w:t>
      </w:r>
      <w:r>
        <w:rPr>
          <w:rFonts w:ascii="Times New Roman" w:cs="Times New Roman" w:eastAsia="Times New Roman" w:hAnsi="Times New Roman"/>
          <w:sz w:val="15"/>
          <w:szCs w:val="15"/>
          <w:color w:val="auto"/>
        </w:rPr>
        <w:t>”, and BioNTech Combination Development Activities together with Duality Combination Development Activities are collectively “</w:t>
      </w:r>
      <w:r>
        <w:rPr>
          <w:rFonts w:ascii="Times New Roman" w:cs="Times New Roman" w:eastAsia="Times New Roman" w:hAnsi="Times New Roman"/>
          <w:sz w:val="15"/>
          <w:szCs w:val="15"/>
          <w:b w:val="1"/>
          <w:bCs w:val="1"/>
          <w:color w:val="auto"/>
        </w:rPr>
        <w:t>Combination Development Activities</w:t>
      </w:r>
      <w:r>
        <w:rPr>
          <w:rFonts w:ascii="Times New Roman" w:cs="Times New Roman" w:eastAsia="Times New Roman" w:hAnsi="Times New Roman"/>
          <w:sz w:val="15"/>
          <w:szCs w:val="15"/>
          <w:color w:val="auto"/>
        </w:rPr>
        <w:t>”.</w:t>
      </w:r>
    </w:p>
    <w:p>
      <w:pPr>
        <w:spacing w:after="0" w:line="165" w:lineRule="exact"/>
        <w:rPr>
          <w:sz w:val="20"/>
          <w:szCs w:val="20"/>
          <w:color w:val="auto"/>
        </w:rPr>
      </w:pPr>
    </w:p>
    <w:p>
      <w:pPr>
        <w:jc w:val="both"/>
        <w:ind w:left="487"/>
        <w:spacing w:after="0" w:line="259" w:lineRule="auto"/>
        <w:rPr>
          <w:sz w:val="20"/>
          <w:szCs w:val="20"/>
          <w:color w:val="auto"/>
        </w:rPr>
      </w:pPr>
      <w:r>
        <w:rPr>
          <w:rFonts w:ascii="Times New Roman" w:cs="Times New Roman" w:eastAsia="Times New Roman" w:hAnsi="Times New Roman"/>
          <w:sz w:val="15"/>
          <w:szCs w:val="15"/>
          <w:color w:val="auto"/>
        </w:rPr>
        <w:t>For the avoidance of doubt, Combination Development Activities may include pre-clinical studies required by BioNTech to enable a Combination Trial to the extent such studies are provided in Schedule 1 or otherwise agreed by the Parties in writing. Unless otherwise agreed in writing, BioNTech shall be responsible for the cost incurred by BioNTech or Duality (for and on behalf of BioNTech) in the performance of such preclinical or non-clinical studies, provided that, with respect to such cost incurred by Duality, BioNTech shall only have the obligation to reimburse Duality for such costs reasonably incurred in accordance with a budget prior agreed between the Parties. If any Combination Trial is amended such that[***] shall not be considered a Combination Trial under this Letter Agreement and the Parties shall cooperate to, via the JSC, amend Schedule 1 to [***].</w:t>
      </w:r>
    </w:p>
    <w:p>
      <w:pPr>
        <w:spacing w:after="0" w:line="133" w:lineRule="exact"/>
        <w:rPr>
          <w:sz w:val="20"/>
          <w:szCs w:val="20"/>
          <w:color w:val="auto"/>
        </w:rPr>
      </w:pPr>
    </w:p>
    <w:p>
      <w:pPr>
        <w:jc w:val="both"/>
        <w:ind w:left="247" w:hanging="247"/>
        <w:spacing w:after="0" w:line="273" w:lineRule="auto"/>
        <w:tabs>
          <w:tab w:leader="none" w:pos="247"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Parties shall, via the JSC, add development plans for the Combination Development Activities (“ </w:t>
      </w:r>
      <w:r>
        <w:rPr>
          <w:rFonts w:ascii="Times New Roman" w:cs="Times New Roman" w:eastAsia="Times New Roman" w:hAnsi="Times New Roman"/>
          <w:sz w:val="15"/>
          <w:szCs w:val="15"/>
          <w:b w:val="1"/>
          <w:bCs w:val="1"/>
          <w:color w:val="auto"/>
        </w:rPr>
        <w:t>Combination Development Plan</w:t>
      </w:r>
      <w:r>
        <w:rPr>
          <w:rFonts w:ascii="Times New Roman" w:cs="Times New Roman" w:eastAsia="Times New Roman" w:hAnsi="Times New Roman"/>
          <w:sz w:val="15"/>
          <w:szCs w:val="15"/>
          <w:color w:val="auto"/>
        </w:rPr>
        <w:t>”) into the then-current, applicable Development Plan(s) and the corresponding budgets (“</w:t>
      </w:r>
      <w:r>
        <w:rPr>
          <w:rFonts w:ascii="Times New Roman" w:cs="Times New Roman" w:eastAsia="Times New Roman" w:hAnsi="Times New Roman"/>
          <w:sz w:val="15"/>
          <w:szCs w:val="15"/>
          <w:b w:val="1"/>
          <w:bCs w:val="1"/>
          <w:color w:val="auto"/>
        </w:rPr>
        <w:t>Combination Development Budget</w:t>
      </w:r>
      <w:r>
        <w:rPr>
          <w:rFonts w:ascii="Times New Roman" w:cs="Times New Roman" w:eastAsia="Times New Roman" w:hAnsi="Times New Roman"/>
          <w:sz w:val="15"/>
          <w:szCs w:val="15"/>
          <w:color w:val="auto"/>
        </w:rPr>
        <w:t>”) into the relevant Development Budget (such budgets determined in accordance with the funding terms of this Letter Agreement).</w:t>
      </w:r>
    </w:p>
    <w:p>
      <w:pPr>
        <w:spacing w:after="0" w:line="122" w:lineRule="exact"/>
        <w:rPr>
          <w:rFonts w:ascii="Times New Roman" w:cs="Times New Roman" w:eastAsia="Times New Roman" w:hAnsi="Times New Roman"/>
          <w:sz w:val="15"/>
          <w:szCs w:val="15"/>
          <w:color w:val="auto"/>
        </w:rPr>
      </w:pPr>
    </w:p>
    <w:p>
      <w:pPr>
        <w:ind w:left="247" w:right="20" w:hanging="247"/>
        <w:spacing w:after="0" w:line="287" w:lineRule="auto"/>
        <w:tabs>
          <w:tab w:leader="none" w:pos="247"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BioNTech may request Duality (in writing via the JSC) to include additional [***] as Combination Trial(s) either solely in the Retained Territory or in both the Territory and the Retained Territory (an “</w:t>
      </w:r>
      <w:r>
        <w:rPr>
          <w:rFonts w:ascii="Times New Roman" w:cs="Times New Roman" w:eastAsia="Times New Roman" w:hAnsi="Times New Roman"/>
          <w:sz w:val="15"/>
          <w:szCs w:val="15"/>
          <w:b w:val="1"/>
          <w:bCs w:val="1"/>
          <w:color w:val="auto"/>
        </w:rPr>
        <w:t>Additional Trial Request</w:t>
      </w:r>
      <w:r>
        <w:rPr>
          <w:rFonts w:ascii="Times New Roman" w:cs="Times New Roman" w:eastAsia="Times New Roman" w:hAnsi="Times New Roman"/>
          <w:sz w:val="15"/>
          <w:szCs w:val="15"/>
          <w:color w:val="auto"/>
        </w:rPr>
        <w:t>”):</w:t>
      </w:r>
    </w:p>
    <w:p>
      <w:pPr>
        <w:spacing w:after="0" w:line="113" w:lineRule="exact"/>
        <w:rPr>
          <w:rFonts w:ascii="Times New Roman" w:cs="Times New Roman" w:eastAsia="Times New Roman" w:hAnsi="Times New Roman"/>
          <w:sz w:val="15"/>
          <w:szCs w:val="15"/>
          <w:color w:val="auto"/>
        </w:rPr>
      </w:pPr>
    </w:p>
    <w:p>
      <w:pPr>
        <w:ind w:left="727" w:hanging="241"/>
        <w:spacing w:after="0"/>
        <w:tabs>
          <w:tab w:leader="none" w:pos="727" w:val="left"/>
        </w:tabs>
        <w:numPr>
          <w:ilvl w:val="1"/>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Additional Trial Request shall specify information listed in Schedule 2. [***]</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33"/>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10347"/>
          </w:cols>
          <w:pgMar w:left="893" w:top="1440" w:right="660" w:bottom="1440" w:gutter="0" w:footer="0" w:header="0"/>
        </w:sectPr>
      </w:pPr>
    </w:p>
    <w:bookmarkStart w:id="257" w:name="page258"/>
    <w:bookmarkEnd w:id="257"/>
    <w:p>
      <w:pPr>
        <w:spacing w:after="0" w:line="87" w:lineRule="exact"/>
        <w:rPr>
          <w:sz w:val="20"/>
          <w:szCs w:val="20"/>
          <w:color w:val="auto"/>
        </w:rPr>
      </w:pPr>
    </w:p>
    <w:p>
      <w:pPr>
        <w:jc w:val="both"/>
        <w:ind w:left="727" w:hanging="241"/>
        <w:spacing w:after="0" w:line="273" w:lineRule="auto"/>
        <w:tabs>
          <w:tab w:leader="none" w:pos="727" w:val="left"/>
        </w:tabs>
        <w:numPr>
          <w:ilvl w:val="1"/>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 days of [***] (the “</w:t>
      </w:r>
      <w:r>
        <w:rPr>
          <w:rFonts w:ascii="Times New Roman" w:cs="Times New Roman" w:eastAsia="Times New Roman" w:hAnsi="Times New Roman"/>
          <w:sz w:val="15"/>
          <w:szCs w:val="15"/>
          <w:b w:val="1"/>
          <w:bCs w:val="1"/>
          <w:color w:val="auto"/>
        </w:rPr>
        <w:t>Opt-In Period</w:t>
      </w:r>
      <w:r>
        <w:rPr>
          <w:rFonts w:ascii="Times New Roman" w:cs="Times New Roman" w:eastAsia="Times New Roman" w:hAnsi="Times New Roman"/>
          <w:sz w:val="15"/>
          <w:szCs w:val="15"/>
          <w:color w:val="auto"/>
        </w:rPr>
        <w:t>”), Duality shall have the right to opt in to paying Duality Combination Development Costs (as defined in paragraph 31(e)) under subparagraph 32(a) and paragraph 34 of this Letter Agreement by written confirmation to BioNTech specifying such opt-in, and, effective from [***], such Combination Trial shall constitute an “</w:t>
      </w:r>
      <w:r>
        <w:rPr>
          <w:rFonts w:ascii="Times New Roman" w:cs="Times New Roman" w:eastAsia="Times New Roman" w:hAnsi="Times New Roman"/>
          <w:sz w:val="15"/>
          <w:szCs w:val="15"/>
          <w:b w:val="1"/>
          <w:bCs w:val="1"/>
          <w:color w:val="auto"/>
        </w:rPr>
        <w:t>Opted-In Trial</w:t>
      </w:r>
      <w:r>
        <w:rPr>
          <w:rFonts w:ascii="Times New Roman" w:cs="Times New Roman" w:eastAsia="Times New Roman" w:hAnsi="Times New Roman"/>
          <w:sz w:val="15"/>
          <w:szCs w:val="15"/>
          <w:color w:val="auto"/>
        </w:rPr>
        <w:t>”. [***]</w:t>
      </w:r>
    </w:p>
    <w:p>
      <w:pPr>
        <w:spacing w:after="0" w:line="122" w:lineRule="exact"/>
        <w:rPr>
          <w:rFonts w:ascii="Times New Roman" w:cs="Times New Roman" w:eastAsia="Times New Roman" w:hAnsi="Times New Roman"/>
          <w:sz w:val="15"/>
          <w:szCs w:val="15"/>
          <w:color w:val="auto"/>
        </w:rPr>
      </w:pPr>
    </w:p>
    <w:p>
      <w:pPr>
        <w:ind w:left="727" w:hanging="241"/>
        <w:spacing w:after="0" w:line="287" w:lineRule="auto"/>
        <w:tabs>
          <w:tab w:leader="none" w:pos="717" w:val="left"/>
        </w:tabs>
        <w:numPr>
          <w:ilvl w:val="1"/>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Promptly (and in any event within [***] days) following the expiry of the Opt-In Period) the JSC shall agree on a Combination Development Plan and corresponding Combination Development Budget for such Clinical Trials (or added cohorts) or other Development activities, as applicable.</w:t>
      </w:r>
    </w:p>
    <w:p>
      <w:pPr>
        <w:spacing w:after="0" w:line="113" w:lineRule="exact"/>
        <w:rPr>
          <w:rFonts w:ascii="Times New Roman" w:cs="Times New Roman" w:eastAsia="Times New Roman" w:hAnsi="Times New Roman"/>
          <w:sz w:val="15"/>
          <w:szCs w:val="15"/>
          <w:color w:val="auto"/>
        </w:rPr>
      </w:pPr>
    </w:p>
    <w:p>
      <w:pPr>
        <w:jc w:val="both"/>
        <w:ind w:left="727" w:hanging="241"/>
        <w:spacing w:after="0" w:line="261" w:lineRule="auto"/>
        <w:tabs>
          <w:tab w:leader="none" w:pos="727" w:val="left"/>
        </w:tabs>
        <w:numPr>
          <w:ilvl w:val="1"/>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Promptly following such JSC agreement of the Combination Development Plan and corresponding Combination Development Budget, the Parties shall amend Schedule 1 to include such Clinical Trials (or added cohorts) and other Development activities, as applicable, [***]. As of the date of such amendment to Schedule 1, such Clinical Trial (or added cohorts) shall be deemed a Duality Combination Trial or BioNTech Combination Trial, as applicable, and such Combination Trial (or added cohorts) and other Development activities in connection therewith shall be deemed Duality Combination Development Activities or BioNTech Combination Development Activities, as applicable, and in each case, subject to the terms and conditions of this Letter Agreement.</w:t>
      </w:r>
    </w:p>
    <w:p>
      <w:pPr>
        <w:spacing w:after="0" w:line="133" w:lineRule="exact"/>
        <w:rPr>
          <w:rFonts w:ascii="Times New Roman" w:cs="Times New Roman" w:eastAsia="Times New Roman" w:hAnsi="Times New Roman"/>
          <w:sz w:val="15"/>
          <w:szCs w:val="15"/>
          <w:color w:val="auto"/>
        </w:rPr>
      </w:pPr>
    </w:p>
    <w:p>
      <w:pPr>
        <w:ind w:left="727" w:hanging="241"/>
        <w:spacing w:after="0"/>
        <w:tabs>
          <w:tab w:leader="none" w:pos="727" w:val="left"/>
        </w:tabs>
        <w:numPr>
          <w:ilvl w:val="1"/>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1" w:lineRule="exact"/>
        <w:rPr>
          <w:rFonts w:ascii="Times New Roman" w:cs="Times New Roman" w:eastAsia="Times New Roman" w:hAnsi="Times New Roman"/>
          <w:sz w:val="15"/>
          <w:szCs w:val="15"/>
          <w:color w:val="auto"/>
        </w:rPr>
      </w:pPr>
    </w:p>
    <w:p>
      <w:pPr>
        <w:ind w:left="727" w:hanging="241"/>
        <w:spacing w:after="0"/>
        <w:tabs>
          <w:tab w:leader="none" w:pos="727" w:val="left"/>
        </w:tabs>
        <w:numPr>
          <w:ilvl w:val="1"/>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1" w:lineRule="exact"/>
        <w:rPr>
          <w:rFonts w:ascii="Times New Roman" w:cs="Times New Roman" w:eastAsia="Times New Roman" w:hAnsi="Times New Roman"/>
          <w:sz w:val="15"/>
          <w:szCs w:val="15"/>
          <w:color w:val="auto"/>
        </w:rPr>
      </w:pPr>
    </w:p>
    <w:p>
      <w:pPr>
        <w:jc w:val="both"/>
        <w:ind w:left="247" w:right="40" w:hanging="247"/>
        <w:spacing w:after="0" w:line="270" w:lineRule="auto"/>
        <w:tabs>
          <w:tab w:leader="none" w:pos="247"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BioNTech will lead on the Clinical Trial protocols and regulatory strategies for all Combination Trials. The Parties shall review and discuss Clinical Trial protocols or regulatory strategies via the JSC for any Combination Trials; BioNTech shall have final approval of such Clinical Trial protocols and regulatory strategies. Any comments by Duality will be discussed in good faith by the Parties.</w:t>
      </w:r>
    </w:p>
    <w:p>
      <w:pPr>
        <w:spacing w:after="0" w:line="125" w:lineRule="exact"/>
        <w:rPr>
          <w:rFonts w:ascii="Times New Roman" w:cs="Times New Roman" w:eastAsia="Times New Roman" w:hAnsi="Times New Roman"/>
          <w:sz w:val="15"/>
          <w:szCs w:val="15"/>
          <w:color w:val="auto"/>
        </w:rPr>
      </w:pPr>
    </w:p>
    <w:p>
      <w:pPr>
        <w:jc w:val="both"/>
        <w:ind w:left="247" w:right="20" w:hanging="247"/>
        <w:spacing w:after="0" w:line="264" w:lineRule="auto"/>
        <w:tabs>
          <w:tab w:leader="none" w:pos="247"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Duality will conduct each Duality Combination Trial and Combination Development Activity in accordance with this Letter Agreement, the applicable License Agreement, the Pharmacovigilance Agreement, the Clinical Supply Agreement between the Parties, the applicable combination supply MTAs, and quality agreement(s), GXP and all Applicable Laws, and with reasonable due care, with qualified personnel and in conformity with current generally accepted industry standards and procedures.</w:t>
      </w:r>
    </w:p>
    <w:p>
      <w:pPr>
        <w:spacing w:after="0" w:line="130" w:lineRule="exact"/>
        <w:rPr>
          <w:rFonts w:ascii="Times New Roman" w:cs="Times New Roman" w:eastAsia="Times New Roman" w:hAnsi="Times New Roman"/>
          <w:sz w:val="15"/>
          <w:szCs w:val="15"/>
          <w:color w:val="auto"/>
        </w:rPr>
      </w:pPr>
    </w:p>
    <w:p>
      <w:pPr>
        <w:ind w:left="247" w:hanging="247"/>
        <w:spacing w:after="0" w:line="287" w:lineRule="auto"/>
        <w:tabs>
          <w:tab w:leader="none" w:pos="297"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Duality may perform any of its obligations under this Letter Agreement through one or more subcontractors in accordance with the provisions of Sections 4.4(b), 4.4(c) (Duality Development Activities) and 11.6 (Performance by Affiliates, Sublicensees and Subcontractors) of the Duality TROP2 Agreement.</w:t>
      </w:r>
    </w:p>
    <w:p>
      <w:pPr>
        <w:spacing w:after="0" w:line="109" w:lineRule="exact"/>
        <w:rPr>
          <w:rFonts w:ascii="Times New Roman" w:cs="Times New Roman" w:eastAsia="Times New Roman" w:hAnsi="Times New Roman"/>
          <w:sz w:val="15"/>
          <w:szCs w:val="15"/>
          <w:color w:val="auto"/>
        </w:rPr>
      </w:pPr>
    </w:p>
    <w:p>
      <w:pPr>
        <w:jc w:val="both"/>
        <w:ind w:left="247" w:hanging="247"/>
        <w:spacing w:after="0" w:line="273" w:lineRule="auto"/>
        <w:tabs>
          <w:tab w:leader="none" w:pos="247"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w:t>
      </w:r>
      <w:r>
        <w:rPr>
          <w:rFonts w:ascii="Times New Roman" w:cs="Times New Roman" w:eastAsia="Times New Roman" w:hAnsi="Times New Roman"/>
          <w:sz w:val="15"/>
          <w:szCs w:val="15"/>
          <w:b w:val="1"/>
          <w:bCs w:val="1"/>
          <w:color w:val="auto"/>
        </w:rPr>
        <w:t>Licensor</w:t>
      </w:r>
      <w:r>
        <w:rPr>
          <w:rFonts w:ascii="Times New Roman" w:cs="Times New Roman" w:eastAsia="Times New Roman" w:hAnsi="Times New Roman"/>
          <w:sz w:val="15"/>
          <w:szCs w:val="15"/>
          <w:color w:val="auto"/>
        </w:rPr>
        <w:t>” shall mean any Third Party who granted to BioNTech or its Affiliates a right to Develop or Commercialize any BioNTech Product in any country or territory, and a “</w:t>
      </w:r>
      <w:r>
        <w:rPr>
          <w:rFonts w:ascii="Times New Roman" w:cs="Times New Roman" w:eastAsia="Times New Roman" w:hAnsi="Times New Roman"/>
          <w:sz w:val="15"/>
          <w:szCs w:val="15"/>
          <w:b w:val="1"/>
          <w:bCs w:val="1"/>
          <w:color w:val="auto"/>
        </w:rPr>
        <w:t>Third Party Collaborator</w:t>
      </w:r>
      <w:r>
        <w:rPr>
          <w:rFonts w:ascii="Times New Roman" w:cs="Times New Roman" w:eastAsia="Times New Roman" w:hAnsi="Times New Roman"/>
          <w:sz w:val="15"/>
          <w:szCs w:val="15"/>
          <w:color w:val="auto"/>
        </w:rPr>
        <w:t>”, with respect to any Combination Development Activities, shall mean a Licensor who sponsors the applicable Combination Trial or performs any part of such Combination Development Activities, in collaboration with BioNTech and Duality or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33"/>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10347"/>
          </w:cols>
          <w:pgMar w:left="893" w:top="1440" w:right="660" w:bottom="1440" w:gutter="0" w:footer="0" w:header="0"/>
        </w:sectPr>
      </w:pPr>
    </w:p>
    <w:bookmarkStart w:id="258" w:name="page259"/>
    <w:bookmarkEnd w:id="258"/>
    <w:p>
      <w:pPr>
        <w:spacing w:after="0" w:line="91" w:lineRule="exact"/>
        <w:rPr>
          <w:sz w:val="20"/>
          <w:szCs w:val="20"/>
          <w:color w:val="auto"/>
        </w:rPr>
      </w:pPr>
    </w:p>
    <w:p>
      <w:pPr>
        <w:ind w:left="247"/>
        <w:spacing w:after="0"/>
        <w:rPr>
          <w:sz w:val="20"/>
          <w:szCs w:val="20"/>
          <w:color w:val="auto"/>
        </w:rPr>
      </w:pPr>
      <w:r>
        <w:rPr>
          <w:rFonts w:ascii="Times New Roman" w:cs="Times New Roman" w:eastAsia="Times New Roman" w:hAnsi="Times New Roman"/>
          <w:sz w:val="15"/>
          <w:szCs w:val="15"/>
          <w:color w:val="auto"/>
        </w:rPr>
        <w:t>otherwise supplies or owns or controls the BioNTech Product that is the subject of such Combination Development Activities. [***]</w:t>
      </w:r>
    </w:p>
    <w:p>
      <w:pPr>
        <w:spacing w:after="0" w:line="171" w:lineRule="exact"/>
        <w:rPr>
          <w:sz w:val="20"/>
          <w:szCs w:val="20"/>
          <w:color w:val="auto"/>
        </w:rPr>
      </w:pPr>
    </w:p>
    <w:p>
      <w:pPr>
        <w:jc w:val="both"/>
        <w:ind w:left="247" w:hanging="247"/>
        <w:spacing w:after="0" w:line="261" w:lineRule="auto"/>
        <w:tabs>
          <w:tab w:leader="none" w:pos="247"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provision to the contrary set forth in the applicable License Agreement, respective side letters of the applicable License Agreement, and applicable MTA, including in Section 3.6 (</w:t>
      </w:r>
      <w:r>
        <w:rPr>
          <w:rFonts w:ascii="Times New Roman" w:cs="Times New Roman" w:eastAsia="Times New Roman" w:hAnsi="Times New Roman"/>
          <w:sz w:val="15"/>
          <w:szCs w:val="15"/>
          <w:i w:val="1"/>
          <w:iCs w:val="1"/>
          <w:color w:val="auto"/>
        </w:rPr>
        <w:t>Decision-Making</w:t>
      </w:r>
      <w:r>
        <w:rPr>
          <w:rFonts w:ascii="Times New Roman" w:cs="Times New Roman" w:eastAsia="Times New Roman" w:hAnsi="Times New Roman"/>
          <w:sz w:val="15"/>
          <w:szCs w:val="15"/>
          <w:color w:val="auto"/>
        </w:rPr>
        <w:t xml:space="preserve">) of the Duality TROP2 Agreement and Section 3.5 ( </w:t>
      </w:r>
      <w:r>
        <w:rPr>
          <w:rFonts w:ascii="Times New Roman" w:cs="Times New Roman" w:eastAsia="Times New Roman" w:hAnsi="Times New Roman"/>
          <w:sz w:val="15"/>
          <w:szCs w:val="15"/>
          <w:i w:val="1"/>
          <w:iCs w:val="1"/>
          <w:color w:val="auto"/>
        </w:rPr>
        <w:t>Decision-Making</w:t>
      </w:r>
      <w:r>
        <w:rPr>
          <w:rFonts w:ascii="Times New Roman" w:cs="Times New Roman" w:eastAsia="Times New Roman" w:hAnsi="Times New Roman"/>
          <w:sz w:val="15"/>
          <w:szCs w:val="15"/>
          <w:color w:val="auto"/>
        </w:rPr>
        <w:t xml:space="preserve">) of the Duality B7H3 Agreement and Duality HER2 Agreement thereof (which Sections are incorporated herein by reference, </w:t>
      </w:r>
      <w:r>
        <w:rPr>
          <w:rFonts w:ascii="Times New Roman" w:cs="Times New Roman" w:eastAsia="Times New Roman" w:hAnsi="Times New Roman"/>
          <w:sz w:val="15"/>
          <w:szCs w:val="15"/>
          <w:i w:val="1"/>
          <w:iCs w:val="1"/>
          <w:color w:val="auto"/>
        </w:rPr>
        <w:t>mutatis mutandis</w:t>
      </w:r>
      <w:r>
        <w:rPr>
          <w:rFonts w:ascii="Times New Roman" w:cs="Times New Roman" w:eastAsia="Times New Roman" w:hAnsi="Times New Roman"/>
          <w:sz w:val="15"/>
          <w:szCs w:val="15"/>
          <w:color w:val="auto"/>
        </w:rPr>
        <w:t>), [***] shall have final decision-making authority (including at the JSC) with respect to [***] Any matters relating to BioNTech Combination Development Activities, [***] shall be within the purview of the JSC for review and discussion and shall be subject to [***] final-decision making. [***]</w:t>
      </w:r>
    </w:p>
    <w:p>
      <w:pPr>
        <w:spacing w:after="0" w:line="133" w:lineRule="exact"/>
        <w:rPr>
          <w:rFonts w:ascii="Times New Roman" w:cs="Times New Roman" w:eastAsia="Times New Roman" w:hAnsi="Times New Roman"/>
          <w:sz w:val="15"/>
          <w:szCs w:val="15"/>
          <w:color w:val="auto"/>
        </w:rPr>
      </w:pPr>
    </w:p>
    <w:p>
      <w:pPr>
        <w:jc w:val="both"/>
        <w:ind w:left="247" w:hanging="247"/>
        <w:spacing w:after="0" w:line="261" w:lineRule="auto"/>
        <w:tabs>
          <w:tab w:leader="none" w:pos="247"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Following the end of the Opt-In Period, on an Opted-In Trial-by-Opted-In Trial basis, in the event that [***] Duality may request the Parties to discuss at the JSC the Combination Development Budget and/or patient recruitment rate of such Opted-In Trial. If the Parties do not reach agreement to manage the applicable Combination Development Budget or the rate of recruitment for such Opted-In Trial within [***], Duality may on providing at least [***] days written notice to BioNTech elect to reverse its decision and opt-out of such Opted-In Trial. For clarity, Duality may not opt out of paying Duality Combination Development Costs or any Duality Contribution incurred in relation to such Opted-In Trial prior to the effective date of Duality’s opt-out (not less than [***] days of Duality’s written notice).</w:t>
      </w:r>
    </w:p>
    <w:p>
      <w:pPr>
        <w:spacing w:after="0" w:line="32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Supply of BioNTech Products &amp; Duality Licensed Products</w:t>
      </w:r>
    </w:p>
    <w:p>
      <w:pPr>
        <w:spacing w:after="0" w:line="203" w:lineRule="exact"/>
        <w:rPr>
          <w:sz w:val="20"/>
          <w:szCs w:val="20"/>
          <w:color w:val="auto"/>
        </w:rPr>
      </w:pPr>
    </w:p>
    <w:p>
      <w:pPr>
        <w:jc w:val="both"/>
        <w:ind w:left="247" w:hanging="247"/>
        <w:spacing w:after="0" w:line="280" w:lineRule="auto"/>
        <w:tabs>
          <w:tab w:leader="none" w:pos="247"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supply of BioNTech Products by or on behalf of BioNTech to Duality as necessary for carrying out the Combination Development Activities shall be governed by the terms of one or more material transfer agreement(s) (the “</w:t>
      </w:r>
      <w:r>
        <w:rPr>
          <w:rFonts w:ascii="Times New Roman" w:cs="Times New Roman" w:eastAsia="Times New Roman" w:hAnsi="Times New Roman"/>
          <w:sz w:val="15"/>
          <w:szCs w:val="15"/>
          <w:b w:val="1"/>
          <w:bCs w:val="1"/>
          <w:color w:val="auto"/>
        </w:rPr>
        <w:t>MTA(s)</w:t>
      </w:r>
      <w:r>
        <w:rPr>
          <w:rFonts w:ascii="Times New Roman" w:cs="Times New Roman" w:eastAsia="Times New Roman" w:hAnsi="Times New Roman"/>
          <w:sz w:val="15"/>
          <w:szCs w:val="15"/>
          <w:color w:val="auto"/>
        </w:rPr>
        <w:t>”) and associated quality agreement(s) to be entered into between the Parties, as applicable. [***]</w:t>
      </w:r>
    </w:p>
    <w:p>
      <w:pPr>
        <w:spacing w:after="0" w:line="305" w:lineRule="exact"/>
        <w:rPr>
          <w:rFonts w:ascii="Times New Roman" w:cs="Times New Roman" w:eastAsia="Times New Roman" w:hAnsi="Times New Roman"/>
          <w:sz w:val="15"/>
          <w:szCs w:val="15"/>
          <w:color w:val="auto"/>
        </w:rPr>
      </w:pPr>
    </w:p>
    <w:p>
      <w:pPr>
        <w:jc w:val="both"/>
        <w:ind w:left="247" w:right="20" w:hanging="247"/>
        <w:spacing w:after="0" w:line="270" w:lineRule="auto"/>
        <w:tabs>
          <w:tab w:leader="none" w:pos="247"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Duality shall supply the Duality Licensed Products for the Combination Development Activities in accordance with the applicable License Agreement(s) and any applicable Clinical Supply Agreement(s) and associated quality agreement(s) between the Parties (each of these agreements as amended or supplemented from time to time).</w:t>
      </w:r>
    </w:p>
    <w:p>
      <w:pPr>
        <w:spacing w:after="0" w:line="121" w:lineRule="exact"/>
        <w:rPr>
          <w:rFonts w:ascii="Times New Roman" w:cs="Times New Roman" w:eastAsia="Times New Roman" w:hAnsi="Times New Roman"/>
          <w:sz w:val="15"/>
          <w:szCs w:val="15"/>
          <w:color w:val="auto"/>
        </w:rPr>
      </w:pPr>
    </w:p>
    <w:p>
      <w:pPr>
        <w:jc w:val="both"/>
        <w:ind w:left="247" w:hanging="247"/>
        <w:spacing w:after="0" w:line="269" w:lineRule="auto"/>
        <w:tabs>
          <w:tab w:leader="none" w:pos="247"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Reporting and Record Keeping</w:t>
      </w:r>
      <w:r>
        <w:rPr>
          <w:rFonts w:ascii="Times New Roman" w:cs="Times New Roman" w:eastAsia="Times New Roman" w:hAnsi="Times New Roman"/>
          <w:sz w:val="15"/>
          <w:szCs w:val="15"/>
          <w:color w:val="auto"/>
        </w:rPr>
        <w:t>. Each Party shall maintain records and report the progress and results of Combination Development Activities conducted by or 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behalf of it pursuant to this Letter Agreement in accordance with Sections 4.5 (Development Records) and 4.6 (Development Reports) of the Duality TROP2 Agreement, or Sections 4.7 (Development Records) and 4.8 (Development Reports) of the Duality B7H3 Agreement or Duality HER2 Agreement, as applicable. [***]</w:t>
      </w:r>
    </w:p>
    <w:p>
      <w:pPr>
        <w:spacing w:after="0" w:line="309" w:lineRule="exact"/>
        <w:rPr>
          <w:rFonts w:ascii="Times New Roman" w:cs="Times New Roman" w:eastAsia="Times New Roman" w:hAnsi="Times New Roman"/>
          <w:sz w:val="15"/>
          <w:szCs w:val="15"/>
          <w:color w:val="auto"/>
        </w:rPr>
      </w:pPr>
    </w:p>
    <w:p>
      <w:pPr>
        <w:jc w:val="both"/>
        <w:ind w:left="247" w:right="40" w:hanging="247"/>
        <w:spacing w:after="0" w:line="266" w:lineRule="auto"/>
        <w:tabs>
          <w:tab w:leader="none" w:pos="247"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Regulatory Responsibilities</w:t>
      </w:r>
      <w:r>
        <w:rPr>
          <w:rFonts w:ascii="Times New Roman" w:cs="Times New Roman" w:eastAsia="Times New Roman" w:hAnsi="Times New Roman"/>
          <w:sz w:val="15"/>
          <w:szCs w:val="15"/>
          <w:color w:val="auto"/>
        </w:rPr>
        <w:t>. As between the Parties, BioNTech shall have the responsibility (either itself, through Duality, or through a Third Party Collaborator,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each case as appointed by BioNTech) to prepare and submit all regulatory filings related to the BioNTech Combination Trials, in the Retained Territory or the Territory. Subject to paragraphs 11, 15 and 22 of this Letter Agreement, Duality shall be responsible for preparing and submitting all regulatory filings related to the Duality Combination Trials in the Retained Territory or the Territory.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33"/>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10347"/>
          </w:cols>
          <w:pgMar w:left="893" w:top="1440" w:right="660" w:bottom="1440" w:gutter="0" w:footer="0" w:header="0"/>
        </w:sectPr>
      </w:pPr>
    </w:p>
    <w:bookmarkStart w:id="259" w:name="page260"/>
    <w:bookmarkEnd w:id="259"/>
    <w:p>
      <w:pPr>
        <w:spacing w:after="0" w:line="91" w:lineRule="exact"/>
        <w:rPr>
          <w:sz w:val="20"/>
          <w:szCs w:val="20"/>
          <w:color w:val="auto"/>
        </w:rPr>
      </w:pPr>
    </w:p>
    <w:p>
      <w:pPr>
        <w:jc w:val="both"/>
        <w:ind w:left="247" w:right="40" w:hanging="247"/>
        <w:spacing w:after="0" w:line="261" w:lineRule="auto"/>
        <w:tabs>
          <w:tab w:leader="none" w:pos="247"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Duality shall act as regulatory sponsor for any Duality Combination Trial as specified in Schedule 1, or as otherwise required any Regulatory Authority or Applicable Laws and agreed by BioNTech in writing for any BioNTech Combination Trial. Additionally, BioNTech, its Affiliates or a Third Party designated by BioNTech may also act as a regulatory sponsor for any Duality Combination Trial to the extent permitted under Applicable Laws or otherwise required to implement the regulatory strategy for such Duality Combination Trial approved by BioNTech pursuant to paragraphs 11 and 15 of this Letter Agreement. In such event, BioNTech shall be responsible for preparing and submitting all regulatory filings reasonably required in acting as regulatory sponsor for such Duality Combination Trial(s).</w:t>
      </w:r>
    </w:p>
    <w:p>
      <w:pPr>
        <w:spacing w:after="0" w:line="133" w:lineRule="exact"/>
        <w:rPr>
          <w:rFonts w:ascii="Times New Roman" w:cs="Times New Roman" w:eastAsia="Times New Roman" w:hAnsi="Times New Roman"/>
          <w:sz w:val="15"/>
          <w:szCs w:val="15"/>
          <w:color w:val="auto"/>
        </w:rPr>
      </w:pPr>
    </w:p>
    <w:p>
      <w:pPr>
        <w:jc w:val="both"/>
        <w:ind w:left="247" w:right="40" w:hanging="247"/>
        <w:spacing w:after="0" w:line="270" w:lineRule="auto"/>
        <w:tabs>
          <w:tab w:leader="none" w:pos="247"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that Duality is specified as the regulatory sponsor in accordance with paragraph 21 of this Letter Agreement or is otherwise the holder of any Regulatory Approvals or Regulatory Materials for any Combination Trial(s), or otherwise required to perform any regulatory activities with respect to any Combination Trial under Applicable Laws, Duality shall:</w:t>
      </w:r>
    </w:p>
    <w:p>
      <w:pPr>
        <w:spacing w:after="0" w:line="125" w:lineRule="exact"/>
        <w:rPr>
          <w:rFonts w:ascii="Times New Roman" w:cs="Times New Roman" w:eastAsia="Times New Roman" w:hAnsi="Times New Roman"/>
          <w:sz w:val="15"/>
          <w:szCs w:val="15"/>
          <w:color w:val="auto"/>
        </w:rPr>
      </w:pPr>
    </w:p>
    <w:p>
      <w:pPr>
        <w:ind w:left="727" w:hanging="241"/>
        <w:spacing w:after="0"/>
        <w:tabs>
          <w:tab w:leader="none" w:pos="727" w:val="left"/>
        </w:tabs>
        <w:numPr>
          <w:ilvl w:val="1"/>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without limiting 5.6 (b) or Section 5.6(c) of the applicable License Agreement, [***];</w:t>
      </w:r>
    </w:p>
    <w:p>
      <w:pPr>
        <w:spacing w:after="0" w:line="171" w:lineRule="exact"/>
        <w:rPr>
          <w:rFonts w:ascii="Times New Roman" w:cs="Times New Roman" w:eastAsia="Times New Roman" w:hAnsi="Times New Roman"/>
          <w:sz w:val="15"/>
          <w:szCs w:val="15"/>
          <w:color w:val="auto"/>
        </w:rPr>
      </w:pPr>
    </w:p>
    <w:p>
      <w:pPr>
        <w:ind w:left="727" w:hanging="241"/>
        <w:spacing w:after="0"/>
        <w:tabs>
          <w:tab w:leader="none" w:pos="727" w:val="left"/>
        </w:tabs>
        <w:numPr>
          <w:ilvl w:val="1"/>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keep BioNTech promptly notified [***] of any communication from the Regulatory Authorities regarding the Combination Development Activities;</w:t>
      </w:r>
    </w:p>
    <w:p>
      <w:pPr>
        <w:spacing w:after="0" w:line="171" w:lineRule="exact"/>
        <w:rPr>
          <w:rFonts w:ascii="Times New Roman" w:cs="Times New Roman" w:eastAsia="Times New Roman" w:hAnsi="Times New Roman"/>
          <w:sz w:val="15"/>
          <w:szCs w:val="15"/>
          <w:color w:val="auto"/>
        </w:rPr>
      </w:pPr>
    </w:p>
    <w:p>
      <w:pPr>
        <w:jc w:val="both"/>
        <w:ind w:left="727" w:right="40" w:hanging="241"/>
        <w:spacing w:after="0" w:line="270" w:lineRule="auto"/>
        <w:tabs>
          <w:tab w:leader="none" w:pos="717" w:val="left"/>
        </w:tabs>
        <w:numPr>
          <w:ilvl w:val="1"/>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keep BioNTech informed of regulatory developments related to the Combination Trials and provide BioNTech with electronic copies of Regulatory Materials in the Territory or in the Retained Territory (including all material Regulatory Authority communications) received or generated by Duality related to such Combination Development Activities in accordance with Section 5.1(b) of the applicable License Agreement;</w:t>
      </w:r>
    </w:p>
    <w:p>
      <w:pPr>
        <w:spacing w:after="0" w:line="125" w:lineRule="exact"/>
        <w:rPr>
          <w:rFonts w:ascii="Times New Roman" w:cs="Times New Roman" w:eastAsia="Times New Roman" w:hAnsi="Times New Roman"/>
          <w:sz w:val="15"/>
          <w:szCs w:val="15"/>
          <w:color w:val="auto"/>
        </w:rPr>
      </w:pPr>
    </w:p>
    <w:p>
      <w:pPr>
        <w:jc w:val="both"/>
        <w:ind w:left="727" w:right="40" w:hanging="241"/>
        <w:spacing w:after="0" w:line="264" w:lineRule="auto"/>
        <w:tabs>
          <w:tab w:leader="none" w:pos="727" w:val="left"/>
        </w:tabs>
        <w:numPr>
          <w:ilvl w:val="1"/>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BioNTech with copies of any Regulatory Approvals, Regulatory Materials and material communications to be submitted to any Regulatory Authority in the Territory or in the Retained Territory in respect of the Combination Development Activities for review, discussion and approval by BioNTech pursuant to paragraphs 11 and 15 of this Letter Agreement prior to submission [***], and Duality shall include such comments of BioNTech in good faith and not submit without BioNTech’s prior written approval;</w:t>
      </w:r>
    </w:p>
    <w:p>
      <w:pPr>
        <w:spacing w:after="0" w:line="130" w:lineRule="exact"/>
        <w:rPr>
          <w:rFonts w:ascii="Times New Roman" w:cs="Times New Roman" w:eastAsia="Times New Roman" w:hAnsi="Times New Roman"/>
          <w:sz w:val="15"/>
          <w:szCs w:val="15"/>
          <w:color w:val="auto"/>
        </w:rPr>
      </w:pPr>
    </w:p>
    <w:p>
      <w:pPr>
        <w:ind w:left="727" w:right="60" w:hanging="241"/>
        <w:spacing w:after="0" w:line="287" w:lineRule="auto"/>
        <w:tabs>
          <w:tab w:leader="none" w:pos="717" w:val="left"/>
        </w:tabs>
        <w:numPr>
          <w:ilvl w:val="1"/>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 responsible for all interactions with Regulatory Authorities with respect to the Combination Development Activities, under BioNTech’s direction and oversight; [***];</w:t>
      </w:r>
    </w:p>
    <w:p>
      <w:pPr>
        <w:spacing w:after="0" w:line="113" w:lineRule="exact"/>
        <w:rPr>
          <w:rFonts w:ascii="Times New Roman" w:cs="Times New Roman" w:eastAsia="Times New Roman" w:hAnsi="Times New Roman"/>
          <w:sz w:val="15"/>
          <w:szCs w:val="15"/>
          <w:color w:val="auto"/>
        </w:rPr>
      </w:pPr>
    </w:p>
    <w:p>
      <w:pPr>
        <w:ind w:left="727" w:right="20" w:hanging="241"/>
        <w:spacing w:after="0" w:line="287" w:lineRule="auto"/>
        <w:tabs>
          <w:tab w:leader="none" w:pos="727" w:val="left"/>
        </w:tabs>
        <w:numPr>
          <w:ilvl w:val="1"/>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promptly notify the JSC in the event any Regulatory Authority takes or gives notice of its intent to take any regulatory action with respect to any Combination Development Activities;</w:t>
      </w:r>
    </w:p>
    <w:p>
      <w:pPr>
        <w:spacing w:after="0" w:line="113" w:lineRule="exact"/>
        <w:rPr>
          <w:rFonts w:ascii="Times New Roman" w:cs="Times New Roman" w:eastAsia="Times New Roman" w:hAnsi="Times New Roman"/>
          <w:sz w:val="15"/>
          <w:szCs w:val="15"/>
          <w:color w:val="auto"/>
        </w:rPr>
      </w:pPr>
    </w:p>
    <w:p>
      <w:pPr>
        <w:ind w:left="727" w:hanging="241"/>
        <w:spacing w:after="0" w:line="270" w:lineRule="auto"/>
        <w:tabs>
          <w:tab w:leader="none" w:pos="727" w:val="left"/>
        </w:tabs>
        <w:numPr>
          <w:ilvl w:val="1"/>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BioNTech with a written update of any meeting or discussion to be conducted with any Regulatory Authority related to the Combination Development Activities (whether in the Territory or the Retained Territory) no later than [***] Business Days after [***], and allow BioNTech and/or its designee (including any Third Party Collaborator or Licensor, if designated by BioNTech) to attend and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53"/>
        <w:spacing w:after="0"/>
        <w:rPr>
          <w:sz w:val="20"/>
          <w:szCs w:val="20"/>
          <w:color w:val="auto"/>
        </w:rPr>
      </w:pPr>
      <w:r>
        <w:rPr>
          <w:rFonts w:ascii="Times New Roman" w:cs="Times New Roman" w:eastAsia="Times New Roman" w:hAnsi="Times New Roman"/>
          <w:sz w:val="16"/>
          <w:szCs w:val="16"/>
          <w:color w:val="auto"/>
        </w:rPr>
        <w:t>6</w:t>
      </w:r>
    </w:p>
    <w:p>
      <w:pPr>
        <w:sectPr>
          <w:pgSz w:w="11900" w:h="16840" w:orient="portrait"/>
          <w:cols w:equalWidth="0" w:num="1">
            <w:col w:w="10367"/>
          </w:cols>
          <w:pgMar w:left="893" w:top="1440" w:right="640" w:bottom="1440" w:gutter="0" w:footer="0" w:header="0"/>
        </w:sectPr>
      </w:pPr>
    </w:p>
    <w:bookmarkStart w:id="260" w:name="page261"/>
    <w:bookmarkEnd w:id="260"/>
    <w:p>
      <w:pPr>
        <w:spacing w:after="0" w:line="91" w:lineRule="exact"/>
        <w:rPr>
          <w:sz w:val="20"/>
          <w:szCs w:val="20"/>
          <w:color w:val="auto"/>
        </w:rPr>
      </w:pPr>
    </w:p>
    <w:p>
      <w:pPr>
        <w:ind w:left="727"/>
        <w:spacing w:after="0"/>
        <w:rPr>
          <w:sz w:val="20"/>
          <w:szCs w:val="20"/>
          <w:color w:val="auto"/>
        </w:rPr>
      </w:pPr>
      <w:r>
        <w:rPr>
          <w:rFonts w:ascii="Times New Roman" w:cs="Times New Roman" w:eastAsia="Times New Roman" w:hAnsi="Times New Roman"/>
          <w:sz w:val="15"/>
          <w:szCs w:val="15"/>
          <w:color w:val="auto"/>
        </w:rPr>
        <w:t>participate in any such meeting or discussion unless prohibited or restricted by Applicable Laws or Regulatory Authority. [***].</w:t>
      </w:r>
    </w:p>
    <w:p>
      <w:pPr>
        <w:spacing w:after="0" w:line="171" w:lineRule="exact"/>
        <w:rPr>
          <w:sz w:val="20"/>
          <w:szCs w:val="20"/>
          <w:color w:val="auto"/>
        </w:rPr>
      </w:pPr>
    </w:p>
    <w:p>
      <w:pPr>
        <w:ind w:left="247" w:hanging="247"/>
        <w:spacing w:after="0"/>
        <w:tabs>
          <w:tab w:leader="none" w:pos="247"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Duality acknowledges and agrees that BioNTech may grant its Third Party Collaborator or Licensor access to:</w:t>
      </w:r>
    </w:p>
    <w:p>
      <w:pPr>
        <w:spacing w:after="0" w:line="171" w:lineRule="exact"/>
        <w:rPr>
          <w:rFonts w:ascii="Times New Roman" w:cs="Times New Roman" w:eastAsia="Times New Roman" w:hAnsi="Times New Roman"/>
          <w:sz w:val="15"/>
          <w:szCs w:val="15"/>
          <w:color w:val="auto"/>
        </w:rPr>
      </w:pPr>
    </w:p>
    <w:p>
      <w:pPr>
        <w:ind w:left="727" w:right="60" w:hanging="241"/>
        <w:spacing w:after="0" w:line="287" w:lineRule="auto"/>
        <w:tabs>
          <w:tab w:leader="none" w:pos="717" w:val="left"/>
        </w:tabs>
        <w:numPr>
          <w:ilvl w:val="1"/>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material written or electronic communication received by Duality, BioNTech or their Affiliates from Regulatory Authorities to the extent such communication is [***];</w:t>
      </w:r>
    </w:p>
    <w:p>
      <w:pPr>
        <w:spacing w:after="0" w:line="113" w:lineRule="exact"/>
        <w:rPr>
          <w:rFonts w:ascii="Times New Roman" w:cs="Times New Roman" w:eastAsia="Times New Roman" w:hAnsi="Times New Roman"/>
          <w:sz w:val="15"/>
          <w:szCs w:val="15"/>
          <w:color w:val="auto"/>
        </w:rPr>
      </w:pPr>
    </w:p>
    <w:p>
      <w:pPr>
        <w:ind w:left="727" w:right="40" w:hanging="241"/>
        <w:spacing w:after="0" w:line="287" w:lineRule="auto"/>
        <w:tabs>
          <w:tab w:leader="none" w:pos="727" w:val="left"/>
        </w:tabs>
        <w:numPr>
          <w:ilvl w:val="1"/>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proposed Regulatory Approvals or Regulatory Materials, submissions or communications with or for Regulatory Authorities that relate to the BioNTech Product for review and comment.</w:t>
      </w:r>
    </w:p>
    <w:p>
      <w:pPr>
        <w:spacing w:after="0" w:line="113" w:lineRule="exact"/>
        <w:rPr>
          <w:rFonts w:ascii="Times New Roman" w:cs="Times New Roman" w:eastAsia="Times New Roman" w:hAnsi="Times New Roman"/>
          <w:sz w:val="15"/>
          <w:szCs w:val="15"/>
          <w:color w:val="auto"/>
        </w:rPr>
      </w:pPr>
    </w:p>
    <w:p>
      <w:pPr>
        <w:ind w:left="247" w:right="60" w:hanging="247"/>
        <w:spacing w:after="0" w:line="287" w:lineRule="auto"/>
        <w:tabs>
          <w:tab w:leader="none" w:pos="247"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BioNTech acknowledges and agrees that BioNTech shall, to the extent BioNTech deems necessary for the Combination Development Activities, grant Duality the access to:</w:t>
      </w:r>
    </w:p>
    <w:p>
      <w:pPr>
        <w:spacing w:after="0" w:line="113" w:lineRule="exact"/>
        <w:rPr>
          <w:rFonts w:ascii="Times New Roman" w:cs="Times New Roman" w:eastAsia="Times New Roman" w:hAnsi="Times New Roman"/>
          <w:sz w:val="15"/>
          <w:szCs w:val="15"/>
          <w:color w:val="auto"/>
        </w:rPr>
      </w:pPr>
    </w:p>
    <w:p>
      <w:pPr>
        <w:ind w:left="727" w:right="40" w:hanging="241"/>
        <w:spacing w:after="0" w:line="287" w:lineRule="auto"/>
        <w:tabs>
          <w:tab w:leader="none" w:pos="717" w:val="left"/>
        </w:tabs>
        <w:numPr>
          <w:ilvl w:val="1"/>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material written or electronic communication received by the Third Party Collaborator or Licensor, BioNTech or their Affiliates from Regulatory Authorities to the extent such communication is [***];</w:t>
      </w:r>
    </w:p>
    <w:p>
      <w:pPr>
        <w:spacing w:after="0" w:line="113" w:lineRule="exact"/>
        <w:rPr>
          <w:rFonts w:ascii="Times New Roman" w:cs="Times New Roman" w:eastAsia="Times New Roman" w:hAnsi="Times New Roman"/>
          <w:sz w:val="15"/>
          <w:szCs w:val="15"/>
          <w:color w:val="auto"/>
        </w:rPr>
      </w:pPr>
    </w:p>
    <w:p>
      <w:pPr>
        <w:ind w:left="727" w:right="40" w:hanging="241"/>
        <w:spacing w:after="0" w:line="287" w:lineRule="auto"/>
        <w:tabs>
          <w:tab w:leader="none" w:pos="727" w:val="left"/>
        </w:tabs>
        <w:numPr>
          <w:ilvl w:val="1"/>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proposed Regulatory Approvals or Regulatory Materials, submissions or communications with or for Regulatory Authorities that relate to the Duality Licensed Product for review and comment.</w:t>
      </w:r>
    </w:p>
    <w:p>
      <w:pPr>
        <w:spacing w:after="0" w:line="113" w:lineRule="exact"/>
        <w:rPr>
          <w:rFonts w:ascii="Times New Roman" w:cs="Times New Roman" w:eastAsia="Times New Roman" w:hAnsi="Times New Roman"/>
          <w:sz w:val="15"/>
          <w:szCs w:val="15"/>
          <w:color w:val="auto"/>
        </w:rPr>
      </w:pPr>
    </w:p>
    <w:p>
      <w:pPr>
        <w:ind w:left="247" w:right="20" w:hanging="247"/>
        <w:spacing w:after="0" w:line="287" w:lineRule="auto"/>
        <w:tabs>
          <w:tab w:leader="none" w:pos="247"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Party shall provide to the other Party or its designee such support and input as the other Party may request that is reasonably necessary for the preparation, filing, and maintenance of Regulatory Materials or inspections by a Regulatory Authority in relation to the Combination Development Activities.</w:t>
      </w:r>
    </w:p>
    <w:p>
      <w:pPr>
        <w:spacing w:after="0" w:line="113" w:lineRule="exact"/>
        <w:rPr>
          <w:rFonts w:ascii="Times New Roman" w:cs="Times New Roman" w:eastAsia="Times New Roman" w:hAnsi="Times New Roman"/>
          <w:sz w:val="15"/>
          <w:szCs w:val="15"/>
          <w:color w:val="auto"/>
        </w:rPr>
      </w:pPr>
    </w:p>
    <w:p>
      <w:pPr>
        <w:jc w:val="both"/>
        <w:ind w:left="247" w:hanging="247"/>
        <w:spacing w:after="0" w:line="264" w:lineRule="auto"/>
        <w:tabs>
          <w:tab w:leader="none" w:pos="247"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Duality shall ensure that any Third Party manufacturers engaged by Duality (or its Affiliates) for the Manufacture and supply of the Duality Licensed Products that are the subject of any Combination Trial shall cooperate with Duality and BioNTech (or its designee(s)) to facilitate the submission and maintenance of any Regulatory Approvals or Regulatory Materials for such Combination Trial and the conduct of related regulatory activities in accordance with this Letter Agreement and the applicable terms of the applicable License Agreement.</w:t>
      </w:r>
    </w:p>
    <w:p>
      <w:pPr>
        <w:spacing w:after="0" w:line="130" w:lineRule="exact"/>
        <w:rPr>
          <w:rFonts w:ascii="Times New Roman" w:cs="Times New Roman" w:eastAsia="Times New Roman" w:hAnsi="Times New Roman"/>
          <w:sz w:val="15"/>
          <w:szCs w:val="15"/>
          <w:color w:val="auto"/>
        </w:rPr>
      </w:pPr>
    </w:p>
    <w:p>
      <w:pPr>
        <w:ind w:left="247" w:hanging="247"/>
        <w:spacing w:after="0"/>
        <w:tabs>
          <w:tab w:leader="none" w:pos="247"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1" w:lineRule="exact"/>
        <w:rPr>
          <w:rFonts w:ascii="Times New Roman" w:cs="Times New Roman" w:eastAsia="Times New Roman" w:hAnsi="Times New Roman"/>
          <w:sz w:val="15"/>
          <w:szCs w:val="15"/>
          <w:color w:val="auto"/>
        </w:rPr>
      </w:pPr>
    </w:p>
    <w:p>
      <w:pPr>
        <w:ind w:left="247" w:hanging="247"/>
        <w:spacing w:after="0" w:line="261" w:lineRule="auto"/>
        <w:tabs>
          <w:tab w:leader="none" w:pos="247"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BioNTech may at any time via the JSC decide to replace Duality as the sponsor of any Combination Trial, effective upon BioNTech’s written notice to Duality of such decision (an “</w:t>
      </w:r>
      <w:r>
        <w:rPr>
          <w:rFonts w:ascii="Times New Roman" w:cs="Times New Roman" w:eastAsia="Times New Roman" w:hAnsi="Times New Roman"/>
          <w:sz w:val="15"/>
          <w:szCs w:val="15"/>
          <w:b w:val="1"/>
          <w:bCs w:val="1"/>
          <w:color w:val="auto"/>
        </w:rPr>
        <w:t>Exercise Notice</w:t>
      </w:r>
      <w:r>
        <w:rPr>
          <w:rFonts w:ascii="Times New Roman" w:cs="Times New Roman" w:eastAsia="Times New Roman" w:hAnsi="Times New Roman"/>
          <w:sz w:val="15"/>
          <w:szCs w:val="15"/>
          <w:color w:val="auto"/>
        </w:rPr>
        <w:t>”) and replacement shall proceed in accordance with the provisions set out in Section 5.5 (Replacement) of the Duality TROP2 Agreement in the Territory or in both the Territory and the Retained Territory (as applicable). Following BioNTech’s replacement of Duality as sponsor for such Combination Trial, the Parties shall, through the JSC, amend Schedule 1 of this Letter Agreement and the Combination Development Plan accordingly, and, if applicable, the last paragraph of paragraph 8 of this Letter Agreement shall also apply.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53"/>
        <w:spacing w:after="0"/>
        <w:rPr>
          <w:sz w:val="20"/>
          <w:szCs w:val="20"/>
          <w:color w:val="auto"/>
        </w:rPr>
      </w:pPr>
      <w:r>
        <w:rPr>
          <w:rFonts w:ascii="Times New Roman" w:cs="Times New Roman" w:eastAsia="Times New Roman" w:hAnsi="Times New Roman"/>
          <w:sz w:val="16"/>
          <w:szCs w:val="16"/>
          <w:color w:val="auto"/>
        </w:rPr>
        <w:t>7</w:t>
      </w:r>
    </w:p>
    <w:p>
      <w:pPr>
        <w:sectPr>
          <w:pgSz w:w="11900" w:h="16840" w:orient="portrait"/>
          <w:cols w:equalWidth="0" w:num="1">
            <w:col w:w="10367"/>
          </w:cols>
          <w:pgMar w:left="893" w:top="1440" w:right="640" w:bottom="1440" w:gutter="0" w:footer="0" w:header="0"/>
        </w:sectPr>
      </w:pPr>
    </w:p>
    <w:bookmarkStart w:id="261" w:name="page262"/>
    <w:bookmarkEnd w:id="261"/>
    <w:p>
      <w:pPr>
        <w:spacing w:after="0" w:line="91" w:lineRule="exact"/>
        <w:rPr>
          <w:sz w:val="20"/>
          <w:szCs w:val="20"/>
          <w:color w:val="auto"/>
        </w:rPr>
      </w:pPr>
    </w:p>
    <w:p>
      <w:pPr>
        <w:jc w:val="both"/>
        <w:ind w:left="247" w:hanging="247"/>
        <w:spacing w:after="0" w:line="258" w:lineRule="auto"/>
        <w:tabs>
          <w:tab w:leader="none" w:pos="247"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Duality shall and hereby does assign and transfer, or shall cause the assignment and transfer, to BioNTech or its designee, Duality’s or any of its Affiliates entire right, title, and interest in and to all IND and other Regulatory Approvals and Regulatory Materials regarding Combination Trial(s) (whether in the Territory or the Retained Territory) that are owned, controlled or possessed by Duality or any of its Affiliates to BioNTech or its designee(s). In the event assignment or transfer is not permitted by Applicable Laws, such Regulatory Approvals and Regulatory Materials shall be held by Duality for the benefit of BioNTech or its designee(s) and Duality shall, and hereby does, provide BioNTech with a right of reference with respect to any such Regulatory Approvals and Regulatory Materials at no cost to BioNTech. Duality shall take such other actions and execute such other instruments, assignments, and documents as may be reasonably necessary to effect, evidence, register, and record the transfer, assignment, or other conveyance of rights under this paragraph 29 to BioNTech.</w:t>
      </w:r>
    </w:p>
    <w:p>
      <w:pPr>
        <w:spacing w:after="0" w:line="137" w:lineRule="exact"/>
        <w:rPr>
          <w:rFonts w:ascii="Times New Roman" w:cs="Times New Roman" w:eastAsia="Times New Roman" w:hAnsi="Times New Roman"/>
          <w:sz w:val="15"/>
          <w:szCs w:val="15"/>
          <w:color w:val="auto"/>
        </w:rPr>
      </w:pPr>
    </w:p>
    <w:p>
      <w:pPr>
        <w:ind w:left="247" w:right="40" w:hanging="247"/>
        <w:spacing w:after="0" w:line="287" w:lineRule="auto"/>
        <w:tabs>
          <w:tab w:leader="none" w:pos="247"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clarity, paragraphs 20 to 26 of this Letter Agreement shall apply where Duality has not Opted-In to such Combination Trial(s) and such Combination Development Activities are required to be undertaken by Duality by Applicable Law.</w:t>
      </w:r>
    </w:p>
    <w:p>
      <w:pPr>
        <w:spacing w:after="0" w:line="109" w:lineRule="exact"/>
        <w:rPr>
          <w:rFonts w:ascii="Times New Roman" w:cs="Times New Roman" w:eastAsia="Times New Roman" w:hAnsi="Times New Roman"/>
          <w:sz w:val="15"/>
          <w:szCs w:val="15"/>
          <w:color w:val="auto"/>
        </w:rPr>
      </w:pPr>
    </w:p>
    <w:p>
      <w:pPr>
        <w:ind w:left="247"/>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Reimbursement of Costs and other Financial Terms</w:t>
      </w:r>
    </w:p>
    <w:p>
      <w:pPr>
        <w:spacing w:after="0" w:line="175" w:lineRule="exact"/>
        <w:rPr>
          <w:rFonts w:ascii="Times New Roman" w:cs="Times New Roman" w:eastAsia="Times New Roman" w:hAnsi="Times New Roman"/>
          <w:sz w:val="15"/>
          <w:szCs w:val="15"/>
          <w:color w:val="auto"/>
        </w:rPr>
      </w:pPr>
    </w:p>
    <w:p>
      <w:pPr>
        <w:ind w:left="247" w:hanging="247"/>
        <w:spacing w:after="0"/>
        <w:tabs>
          <w:tab w:leader="none" w:pos="247"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following defined terms shall have the following meanings:</w:t>
      </w:r>
    </w:p>
    <w:p>
      <w:pPr>
        <w:spacing w:after="0" w:line="167" w:lineRule="exact"/>
        <w:rPr>
          <w:rFonts w:ascii="Times New Roman" w:cs="Times New Roman" w:eastAsia="Times New Roman" w:hAnsi="Times New Roman"/>
          <w:sz w:val="15"/>
          <w:szCs w:val="15"/>
          <w:color w:val="auto"/>
        </w:rPr>
      </w:pPr>
    </w:p>
    <w:p>
      <w:pPr>
        <w:ind w:left="727" w:hanging="241"/>
        <w:spacing w:after="0"/>
        <w:tabs>
          <w:tab w:leader="none" w:pos="727" w:val="left"/>
        </w:tabs>
        <w:numPr>
          <w:ilvl w:val="1"/>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Duality Contribution</w:t>
      </w:r>
      <w:r>
        <w:rPr>
          <w:rFonts w:ascii="Times New Roman" w:cs="Times New Roman" w:eastAsia="Times New Roman" w:hAnsi="Times New Roman"/>
          <w:sz w:val="15"/>
          <w:szCs w:val="15"/>
          <w:color w:val="auto"/>
        </w:rPr>
        <w:t>” means [***].</w:t>
      </w:r>
    </w:p>
    <w:p>
      <w:pPr>
        <w:spacing w:after="0" w:line="171" w:lineRule="exact"/>
        <w:rPr>
          <w:rFonts w:ascii="Times New Roman" w:cs="Times New Roman" w:eastAsia="Times New Roman" w:hAnsi="Times New Roman"/>
          <w:sz w:val="15"/>
          <w:szCs w:val="15"/>
          <w:color w:val="auto"/>
        </w:rPr>
      </w:pPr>
    </w:p>
    <w:p>
      <w:pPr>
        <w:ind w:left="727" w:hanging="241"/>
        <w:spacing w:after="0"/>
        <w:tabs>
          <w:tab w:leader="none" w:pos="727" w:val="left"/>
        </w:tabs>
        <w:numPr>
          <w:ilvl w:val="1"/>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BioNTech Contribution</w:t>
      </w:r>
      <w:r>
        <w:rPr>
          <w:rFonts w:ascii="Times New Roman" w:cs="Times New Roman" w:eastAsia="Times New Roman" w:hAnsi="Times New Roman"/>
          <w:sz w:val="15"/>
          <w:szCs w:val="15"/>
          <w:color w:val="auto"/>
        </w:rPr>
        <w:t>” means [***].</w:t>
      </w:r>
    </w:p>
    <w:p>
      <w:pPr>
        <w:spacing w:after="0" w:line="171" w:lineRule="exact"/>
        <w:rPr>
          <w:rFonts w:ascii="Times New Roman" w:cs="Times New Roman" w:eastAsia="Times New Roman" w:hAnsi="Times New Roman"/>
          <w:sz w:val="15"/>
          <w:szCs w:val="15"/>
          <w:color w:val="auto"/>
        </w:rPr>
      </w:pPr>
    </w:p>
    <w:p>
      <w:pPr>
        <w:jc w:val="both"/>
        <w:ind w:left="727" w:right="20" w:hanging="241"/>
        <w:spacing w:after="0" w:line="266" w:lineRule="auto"/>
        <w:tabs>
          <w:tab w:leader="none" w:pos="717" w:val="left"/>
        </w:tabs>
        <w:numPr>
          <w:ilvl w:val="1"/>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Retained Territory Patient Enrollment Cost</w:t>
      </w:r>
      <w:r>
        <w:rPr>
          <w:rFonts w:ascii="Times New Roman" w:cs="Times New Roman" w:eastAsia="Times New Roman" w:hAnsi="Times New Roman"/>
          <w:sz w:val="15"/>
          <w:szCs w:val="15"/>
          <w:color w:val="auto"/>
        </w:rPr>
        <w:t xml:space="preserve"> ” means the [***] fee (in United States Dollars) for each patient enrolled in such Combination Trial in the Retained Territory. The Retained Territory Patient Enrollment Cost that is used to calculate the Total Combination Development Cost and Duality Combination Development Cost in accordance with paragraph 31(e) of this Letter Agreement is set forth in Schedule 1 (as updated from time to time in accordance with paragraph 10). [***]</w:t>
      </w:r>
    </w:p>
    <w:p>
      <w:pPr>
        <w:spacing w:after="0" w:line="124" w:lineRule="exact"/>
        <w:rPr>
          <w:rFonts w:ascii="Times New Roman" w:cs="Times New Roman" w:eastAsia="Times New Roman" w:hAnsi="Times New Roman"/>
          <w:sz w:val="15"/>
          <w:szCs w:val="15"/>
          <w:color w:val="auto"/>
        </w:rPr>
      </w:pPr>
    </w:p>
    <w:p>
      <w:pPr>
        <w:jc w:val="both"/>
        <w:ind w:left="727" w:right="20" w:hanging="241"/>
        <w:spacing w:after="0" w:line="273" w:lineRule="auto"/>
        <w:tabs>
          <w:tab w:leader="none" w:pos="727" w:val="left"/>
        </w:tabs>
        <w:numPr>
          <w:ilvl w:val="1"/>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Territory Patient Enrollment Cost</w:t>
      </w:r>
      <w:r>
        <w:rPr>
          <w:rFonts w:ascii="Times New Roman" w:cs="Times New Roman" w:eastAsia="Times New Roman" w:hAnsi="Times New Roman"/>
          <w:sz w:val="15"/>
          <w:szCs w:val="15"/>
          <w:color w:val="auto"/>
        </w:rPr>
        <w:t>”, means, in respect of a Duality Combination Trial any and all costs and expenses that are reasonably incurred by or on behalf of Duality in conducting the Combination Development Activities with respect to such Combination Trial in Territory, in accordance with the applicable Combination Development Plan and solely to the extent expressly set out in the applicable Combination Development Budget. [***]</w:t>
      </w:r>
    </w:p>
    <w:p>
      <w:pPr>
        <w:spacing w:after="0" w:line="118" w:lineRule="exact"/>
        <w:rPr>
          <w:rFonts w:ascii="Times New Roman" w:cs="Times New Roman" w:eastAsia="Times New Roman" w:hAnsi="Times New Roman"/>
          <w:sz w:val="15"/>
          <w:szCs w:val="15"/>
          <w:color w:val="auto"/>
        </w:rPr>
      </w:pPr>
    </w:p>
    <w:p>
      <w:pPr>
        <w:ind w:left="727" w:right="20" w:hanging="241"/>
        <w:spacing w:after="0" w:line="292" w:lineRule="auto"/>
        <w:tabs>
          <w:tab w:leader="none" w:pos="717" w:val="left"/>
        </w:tabs>
        <w:numPr>
          <w:ilvl w:val="1"/>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Total Combination Development Costs</w:t>
      </w:r>
      <w:r>
        <w:rPr>
          <w:rFonts w:ascii="Times New Roman" w:cs="Times New Roman" w:eastAsia="Times New Roman" w:hAnsi="Times New Roman"/>
          <w:sz w:val="15"/>
          <w:szCs w:val="15"/>
          <w:color w:val="auto"/>
        </w:rPr>
        <w:t xml:space="preserve">” and “ </w:t>
      </w:r>
      <w:r>
        <w:rPr>
          <w:rFonts w:ascii="Times New Roman" w:cs="Times New Roman" w:eastAsia="Times New Roman" w:hAnsi="Times New Roman"/>
          <w:sz w:val="15"/>
          <w:szCs w:val="15"/>
          <w:b w:val="1"/>
          <w:bCs w:val="1"/>
          <w:color w:val="auto"/>
        </w:rPr>
        <w:t>Duality Combination Development Costs</w:t>
      </w:r>
      <w:r>
        <w:rPr>
          <w:rFonts w:ascii="Times New Roman" w:cs="Times New Roman" w:eastAsia="Times New Roman" w:hAnsi="Times New Roman"/>
          <w:sz w:val="15"/>
          <w:szCs w:val="15"/>
          <w:color w:val="auto"/>
        </w:rPr>
        <w:t>”, subject to the final consolidation in accordance with paragraph 34, shall be determined according to [***]</w:t>
      </w:r>
    </w:p>
    <w:p>
      <w:pPr>
        <w:spacing w:after="0" w:line="109" w:lineRule="exact"/>
        <w:rPr>
          <w:rFonts w:ascii="Times New Roman" w:cs="Times New Roman" w:eastAsia="Times New Roman" w:hAnsi="Times New Roman"/>
          <w:sz w:val="15"/>
          <w:szCs w:val="15"/>
          <w:color w:val="auto"/>
        </w:rPr>
      </w:pPr>
    </w:p>
    <w:p>
      <w:pPr>
        <w:ind w:left="727"/>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1" w:lineRule="exact"/>
        <w:rPr>
          <w:rFonts w:ascii="Times New Roman" w:cs="Times New Roman" w:eastAsia="Times New Roman" w:hAnsi="Times New Roman"/>
          <w:sz w:val="15"/>
          <w:szCs w:val="15"/>
          <w:color w:val="auto"/>
        </w:rPr>
      </w:pPr>
    </w:p>
    <w:p>
      <w:pPr>
        <w:ind w:left="727"/>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1" w:lineRule="exact"/>
        <w:rPr>
          <w:rFonts w:ascii="Times New Roman" w:cs="Times New Roman" w:eastAsia="Times New Roman" w:hAnsi="Times New Roman"/>
          <w:sz w:val="15"/>
          <w:szCs w:val="15"/>
          <w:color w:val="auto"/>
        </w:rPr>
      </w:pPr>
    </w:p>
    <w:p>
      <w:pPr>
        <w:ind w:left="247" w:hanging="247"/>
        <w:spacing w:after="0"/>
        <w:tabs>
          <w:tab w:leader="none" w:pos="247"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any Combination Trial:</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53"/>
        <w:spacing w:after="0"/>
        <w:rPr>
          <w:sz w:val="20"/>
          <w:szCs w:val="20"/>
          <w:color w:val="auto"/>
        </w:rPr>
      </w:pPr>
      <w:r>
        <w:rPr>
          <w:rFonts w:ascii="Times New Roman" w:cs="Times New Roman" w:eastAsia="Times New Roman" w:hAnsi="Times New Roman"/>
          <w:sz w:val="16"/>
          <w:szCs w:val="16"/>
          <w:color w:val="auto"/>
        </w:rPr>
        <w:t>8</w:t>
      </w:r>
    </w:p>
    <w:p>
      <w:pPr>
        <w:sectPr>
          <w:pgSz w:w="11900" w:h="16840" w:orient="portrait"/>
          <w:cols w:equalWidth="0" w:num="1">
            <w:col w:w="10367"/>
          </w:cols>
          <w:pgMar w:left="893" w:top="1440" w:right="640" w:bottom="1440" w:gutter="0" w:footer="0" w:header="0"/>
        </w:sectPr>
      </w:pPr>
    </w:p>
    <w:bookmarkStart w:id="262" w:name="page263"/>
    <w:bookmarkEnd w:id="262"/>
    <w:p>
      <w:pPr>
        <w:spacing w:after="0" w:line="91" w:lineRule="exact"/>
        <w:rPr>
          <w:sz w:val="20"/>
          <w:szCs w:val="20"/>
          <w:color w:val="auto"/>
        </w:rPr>
      </w:pPr>
    </w:p>
    <w:p>
      <w:pPr>
        <w:jc w:val="both"/>
        <w:ind w:left="727" w:right="20" w:hanging="241"/>
        <w:spacing w:after="0" w:line="270" w:lineRule="auto"/>
        <w:tabs>
          <w:tab w:leader="none" w:pos="727" w:val="left"/>
        </w:tabs>
        <w:numPr>
          <w:ilvl w:val="1"/>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such Combination Trial is an Opted-In Trial, as between Duality and BioNTech: (i) the Duality Combination Development Costs shall be borne by Duality; and (ii) the portion of the Total Combination Development Costs that are not Duality Combination Development Costs shall be borne by BioNTech (itself or together with Third Party Collaborators);</w:t>
      </w:r>
    </w:p>
    <w:p>
      <w:pPr>
        <w:spacing w:after="0" w:line="125" w:lineRule="exact"/>
        <w:rPr>
          <w:rFonts w:ascii="Times New Roman" w:cs="Times New Roman" w:eastAsia="Times New Roman" w:hAnsi="Times New Roman"/>
          <w:sz w:val="15"/>
          <w:szCs w:val="15"/>
          <w:color w:val="auto"/>
        </w:rPr>
      </w:pPr>
    </w:p>
    <w:p>
      <w:pPr>
        <w:ind w:left="727" w:right="40" w:hanging="241"/>
        <w:spacing w:after="0" w:line="287" w:lineRule="auto"/>
        <w:tabs>
          <w:tab w:leader="none" w:pos="727" w:val="left"/>
        </w:tabs>
        <w:numPr>
          <w:ilvl w:val="1"/>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such Combination Trial is not an Opted-In Trial, as between Duality and BioNTech, [***] shall be borne by BioNTech (itself or together with Third Party Collaborators);</w:t>
      </w:r>
    </w:p>
    <w:p>
      <w:pPr>
        <w:spacing w:after="0" w:line="113" w:lineRule="exact"/>
        <w:rPr>
          <w:rFonts w:ascii="Times New Roman" w:cs="Times New Roman" w:eastAsia="Times New Roman" w:hAnsi="Times New Roman"/>
          <w:sz w:val="15"/>
          <w:szCs w:val="15"/>
          <w:color w:val="auto"/>
        </w:rPr>
      </w:pPr>
    </w:p>
    <w:p>
      <w:pPr>
        <w:ind w:left="727" w:hanging="241"/>
        <w:spacing w:after="0"/>
        <w:tabs>
          <w:tab w:leader="none" w:pos="727" w:val="left"/>
        </w:tabs>
        <w:numPr>
          <w:ilvl w:val="1"/>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in subparagraph (a), if such Combination Trial is an Opted-In Trial, [***];</w:t>
      </w:r>
    </w:p>
    <w:p>
      <w:pPr>
        <w:spacing w:after="0" w:line="171" w:lineRule="exact"/>
        <w:rPr>
          <w:rFonts w:ascii="Times New Roman" w:cs="Times New Roman" w:eastAsia="Times New Roman" w:hAnsi="Times New Roman"/>
          <w:sz w:val="15"/>
          <w:szCs w:val="15"/>
          <w:color w:val="auto"/>
        </w:rPr>
      </w:pPr>
    </w:p>
    <w:p>
      <w:pPr>
        <w:ind w:left="727" w:hanging="241"/>
        <w:spacing w:after="0"/>
        <w:tabs>
          <w:tab w:leader="none" w:pos="727" w:val="left"/>
        </w:tabs>
        <w:numPr>
          <w:ilvl w:val="1"/>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1" w:lineRule="exact"/>
        <w:rPr>
          <w:rFonts w:ascii="Times New Roman" w:cs="Times New Roman" w:eastAsia="Times New Roman" w:hAnsi="Times New Roman"/>
          <w:sz w:val="15"/>
          <w:szCs w:val="15"/>
          <w:color w:val="auto"/>
        </w:rPr>
      </w:pPr>
    </w:p>
    <w:p>
      <w:pPr>
        <w:ind w:left="727" w:hanging="241"/>
        <w:spacing w:after="0"/>
        <w:tabs>
          <w:tab w:leader="none" w:pos="727" w:val="left"/>
        </w:tabs>
        <w:numPr>
          <w:ilvl w:val="1"/>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1" w:lineRule="exact"/>
        <w:rPr>
          <w:rFonts w:ascii="Times New Roman" w:cs="Times New Roman" w:eastAsia="Times New Roman" w:hAnsi="Times New Roman"/>
          <w:sz w:val="15"/>
          <w:szCs w:val="15"/>
          <w:color w:val="auto"/>
        </w:rPr>
      </w:pPr>
    </w:p>
    <w:p>
      <w:pPr>
        <w:ind w:left="247" w:hanging="247"/>
        <w:spacing w:after="0"/>
        <w:tabs>
          <w:tab w:leader="none" w:pos="247"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Combination Trial is not an Opted-In Trial, Duality may [***].</w:t>
      </w:r>
    </w:p>
    <w:p>
      <w:pPr>
        <w:spacing w:after="0" w:line="171" w:lineRule="exact"/>
        <w:rPr>
          <w:rFonts w:ascii="Times New Roman" w:cs="Times New Roman" w:eastAsia="Times New Roman" w:hAnsi="Times New Roman"/>
          <w:sz w:val="15"/>
          <w:szCs w:val="15"/>
          <w:color w:val="auto"/>
        </w:rPr>
      </w:pPr>
    </w:p>
    <w:p>
      <w:pPr>
        <w:jc w:val="both"/>
        <w:ind w:left="247" w:right="20" w:hanging="247"/>
        <w:spacing w:after="0" w:line="270" w:lineRule="auto"/>
        <w:tabs>
          <w:tab w:leader="none" w:pos="247"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any Combination Trial, [***]. Following the completion or earlier termination of a Combination Trial, the Parties shall perform a final consolidation of Total Combination Development Costs and Duality Combination Development Costs with respect to such Combination Trial in accordance with a process to be mutually developed and agreed in good faith by the finance teams of the Parties. [***]</w:t>
      </w:r>
    </w:p>
    <w:p>
      <w:pPr>
        <w:spacing w:after="0" w:line="121" w:lineRule="exact"/>
        <w:rPr>
          <w:rFonts w:ascii="Times New Roman" w:cs="Times New Roman" w:eastAsia="Times New Roman" w:hAnsi="Times New Roman"/>
          <w:sz w:val="15"/>
          <w:szCs w:val="15"/>
          <w:color w:val="auto"/>
        </w:rPr>
      </w:pPr>
    </w:p>
    <w:p>
      <w:pPr>
        <w:jc w:val="both"/>
        <w:ind w:left="247" w:hanging="247"/>
        <w:spacing w:after="0" w:line="259" w:lineRule="auto"/>
        <w:tabs>
          <w:tab w:leader="none" w:pos="247"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Invoices issued by Duality to BioNTech under this Letter Agreement shall contain all of the information set forth in Section 9.2 ( </w:t>
      </w:r>
      <w:r>
        <w:rPr>
          <w:rFonts w:ascii="Times New Roman" w:cs="Times New Roman" w:eastAsia="Times New Roman" w:hAnsi="Times New Roman"/>
          <w:sz w:val="15"/>
          <w:szCs w:val="15"/>
          <w:i w:val="1"/>
          <w:iCs w:val="1"/>
          <w:color w:val="auto"/>
        </w:rPr>
        <w:t>Invoices</w:t>
      </w:r>
      <w:r>
        <w:rPr>
          <w:rFonts w:ascii="Times New Roman" w:cs="Times New Roman" w:eastAsia="Times New Roman" w:hAnsi="Times New Roman"/>
          <w:sz w:val="15"/>
          <w:szCs w:val="15"/>
          <w:color w:val="auto"/>
        </w:rPr>
        <w:t xml:space="preserve">) of the Duality TROP2 Agreement, which Section is incorporated herein by reference, </w:t>
      </w:r>
      <w:r>
        <w:rPr>
          <w:rFonts w:ascii="Times New Roman" w:cs="Times New Roman" w:eastAsia="Times New Roman" w:hAnsi="Times New Roman"/>
          <w:sz w:val="15"/>
          <w:szCs w:val="15"/>
          <w:i w:val="1"/>
          <w:iCs w:val="1"/>
          <w:color w:val="auto"/>
        </w:rPr>
        <w:t>mutatis mutandis</w:t>
      </w:r>
      <w:r>
        <w:rPr>
          <w:rFonts w:ascii="Times New Roman" w:cs="Times New Roman" w:eastAsia="Times New Roman" w:hAnsi="Times New Roman"/>
          <w:sz w:val="15"/>
          <w:szCs w:val="15"/>
          <w:color w:val="auto"/>
        </w:rPr>
        <w:t>. The Payor shall pay to the Payee amounts due within [***] after the receipt of the applicable invoice issued by the other Party. The provisions of Sections 9.3 (</w:t>
      </w:r>
      <w:r>
        <w:rPr>
          <w:rFonts w:ascii="Times New Roman" w:cs="Times New Roman" w:eastAsia="Times New Roman" w:hAnsi="Times New Roman"/>
          <w:sz w:val="15"/>
          <w:szCs w:val="15"/>
          <w:i w:val="1"/>
          <w:iCs w:val="1"/>
          <w:color w:val="auto"/>
        </w:rPr>
        <w:t>Exchange Rate; Manner and Place of Payment</w:t>
      </w:r>
      <w:r>
        <w:rPr>
          <w:rFonts w:ascii="Times New Roman" w:cs="Times New Roman" w:eastAsia="Times New Roman" w:hAnsi="Times New Roman"/>
          <w:sz w:val="15"/>
          <w:szCs w:val="15"/>
          <w:color w:val="auto"/>
        </w:rPr>
        <w:t>), 9.4 (</w:t>
      </w:r>
      <w:r>
        <w:rPr>
          <w:rFonts w:ascii="Times New Roman" w:cs="Times New Roman" w:eastAsia="Times New Roman" w:hAnsi="Times New Roman"/>
          <w:sz w:val="15"/>
          <w:szCs w:val="15"/>
          <w:i w:val="1"/>
          <w:iCs w:val="1"/>
          <w:color w:val="auto"/>
        </w:rPr>
        <w:t>Taxes</w:t>
      </w:r>
      <w:r>
        <w:rPr>
          <w:rFonts w:ascii="Times New Roman" w:cs="Times New Roman" w:eastAsia="Times New Roman" w:hAnsi="Times New Roman"/>
          <w:sz w:val="15"/>
          <w:szCs w:val="15"/>
          <w:color w:val="auto"/>
        </w:rPr>
        <w:t>), 9.5 (</w:t>
      </w:r>
      <w:r>
        <w:rPr>
          <w:rFonts w:ascii="Times New Roman" w:cs="Times New Roman" w:eastAsia="Times New Roman" w:hAnsi="Times New Roman"/>
          <w:sz w:val="15"/>
          <w:szCs w:val="15"/>
          <w:i w:val="1"/>
          <w:iCs w:val="1"/>
          <w:color w:val="auto"/>
        </w:rPr>
        <w:t>Blocked Currency</w:t>
      </w:r>
      <w:r>
        <w:rPr>
          <w:rFonts w:ascii="Times New Roman" w:cs="Times New Roman" w:eastAsia="Times New Roman" w:hAnsi="Times New Roman"/>
          <w:sz w:val="15"/>
          <w:szCs w:val="15"/>
          <w:color w:val="auto"/>
        </w:rPr>
        <w:t>) and 9.7 (</w:t>
      </w:r>
      <w:r>
        <w:rPr>
          <w:rFonts w:ascii="Times New Roman" w:cs="Times New Roman" w:eastAsia="Times New Roman" w:hAnsi="Times New Roman"/>
          <w:sz w:val="15"/>
          <w:szCs w:val="15"/>
          <w:i w:val="1"/>
          <w:iCs w:val="1"/>
          <w:color w:val="auto"/>
        </w:rPr>
        <w:t>Late Payments</w:t>
      </w:r>
      <w:r>
        <w:rPr>
          <w:rFonts w:ascii="Times New Roman" w:cs="Times New Roman" w:eastAsia="Times New Roman" w:hAnsi="Times New Roman"/>
          <w:sz w:val="15"/>
          <w:szCs w:val="15"/>
          <w:color w:val="auto"/>
        </w:rPr>
        <w:t xml:space="preserve">) of the Duality TROP2 Agreement shall apply to such payments and are incorporated herein by reference, </w:t>
      </w:r>
      <w:r>
        <w:rPr>
          <w:rFonts w:ascii="Times New Roman" w:cs="Times New Roman" w:eastAsia="Times New Roman" w:hAnsi="Times New Roman"/>
          <w:sz w:val="15"/>
          <w:szCs w:val="15"/>
          <w:i w:val="1"/>
          <w:iCs w:val="1"/>
          <w:color w:val="auto"/>
        </w:rPr>
        <w:t>mutatis mutandis</w:t>
      </w:r>
      <w:r>
        <w:rPr>
          <w:rFonts w:ascii="Times New Roman" w:cs="Times New Roman" w:eastAsia="Times New Roman" w:hAnsi="Times New Roman"/>
          <w:sz w:val="15"/>
          <w:szCs w:val="15"/>
          <w:color w:val="auto"/>
        </w:rPr>
        <w:t>, provided that references to License Payments shall be construed as such payments under this Letter Agreement and, with respect to any amounts payable by Duality to BioNTech, any reference to “Licensee” in such incorporated provisions shall be construed as a reference to “Duality”, and any reference to “Duality” in such incorporated provisions shall be construed as a reference to “Licensee”.</w:t>
      </w:r>
    </w:p>
    <w:p>
      <w:pPr>
        <w:spacing w:after="0" w:line="136" w:lineRule="exact"/>
        <w:rPr>
          <w:rFonts w:ascii="Times New Roman" w:cs="Times New Roman" w:eastAsia="Times New Roman" w:hAnsi="Times New Roman"/>
          <w:sz w:val="15"/>
          <w:szCs w:val="15"/>
          <w:color w:val="auto"/>
        </w:rPr>
      </w:pPr>
    </w:p>
    <w:p>
      <w:pPr>
        <w:jc w:val="both"/>
        <w:ind w:left="247" w:hanging="247"/>
        <w:spacing w:after="0" w:line="258" w:lineRule="auto"/>
        <w:tabs>
          <w:tab w:leader="none" w:pos="247"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Party shall keep complete, fair and true books of accounts and records for the purpose of determining and confirming the Additional CRO Costs and other costs under this Letter Agreement. Such books and records shall be kept for at least [***] following the end of the [***] to which they pertain. Subject to last sentence of this paragraph 36, the auditing Party shall have the right to cause an independent, certified public accountant reasonably acceptable to other Party to audit such records to confirm such payments and costs for a period covering not more than the preceding [***], provided that (a) such audit shall not be more frequent than [***], and (b) once such accountant has conducted a review and audit of any records pursuant to this paragraph 36 in respect of any given period, it may not subsequently reinspect such records with respect to such period, unless, in each case of (a) and (b), for cause. Prior to engagement by an independent, certified public accountant, such accountant must have executed and delivered to the audited Party a confidentiality agreement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33"/>
        <w:spacing w:after="0"/>
        <w:rPr>
          <w:sz w:val="20"/>
          <w:szCs w:val="20"/>
          <w:color w:val="auto"/>
        </w:rPr>
      </w:pPr>
      <w:r>
        <w:rPr>
          <w:rFonts w:ascii="Times New Roman" w:cs="Times New Roman" w:eastAsia="Times New Roman" w:hAnsi="Times New Roman"/>
          <w:sz w:val="16"/>
          <w:szCs w:val="16"/>
          <w:color w:val="auto"/>
        </w:rPr>
        <w:t>9</w:t>
      </w:r>
    </w:p>
    <w:p>
      <w:pPr>
        <w:sectPr>
          <w:pgSz w:w="11900" w:h="16840" w:orient="portrait"/>
          <w:cols w:equalWidth="0" w:num="1">
            <w:col w:w="10347"/>
          </w:cols>
          <w:pgMar w:left="893" w:top="1440" w:right="660" w:bottom="1440" w:gutter="0" w:footer="0" w:header="0"/>
        </w:sectPr>
      </w:pPr>
    </w:p>
    <w:bookmarkStart w:id="263" w:name="page264"/>
    <w:bookmarkEnd w:id="263"/>
    <w:p>
      <w:pPr>
        <w:spacing w:after="0" w:line="91" w:lineRule="exact"/>
        <w:rPr>
          <w:sz w:val="20"/>
          <w:szCs w:val="20"/>
          <w:color w:val="auto"/>
        </w:rPr>
      </w:pPr>
    </w:p>
    <w:p>
      <w:pPr>
        <w:jc w:val="both"/>
        <w:ind w:left="247"/>
        <w:spacing w:after="0" w:line="259" w:lineRule="auto"/>
        <w:rPr>
          <w:sz w:val="20"/>
          <w:szCs w:val="20"/>
          <w:color w:val="auto"/>
        </w:rPr>
      </w:pPr>
      <w:r>
        <w:rPr>
          <w:rFonts w:ascii="Times New Roman" w:cs="Times New Roman" w:eastAsia="Times New Roman" w:hAnsi="Times New Roman"/>
          <w:sz w:val="15"/>
          <w:szCs w:val="15"/>
          <w:color w:val="auto"/>
        </w:rPr>
        <w:t>as reasonably requested by the audited Party, which will include provisions limiting such accountant’s disclosure to the auditing Party to only the results and basis for such results of such inspection. Such audits may be exercised during normal business hours upon reasonable prior written notice to the audited Party. Prompt adjustments shall be made by the Parties to reflect the results of such audit. The auditing Party shall bear the full cost of such audit unless such audit discloses irregularities leading to an underpayment or overpayment by either Party of more than [***] of the amount due under this Letter Agreement for any applicable [***], in which case, the owing Party shall bear the cost of such audit and any undisputed amounts shall be settled promptly. Any disputed amounts shall be settled in accordance with paragraph 77 of this Letter Agreement. [***]</w:t>
      </w:r>
    </w:p>
    <w:p>
      <w:pPr>
        <w:spacing w:after="0" w:line="133" w:lineRule="exact"/>
        <w:rPr>
          <w:sz w:val="20"/>
          <w:szCs w:val="20"/>
          <w:color w:val="auto"/>
        </w:rPr>
      </w:pPr>
    </w:p>
    <w:p>
      <w:pPr>
        <w:ind w:left="247" w:hanging="247"/>
        <w:spacing w:after="0"/>
        <w:tabs>
          <w:tab w:leader="none" w:pos="247"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Confidentiality; Publications. </w:t>
      </w:r>
      <w:r>
        <w:rPr>
          <w:rFonts w:ascii="Times New Roman" w:cs="Times New Roman" w:eastAsia="Times New Roman" w:hAnsi="Times New Roman"/>
          <w:sz w:val="15"/>
          <w:szCs w:val="15"/>
          <w:color w:val="auto"/>
        </w:rPr>
        <w:t>Except to the extent expressly authorized by this Letter Agreement or otherwise agreed in writing by the Parties, the terms of Section</w:t>
      </w:r>
    </w:p>
    <w:p>
      <w:pPr>
        <w:spacing w:after="0" w:line="28" w:lineRule="exact"/>
        <w:rPr>
          <w:rFonts w:ascii="Times New Roman" w:cs="Times New Roman" w:eastAsia="Times New Roman" w:hAnsi="Times New Roman"/>
          <w:sz w:val="15"/>
          <w:szCs w:val="15"/>
          <w:color w:val="auto"/>
        </w:rPr>
      </w:pPr>
    </w:p>
    <w:p>
      <w:pPr>
        <w:ind w:left="247"/>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 (Confidentiality) of the respective License Agreement applies to performance of the respective Combination Development Activities, provided that:</w:t>
      </w:r>
    </w:p>
    <w:p>
      <w:pPr>
        <w:spacing w:after="0" w:line="156" w:lineRule="exact"/>
        <w:rPr>
          <w:rFonts w:ascii="Times New Roman" w:cs="Times New Roman" w:eastAsia="Times New Roman" w:hAnsi="Times New Roman"/>
          <w:sz w:val="15"/>
          <w:szCs w:val="15"/>
          <w:color w:val="auto"/>
        </w:rPr>
      </w:pPr>
    </w:p>
    <w:p>
      <w:pPr>
        <w:ind w:left="727" w:hanging="241"/>
        <w:spacing w:after="0"/>
        <w:tabs>
          <w:tab w:leader="none" w:pos="727" w:val="left"/>
        </w:tabs>
        <w:numPr>
          <w:ilvl w:val="1"/>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Sections 10.2(b) and 10.2(c) (Exceptions) of the License Agreements shall not apply to the [***]; and</w:t>
      </w:r>
    </w:p>
    <w:p>
      <w:pPr>
        <w:spacing w:after="0" w:line="171" w:lineRule="exact"/>
        <w:rPr>
          <w:rFonts w:ascii="Times New Roman" w:cs="Times New Roman" w:eastAsia="Times New Roman" w:hAnsi="Times New Roman"/>
          <w:sz w:val="15"/>
          <w:szCs w:val="15"/>
          <w:color w:val="auto"/>
        </w:rPr>
      </w:pPr>
    </w:p>
    <w:p>
      <w:pPr>
        <w:jc w:val="both"/>
        <w:ind w:left="727" w:hanging="241"/>
        <w:spacing w:after="0" w:line="264" w:lineRule="auto"/>
        <w:tabs>
          <w:tab w:leader="none" w:pos="727" w:val="left"/>
        </w:tabs>
        <w:numPr>
          <w:ilvl w:val="1"/>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paragraph 57 of this Letter Agreement with respect to Safety Data, all information (including Development Data, and reports provided by Duality) relating to any Combination Development Activities, including any [***], will be deemed to be solely BioNTech’s Confidential Information. BioNTech shall have the right to determine the method of transferring its Confidential Information to Duality, any Regulatory Authority, or other Third Parties under or in connection with this Letter Agreement.</w:t>
      </w:r>
    </w:p>
    <w:p>
      <w:pPr>
        <w:spacing w:after="0" w:line="130" w:lineRule="exact"/>
        <w:rPr>
          <w:rFonts w:ascii="Times New Roman" w:cs="Times New Roman" w:eastAsia="Times New Roman" w:hAnsi="Times New Roman"/>
          <w:sz w:val="15"/>
          <w:szCs w:val="15"/>
          <w:color w:val="auto"/>
        </w:rPr>
      </w:pPr>
    </w:p>
    <w:p>
      <w:pPr>
        <w:jc w:val="both"/>
        <w:ind w:left="247" w:right="20" w:hanging="247"/>
        <w:spacing w:after="0" w:line="270" w:lineRule="auto"/>
        <w:tabs>
          <w:tab w:leader="none" w:pos="247"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BioNTech or Duality intends to exchange any competitively sensitive information in connection with the Combination Development Activities, including with any Third Party, then upon BioNTech’s request or Duality’s request, BioNTech and Duality shall cooperate in good faith to ensure that such information is shared in compliance with all Applicable Laws.</w:t>
      </w:r>
    </w:p>
    <w:p>
      <w:pPr>
        <w:spacing w:after="0" w:line="125" w:lineRule="exact"/>
        <w:rPr>
          <w:rFonts w:ascii="Times New Roman" w:cs="Times New Roman" w:eastAsia="Times New Roman" w:hAnsi="Times New Roman"/>
          <w:sz w:val="15"/>
          <w:szCs w:val="15"/>
          <w:color w:val="auto"/>
        </w:rPr>
      </w:pPr>
    </w:p>
    <w:p>
      <w:pPr>
        <w:jc w:val="both"/>
        <w:ind w:left="247" w:hanging="247"/>
        <w:spacing w:after="0" w:line="258" w:lineRule="auto"/>
        <w:tabs>
          <w:tab w:leader="none" w:pos="247"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provision to the contrary set forth in the License Agreements: (a) BioNTech shall be the sole Party making press releases with respect to a Duality Licensed Product in combination with BioNTech Products; (b) BioNTech shall be the sole party publishing any information or data arising from any Combination Development Activities or any associated results or conclusions generated in connection therewith provided that BioNTech may not publicly present or publish, any information or data arising from any Combination Development Activities or any associated results or conclusions generated in connection therewith, without first obtaining Duality’s comments (which shall be given promptly) for such publication or presentation in good faith in accordance with the publication process set out in Section 10.5 of the License Agreements. Duality shall have the right to publicly present or publish BioNTech’s publications (for clarity not individual information or data) in the Retained Territory in accordance with the publication process set out in Section 10.5 of the License Agreements.</w:t>
      </w:r>
    </w:p>
    <w:p>
      <w:pPr>
        <w:spacing w:after="0" w:line="137" w:lineRule="exact"/>
        <w:rPr>
          <w:rFonts w:ascii="Times New Roman" w:cs="Times New Roman" w:eastAsia="Times New Roman" w:hAnsi="Times New Roman"/>
          <w:sz w:val="15"/>
          <w:szCs w:val="15"/>
          <w:color w:val="auto"/>
        </w:rPr>
      </w:pPr>
    </w:p>
    <w:p>
      <w:pPr>
        <w:ind w:left="247" w:right="40" w:hanging="247"/>
        <w:spacing w:after="0" w:line="287" w:lineRule="auto"/>
        <w:tabs>
          <w:tab w:leader="none" w:pos="247"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Duality agrees that, where BioNTech controls the BioNTech Product through license from Third Party licensor, BioNTech may disclose a copy of this Letter Agreement and the applicable MTA to BioNTech’s Third Party licensor for the BioNTech Product, if required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33"/>
        <w:spacing w:after="0"/>
        <w:rPr>
          <w:sz w:val="20"/>
          <w:szCs w:val="20"/>
          <w:color w:val="auto"/>
        </w:rPr>
      </w:pPr>
      <w:r>
        <w:rPr>
          <w:rFonts w:ascii="Times New Roman" w:cs="Times New Roman" w:eastAsia="Times New Roman" w:hAnsi="Times New Roman"/>
          <w:sz w:val="16"/>
          <w:szCs w:val="16"/>
          <w:color w:val="auto"/>
        </w:rPr>
        <w:t>10</w:t>
      </w:r>
    </w:p>
    <w:p>
      <w:pPr>
        <w:sectPr>
          <w:pgSz w:w="11900" w:h="16840" w:orient="portrait"/>
          <w:cols w:equalWidth="0" w:num="1">
            <w:col w:w="10347"/>
          </w:cols>
          <w:pgMar w:left="893" w:top="1440" w:right="660" w:bottom="1440" w:gutter="0" w:footer="0" w:header="0"/>
        </w:sectPr>
      </w:pPr>
    </w:p>
    <w:bookmarkStart w:id="264" w:name="page265"/>
    <w:bookmarkEnd w:id="264"/>
    <w:p>
      <w:pPr>
        <w:spacing w:after="0" w:line="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under the terms of the applicable agreement between BioNTech’s licensor and BioNTech (an “</w:t>
      </w:r>
      <w:r>
        <w:rPr>
          <w:rFonts w:ascii="Times New Roman" w:cs="Times New Roman" w:eastAsia="Times New Roman" w:hAnsi="Times New Roman"/>
          <w:sz w:val="15"/>
          <w:szCs w:val="15"/>
          <w:b w:val="1"/>
          <w:bCs w:val="1"/>
          <w:color w:val="auto"/>
        </w:rPr>
        <w:t>Upstream License Agreement</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License Grant by BioNTech to Duality to Perform Combination Development Activities</w:t>
      </w:r>
    </w:p>
    <w:p>
      <w:pPr>
        <w:spacing w:after="0" w:line="175" w:lineRule="exact"/>
        <w:rPr>
          <w:sz w:val="20"/>
          <w:szCs w:val="20"/>
          <w:color w:val="auto"/>
        </w:rPr>
      </w:pPr>
    </w:p>
    <w:p>
      <w:pPr>
        <w:ind w:left="480" w:hanging="247"/>
        <w:spacing w:after="0" w:line="256" w:lineRule="auto"/>
        <w:tabs>
          <w:tab w:leader="none" w:pos="48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 Combination Trial-by-Combination Trial basis, during the Term of this Letter Agreement with respect to the applicable Combination Trial and solely to the extent required to conduct Combination Development Activities with respect to such Combination Trial on BioNTech’s behalf, BioNTech hereby grants to Duality a non-exclusive, sublicensable to subcontractors (in accordance with Section 4.4 of the Duality TROP2 Agreement) , non-transferrable (except in accordance with paragraph 81 of this Letter Agreement), royalty-free, fully paid-up license under the BioNTech Product IP and [***] (as defined below) for the sole purpose of conducting Combination Development Activities in accordance with this Letter Agreement and the Combination Development Plan, solely in the applicable countries in the Territory or the Retained Territory set forth in such Combination Development Plan. “</w:t>
      </w:r>
      <w:r>
        <w:rPr>
          <w:rFonts w:ascii="Times New Roman" w:cs="Times New Roman" w:eastAsia="Times New Roman" w:hAnsi="Times New Roman"/>
          <w:sz w:val="15"/>
          <w:szCs w:val="15"/>
          <w:b w:val="1"/>
          <w:bCs w:val="1"/>
          <w:color w:val="auto"/>
        </w:rPr>
        <w:t>BioNTech Product IP</w:t>
      </w:r>
      <w:r>
        <w:rPr>
          <w:rFonts w:ascii="Times New Roman" w:cs="Times New Roman" w:eastAsia="Times New Roman" w:hAnsi="Times New Roman"/>
          <w:sz w:val="15"/>
          <w:szCs w:val="15"/>
          <w:color w:val="auto"/>
        </w:rPr>
        <w:t>” means any Know-How and Patent Rights, in each case, incorporated or used by or on behalf of BioNTech in the exploitation of BioNTech Products in combination with Duality Licensed Products that are (a) Controlled by BioNTech or its Affiliates as of the Letter Effective Date or during the Term of this Letter Agreement, and (b) necessary for the conduct of Combination Development Activities by or on behalf of Duality in accordance with this Letter Agreement and the Combination Development Plan. For the avoidance of doubt, no license is granted to Duality under Section 2.5(ii) of the License Agreements in relation to any BioNTech Product IP. Except for the license expressly granted above, no license or right is granted to Duality in relation to any BioNTech Product IP.</w:t>
      </w:r>
    </w:p>
    <w:p>
      <w:pPr>
        <w:spacing w:after="0" w:line="139" w:lineRule="exact"/>
        <w:rPr>
          <w:rFonts w:ascii="Times New Roman" w:cs="Times New Roman" w:eastAsia="Times New Roman" w:hAnsi="Times New Roman"/>
          <w:sz w:val="15"/>
          <w:szCs w:val="15"/>
          <w:color w:val="auto"/>
        </w:rPr>
      </w:pPr>
    </w:p>
    <w:p>
      <w:pPr>
        <w:jc w:val="both"/>
        <w:ind w:left="480" w:right="60" w:hanging="247"/>
        <w:spacing w:after="0" w:line="264" w:lineRule="auto"/>
        <w:tabs>
          <w:tab w:leader="none" w:pos="526"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for the license granted to Duality under paragraph 41 of this Letter Agreement, BioNTech is not granting Duality any right or license to research, Develop, Manufacture, Commercialise or otherwise exploit BioNTech Products (or Duality Licensed Products in combination with BioNTech Products). Duality may not use BioNTech Products for any purpose other than as expressly permitted under this Letter Agreement and shall only use the BioNTech Products in accordance with the Letter Agreement and any applicable MTA(s). [***]</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Intellectual Property</w:t>
      </w:r>
    </w:p>
    <w:p>
      <w:pPr>
        <w:spacing w:after="0" w:line="171" w:lineRule="exact"/>
        <w:rPr>
          <w:sz w:val="20"/>
          <w:szCs w:val="20"/>
          <w:color w:val="auto"/>
        </w:rPr>
      </w:pPr>
    </w:p>
    <w:p>
      <w:pPr>
        <w:ind w:left="480" w:hanging="247"/>
        <w:spacing w:after="0"/>
        <w:tabs>
          <w:tab w:leader="none" w:pos="48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Combination Foreground IP</w:t>
      </w:r>
      <w:r>
        <w:rPr>
          <w:rFonts w:ascii="Times New Roman" w:cs="Times New Roman" w:eastAsia="Times New Roman" w:hAnsi="Times New Roman"/>
          <w:sz w:val="15"/>
          <w:szCs w:val="15"/>
          <w:color w:val="auto"/>
        </w:rPr>
        <w:t>” means [***].</w:t>
      </w:r>
    </w:p>
    <w:p>
      <w:pPr>
        <w:spacing w:after="0" w:line="175" w:lineRule="exact"/>
        <w:rPr>
          <w:rFonts w:ascii="Times New Roman" w:cs="Times New Roman" w:eastAsia="Times New Roman" w:hAnsi="Times New Roman"/>
          <w:sz w:val="15"/>
          <w:szCs w:val="15"/>
          <w:color w:val="auto"/>
        </w:rPr>
      </w:pPr>
    </w:p>
    <w:p>
      <w:pPr>
        <w:ind w:left="480" w:hanging="247"/>
        <w:spacing w:after="0"/>
        <w:tabs>
          <w:tab w:leader="none" w:pos="48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1" w:lineRule="exact"/>
        <w:rPr>
          <w:rFonts w:ascii="Times New Roman" w:cs="Times New Roman" w:eastAsia="Times New Roman" w:hAnsi="Times New Roman"/>
          <w:sz w:val="15"/>
          <w:szCs w:val="15"/>
          <w:color w:val="auto"/>
        </w:rPr>
      </w:pPr>
    </w:p>
    <w:p>
      <w:pPr>
        <w:ind w:left="480" w:hanging="247"/>
        <w:spacing w:after="0"/>
        <w:tabs>
          <w:tab w:leader="none" w:pos="48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1" w:lineRule="exact"/>
        <w:rPr>
          <w:rFonts w:ascii="Times New Roman" w:cs="Times New Roman" w:eastAsia="Times New Roman" w:hAnsi="Times New Roman"/>
          <w:sz w:val="15"/>
          <w:szCs w:val="15"/>
          <w:color w:val="auto"/>
        </w:rPr>
      </w:pPr>
    </w:p>
    <w:p>
      <w:pPr>
        <w:ind w:left="480" w:hanging="247"/>
        <w:spacing w:after="0"/>
        <w:tabs>
          <w:tab w:leader="none" w:pos="48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1" w:lineRule="exact"/>
        <w:rPr>
          <w:rFonts w:ascii="Times New Roman" w:cs="Times New Roman" w:eastAsia="Times New Roman" w:hAnsi="Times New Roman"/>
          <w:sz w:val="15"/>
          <w:szCs w:val="15"/>
          <w:color w:val="auto"/>
        </w:rPr>
      </w:pPr>
    </w:p>
    <w:p>
      <w:pPr>
        <w:jc w:val="both"/>
        <w:ind w:left="480" w:right="40" w:hanging="247"/>
        <w:spacing w:after="0" w:line="264" w:lineRule="auto"/>
        <w:tabs>
          <w:tab w:leader="none" w:pos="48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shall: (a) promptly disclose to [***] all Combination Foreground IP that is conceived, discovered, developed, or otherwise made, whether solely or jointly, by or on behalf of [***]; (b) respond promptly to reasonable requests from [***] for additional information relating to such Combination Foreground IP; and (c) ensure that each of [***] employees, subcontractors, and agents performing any Combination Development Activities, prior to commencing such work, be bound by invention assignment obligations, including: (i) promptly reporting any Combination Foreground IP to [***]; (ii) presently assigning to [***]</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w:t>
      </w:r>
    </w:p>
    <w:p>
      <w:pPr>
        <w:sectPr>
          <w:pgSz w:w="11900" w:h="16840" w:orient="portrait"/>
          <w:cols w:equalWidth="0" w:num="1">
            <w:col w:w="10620"/>
          </w:cols>
          <w:pgMar w:left="660" w:top="1440" w:right="620" w:bottom="1440" w:gutter="0" w:footer="0" w:header="0"/>
        </w:sectPr>
      </w:pPr>
    </w:p>
    <w:bookmarkStart w:id="265" w:name="page266"/>
    <w:bookmarkEnd w:id="265"/>
    <w:p>
      <w:pPr>
        <w:spacing w:after="0" w:line="91" w:lineRule="exact"/>
        <w:rPr>
          <w:sz w:val="20"/>
          <w:szCs w:val="20"/>
          <w:color w:val="auto"/>
        </w:rPr>
      </w:pPr>
    </w:p>
    <w:p>
      <w:pPr>
        <w:jc w:val="both"/>
        <w:ind w:left="480" w:right="20"/>
        <w:spacing w:after="0" w:line="270" w:lineRule="auto"/>
        <w:rPr>
          <w:sz w:val="20"/>
          <w:szCs w:val="20"/>
          <w:color w:val="auto"/>
        </w:rPr>
      </w:pPr>
      <w:r>
        <w:rPr>
          <w:rFonts w:ascii="Times New Roman" w:cs="Times New Roman" w:eastAsia="Times New Roman" w:hAnsi="Times New Roman"/>
          <w:sz w:val="15"/>
          <w:szCs w:val="15"/>
          <w:color w:val="auto"/>
        </w:rPr>
        <w:t>all of his or her rights, title and interests in and to any Combination Foreground IP; (iii) cooperating in the prosecution, maintenance, enforcement and defense of any Patent Right within the Combination Foreground IP; and (iv) performing all acts and signing, executing, acknowledging, and delivering any and all documents required for effecting the obligations and purposes of this Letter Agreement. [***]</w:t>
      </w:r>
    </w:p>
    <w:p>
      <w:pPr>
        <w:spacing w:after="0" w:line="121" w:lineRule="exact"/>
        <w:rPr>
          <w:sz w:val="20"/>
          <w:szCs w:val="20"/>
          <w:color w:val="auto"/>
        </w:rPr>
      </w:pPr>
    </w:p>
    <w:p>
      <w:pPr>
        <w:jc w:val="both"/>
        <w:ind w:left="480" w:right="20" w:hanging="247"/>
        <w:spacing w:after="0" w:line="263" w:lineRule="auto"/>
        <w:tabs>
          <w:tab w:leader="none" w:pos="48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For clarity, without limiting Section 5.6(b) ( </w:t>
      </w:r>
      <w:r>
        <w:rPr>
          <w:rFonts w:ascii="Times New Roman" w:cs="Times New Roman" w:eastAsia="Times New Roman" w:hAnsi="Times New Roman"/>
          <w:sz w:val="15"/>
          <w:szCs w:val="15"/>
          <w:i w:val="1"/>
          <w:iCs w:val="1"/>
          <w:color w:val="auto"/>
        </w:rPr>
        <w:t>Data Access; Right of Reference; Access to Regulatory Materials; pharmacovigilance; audit</w:t>
      </w:r>
      <w:r>
        <w:rPr>
          <w:rFonts w:ascii="Times New Roman" w:cs="Times New Roman" w:eastAsia="Times New Roman" w:hAnsi="Times New Roman"/>
          <w:sz w:val="15"/>
          <w:szCs w:val="15"/>
          <w:color w:val="auto"/>
        </w:rPr>
        <w:t xml:space="preserve"> ) of the Duality TROP2 Agreement and the Duality B7H3 Agreement and Section 5.6(a) (</w:t>
      </w:r>
      <w:r>
        <w:rPr>
          <w:rFonts w:ascii="Times New Roman" w:cs="Times New Roman" w:eastAsia="Times New Roman" w:hAnsi="Times New Roman"/>
          <w:sz w:val="15"/>
          <w:szCs w:val="15"/>
          <w:i w:val="1"/>
          <w:iCs w:val="1"/>
          <w:color w:val="auto"/>
        </w:rPr>
        <w:t>Data Access; Right of Reference; Access to Regulatory Materials</w:t>
      </w:r>
      <w:r>
        <w:rPr>
          <w:rFonts w:ascii="Times New Roman" w:cs="Times New Roman" w:eastAsia="Times New Roman" w:hAnsi="Times New Roman"/>
          <w:sz w:val="15"/>
          <w:szCs w:val="15"/>
          <w:color w:val="auto"/>
        </w:rPr>
        <w:t xml:space="preserve"> ) of the Duality HER2 Agreement, as applicable, [***]. Further, without limiting Section 5.6(c) (</w:t>
      </w:r>
      <w:r>
        <w:rPr>
          <w:rFonts w:ascii="Times New Roman" w:cs="Times New Roman" w:eastAsia="Times New Roman" w:hAnsi="Times New Roman"/>
          <w:sz w:val="15"/>
          <w:szCs w:val="15"/>
          <w:i w:val="1"/>
          <w:iCs w:val="1"/>
          <w:color w:val="auto"/>
        </w:rPr>
        <w:t>Data Access; Right of Reference; Access to Regulatory Materials; pharmacovigilance; audit</w:t>
      </w:r>
      <w:r>
        <w:rPr>
          <w:rFonts w:ascii="Times New Roman" w:cs="Times New Roman" w:eastAsia="Times New Roman" w:hAnsi="Times New Roman"/>
          <w:sz w:val="15"/>
          <w:szCs w:val="15"/>
          <w:color w:val="auto"/>
        </w:rPr>
        <w:t xml:space="preserve"> ) of the Duality TROP2 Agreement, Section 5.6(c) (</w:t>
      </w:r>
      <w:r>
        <w:rPr>
          <w:rFonts w:ascii="Times New Roman" w:cs="Times New Roman" w:eastAsia="Times New Roman" w:hAnsi="Times New Roman"/>
          <w:sz w:val="15"/>
          <w:szCs w:val="15"/>
          <w:i w:val="1"/>
          <w:iCs w:val="1"/>
          <w:color w:val="auto"/>
        </w:rPr>
        <w:t>Data Access; Right of Reference; Access to Regulatory Materials</w:t>
      </w:r>
      <w:r>
        <w:rPr>
          <w:rFonts w:ascii="Times New Roman" w:cs="Times New Roman" w:eastAsia="Times New Roman" w:hAnsi="Times New Roman"/>
          <w:sz w:val="15"/>
          <w:szCs w:val="15"/>
          <w:color w:val="auto"/>
        </w:rPr>
        <w:t xml:space="preserve"> ) of the Duality B7H3 Agreement and Section 5.6(b) (</w:t>
      </w:r>
      <w:r>
        <w:rPr>
          <w:rFonts w:ascii="Times New Roman" w:cs="Times New Roman" w:eastAsia="Times New Roman" w:hAnsi="Times New Roman"/>
          <w:sz w:val="15"/>
          <w:szCs w:val="15"/>
          <w:i w:val="1"/>
          <w:iCs w:val="1"/>
          <w:color w:val="auto"/>
        </w:rPr>
        <w:t>Data Access; Right of Reference; Access to Regulatory Materials</w:t>
      </w:r>
      <w:r>
        <w:rPr>
          <w:rFonts w:ascii="Times New Roman" w:cs="Times New Roman" w:eastAsia="Times New Roman" w:hAnsi="Times New Roman"/>
          <w:sz w:val="15"/>
          <w:szCs w:val="15"/>
          <w:color w:val="auto"/>
        </w:rPr>
        <w:t xml:space="preserve"> ) of the Duality HER2 Agreement, as applicable, [***].</w:t>
      </w:r>
    </w:p>
    <w:p>
      <w:pPr>
        <w:spacing w:after="0" w:line="130" w:lineRule="exact"/>
        <w:rPr>
          <w:rFonts w:ascii="Times New Roman" w:cs="Times New Roman" w:eastAsia="Times New Roman" w:hAnsi="Times New Roman"/>
          <w:sz w:val="15"/>
          <w:szCs w:val="15"/>
          <w:color w:val="auto"/>
        </w:rPr>
      </w:pPr>
    </w:p>
    <w:p>
      <w:pPr>
        <w:jc w:val="both"/>
        <w:ind w:left="480" w:hanging="247"/>
        <w:spacing w:after="0" w:line="270" w:lineRule="auto"/>
        <w:tabs>
          <w:tab w:leader="none" w:pos="48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shall not, [***]: (a) grant any license or other interest to any Third Party under the Combination Foreground IP; or (b) incur or permit to exist any lien, security interest or other encumbrance, under the Combination Foreground IP, in each case (a) and (b), in a manner that would limit, restrict or otherwise adversely affect [***] rights of ownership with respect to such Combination Foreground IP under paragraph 44 of this Letter Agreement.</w:t>
      </w:r>
    </w:p>
    <w:p>
      <w:pPr>
        <w:spacing w:after="0" w:line="125" w:lineRule="exact"/>
        <w:rPr>
          <w:rFonts w:ascii="Times New Roman" w:cs="Times New Roman" w:eastAsia="Times New Roman" w:hAnsi="Times New Roman"/>
          <w:sz w:val="15"/>
          <w:szCs w:val="15"/>
          <w:color w:val="auto"/>
        </w:rPr>
      </w:pPr>
    </w:p>
    <w:p>
      <w:pPr>
        <w:ind w:left="480" w:hanging="247"/>
        <w:spacing w:after="0"/>
        <w:tabs>
          <w:tab w:leader="none" w:pos="48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1" w:lineRule="exact"/>
        <w:rPr>
          <w:rFonts w:ascii="Times New Roman" w:cs="Times New Roman" w:eastAsia="Times New Roman" w:hAnsi="Times New Roman"/>
          <w:sz w:val="15"/>
          <w:szCs w:val="15"/>
          <w:color w:val="auto"/>
        </w:rPr>
      </w:pPr>
    </w:p>
    <w:p>
      <w:pPr>
        <w:ind w:left="960" w:hanging="241"/>
        <w:spacing w:after="0"/>
        <w:tabs>
          <w:tab w:leader="none" w:pos="960" w:val="left"/>
        </w:tabs>
        <w:numPr>
          <w:ilvl w:val="1"/>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1" w:lineRule="exact"/>
        <w:rPr>
          <w:rFonts w:ascii="Times New Roman" w:cs="Times New Roman" w:eastAsia="Times New Roman" w:hAnsi="Times New Roman"/>
          <w:sz w:val="15"/>
          <w:szCs w:val="15"/>
          <w:color w:val="auto"/>
        </w:rPr>
      </w:pPr>
    </w:p>
    <w:p>
      <w:pPr>
        <w:ind w:left="960" w:hanging="241"/>
        <w:spacing w:after="0"/>
        <w:tabs>
          <w:tab w:leader="none" w:pos="960" w:val="left"/>
        </w:tabs>
        <w:numPr>
          <w:ilvl w:val="1"/>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1" w:lineRule="exact"/>
        <w:rPr>
          <w:rFonts w:ascii="Times New Roman" w:cs="Times New Roman" w:eastAsia="Times New Roman" w:hAnsi="Times New Roman"/>
          <w:sz w:val="15"/>
          <w:szCs w:val="15"/>
          <w:color w:val="auto"/>
        </w:rPr>
      </w:pPr>
    </w:p>
    <w:p>
      <w:pPr>
        <w:ind w:left="480" w:hanging="247"/>
        <w:spacing w:after="0"/>
        <w:tabs>
          <w:tab w:leader="none" w:pos="48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1" w:lineRule="exact"/>
        <w:rPr>
          <w:rFonts w:ascii="Times New Roman" w:cs="Times New Roman" w:eastAsia="Times New Roman" w:hAnsi="Times New Roman"/>
          <w:sz w:val="15"/>
          <w:szCs w:val="15"/>
          <w:color w:val="auto"/>
        </w:rPr>
      </w:pPr>
    </w:p>
    <w:p>
      <w:pPr>
        <w:ind w:left="480" w:hanging="247"/>
        <w:spacing w:after="0"/>
        <w:tabs>
          <w:tab w:leader="none" w:pos="48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1" w:lineRule="exact"/>
        <w:rPr>
          <w:rFonts w:ascii="Times New Roman" w:cs="Times New Roman" w:eastAsia="Times New Roman" w:hAnsi="Times New Roman"/>
          <w:sz w:val="15"/>
          <w:szCs w:val="15"/>
          <w:color w:val="auto"/>
        </w:rPr>
      </w:pPr>
    </w:p>
    <w:p>
      <w:pPr>
        <w:ind w:left="480" w:hanging="247"/>
        <w:spacing w:after="0"/>
        <w:tabs>
          <w:tab w:leader="none" w:pos="48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1" w:lineRule="exact"/>
        <w:rPr>
          <w:rFonts w:ascii="Times New Roman" w:cs="Times New Roman" w:eastAsia="Times New Roman" w:hAnsi="Times New Roman"/>
          <w:sz w:val="15"/>
          <w:szCs w:val="15"/>
          <w:color w:val="auto"/>
        </w:rPr>
      </w:pPr>
    </w:p>
    <w:p>
      <w:pPr>
        <w:ind w:left="480" w:hanging="247"/>
        <w:spacing w:after="0"/>
        <w:tabs>
          <w:tab w:leader="none" w:pos="48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1" w:lineRule="exact"/>
        <w:rPr>
          <w:rFonts w:ascii="Times New Roman" w:cs="Times New Roman" w:eastAsia="Times New Roman" w:hAnsi="Times New Roman"/>
          <w:sz w:val="15"/>
          <w:szCs w:val="15"/>
          <w:color w:val="auto"/>
        </w:rPr>
      </w:pPr>
    </w:p>
    <w:p>
      <w:pPr>
        <w:jc w:val="both"/>
        <w:ind w:left="480" w:right="40" w:hanging="247"/>
        <w:spacing w:after="0" w:line="287" w:lineRule="auto"/>
        <w:tabs>
          <w:tab w:leader="none" w:pos="48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provision to the contrary set forth in the License Agreements, the Combination Foreground IP shall not be subject to any licenses or other rights granted to [***] under any License Agreement, and the only rights [***] receives with respect to thereto are set out in paragraphs 41 and 50 of this Letter Agreement.</w:t>
      </w:r>
    </w:p>
    <w:p>
      <w:pPr>
        <w:spacing w:after="0" w:line="113" w:lineRule="exact"/>
        <w:rPr>
          <w:rFonts w:ascii="Times New Roman" w:cs="Times New Roman" w:eastAsia="Times New Roman" w:hAnsi="Times New Roman"/>
          <w:sz w:val="15"/>
          <w:szCs w:val="15"/>
          <w:color w:val="auto"/>
        </w:rPr>
      </w:pPr>
    </w:p>
    <w:p>
      <w:pPr>
        <w:ind w:left="480" w:right="20" w:hanging="247"/>
        <w:spacing w:after="0" w:line="287" w:lineRule="auto"/>
        <w:tabs>
          <w:tab w:leader="none" w:pos="48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right or license under any Patents or Know-How of either Party is granted or shall be granted under this Letter Agreement by implication, and all such rights or licenses are or shall be granted only as expressly provided in the terms of this Letter Agreement.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Pharmacovigilance</w:t>
      </w:r>
    </w:p>
    <w:p>
      <w:pPr>
        <w:spacing w:after="0" w:line="175" w:lineRule="exact"/>
        <w:rPr>
          <w:sz w:val="20"/>
          <w:szCs w:val="20"/>
          <w:color w:val="auto"/>
        </w:rPr>
      </w:pPr>
    </w:p>
    <w:p>
      <w:pPr>
        <w:ind w:left="480" w:right="20" w:hanging="247"/>
        <w:spacing w:after="0" w:line="287" w:lineRule="auto"/>
        <w:tabs>
          <w:tab w:leader="none" w:pos="48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terms of the Pharmacovigilance Agreement, each Party shall be permitted to disclose to a Third Party (e.g., investigators involved in a Combination Trial) (a) Data to the extent required by a Regulatory Authority or as may otherwise be required by Applicable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ectPr>
          <w:pgSz w:w="11900" w:h="16840" w:orient="portrait"/>
          <w:cols w:equalWidth="0" w:num="1">
            <w:col w:w="10600"/>
          </w:cols>
          <w:pgMar w:left="660" w:top="1440" w:right="640" w:bottom="1440" w:gutter="0" w:footer="0" w:header="0"/>
        </w:sectPr>
      </w:pPr>
    </w:p>
    <w:bookmarkStart w:id="266" w:name="page267"/>
    <w:bookmarkEnd w:id="266"/>
    <w:p>
      <w:pPr>
        <w:spacing w:after="0" w:line="91" w:lineRule="exact"/>
        <w:rPr>
          <w:sz w:val="20"/>
          <w:szCs w:val="20"/>
          <w:color w:val="auto"/>
        </w:rPr>
      </w:pPr>
    </w:p>
    <w:p>
      <w:pPr>
        <w:jc w:val="both"/>
        <w:ind w:left="247"/>
        <w:spacing w:after="0" w:line="254" w:lineRule="auto"/>
        <w:rPr>
          <w:sz w:val="20"/>
          <w:szCs w:val="20"/>
          <w:color w:val="auto"/>
        </w:rPr>
      </w:pPr>
      <w:r>
        <w:rPr>
          <w:rFonts w:ascii="Times New Roman" w:cs="Times New Roman" w:eastAsia="Times New Roman" w:hAnsi="Times New Roman"/>
          <w:sz w:val="15"/>
          <w:szCs w:val="15"/>
          <w:color w:val="auto"/>
        </w:rPr>
        <w:t>Laws or such Party’s internal policies and procedures with respect to pharmacovigilance reporting, including adverse event reporting or (b) Safety Information (as defined in the Pharmacovigilance Agreement) with respect to the Duality Licensed Products, or in the case of BioNTech, the BioNTech Products or the Duality Licensed Products in combination with BioNTech Products ((a) and (b), “</w:t>
      </w:r>
      <w:r>
        <w:rPr>
          <w:rFonts w:ascii="Times New Roman" w:cs="Times New Roman" w:eastAsia="Times New Roman" w:hAnsi="Times New Roman"/>
          <w:sz w:val="15"/>
          <w:szCs w:val="15"/>
          <w:b w:val="1"/>
          <w:bCs w:val="1"/>
          <w:color w:val="auto"/>
        </w:rPr>
        <w:t>Safety Data</w:t>
      </w:r>
      <w:r>
        <w:rPr>
          <w:rFonts w:ascii="Times New Roman" w:cs="Times New Roman" w:eastAsia="Times New Roman" w:hAnsi="Times New Roman"/>
          <w:sz w:val="15"/>
          <w:szCs w:val="15"/>
          <w:color w:val="auto"/>
        </w:rPr>
        <w:t>”), in each case, where such Third Party needs to use such Safety Data to ensure patient safety or comply with Applicable Laws; provided that such Third Party has a clearly identified need to know such information and is bound by written confidential disclosure undertakings with provisions at least commensurate with those in this Letter Agreement and the Safety Data is provided in accordance with Applicable Laws. As between the Parties, BioNTech shall be the global database holder of Safety Data and, notwithstanding the foregoing, may disclose Safety Data to its Licensor(s) for the applicable BioNTech Product. BioNTech shall share with Duality and Duality shall share with BioNTech any Safety Data relating to Combination Trials (including Combination Trials that is not an Opted-In Trial) in its possession or control in accordance with the terms of the Pharmacovigilance Agreement (as amended or supplemented from time to time). [***] The Parties shall agree the operational details of such pharmacovigilance obligations in an addendum or amendment to the applicable Pharmacovigilance Agreement(s), which would be executed [***] following the Letter Effective Date. Without limiting the foregoing, each Party shall have the right to audit the other Party’s GCP or PV compliance in relation to conduct of Combination Trials in accordance with the audit terms of the Pharmacovigilance Agreement (including any addendum or amendment thereto) between the Parties. The Parties shall agree the operational details of such pharmacovigilance obligations in an addendum or amendment to the applicable Pharmacovigilance Agreement(s), which would be executed prior to or within</w:t>
      </w:r>
    </w:p>
    <w:p>
      <w:pPr>
        <w:spacing w:after="0" w:line="7" w:lineRule="exact"/>
        <w:rPr>
          <w:sz w:val="20"/>
          <w:szCs w:val="20"/>
          <w:color w:val="auto"/>
        </w:rPr>
      </w:pPr>
    </w:p>
    <w:p>
      <w:pPr>
        <w:jc w:val="both"/>
        <w:ind w:left="247" w:right="40"/>
        <w:spacing w:after="0" w:line="259" w:lineRule="auto"/>
        <w:rPr>
          <w:sz w:val="20"/>
          <w:szCs w:val="20"/>
          <w:color w:val="auto"/>
        </w:rPr>
      </w:pPr>
      <w:r>
        <w:rPr>
          <w:rFonts w:ascii="Times New Roman" w:cs="Times New Roman" w:eastAsia="Times New Roman" w:hAnsi="Times New Roman"/>
          <w:sz w:val="15"/>
          <w:szCs w:val="15"/>
          <w:color w:val="auto"/>
        </w:rPr>
        <w:t>[***] following the Letter Effective Date. Without limiting the foregoing, each Party shall have the right to audit the other Party’s GCP or PV compliance in relation to conduct of Combination Trials in accordance with the audit terms of the Pharmacovigilance Agreement (including any addendum or amendment thereto) between the Parties.</w:t>
      </w:r>
    </w:p>
    <w:p>
      <w:pPr>
        <w:spacing w:after="0" w:line="129" w:lineRule="exact"/>
        <w:rPr>
          <w:sz w:val="20"/>
          <w:szCs w:val="20"/>
          <w:color w:val="auto"/>
        </w:rPr>
      </w:pPr>
    </w:p>
    <w:p>
      <w:pPr>
        <w:jc w:val="both"/>
        <w:ind w:left="247" w:right="20" w:hanging="247"/>
        <w:spacing w:after="0" w:line="273" w:lineRule="auto"/>
        <w:tabs>
          <w:tab w:leader="none" w:pos="247"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Data Protection. </w:t>
      </w:r>
      <w:r>
        <w:rPr>
          <w:rFonts w:ascii="Times New Roman" w:cs="Times New Roman" w:eastAsia="Times New Roman" w:hAnsi="Times New Roman"/>
          <w:sz w:val="15"/>
          <w:szCs w:val="15"/>
          <w:color w:val="auto"/>
        </w:rPr>
        <w:t>The Parties agree to comply with the technical terms and conditions (which terms and conditions are solely related to the compliance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Applicable Data Protection Laws and confidentiality) in using Data provided by the other Party, as set out in the separate data sharing and data transfer agreement entered into between the Parties.</w:t>
      </w:r>
    </w:p>
    <w:p>
      <w:pPr>
        <w:spacing w:after="0" w:line="118" w:lineRule="exact"/>
        <w:rPr>
          <w:rFonts w:ascii="Times New Roman" w:cs="Times New Roman" w:eastAsia="Times New Roman" w:hAnsi="Times New Roman"/>
          <w:sz w:val="15"/>
          <w:szCs w:val="15"/>
          <w:color w:val="auto"/>
        </w:rPr>
      </w:pPr>
    </w:p>
    <w:p>
      <w:pPr>
        <w:ind w:left="247" w:right="20" w:hanging="247"/>
        <w:spacing w:after="0" w:line="292" w:lineRule="auto"/>
        <w:tabs>
          <w:tab w:leader="none" w:pos="247"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Term and Termination</w:t>
      </w:r>
      <w:r>
        <w:rPr>
          <w:rFonts w:ascii="Times New Roman" w:cs="Times New Roman" w:eastAsia="Times New Roman" w:hAnsi="Times New Roman"/>
          <w:sz w:val="15"/>
          <w:szCs w:val="15"/>
          <w:color w:val="auto"/>
        </w:rPr>
        <w:t>. This Letter Agreement shall become effective as of the date of last signature below (the “</w:t>
      </w:r>
      <w:r>
        <w:rPr>
          <w:rFonts w:ascii="Times New Roman" w:cs="Times New Roman" w:eastAsia="Times New Roman" w:hAnsi="Times New Roman"/>
          <w:sz w:val="15"/>
          <w:szCs w:val="15"/>
          <w:b w:val="1"/>
          <w:bCs w:val="1"/>
          <w:color w:val="auto"/>
        </w:rPr>
        <w:t xml:space="preserve"> Letter Effective Date</w:t>
      </w:r>
      <w:r>
        <w:rPr>
          <w:rFonts w:ascii="Times New Roman" w:cs="Times New Roman" w:eastAsia="Times New Roman" w:hAnsi="Times New Roman"/>
          <w:sz w:val="15"/>
          <w:szCs w:val="15"/>
          <w:color w:val="auto"/>
        </w:rPr>
        <w:t>”) and shall continue in full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force and effect [***] (the “</w:t>
      </w:r>
      <w:r>
        <w:rPr>
          <w:rFonts w:ascii="Times New Roman" w:cs="Times New Roman" w:eastAsia="Times New Roman" w:hAnsi="Times New Roman"/>
          <w:sz w:val="15"/>
          <w:szCs w:val="15"/>
          <w:b w:val="1"/>
          <w:bCs w:val="1"/>
          <w:color w:val="auto"/>
        </w:rPr>
        <w:t>Term</w:t>
      </w:r>
      <w:r>
        <w:rPr>
          <w:rFonts w:ascii="Times New Roman" w:cs="Times New Roman" w:eastAsia="Times New Roman" w:hAnsi="Times New Roman"/>
          <w:sz w:val="15"/>
          <w:szCs w:val="15"/>
          <w:color w:val="auto"/>
        </w:rPr>
        <w:t>”). [***]</w:t>
      </w:r>
    </w:p>
    <w:p>
      <w:pPr>
        <w:spacing w:after="0" w:line="109" w:lineRule="exact"/>
        <w:rPr>
          <w:rFonts w:ascii="Times New Roman" w:cs="Times New Roman" w:eastAsia="Times New Roman" w:hAnsi="Times New Roman"/>
          <w:sz w:val="15"/>
          <w:szCs w:val="15"/>
          <w:color w:val="auto"/>
        </w:rPr>
      </w:pPr>
    </w:p>
    <w:p>
      <w:pPr>
        <w:ind w:left="247" w:hanging="247"/>
        <w:spacing w:after="0"/>
        <w:tabs>
          <w:tab w:leader="none" w:pos="247"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1" w:lineRule="exact"/>
        <w:rPr>
          <w:rFonts w:ascii="Times New Roman" w:cs="Times New Roman" w:eastAsia="Times New Roman" w:hAnsi="Times New Roman"/>
          <w:sz w:val="15"/>
          <w:szCs w:val="15"/>
          <w:color w:val="auto"/>
        </w:rPr>
      </w:pPr>
    </w:p>
    <w:p>
      <w:pPr>
        <w:ind w:left="247" w:right="60" w:hanging="247"/>
        <w:spacing w:after="0" w:line="287" w:lineRule="auto"/>
        <w:tabs>
          <w:tab w:leader="none" w:pos="247"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License Agreement terminates with respect to any Duality Licensed Product during the Term of this Letter Agreement, then this Letter Agreement shall terminate solely with respect to the Duality Licensed Product that is the subject of such termination.</w:t>
      </w:r>
    </w:p>
    <w:p>
      <w:pPr>
        <w:spacing w:after="0" w:line="113" w:lineRule="exact"/>
        <w:rPr>
          <w:rFonts w:ascii="Times New Roman" w:cs="Times New Roman" w:eastAsia="Times New Roman" w:hAnsi="Times New Roman"/>
          <w:sz w:val="15"/>
          <w:szCs w:val="15"/>
          <w:color w:val="auto"/>
        </w:rPr>
      </w:pPr>
    </w:p>
    <w:p>
      <w:pPr>
        <w:jc w:val="both"/>
        <w:ind w:left="247" w:right="40" w:hanging="247"/>
        <w:spacing w:after="0" w:line="270" w:lineRule="auto"/>
        <w:tabs>
          <w:tab w:leader="none" w:pos="247"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 Upstream License Agreement terminates, and as a result BioNTech no longer controls Intellectual Property Rights with respect to the applicable BioNTech Product that are necessary for the conduct of any Combination Development Activities, then this Letter Agreement shall terminate with immediate effect with respect to the affected Combination Trial and the related Combination Development Activities upon written notice of termination by BioNTech to Duality.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53"/>
        <w:spacing w:after="0"/>
        <w:rPr>
          <w:sz w:val="20"/>
          <w:szCs w:val="20"/>
          <w:color w:val="auto"/>
        </w:rPr>
      </w:pPr>
      <w:r>
        <w:rPr>
          <w:rFonts w:ascii="Times New Roman" w:cs="Times New Roman" w:eastAsia="Times New Roman" w:hAnsi="Times New Roman"/>
          <w:sz w:val="16"/>
          <w:szCs w:val="16"/>
          <w:color w:val="auto"/>
        </w:rPr>
        <w:t>13</w:t>
      </w:r>
    </w:p>
    <w:p>
      <w:pPr>
        <w:sectPr>
          <w:pgSz w:w="11900" w:h="16840" w:orient="portrait"/>
          <w:cols w:equalWidth="0" w:num="1">
            <w:col w:w="10367"/>
          </w:cols>
          <w:pgMar w:left="893" w:top="1440" w:right="640" w:bottom="1440" w:gutter="0" w:footer="0" w:header="0"/>
        </w:sectPr>
      </w:pPr>
    </w:p>
    <w:bookmarkStart w:id="267" w:name="page268"/>
    <w:bookmarkEnd w:id="267"/>
    <w:p>
      <w:pPr>
        <w:spacing w:after="0" w:line="91" w:lineRule="exact"/>
        <w:rPr>
          <w:sz w:val="20"/>
          <w:szCs w:val="20"/>
          <w:color w:val="auto"/>
        </w:rPr>
      </w:pPr>
    </w:p>
    <w:p>
      <w:pPr>
        <w:jc w:val="both"/>
        <w:ind w:left="247" w:right="20" w:hanging="247"/>
        <w:spacing w:after="0" w:line="270" w:lineRule="auto"/>
        <w:tabs>
          <w:tab w:leader="none" w:pos="247"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Party shall have the right to terminate this Letter Agreement (subject to paragraph 64 of this Letter Agreement) in its entirety or, to the extent the applicable breach only affects specific Combination Trial(s), solely with respect to such Combination Trial(s), upon written notice to the other Party if such other Party is in material breach of this Letter Agreement and has not cured such breach within [***] days after written notice from the terminating Party requesting cure of the breach. [***]</w:t>
      </w:r>
    </w:p>
    <w:p>
      <w:pPr>
        <w:spacing w:after="0" w:line="125" w:lineRule="exact"/>
        <w:rPr>
          <w:rFonts w:ascii="Times New Roman" w:cs="Times New Roman" w:eastAsia="Times New Roman" w:hAnsi="Times New Roman"/>
          <w:sz w:val="15"/>
          <w:szCs w:val="15"/>
          <w:color w:val="auto"/>
        </w:rPr>
      </w:pPr>
    </w:p>
    <w:p>
      <w:pPr>
        <w:jc w:val="both"/>
        <w:ind w:left="247" w:hanging="247"/>
        <w:spacing w:after="0" w:line="270" w:lineRule="auto"/>
        <w:tabs>
          <w:tab w:leader="none" w:pos="247"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paragraph 63 of this Letter Agreement, if any uncured material breach by either Party of its obligations under this Letter Agreement is with respect to one or more, but not all, of the Combination Trials, then the other Party will not have the right to terminate this Letter Agreement in its entirety, but will have the right to terminate this Letter Agreement solely with respect to the Combination Trial for which such material breach and failure to cure applies.</w:t>
      </w:r>
    </w:p>
    <w:p>
      <w:pPr>
        <w:spacing w:after="0" w:line="125" w:lineRule="exact"/>
        <w:rPr>
          <w:rFonts w:ascii="Times New Roman" w:cs="Times New Roman" w:eastAsia="Times New Roman" w:hAnsi="Times New Roman"/>
          <w:sz w:val="15"/>
          <w:szCs w:val="15"/>
          <w:color w:val="auto"/>
        </w:rPr>
      </w:pPr>
    </w:p>
    <w:p>
      <w:pPr>
        <w:ind w:left="247" w:hanging="247"/>
        <w:spacing w:after="0"/>
        <w:tabs>
          <w:tab w:leader="none" w:pos="247"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67" w:lineRule="exact"/>
        <w:rPr>
          <w:rFonts w:ascii="Times New Roman" w:cs="Times New Roman" w:eastAsia="Times New Roman" w:hAnsi="Times New Roman"/>
          <w:sz w:val="15"/>
          <w:szCs w:val="15"/>
          <w:color w:val="auto"/>
        </w:rPr>
      </w:pPr>
    </w:p>
    <w:p>
      <w:pPr>
        <w:ind w:left="247" w:hanging="247"/>
        <w:spacing w:after="0"/>
        <w:tabs>
          <w:tab w:leader="none" w:pos="247"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Consequences of Termination</w:t>
      </w:r>
      <w:r>
        <w:rPr>
          <w:rFonts w:ascii="Times New Roman" w:cs="Times New Roman" w:eastAsia="Times New Roman" w:hAnsi="Times New Roman"/>
          <w:sz w:val="15"/>
          <w:szCs w:val="15"/>
          <w:color w:val="auto"/>
        </w:rPr>
        <w:t>. Any expiration or termination of this Letter Agreement in whole or in part shall not affect the term of the License Agreements.</w:t>
      </w:r>
    </w:p>
    <w:p>
      <w:pPr>
        <w:spacing w:after="0" w:line="175" w:lineRule="exact"/>
        <w:rPr>
          <w:rFonts w:ascii="Times New Roman" w:cs="Times New Roman" w:eastAsia="Times New Roman" w:hAnsi="Times New Roman"/>
          <w:sz w:val="15"/>
          <w:szCs w:val="15"/>
          <w:color w:val="auto"/>
        </w:rPr>
      </w:pPr>
    </w:p>
    <w:p>
      <w:pPr>
        <w:ind w:left="247" w:hanging="247"/>
        <w:spacing w:after="0"/>
        <w:tabs>
          <w:tab w:leader="none" w:pos="247"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BioNTech terminates this Letter Agreement under paragraph 61 of this Letter Agreement, [***].</w:t>
      </w:r>
    </w:p>
    <w:p>
      <w:pPr>
        <w:spacing w:after="0" w:line="171" w:lineRule="exact"/>
        <w:rPr>
          <w:rFonts w:ascii="Times New Roman" w:cs="Times New Roman" w:eastAsia="Times New Roman" w:hAnsi="Times New Roman"/>
          <w:sz w:val="15"/>
          <w:szCs w:val="15"/>
          <w:color w:val="auto"/>
        </w:rPr>
      </w:pPr>
    </w:p>
    <w:p>
      <w:pPr>
        <w:jc w:val="both"/>
        <w:ind w:left="247" w:right="20" w:hanging="247"/>
        <w:spacing w:after="0" w:line="270" w:lineRule="auto"/>
        <w:tabs>
          <w:tab w:leader="none" w:pos="247"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any early termination of this Letter Agreement in its entirety or with respect to any specific Combination Trial(s), if there are any ongoing Combination Development Activities with respect to such Combination Trial(s) at the time of such termination, then Duality shall, as directed by BioNTech in writing at its sole discretion on a [***] basis:</w:t>
      </w:r>
    </w:p>
    <w:p>
      <w:pPr>
        <w:spacing w:after="0" w:line="125" w:lineRule="exact"/>
        <w:rPr>
          <w:rFonts w:ascii="Times New Roman" w:cs="Times New Roman" w:eastAsia="Times New Roman" w:hAnsi="Times New Roman"/>
          <w:sz w:val="15"/>
          <w:szCs w:val="15"/>
          <w:color w:val="auto"/>
        </w:rPr>
      </w:pPr>
    </w:p>
    <w:p>
      <w:pPr>
        <w:ind w:left="727" w:hanging="241"/>
        <w:spacing w:after="0"/>
        <w:tabs>
          <w:tab w:leader="none" w:pos="727" w:val="left"/>
        </w:tabs>
        <w:numPr>
          <w:ilvl w:val="1"/>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1" w:lineRule="exact"/>
        <w:rPr>
          <w:rFonts w:ascii="Times New Roman" w:cs="Times New Roman" w:eastAsia="Times New Roman" w:hAnsi="Times New Roman"/>
          <w:sz w:val="15"/>
          <w:szCs w:val="15"/>
          <w:color w:val="auto"/>
        </w:rPr>
      </w:pPr>
    </w:p>
    <w:p>
      <w:pPr>
        <w:ind w:left="727" w:hanging="241"/>
        <w:spacing w:after="0"/>
        <w:tabs>
          <w:tab w:leader="none" w:pos="727" w:val="left"/>
        </w:tabs>
        <w:numPr>
          <w:ilvl w:val="1"/>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1" w:lineRule="exact"/>
        <w:rPr>
          <w:rFonts w:ascii="Times New Roman" w:cs="Times New Roman" w:eastAsia="Times New Roman" w:hAnsi="Times New Roman"/>
          <w:sz w:val="15"/>
          <w:szCs w:val="15"/>
          <w:color w:val="auto"/>
        </w:rPr>
      </w:pPr>
    </w:p>
    <w:p>
      <w:pPr>
        <w:ind w:left="727" w:hanging="241"/>
        <w:spacing w:after="0"/>
        <w:tabs>
          <w:tab w:leader="none" w:pos="727" w:val="left"/>
        </w:tabs>
        <w:numPr>
          <w:ilvl w:val="1"/>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247"/>
        <w:spacing w:after="0" w:line="287" w:lineRule="auto"/>
        <w:rPr>
          <w:sz w:val="20"/>
          <w:szCs w:val="20"/>
          <w:color w:val="auto"/>
        </w:rPr>
      </w:pPr>
      <w:r>
        <w:rPr>
          <w:rFonts w:ascii="Times New Roman" w:cs="Times New Roman" w:eastAsia="Times New Roman" w:hAnsi="Times New Roman"/>
          <w:sz w:val="15"/>
          <w:szCs w:val="15"/>
          <w:color w:val="auto"/>
        </w:rPr>
        <w:t>in each case ((a)-(c)), with due regard for patient safety and the rights of any subjects that are participants in any Combination Trials and take any actions the Parties deem reasonably necessary or appropriate to avoid any human health or safety problems and comply with all Applicable Laws.</w:t>
      </w:r>
    </w:p>
    <w:p>
      <w:pPr>
        <w:spacing w:after="0" w:line="113" w:lineRule="exact"/>
        <w:rPr>
          <w:sz w:val="20"/>
          <w:szCs w:val="20"/>
          <w:color w:val="auto"/>
        </w:rPr>
      </w:pPr>
    </w:p>
    <w:p>
      <w:pPr>
        <w:jc w:val="both"/>
        <w:ind w:left="247" w:hanging="247"/>
        <w:spacing w:after="0" w:line="270" w:lineRule="auto"/>
        <w:tabs>
          <w:tab w:leader="none" w:pos="247"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out-of-pocket costs and expenses incurred by either Party in the performance of [***] under paragraphs 68(a) or (b) of this Letter Agreement shall be borne by [***], unless this Letter Agreement is terminated by [***] under paragraph 63 of this Letter Agreement, in which case all such out-of-pocket costs and expenses shall be borne by [***].</w:t>
      </w:r>
    </w:p>
    <w:p>
      <w:pPr>
        <w:spacing w:after="0" w:line="125" w:lineRule="exact"/>
        <w:rPr>
          <w:rFonts w:ascii="Times New Roman" w:cs="Times New Roman" w:eastAsia="Times New Roman" w:hAnsi="Times New Roman"/>
          <w:sz w:val="15"/>
          <w:szCs w:val="15"/>
          <w:color w:val="auto"/>
        </w:rPr>
      </w:pPr>
    </w:p>
    <w:p>
      <w:pPr>
        <w:jc w:val="both"/>
        <w:ind w:left="247" w:right="20" w:hanging="247"/>
        <w:spacing w:after="0" w:line="264" w:lineRule="auto"/>
        <w:tabs>
          <w:tab w:leader="none" w:pos="247"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expiration or termination of this Letter Agreement, Duality shall destroy or return to BioNTech (at BioNTech’ discretion) all BioNTech Product and all tangible items bearing, containing, or contained in, any of the Confidential Information of BioNTech relating to the BioNTech Products disclosed under or in connection with this Letter Agreement, except for one (1) copy which may be retained in such Party’s confidential files for archive or compliance purposes and in accordance with Applicable Laws. If the material is destroyed, Duality shall provide BioNTech written certification of such destruction.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33"/>
        <w:spacing w:after="0"/>
        <w:rPr>
          <w:sz w:val="20"/>
          <w:szCs w:val="20"/>
          <w:color w:val="auto"/>
        </w:rPr>
      </w:pPr>
      <w:r>
        <w:rPr>
          <w:rFonts w:ascii="Times New Roman" w:cs="Times New Roman" w:eastAsia="Times New Roman" w:hAnsi="Times New Roman"/>
          <w:sz w:val="16"/>
          <w:szCs w:val="16"/>
          <w:color w:val="auto"/>
        </w:rPr>
        <w:t>14</w:t>
      </w:r>
    </w:p>
    <w:p>
      <w:pPr>
        <w:sectPr>
          <w:pgSz w:w="11900" w:h="16840" w:orient="portrait"/>
          <w:cols w:equalWidth="0" w:num="1">
            <w:col w:w="10347"/>
          </w:cols>
          <w:pgMar w:left="893" w:top="1440" w:right="660" w:bottom="1440" w:gutter="0" w:footer="0" w:header="0"/>
        </w:sectPr>
      </w:pPr>
    </w:p>
    <w:bookmarkStart w:id="268" w:name="page269"/>
    <w:bookmarkEnd w:id="268"/>
    <w:p>
      <w:pPr>
        <w:spacing w:after="0" w:line="91" w:lineRule="exact"/>
        <w:rPr>
          <w:sz w:val="20"/>
          <w:szCs w:val="20"/>
          <w:color w:val="auto"/>
        </w:rPr>
      </w:pPr>
    </w:p>
    <w:p>
      <w:pPr>
        <w:jc w:val="both"/>
        <w:ind w:left="480" w:hanging="247"/>
        <w:spacing w:after="0" w:line="270" w:lineRule="auto"/>
        <w:tabs>
          <w:tab w:leader="none" w:pos="48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the event of a termination by BioNTech under paragraph 63 (uncured material breach) [***] of this Letter Agreement, notwithstanding paragraph 63 of this Letter Agreement, the terms of Section 13.8(a) of the relevant License Agreement shall apply to all remaining payments under the applicable License Agreement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 xml:space="preserve"> that the requirements of the terms of Section 13.8 of the License Agreement are met.</w:t>
      </w:r>
    </w:p>
    <w:p>
      <w:pPr>
        <w:spacing w:after="0" w:line="125" w:lineRule="exact"/>
        <w:rPr>
          <w:rFonts w:ascii="Times New Roman" w:cs="Times New Roman" w:eastAsia="Times New Roman" w:hAnsi="Times New Roman"/>
          <w:sz w:val="15"/>
          <w:szCs w:val="15"/>
          <w:color w:val="auto"/>
        </w:rPr>
      </w:pPr>
    </w:p>
    <w:p>
      <w:pPr>
        <w:ind w:left="480" w:hanging="247"/>
        <w:spacing w:after="0" w:line="287" w:lineRule="auto"/>
        <w:tabs>
          <w:tab w:leader="none" w:pos="48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a termination by BioNTech under paragraph 63 (uncured material breach) [***] of this Letter Agreement, the rights granted to Duality under paragraph 50 of this Letter Agreement shall terminate.</w:t>
      </w:r>
    </w:p>
    <w:p>
      <w:pPr>
        <w:spacing w:after="0" w:line="113" w:lineRule="exact"/>
        <w:rPr>
          <w:rFonts w:ascii="Times New Roman" w:cs="Times New Roman" w:eastAsia="Times New Roman" w:hAnsi="Times New Roman"/>
          <w:sz w:val="15"/>
          <w:szCs w:val="15"/>
          <w:color w:val="auto"/>
        </w:rPr>
      </w:pPr>
    </w:p>
    <w:p>
      <w:pPr>
        <w:jc w:val="both"/>
        <w:ind w:left="480" w:hanging="247"/>
        <w:spacing w:after="0" w:line="270" w:lineRule="auto"/>
        <w:tabs>
          <w:tab w:leader="none" w:pos="48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rights and obligations under the following paragraphs of this Letter Agreement shall survive expiration or any termination of this Letter Agreement: 19 (Reporting and Record Keeping), 20 (Regulatory Responsibilities), 34 (Invoices), 37-39 (Confidentiality; Publications), 42, 43-49, 53 and 56 (Intellectual Property), 66-73 (Consequences of Termination), 74-75 (Indemnification; Liability; Insurance) and 77-80 (Disputes, Governing law and Miscellaneous).</w:t>
      </w:r>
    </w:p>
    <w:p>
      <w:pPr>
        <w:spacing w:after="0" w:line="121" w:lineRule="exact"/>
        <w:rPr>
          <w:rFonts w:ascii="Times New Roman" w:cs="Times New Roman" w:eastAsia="Times New Roman" w:hAnsi="Times New Roman"/>
          <w:sz w:val="15"/>
          <w:szCs w:val="15"/>
          <w:color w:val="auto"/>
        </w:rPr>
      </w:pPr>
    </w:p>
    <w:p>
      <w:pPr>
        <w:ind w:left="480" w:right="40" w:hanging="247"/>
        <w:spacing w:after="0" w:line="292" w:lineRule="auto"/>
        <w:tabs>
          <w:tab w:leader="none" w:pos="48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Indemnification; Liability; Insurance. </w:t>
      </w:r>
      <w:r>
        <w:rPr>
          <w:rFonts w:ascii="Times New Roman" w:cs="Times New Roman" w:eastAsia="Times New Roman" w:hAnsi="Times New Roman"/>
          <w:sz w:val="15"/>
          <w:szCs w:val="15"/>
          <w:color w:val="auto"/>
        </w:rPr>
        <w:t>For clarity, the terms of Article 14 of the respective License Agreements continue to apply to each Party’s performance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Combination Development Activities under this Letter Agreement.</w:t>
      </w:r>
    </w:p>
    <w:p>
      <w:pPr>
        <w:spacing w:after="0" w:line="105" w:lineRule="exact"/>
        <w:rPr>
          <w:rFonts w:ascii="Times New Roman" w:cs="Times New Roman" w:eastAsia="Times New Roman" w:hAnsi="Times New Roman"/>
          <w:sz w:val="15"/>
          <w:szCs w:val="15"/>
          <w:color w:val="auto"/>
        </w:rPr>
      </w:pPr>
    </w:p>
    <w:p>
      <w:pPr>
        <w:ind w:left="480" w:hanging="247"/>
        <w:spacing w:after="0"/>
        <w:tabs>
          <w:tab w:leader="none" w:pos="48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Without limiting Section 14.4 (</w:t>
      </w:r>
      <w:r>
        <w:rPr>
          <w:rFonts w:ascii="Times New Roman" w:cs="Times New Roman" w:eastAsia="Times New Roman" w:hAnsi="Times New Roman"/>
          <w:sz w:val="15"/>
          <w:szCs w:val="15"/>
          <w:i w:val="1"/>
          <w:iCs w:val="1"/>
          <w:color w:val="auto"/>
        </w:rPr>
        <w:t>Insurance</w:t>
      </w:r>
      <w:r>
        <w:rPr>
          <w:rFonts w:ascii="Times New Roman" w:cs="Times New Roman" w:eastAsia="Times New Roman" w:hAnsi="Times New Roman"/>
          <w:sz w:val="15"/>
          <w:szCs w:val="15"/>
          <w:color w:val="auto"/>
        </w:rPr>
        <w:t>) of the License Agreements, each Party shall maintain adequate insurance in place that covers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Notices</w:t>
      </w:r>
    </w:p>
    <w:p>
      <w:pPr>
        <w:spacing w:after="0" w:line="175" w:lineRule="exact"/>
        <w:rPr>
          <w:sz w:val="20"/>
          <w:szCs w:val="20"/>
          <w:color w:val="auto"/>
        </w:rPr>
      </w:pPr>
    </w:p>
    <w:p>
      <w:pPr>
        <w:jc w:val="both"/>
        <w:ind w:left="480" w:hanging="247"/>
        <w:spacing w:after="0" w:line="264" w:lineRule="auto"/>
        <w:tabs>
          <w:tab w:leader="none" w:pos="48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notice to be given under this Letter Agreement must be in writing and delivered either in person, by any method of mail (postage prepaid) requiring return receipt, or by overnight courier or facsimile confirmed thereafter by any of the foregoing, to the Party to be notified at its address(es) given below, or at any address such Party has previously designated by prior written notice to the other. Notice shall be deemed sufficiently given for all purposes upon the earliest of: (a) the date of actual receipt; (b) if delivered by overnight courier, [***] Business Days after delivery; or (c) if sent by facsimile, upon electronic confirmation of receipt.</w:t>
      </w:r>
    </w:p>
    <w:p>
      <w:pPr>
        <w:sectPr>
          <w:pgSz w:w="11900" w:h="16840" w:orient="portrait"/>
          <w:cols w:equalWidth="0" w:num="1">
            <w:col w:w="10580"/>
          </w:cols>
          <w:pgMar w:left="660" w:top="1440" w:right="660" w:bottom="1440" w:gutter="0" w:footer="0" w:header="0"/>
        </w:sectPr>
      </w:pP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if to Duality: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Duality Biologics (Suzhou) Co., Ltd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 1103-1106, No 868 Yinghua Road, Pudong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District, Shanghai,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Attention: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 [***]</w:t>
      </w:r>
    </w:p>
    <w:p>
      <w:pPr>
        <w:spacing w:after="0" w:line="35" w:lineRule="exact"/>
        <w:rPr>
          <w:sz w:val="20"/>
          <w:szCs w:val="20"/>
          <w:color w:val="auto"/>
        </w:rPr>
      </w:pPr>
    </w:p>
    <w:p>
      <w:pPr>
        <w:sectPr>
          <w:pgSz w:w="11900" w:h="16840" w:orient="portrait"/>
          <w:cols w:equalWidth="0" w:num="2">
            <w:col w:w="3600" w:space="720"/>
            <w:col w:w="6260"/>
          </w:cols>
          <w:pgMar w:left="660" w:top="1440" w:right="660"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5"/>
          <w:szCs w:val="15"/>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Email: [***]</w:t>
      </w:r>
    </w:p>
    <w:p>
      <w:pPr>
        <w:spacing w:after="0" w:line="36" w:lineRule="exact"/>
        <w:rPr>
          <w:sz w:val="20"/>
          <w:szCs w:val="20"/>
          <w:color w:val="auto"/>
        </w:rPr>
      </w:pPr>
    </w:p>
    <w:p>
      <w:pPr>
        <w:sectPr>
          <w:pgSz w:w="11900" w:h="16840" w:orient="portrait"/>
          <w:cols w:equalWidth="0" w:num="2">
            <w:col w:w="3600" w:space="720"/>
            <w:col w:w="6260"/>
          </w:cols>
          <w:pgMar w:left="660" w:top="1440" w:right="660"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5"/>
          <w:szCs w:val="15"/>
          <w:color w:val="auto"/>
        </w:rPr>
        <w:t>if to Licensee: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BIONTECH 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Address: An der Goldgrube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55131 Mainz,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Germany</w:t>
      </w:r>
    </w:p>
    <w:p>
      <w:pPr>
        <w:spacing w:after="0" w:line="200" w:lineRule="exact"/>
        <w:rPr>
          <w:sz w:val="20"/>
          <w:szCs w:val="20"/>
          <w:color w:val="auto"/>
        </w:rPr>
      </w:pPr>
    </w:p>
    <w:p>
      <w:pPr>
        <w:sectPr>
          <w:pgSz w:w="11900" w:h="16840" w:orient="portrait"/>
          <w:cols w:equalWidth="0" w:num="2">
            <w:col w:w="3600" w:space="720"/>
            <w:col w:w="6260"/>
          </w:cols>
          <w:pgMar w:left="660" w:top="1440" w:right="660"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w:t>
      </w:r>
    </w:p>
    <w:p>
      <w:pPr>
        <w:sectPr>
          <w:pgSz w:w="11900" w:h="16840" w:orient="portrait"/>
          <w:cols w:equalWidth="0" w:num="1">
            <w:col w:w="10580"/>
          </w:cols>
          <w:pgMar w:left="660" w:top="1440" w:right="660" w:bottom="1440" w:gutter="0" w:footer="0" w:header="0"/>
          <w:type w:val="continuous"/>
        </w:sectPr>
      </w:pPr>
    </w:p>
    <w:bookmarkStart w:id="269" w:name="page270"/>
    <w:bookmarkEnd w:id="269"/>
    <w:p>
      <w:pPr>
        <w:spacing w:after="0" w:line="283" w:lineRule="exact"/>
        <w:rPr>
          <w:sz w:val="20"/>
          <w:szCs w:val="20"/>
          <w:color w:val="auto"/>
        </w:rPr>
      </w:pPr>
    </w:p>
    <w:p>
      <w:pPr>
        <w:ind w:left="280"/>
        <w:spacing w:after="0"/>
        <w:tabs>
          <w:tab w:leader="none" w:pos="4120" w:val="left"/>
        </w:tabs>
        <w:rPr>
          <w:sz w:val="20"/>
          <w:szCs w:val="20"/>
          <w:color w:val="auto"/>
        </w:rPr>
      </w:pPr>
      <w:r>
        <w:rPr>
          <w:rFonts w:ascii="Times New Roman" w:cs="Times New Roman" w:eastAsia="Times New Roman" w:hAnsi="Times New Roman"/>
          <w:sz w:val="15"/>
          <w:szCs w:val="15"/>
          <w:color w:val="auto"/>
        </w:rPr>
        <w:t>with a copy to:</w:t>
      </w:r>
      <w:r>
        <w:rPr>
          <w:sz w:val="20"/>
          <w:szCs w:val="20"/>
          <w:color w:val="auto"/>
        </w:rPr>
        <w:tab/>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Miscellaneous</w:t>
      </w:r>
    </w:p>
    <w:p>
      <w:pPr>
        <w:spacing w:after="0" w:line="175" w:lineRule="exact"/>
        <w:rPr>
          <w:sz w:val="20"/>
          <w:szCs w:val="20"/>
          <w:color w:val="auto"/>
        </w:rPr>
      </w:pPr>
    </w:p>
    <w:p>
      <w:pPr>
        <w:jc w:val="both"/>
        <w:ind w:left="480" w:right="20" w:hanging="247"/>
        <w:spacing w:after="0" w:line="270" w:lineRule="auto"/>
        <w:tabs>
          <w:tab w:leader="none" w:pos="48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differences, claim, dispute, or controversy as to the breach, enforcement, interpretation or validity of this Letter Agreement shall be resolved in accordance with Sections 15.2 (</w:t>
      </w:r>
      <w:r>
        <w:rPr>
          <w:rFonts w:ascii="Times New Roman" w:cs="Times New Roman" w:eastAsia="Times New Roman" w:hAnsi="Times New Roman"/>
          <w:sz w:val="15"/>
          <w:szCs w:val="15"/>
          <w:i w:val="1"/>
          <w:iCs w:val="1"/>
          <w:color w:val="auto"/>
        </w:rPr>
        <w:t>Disputes</w:t>
      </w:r>
      <w:r>
        <w:rPr>
          <w:rFonts w:ascii="Times New Roman" w:cs="Times New Roman" w:eastAsia="Times New Roman" w:hAnsi="Times New Roman"/>
          <w:sz w:val="15"/>
          <w:szCs w:val="15"/>
          <w:color w:val="auto"/>
        </w:rPr>
        <w:t>) to 15.6 (</w:t>
      </w:r>
      <w:r>
        <w:rPr>
          <w:rFonts w:ascii="Times New Roman" w:cs="Times New Roman" w:eastAsia="Times New Roman" w:hAnsi="Times New Roman"/>
          <w:sz w:val="15"/>
          <w:szCs w:val="15"/>
          <w:i w:val="1"/>
          <w:iCs w:val="1"/>
          <w:color w:val="auto"/>
        </w:rPr>
        <w:t>Continued Performance</w:t>
      </w:r>
      <w:r>
        <w:rPr>
          <w:rFonts w:ascii="Times New Roman" w:cs="Times New Roman" w:eastAsia="Times New Roman" w:hAnsi="Times New Roman"/>
          <w:sz w:val="15"/>
          <w:szCs w:val="15"/>
          <w:color w:val="auto"/>
        </w:rPr>
        <w:t xml:space="preserve">) of the applicable License Agreement, and such Sections are incorporated herein by reference, </w:t>
      </w:r>
      <w:r>
        <w:rPr>
          <w:rFonts w:ascii="Times New Roman" w:cs="Times New Roman" w:eastAsia="Times New Roman" w:hAnsi="Times New Roman"/>
          <w:sz w:val="15"/>
          <w:szCs w:val="15"/>
          <w:i w:val="1"/>
          <w:iCs w:val="1"/>
          <w:color w:val="auto"/>
        </w:rPr>
        <w:t>mutatis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mutandis</w:t>
      </w:r>
      <w:r>
        <w:rPr>
          <w:rFonts w:ascii="Times New Roman" w:cs="Times New Roman" w:eastAsia="Times New Roman" w:hAnsi="Times New Roman"/>
          <w:sz w:val="15"/>
          <w:szCs w:val="15"/>
          <w:color w:val="auto"/>
        </w:rPr>
        <w:t>.</w:t>
      </w:r>
    </w:p>
    <w:p>
      <w:pPr>
        <w:spacing w:after="0" w:line="125" w:lineRule="exact"/>
        <w:rPr>
          <w:rFonts w:ascii="Times New Roman" w:cs="Times New Roman" w:eastAsia="Times New Roman" w:hAnsi="Times New Roman"/>
          <w:sz w:val="15"/>
          <w:szCs w:val="15"/>
          <w:color w:val="auto"/>
        </w:rPr>
      </w:pPr>
    </w:p>
    <w:p>
      <w:pPr>
        <w:ind w:left="480" w:right="40" w:hanging="247"/>
        <w:spacing w:after="0" w:line="287" w:lineRule="auto"/>
        <w:tabs>
          <w:tab w:leader="none" w:pos="48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Letter Agreement and any disputes, claims, or actions related thereto shall be governed by and construed in accordance with the laws of the State of New York, without regard to the conflicts of law provisions thereof.</w:t>
      </w:r>
    </w:p>
    <w:p>
      <w:pPr>
        <w:spacing w:after="0" w:line="109" w:lineRule="exact"/>
        <w:rPr>
          <w:rFonts w:ascii="Times New Roman" w:cs="Times New Roman" w:eastAsia="Times New Roman" w:hAnsi="Times New Roman"/>
          <w:sz w:val="15"/>
          <w:szCs w:val="15"/>
          <w:color w:val="auto"/>
        </w:rPr>
      </w:pPr>
    </w:p>
    <w:p>
      <w:pPr>
        <w:jc w:val="both"/>
        <w:ind w:left="480" w:right="20" w:hanging="247"/>
        <w:spacing w:after="0" w:line="273" w:lineRule="auto"/>
        <w:tabs>
          <w:tab w:leader="none" w:pos="48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Sections 16.1 (</w:t>
      </w:r>
      <w:r>
        <w:rPr>
          <w:rFonts w:ascii="Times New Roman" w:cs="Times New Roman" w:eastAsia="Times New Roman" w:hAnsi="Times New Roman"/>
          <w:sz w:val="15"/>
          <w:szCs w:val="15"/>
          <w:i w:val="1"/>
          <w:iCs w:val="1"/>
          <w:color w:val="auto"/>
        </w:rPr>
        <w:t>Rights in Bankruptcy</w:t>
      </w:r>
      <w:r>
        <w:rPr>
          <w:rFonts w:ascii="Times New Roman" w:cs="Times New Roman" w:eastAsia="Times New Roman" w:hAnsi="Times New Roman"/>
          <w:sz w:val="15"/>
          <w:szCs w:val="15"/>
          <w:color w:val="auto"/>
        </w:rPr>
        <w:t>), 16.3 (</w:t>
      </w:r>
      <w:r>
        <w:rPr>
          <w:rFonts w:ascii="Times New Roman" w:cs="Times New Roman" w:eastAsia="Times New Roman" w:hAnsi="Times New Roman"/>
          <w:sz w:val="15"/>
          <w:szCs w:val="15"/>
          <w:i w:val="1"/>
          <w:iCs w:val="1"/>
          <w:color w:val="auto"/>
        </w:rPr>
        <w:t>Entire Agreement; Amendment</w:t>
      </w:r>
      <w:r>
        <w:rPr>
          <w:rFonts w:ascii="Times New Roman" w:cs="Times New Roman" w:eastAsia="Times New Roman" w:hAnsi="Times New Roman"/>
          <w:sz w:val="15"/>
          <w:szCs w:val="15"/>
          <w:color w:val="auto"/>
        </w:rPr>
        <w:t>) (last sentence only), 16.4 (</w:t>
      </w:r>
      <w:r>
        <w:rPr>
          <w:rFonts w:ascii="Times New Roman" w:cs="Times New Roman" w:eastAsia="Times New Roman" w:hAnsi="Times New Roman"/>
          <w:sz w:val="15"/>
          <w:szCs w:val="15"/>
          <w:i w:val="1"/>
          <w:iCs w:val="1"/>
          <w:color w:val="auto"/>
        </w:rPr>
        <w:t>Further Assurances</w:t>
      </w:r>
      <w:r>
        <w:rPr>
          <w:rFonts w:ascii="Times New Roman" w:cs="Times New Roman" w:eastAsia="Times New Roman" w:hAnsi="Times New Roman"/>
          <w:sz w:val="15"/>
          <w:szCs w:val="15"/>
          <w:color w:val="auto"/>
        </w:rPr>
        <w:t>), 16.5 (</w:t>
      </w:r>
      <w:r>
        <w:rPr>
          <w:rFonts w:ascii="Times New Roman" w:cs="Times New Roman" w:eastAsia="Times New Roman" w:hAnsi="Times New Roman"/>
          <w:sz w:val="15"/>
          <w:szCs w:val="15"/>
          <w:i w:val="1"/>
          <w:iCs w:val="1"/>
          <w:color w:val="auto"/>
        </w:rPr>
        <w:t>Relationship Between the Parties</w:t>
      </w:r>
      <w:r>
        <w:rPr>
          <w:rFonts w:ascii="Times New Roman" w:cs="Times New Roman" w:eastAsia="Times New Roman" w:hAnsi="Times New Roman"/>
          <w:sz w:val="15"/>
          <w:szCs w:val="15"/>
          <w:color w:val="auto"/>
        </w:rPr>
        <w:t>), 16.6 (</w:t>
      </w:r>
      <w:r>
        <w:rPr>
          <w:rFonts w:ascii="Times New Roman" w:cs="Times New Roman" w:eastAsia="Times New Roman" w:hAnsi="Times New Roman"/>
          <w:sz w:val="15"/>
          <w:szCs w:val="15"/>
          <w:i w:val="1"/>
          <w:iCs w:val="1"/>
          <w:color w:val="auto"/>
        </w:rPr>
        <w:t>Non-Waiver</w:t>
      </w:r>
      <w:r>
        <w:rPr>
          <w:rFonts w:ascii="Times New Roman" w:cs="Times New Roman" w:eastAsia="Times New Roman" w:hAnsi="Times New Roman"/>
          <w:sz w:val="15"/>
          <w:szCs w:val="15"/>
          <w:color w:val="auto"/>
        </w:rPr>
        <w:t>), 16.8 (</w:t>
      </w:r>
      <w:r>
        <w:rPr>
          <w:rFonts w:ascii="Times New Roman" w:cs="Times New Roman" w:eastAsia="Times New Roman" w:hAnsi="Times New Roman"/>
          <w:sz w:val="15"/>
          <w:szCs w:val="15"/>
          <w:i w:val="1"/>
          <w:iCs w:val="1"/>
          <w:color w:val="auto"/>
        </w:rPr>
        <w:t>Third Party Beneficiaries</w:t>
      </w:r>
      <w:r>
        <w:rPr>
          <w:rFonts w:ascii="Times New Roman" w:cs="Times New Roman" w:eastAsia="Times New Roman" w:hAnsi="Times New Roman"/>
          <w:sz w:val="15"/>
          <w:szCs w:val="15"/>
          <w:color w:val="auto"/>
        </w:rPr>
        <w:t>), 16.9 (</w:t>
      </w:r>
      <w:r>
        <w:rPr>
          <w:rFonts w:ascii="Times New Roman" w:cs="Times New Roman" w:eastAsia="Times New Roman" w:hAnsi="Times New Roman"/>
          <w:sz w:val="15"/>
          <w:szCs w:val="15"/>
          <w:i w:val="1"/>
          <w:iCs w:val="1"/>
          <w:color w:val="auto"/>
        </w:rPr>
        <w:t>Severability</w:t>
      </w:r>
      <w:r>
        <w:rPr>
          <w:rFonts w:ascii="Times New Roman" w:cs="Times New Roman" w:eastAsia="Times New Roman" w:hAnsi="Times New Roman"/>
          <w:sz w:val="15"/>
          <w:szCs w:val="15"/>
          <w:color w:val="auto"/>
        </w:rPr>
        <w:t xml:space="preserve">), 16.11 ( </w:t>
      </w:r>
      <w:r>
        <w:rPr>
          <w:rFonts w:ascii="Times New Roman" w:cs="Times New Roman" w:eastAsia="Times New Roman" w:hAnsi="Times New Roman"/>
          <w:sz w:val="15"/>
          <w:szCs w:val="15"/>
          <w:i w:val="1"/>
          <w:iCs w:val="1"/>
          <w:color w:val="auto"/>
        </w:rPr>
        <w:t>Force Majeure</w:t>
      </w:r>
      <w:r>
        <w:rPr>
          <w:rFonts w:ascii="Times New Roman" w:cs="Times New Roman" w:eastAsia="Times New Roman" w:hAnsi="Times New Roman"/>
          <w:sz w:val="15"/>
          <w:szCs w:val="15"/>
          <w:color w:val="auto"/>
        </w:rPr>
        <w:t xml:space="preserve"> ), 16.12 (</w:t>
      </w:r>
      <w:r>
        <w:rPr>
          <w:rFonts w:ascii="Times New Roman" w:cs="Times New Roman" w:eastAsia="Times New Roman" w:hAnsi="Times New Roman"/>
          <w:sz w:val="15"/>
          <w:szCs w:val="15"/>
          <w:i w:val="1"/>
          <w:iCs w:val="1"/>
          <w:color w:val="auto"/>
        </w:rPr>
        <w:t>Interpretation</w:t>
      </w:r>
      <w:r>
        <w:rPr>
          <w:rFonts w:ascii="Times New Roman" w:cs="Times New Roman" w:eastAsia="Times New Roman" w:hAnsi="Times New Roman"/>
          <w:sz w:val="15"/>
          <w:szCs w:val="15"/>
          <w:color w:val="auto"/>
        </w:rPr>
        <w:t>) and 16.13 (</w:t>
      </w:r>
      <w:r>
        <w:rPr>
          <w:rFonts w:ascii="Times New Roman" w:cs="Times New Roman" w:eastAsia="Times New Roman" w:hAnsi="Times New Roman"/>
          <w:sz w:val="15"/>
          <w:szCs w:val="15"/>
          <w:i w:val="1"/>
          <w:iCs w:val="1"/>
          <w:color w:val="auto"/>
        </w:rPr>
        <w:t>Construction</w:t>
      </w:r>
      <w:r>
        <w:rPr>
          <w:rFonts w:ascii="Times New Roman" w:cs="Times New Roman" w:eastAsia="Times New Roman" w:hAnsi="Times New Roman"/>
          <w:sz w:val="15"/>
          <w:szCs w:val="15"/>
          <w:color w:val="auto"/>
        </w:rPr>
        <w:t xml:space="preserve">) of the Duality TROP2 Agreement shall apply with respect to this Letter Agreement and are incorporated herein by reference, </w:t>
      </w:r>
      <w:r>
        <w:rPr>
          <w:rFonts w:ascii="Times New Roman" w:cs="Times New Roman" w:eastAsia="Times New Roman" w:hAnsi="Times New Roman"/>
          <w:sz w:val="15"/>
          <w:szCs w:val="15"/>
          <w:i w:val="1"/>
          <w:iCs w:val="1"/>
          <w:color w:val="auto"/>
        </w:rPr>
        <w:t>mutatis mutandis</w:t>
      </w:r>
      <w:r>
        <w:rPr>
          <w:rFonts w:ascii="Times New Roman" w:cs="Times New Roman" w:eastAsia="Times New Roman" w:hAnsi="Times New Roman"/>
          <w:sz w:val="15"/>
          <w:szCs w:val="15"/>
          <w:color w:val="auto"/>
        </w:rPr>
        <w:t>.</w:t>
      </w:r>
    </w:p>
    <w:p>
      <w:pPr>
        <w:spacing w:after="0" w:line="122" w:lineRule="exact"/>
        <w:rPr>
          <w:rFonts w:ascii="Times New Roman" w:cs="Times New Roman" w:eastAsia="Times New Roman" w:hAnsi="Times New Roman"/>
          <w:sz w:val="15"/>
          <w:szCs w:val="15"/>
          <w:color w:val="auto"/>
        </w:rPr>
      </w:pPr>
    </w:p>
    <w:p>
      <w:pPr>
        <w:jc w:val="both"/>
        <w:ind w:left="480" w:right="40" w:hanging="247"/>
        <w:spacing w:after="0" w:line="270" w:lineRule="auto"/>
        <w:tabs>
          <w:tab w:leader="none" w:pos="48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avoidance of doubt, the phrase “in combination with” in this Letter Agreement includes co-formulation, co-packaging, co-administration, or any other use in conjugation with, including as part of a combination therapy. The phrases “applicable License Agreement” or “respective License Agreement” (or similar phrases) in this Letter Agreement shall mean the License Agreement applicable to the Duality Licensed Product used in such Combination Trial.</w:t>
      </w:r>
    </w:p>
    <w:p>
      <w:pPr>
        <w:spacing w:after="0" w:line="125" w:lineRule="exact"/>
        <w:rPr>
          <w:rFonts w:ascii="Times New Roman" w:cs="Times New Roman" w:eastAsia="Times New Roman" w:hAnsi="Times New Roman"/>
          <w:sz w:val="15"/>
          <w:szCs w:val="15"/>
          <w:color w:val="auto"/>
        </w:rPr>
      </w:pPr>
    </w:p>
    <w:p>
      <w:pPr>
        <w:jc w:val="both"/>
        <w:ind w:left="480" w:hanging="247"/>
        <w:spacing w:after="0" w:line="264" w:lineRule="auto"/>
        <w:tabs>
          <w:tab w:leader="none" w:pos="519"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this Letter Agreement nor any rights or obligations hereunder may be assigned by a Party without the prior written consent of the other Party (which shall not be unreasonably withheld, conditioned or delayed), provided that, each Party shall have the right to assign its obligations or rights under this Letter Agreement without the consent of the other Party, to any of its permitted assignees of the applicable License Agreement, in conjunction with the permitted assignment of all of its rights and obligations under the License Agreement.</w:t>
      </w:r>
    </w:p>
    <w:p>
      <w:pPr>
        <w:spacing w:after="0" w:line="130" w:lineRule="exact"/>
        <w:rPr>
          <w:rFonts w:ascii="Times New Roman" w:cs="Times New Roman" w:eastAsia="Times New Roman" w:hAnsi="Times New Roman"/>
          <w:sz w:val="15"/>
          <w:szCs w:val="15"/>
          <w:color w:val="auto"/>
        </w:rPr>
      </w:pPr>
    </w:p>
    <w:p>
      <w:pPr>
        <w:jc w:val="both"/>
        <w:ind w:left="480" w:hanging="247"/>
        <w:spacing w:after="0" w:line="259" w:lineRule="auto"/>
        <w:tabs>
          <w:tab w:leader="none" w:pos="48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Letter Agreement may be executed in two (2) or more counterparts, including by transmission of facsimile or PDF copies of signature pages to the Parties or their representative legal counsel, each of which shall be deemed an original document, and all of which, together with this writing, shall be deemed one and the same instrument. Electronic, facsimile or PDF image signatures shall be treated as original signatures, with the understanding that each Party expressly agrees that such Party shall be bound by its own electronically transmitted signature and shall accept the electronically transmitted signature of the other Party (including through the use of eSignature platforms such as DocuSign®). No Party will raise the use of electronic delivery to transmit a signature or the fact that any signature or agreement or instrument was transmitted or communicated through the use of electronic delivery as a defense to the formation of a contract.</w:t>
      </w:r>
    </w:p>
    <w:p>
      <w:pPr>
        <w:spacing w:after="0" w:line="132" w:lineRule="exact"/>
        <w:rPr>
          <w:rFonts w:ascii="Times New Roman" w:cs="Times New Roman" w:eastAsia="Times New Roman" w:hAnsi="Times New Roman"/>
          <w:sz w:val="15"/>
          <w:szCs w:val="15"/>
          <w:color w:val="auto"/>
        </w:rPr>
      </w:pPr>
    </w:p>
    <w:p>
      <w:pPr>
        <w:ind w:left="480" w:hanging="247"/>
        <w:spacing w:after="0"/>
        <w:tabs>
          <w:tab w:leader="none" w:pos="48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This Letter Agreement shall become effective as of the date of last signature below (the “ </w:t>
      </w:r>
      <w:r>
        <w:rPr>
          <w:rFonts w:ascii="Times New Roman" w:cs="Times New Roman" w:eastAsia="Times New Roman" w:hAnsi="Times New Roman"/>
          <w:sz w:val="15"/>
          <w:szCs w:val="15"/>
          <w:b w:val="1"/>
          <w:bCs w:val="1"/>
          <w:color w:val="auto"/>
        </w:rPr>
        <w:t>Letter Effective Date</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ectPr>
          <w:pgSz w:w="11900" w:h="16840" w:orient="portrait"/>
          <w:cols w:equalWidth="0" w:num="1">
            <w:col w:w="10600"/>
          </w:cols>
          <w:pgMar w:left="660" w:top="1440" w:right="640" w:bottom="1440" w:gutter="0" w:footer="0" w:header="0"/>
        </w:sectPr>
      </w:pPr>
    </w:p>
    <w:bookmarkStart w:id="270" w:name="page271"/>
    <w:bookmarkEnd w:id="270"/>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The remainder of this page is intentionally left blank. The signature page follows.</w:t>
      </w:r>
      <w:r>
        <w:rPr>
          <w:rFonts w:ascii="Times New Roman" w:cs="Times New Roman" w:eastAsia="Times New Roman" w:hAnsi="Times New Roman"/>
          <w:sz w:val="15"/>
          <w:szCs w:val="15"/>
          <w:color w:val="auto"/>
        </w:rPr>
        <w:t xml:space="preserve"> ]</w:t>
      </w:r>
    </w:p>
    <w:p>
      <w:pPr>
        <w:spacing w:after="0" w:line="200" w:lineRule="exact"/>
        <w:rPr>
          <w:sz w:val="20"/>
          <w:szCs w:val="20"/>
          <w:color w:val="auto"/>
        </w:rPr>
      </w:pPr>
    </w:p>
    <w:p>
      <w:pPr>
        <w:spacing w:after="0" w:line="399" w:lineRule="exact"/>
        <w:rPr>
          <w:sz w:val="20"/>
          <w:szCs w:val="20"/>
          <w:color w:val="auto"/>
        </w:rPr>
      </w:pPr>
    </w:p>
    <w:p>
      <w:pPr>
        <w:jc w:val="right"/>
        <w:ind w:right="4440"/>
        <w:spacing w:after="0"/>
        <w:rPr>
          <w:sz w:val="20"/>
          <w:szCs w:val="20"/>
          <w:color w:val="auto"/>
        </w:rPr>
      </w:pPr>
      <w:r>
        <w:rPr>
          <w:rFonts w:ascii="Times New Roman" w:cs="Times New Roman" w:eastAsia="Times New Roman" w:hAnsi="Times New Roman"/>
          <w:sz w:val="16"/>
          <w:szCs w:val="16"/>
          <w:color w:val="auto"/>
        </w:rPr>
        <w:t>17</w:t>
      </w:r>
    </w:p>
    <w:p>
      <w:pPr>
        <w:sectPr>
          <w:pgSz w:w="11900" w:h="16840" w:orient="portrait"/>
          <w:cols w:equalWidth="0" w:num="1">
            <w:col w:w="9560"/>
          </w:cols>
          <w:pgMar w:left="900" w:top="1440" w:right="1440" w:bottom="1440" w:gutter="0" w:footer="0" w:header="0"/>
        </w:sectPr>
      </w:pPr>
    </w:p>
    <w:bookmarkStart w:id="271" w:name="page272"/>
    <w:bookmarkEnd w:id="271"/>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Sincerely,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BioNTech SE</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u w:val="single" w:color="auto"/>
          <w:color w:val="auto"/>
        </w:rPr>
        <w:t>/s/ Sierk Poetting</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Name: Dr. Sierk Poetting</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Title: Managing Director</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Date: 12-Nov-2024</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u w:val="single" w:color="auto"/>
          <w:color w:val="auto"/>
        </w:rPr>
        <w:t>/s/ James Ryan</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Name: James Ryan</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Title: Managing Director</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Date: 12-Nov-2024</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Acknowledged and agreed: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Duality Biologics (Suzhou) Co. Ltd.</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u w:val="single" w:color="auto"/>
          <w:color w:val="auto"/>
        </w:rPr>
        <w:t>/s/ John Zhu</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Name: John Zhu</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Title: CEO</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Date: 13-11-2024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4440"/>
        <w:spacing w:after="0"/>
        <w:rPr>
          <w:sz w:val="20"/>
          <w:szCs w:val="20"/>
          <w:color w:val="auto"/>
        </w:rPr>
      </w:pPr>
      <w:r>
        <w:rPr>
          <w:rFonts w:ascii="Times New Roman" w:cs="Times New Roman" w:eastAsia="Times New Roman" w:hAnsi="Times New Roman"/>
          <w:sz w:val="16"/>
          <w:szCs w:val="16"/>
          <w:color w:val="auto"/>
        </w:rPr>
        <w:t>18</w:t>
      </w:r>
    </w:p>
    <w:p>
      <w:pPr>
        <w:sectPr>
          <w:pgSz w:w="11900" w:h="16840" w:orient="portrait"/>
          <w:cols w:equalWidth="0" w:num="1">
            <w:col w:w="9820"/>
          </w:cols>
          <w:pgMar w:left="640" w:top="1440" w:right="1440" w:bottom="1440" w:gutter="0" w:footer="0" w:header="0"/>
        </w:sectPr>
      </w:pPr>
    </w:p>
    <w:bookmarkStart w:id="272" w:name="page273"/>
    <w:bookmarkEnd w:id="272"/>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0" w:type="dxa"/>
            <w:vAlign w:val="bottom"/>
          </w:tcPr>
          <w:p>
            <w:pPr>
              <w:jc w:val="right"/>
              <w:ind w:right="1244"/>
              <w:spacing w:after="0"/>
              <w:rPr>
                <w:sz w:val="20"/>
                <w:szCs w:val="20"/>
                <w:color w:val="auto"/>
              </w:rPr>
            </w:pPr>
            <w:r>
              <w:rPr>
                <w:rFonts w:ascii="Times New Roman" w:cs="Times New Roman" w:eastAsia="Times New Roman" w:hAnsi="Times New Roman"/>
                <w:sz w:val="15"/>
                <w:szCs w:val="15"/>
                <w:b w:val="1"/>
                <w:bCs w:val="1"/>
                <w:color w:val="auto"/>
              </w:rPr>
              <w:t>Schedule 1</w:t>
            </w:r>
          </w:p>
        </w:tc>
        <w:tc>
          <w:tcPr>
            <w:tcW w:w="15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561"/>
        </w:trPr>
        <w:tc>
          <w:tcPr>
            <w:tcW w:w="980" w:type="dxa"/>
            <w:vAlign w:val="bottom"/>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w w:val="92"/>
              </w:rPr>
              <w:t>[***]</w:t>
            </w:r>
          </w:p>
        </w:tc>
        <w:tc>
          <w:tcPr>
            <w:tcW w:w="1540" w:type="dxa"/>
            <w:vAlign w:val="bottom"/>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w:t>
            </w:r>
          </w:p>
        </w:tc>
        <w:tc>
          <w:tcPr>
            <w:tcW w:w="1600" w:type="dxa"/>
            <w:vAlign w:val="bottom"/>
          </w:tcPr>
          <w:p>
            <w:pPr>
              <w:jc w:val="right"/>
              <w:ind w:right="704"/>
              <w:spacing w:after="0"/>
              <w:rPr>
                <w:sz w:val="20"/>
                <w:szCs w:val="20"/>
                <w:color w:val="auto"/>
              </w:rPr>
            </w:pPr>
            <w:r>
              <w:rPr>
                <w:rFonts w:ascii="Times New Roman" w:cs="Times New Roman" w:eastAsia="Times New Roman" w:hAnsi="Times New Roman"/>
                <w:sz w:val="15"/>
                <w:szCs w:val="15"/>
                <w:b w:val="1"/>
                <w:bCs w:val="1"/>
                <w:color w:val="auto"/>
              </w:rPr>
              <w:t>[***]</w:t>
            </w:r>
          </w:p>
        </w:tc>
        <w:tc>
          <w:tcPr>
            <w:tcW w:w="2800" w:type="dxa"/>
            <w:vAlign w:val="bottom"/>
          </w:tcPr>
          <w:p>
            <w:pPr>
              <w:jc w:val="right"/>
              <w:ind w:right="604"/>
              <w:spacing w:after="0"/>
              <w:rPr>
                <w:sz w:val="20"/>
                <w:szCs w:val="20"/>
                <w:color w:val="auto"/>
              </w:rPr>
            </w:pPr>
            <w:r>
              <w:rPr>
                <w:rFonts w:ascii="Times New Roman" w:cs="Times New Roman" w:eastAsia="Times New Roman" w:hAnsi="Times New Roman"/>
                <w:sz w:val="15"/>
                <w:szCs w:val="15"/>
                <w:b w:val="1"/>
                <w:bCs w:val="1"/>
                <w:color w:val="auto"/>
              </w:rPr>
              <w:t>[***]</w:t>
            </w:r>
          </w:p>
        </w:tc>
        <w:tc>
          <w:tcPr>
            <w:tcW w:w="1540" w:type="dxa"/>
            <w:vAlign w:val="bottom"/>
          </w:tcPr>
          <w:p>
            <w:pPr>
              <w:jc w:val="right"/>
              <w:ind w:right="422"/>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1"/>
        </w:trPr>
        <w:tc>
          <w:tcPr>
            <w:tcW w:w="980" w:type="dxa"/>
            <w:vAlign w:val="bottom"/>
          </w:tcPr>
          <w:p>
            <w:pPr>
              <w:jc w:val="right"/>
              <w:ind w:right="584"/>
              <w:spacing w:after="0"/>
              <w:rPr>
                <w:sz w:val="20"/>
                <w:szCs w:val="20"/>
                <w:color w:val="auto"/>
              </w:rPr>
            </w:pPr>
            <w:r>
              <w:rPr>
                <w:rFonts w:ascii="Times New Roman" w:cs="Times New Roman" w:eastAsia="Times New Roman" w:hAnsi="Times New Roman"/>
                <w:sz w:val="15"/>
                <w:szCs w:val="15"/>
                <w:color w:val="auto"/>
                <w:w w:val="92"/>
              </w:rPr>
              <w:t>[***]</w:t>
            </w:r>
          </w:p>
        </w:tc>
        <w:tc>
          <w:tcPr>
            <w:tcW w:w="1540" w:type="dxa"/>
            <w:vAlign w:val="bottom"/>
          </w:tcPr>
          <w:p>
            <w:pPr>
              <w:jc w:val="right"/>
              <w:ind w:right="46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704"/>
              <w:spacing w:after="0"/>
              <w:rPr>
                <w:sz w:val="20"/>
                <w:szCs w:val="20"/>
                <w:color w:val="auto"/>
              </w:rPr>
            </w:pPr>
            <w:r>
              <w:rPr>
                <w:rFonts w:ascii="Times New Roman" w:cs="Times New Roman" w:eastAsia="Times New Roman" w:hAnsi="Times New Roman"/>
                <w:sz w:val="15"/>
                <w:szCs w:val="15"/>
                <w:color w:val="auto"/>
              </w:rPr>
              <w:t>[***]</w:t>
            </w:r>
          </w:p>
        </w:tc>
        <w:tc>
          <w:tcPr>
            <w:tcW w:w="2800" w:type="dxa"/>
            <w:vAlign w:val="bottom"/>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980" w:type="dxa"/>
            <w:vAlign w:val="bottom"/>
          </w:tcPr>
          <w:p>
            <w:pPr>
              <w:jc w:val="right"/>
              <w:ind w:right="584"/>
              <w:spacing w:after="0"/>
              <w:rPr>
                <w:sz w:val="20"/>
                <w:szCs w:val="20"/>
                <w:color w:val="auto"/>
              </w:rPr>
            </w:pPr>
            <w:r>
              <w:rPr>
                <w:rFonts w:ascii="Times New Roman" w:cs="Times New Roman" w:eastAsia="Times New Roman" w:hAnsi="Times New Roman"/>
                <w:sz w:val="15"/>
                <w:szCs w:val="15"/>
                <w:color w:val="auto"/>
                <w:w w:val="92"/>
              </w:rPr>
              <w:t>[***]</w:t>
            </w:r>
          </w:p>
        </w:tc>
        <w:tc>
          <w:tcPr>
            <w:tcW w:w="1540" w:type="dxa"/>
            <w:vAlign w:val="bottom"/>
          </w:tcPr>
          <w:p>
            <w:pPr>
              <w:jc w:val="right"/>
              <w:ind w:right="46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704"/>
              <w:spacing w:after="0"/>
              <w:rPr>
                <w:sz w:val="20"/>
                <w:szCs w:val="20"/>
                <w:color w:val="auto"/>
              </w:rPr>
            </w:pPr>
            <w:r>
              <w:rPr>
                <w:rFonts w:ascii="Times New Roman" w:cs="Times New Roman" w:eastAsia="Times New Roman" w:hAnsi="Times New Roman"/>
                <w:sz w:val="15"/>
                <w:szCs w:val="15"/>
                <w:color w:val="auto"/>
              </w:rPr>
              <w:t>[***]</w:t>
            </w:r>
          </w:p>
        </w:tc>
        <w:tc>
          <w:tcPr>
            <w:tcW w:w="2800" w:type="dxa"/>
            <w:vAlign w:val="bottom"/>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97"/>
              </w:rPr>
              <w:t>[***]</w:t>
            </w:r>
          </w:p>
        </w:tc>
      </w:tr>
      <w:tr>
        <w:trPr>
          <w:trHeight w:val="210"/>
        </w:trPr>
        <w:tc>
          <w:tcPr>
            <w:tcW w:w="980" w:type="dxa"/>
            <w:vAlign w:val="bottom"/>
          </w:tcPr>
          <w:p>
            <w:pPr>
              <w:jc w:val="right"/>
              <w:ind w:right="584"/>
              <w:spacing w:after="0"/>
              <w:rPr>
                <w:sz w:val="20"/>
                <w:szCs w:val="20"/>
                <w:color w:val="auto"/>
              </w:rPr>
            </w:pPr>
            <w:r>
              <w:rPr>
                <w:rFonts w:ascii="Times New Roman" w:cs="Times New Roman" w:eastAsia="Times New Roman" w:hAnsi="Times New Roman"/>
                <w:sz w:val="15"/>
                <w:szCs w:val="15"/>
                <w:color w:val="auto"/>
                <w:w w:val="92"/>
              </w:rPr>
              <w:t>[***]</w:t>
            </w:r>
          </w:p>
        </w:tc>
        <w:tc>
          <w:tcPr>
            <w:tcW w:w="1540" w:type="dxa"/>
            <w:vAlign w:val="bottom"/>
          </w:tcPr>
          <w:p>
            <w:pPr>
              <w:jc w:val="right"/>
              <w:ind w:right="46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704"/>
              <w:spacing w:after="0"/>
              <w:rPr>
                <w:sz w:val="20"/>
                <w:szCs w:val="20"/>
                <w:color w:val="auto"/>
              </w:rPr>
            </w:pPr>
            <w:r>
              <w:rPr>
                <w:rFonts w:ascii="Times New Roman" w:cs="Times New Roman" w:eastAsia="Times New Roman" w:hAnsi="Times New Roman"/>
                <w:sz w:val="15"/>
                <w:szCs w:val="15"/>
                <w:color w:val="auto"/>
              </w:rPr>
              <w:t>[***]</w:t>
            </w:r>
          </w:p>
        </w:tc>
        <w:tc>
          <w:tcPr>
            <w:tcW w:w="2800" w:type="dxa"/>
            <w:vAlign w:val="bottom"/>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97"/>
              </w:rPr>
              <w:t>[***]</w:t>
            </w:r>
          </w:p>
        </w:tc>
      </w:tr>
    </w:tbl>
    <w:p>
      <w:pPr>
        <w:sectPr>
          <w:pgSz w:w="11900" w:h="16840" w:orient="portrait"/>
          <w:cols w:equalWidth="0" w:num="1">
            <w:col w:w="9760"/>
          </w:cols>
          <w:pgMar w:left="700" w:top="1440" w:right="1440" w:bottom="1440" w:gutter="0" w:footer="0" w:header="0"/>
        </w:sectPr>
      </w:pPr>
    </w:p>
    <w:bookmarkStart w:id="273" w:name="page274"/>
    <w:bookmarkEnd w:id="273"/>
    <w:p>
      <w:pPr>
        <w:spacing w:after="0" w:line="87" w:lineRule="exact"/>
        <w:rPr>
          <w:sz w:val="20"/>
          <w:szCs w:val="20"/>
          <w:color w:val="auto"/>
        </w:rPr>
      </w:pPr>
    </w:p>
    <w:p>
      <w:pPr>
        <w:jc w:val="right"/>
        <w:ind w:right="4160"/>
        <w:spacing w:after="0"/>
        <w:rPr>
          <w:sz w:val="20"/>
          <w:szCs w:val="20"/>
          <w:color w:val="auto"/>
        </w:rPr>
      </w:pPr>
      <w:r>
        <w:rPr>
          <w:rFonts w:ascii="Times New Roman" w:cs="Times New Roman" w:eastAsia="Times New Roman" w:hAnsi="Times New Roman"/>
          <w:sz w:val="15"/>
          <w:szCs w:val="15"/>
          <w:b w:val="1"/>
          <w:bCs w:val="1"/>
          <w:color w:val="auto"/>
        </w:rPr>
        <w:t>Schedule 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Each Additional Trial Request shall specify: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ectPr>
          <w:pgSz w:w="11900" w:h="16840" w:orient="portrait"/>
          <w:cols w:equalWidth="0" w:num="1">
            <w:col w:w="9800"/>
          </w:cols>
          <w:pgMar w:left="660" w:top="1440" w:right="1440" w:bottom="1440" w:gutter="0" w:footer="0" w:header="0"/>
        </w:sectPr>
      </w:pPr>
    </w:p>
    <w:bookmarkStart w:id="274" w:name="page275"/>
    <w:bookmarkEnd w:id="274"/>
    <w:p>
      <w:pPr>
        <w:ind w:left="9740"/>
        <w:spacing w:after="0"/>
        <w:rPr>
          <w:sz w:val="20"/>
          <w:szCs w:val="20"/>
          <w:color w:val="auto"/>
        </w:rPr>
      </w:pPr>
      <w:r>
        <w:rPr>
          <w:rFonts w:ascii="Times New Roman" w:cs="Times New Roman" w:eastAsia="Times New Roman" w:hAnsi="Times New Roman"/>
          <w:sz w:val="13"/>
          <w:szCs w:val="13"/>
          <w:b w:val="1"/>
          <w:bCs w:val="1"/>
          <w:color w:val="auto"/>
        </w:rPr>
        <w:t>Exhibit 4.55</w:t>
      </w:r>
    </w:p>
    <w:p>
      <w:pPr>
        <w:spacing w:after="0" w:line="32" w:lineRule="exact"/>
        <w:rPr>
          <w:sz w:val="20"/>
          <w:szCs w:val="20"/>
          <w:color w:val="auto"/>
        </w:rPr>
      </w:pPr>
    </w:p>
    <w:p>
      <w:pPr>
        <w:ind w:left="120" w:right="120" w:hanging="6"/>
        <w:spacing w:after="0" w:line="248" w:lineRule="auto"/>
        <w:tabs>
          <w:tab w:leader="none" w:pos="433"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Certain information in this document has been omitted from this exhibit because it is both (i) not material and (ii) the type of information that the Registrant treats as private or confidential.</w:t>
      </w:r>
    </w:p>
    <w:p>
      <w:pPr>
        <w:spacing w:after="0" w:line="36" w:lineRule="exact"/>
        <w:rPr>
          <w:sz w:val="20"/>
          <w:szCs w:val="20"/>
          <w:color w:val="auto"/>
        </w:rPr>
      </w:pPr>
    </w:p>
    <w:p>
      <w:pPr>
        <w:jc w:val="both"/>
        <w:ind w:left="8380"/>
        <w:spacing w:after="0"/>
        <w:tabs>
          <w:tab w:leader="none" w:pos="9480" w:val="left"/>
        </w:tabs>
        <w:rPr>
          <w:sz w:val="20"/>
          <w:szCs w:val="20"/>
          <w:color w:val="auto"/>
        </w:rPr>
      </w:pPr>
      <w:r>
        <w:rPr>
          <w:rFonts w:ascii="Times New Roman" w:cs="Times New Roman" w:eastAsia="Times New Roman" w:hAnsi="Times New Roman"/>
          <w:sz w:val="16"/>
          <w:szCs w:val="16"/>
          <w:color w:val="auto"/>
        </w:rPr>
        <w:t>Confidential</w:t>
      </w:r>
      <w:r>
        <w:rPr>
          <w:sz w:val="20"/>
          <w:szCs w:val="20"/>
          <w:color w:val="auto"/>
        </w:rPr>
        <w:tab/>
      </w:r>
      <w:r>
        <w:rPr>
          <w:rFonts w:ascii="Times New Roman" w:cs="Times New Roman" w:eastAsia="Times New Roman" w:hAnsi="Times New Roman"/>
          <w:sz w:val="16"/>
          <w:szCs w:val="16"/>
          <w:color w:val="auto"/>
        </w:rPr>
        <w:t>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384175</wp:posOffset>
            </wp:positionV>
            <wp:extent cx="6726555" cy="127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22">
                      <a:extLst>
                        <a:ext uri="{28A0092B-C50C-407E-A947-70E740481C1C}"/>
                      </a:extLst>
                    </a:blip>
                    <a:srcRect/>
                    <a:stretch>
                      <a:fillRect/>
                    </a:stretch>
                  </pic:blipFill>
                  <pic:spPr bwMode="auto">
                    <a:xfrm>
                      <a:off x="0" y="0"/>
                      <a:ext cx="6726555"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and among</w:t>
      </w:r>
    </w:p>
    <w:p>
      <w:pPr>
        <w:spacing w:after="0" w:line="16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BIONTECH COLLABORATIONS GMBH,</w:t>
      </w:r>
    </w:p>
    <w:p>
      <w:pPr>
        <w:spacing w:after="0" w:line="33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MERGER SUB,</w:t>
      </w:r>
    </w:p>
    <w:p>
      <w:pPr>
        <w:spacing w:after="0" w:line="33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BIOTHEUS</w:t>
      </w:r>
    </w:p>
    <w:p>
      <w:pPr>
        <w:spacing w:after="0" w:line="17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and</w:t>
      </w:r>
    </w:p>
    <w:p>
      <w:pPr>
        <w:spacing w:after="0" w:line="16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SHAREHOLDER REPRESENTATIVE SERVICES LLC,</w:t>
      </w:r>
    </w:p>
    <w:p>
      <w:pPr>
        <w:spacing w:after="0" w:line="17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solely in its capacity as the Shareholders’ Agent</w:t>
      </w:r>
    </w:p>
    <w:p>
      <w:pPr>
        <w:spacing w:after="0" w:line="200" w:lineRule="exact"/>
        <w:rPr>
          <w:sz w:val="20"/>
          <w:szCs w:val="20"/>
          <w:color w:val="auto"/>
        </w:rPr>
      </w:pPr>
    </w:p>
    <w:p>
      <w:pPr>
        <w:spacing w:after="0" w:line="29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Dated as of November 13, 2024</w:t>
      </w:r>
    </w:p>
    <w:p>
      <w:pPr>
        <w:sectPr>
          <w:pgSz w:w="11900" w:h="16840" w:orient="portrait"/>
          <w:cols w:equalWidth="0" w:num="1">
            <w:col w:w="10420"/>
          </w:cols>
          <w:pgMar w:left="820" w:top="558" w:right="660" w:bottom="1440" w:gutter="0" w:footer="0" w:header="0"/>
        </w:sectPr>
      </w:pPr>
    </w:p>
    <w:bookmarkStart w:id="275" w:name="page276"/>
    <w:bookmarkEnd w:id="275"/>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w:t>
            </w:r>
          </w:p>
        </w:tc>
        <w:tc>
          <w:tcPr>
            <w:tcW w:w="16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Certain Defined Terms</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2</w:t>
            </w:r>
          </w:p>
        </w:tc>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1.2</w:t>
            </w: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Table of Definitions</w:t>
            </w:r>
          </w:p>
        </w:tc>
        <w:tc>
          <w:tcPr>
            <w:tcW w:w="64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22</w:t>
            </w:r>
          </w:p>
        </w:tc>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374"/>
        </w:trPr>
        <w:tc>
          <w:tcPr>
            <w:tcW w:w="2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ARTICLE II THE MERGER</w:t>
            </w:r>
          </w:p>
        </w:tc>
        <w:tc>
          <w:tcPr>
            <w:tcW w:w="2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26</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73"/>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2.1</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 Merger</w:t>
            </w:r>
          </w:p>
        </w:tc>
        <w:tc>
          <w:tcPr>
            <w:tcW w:w="6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900" w:type="dxa"/>
            <w:vAlign w:val="bottom"/>
          </w:tcPr>
          <w:p>
            <w:pPr>
              <w:spacing w:after="0"/>
              <w:rPr>
                <w:sz w:val="23"/>
                <w:szCs w:val="23"/>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2.2</w:t>
            </w:r>
          </w:p>
        </w:tc>
        <w:tc>
          <w:tcPr>
            <w:tcW w:w="16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Closing; Effective Time</w:t>
            </w:r>
          </w:p>
        </w:tc>
        <w:tc>
          <w:tcPr>
            <w:tcW w:w="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2.3</w:t>
            </w: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Effects of the Merger</w:t>
            </w:r>
          </w:p>
        </w:tc>
        <w:tc>
          <w:tcPr>
            <w:tcW w:w="64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26</w:t>
            </w:r>
          </w:p>
        </w:tc>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2.4</w:t>
            </w:r>
          </w:p>
        </w:tc>
        <w:tc>
          <w:tcPr>
            <w:tcW w:w="688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Memorandum of Association and Articles of Association; Directors and Officers  27</w:t>
            </w: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2.5</w:t>
            </w: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Subsequent Actions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2.6</w:t>
            </w: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Conversion of Shares</w:t>
            </w:r>
          </w:p>
        </w:tc>
        <w:tc>
          <w:tcPr>
            <w:tcW w:w="64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27</w:t>
            </w:r>
          </w:p>
        </w:tc>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2.7</w:t>
            </w:r>
          </w:p>
        </w:tc>
        <w:tc>
          <w:tcPr>
            <w:tcW w:w="16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Dissenting Shares  28</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2.8</w:t>
            </w: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Payment for Shares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29</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2.9</w:t>
            </w:r>
          </w:p>
        </w:tc>
        <w:tc>
          <w:tcPr>
            <w:tcW w:w="688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Estimated Closing Statement; Post-Closing Adjustment to Purchase Price  30</w:t>
            </w: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2.10</w:t>
            </w:r>
          </w:p>
        </w:tc>
        <w:tc>
          <w:tcPr>
            <w:tcW w:w="6880" w:type="dxa"/>
            <w:vAlign w:val="bottom"/>
            <w:gridSpan w:val="8"/>
          </w:tcPr>
          <w:p>
            <w:pPr>
              <w:ind w:left="100"/>
              <w:spacing w:after="0"/>
              <w:rPr>
                <w:sz w:val="20"/>
                <w:szCs w:val="20"/>
                <w:color w:val="auto"/>
              </w:rPr>
            </w:pPr>
            <w:r>
              <w:rPr>
                <w:rFonts w:ascii="Times New Roman" w:cs="Times New Roman" w:eastAsia="Times New Roman" w:hAnsi="Times New Roman"/>
                <w:sz w:val="16"/>
                <w:szCs w:val="16"/>
                <w:color w:val="auto"/>
              </w:rPr>
              <w:t>Escrow Contributions; [***] Amount; [***] Payment; Expense Fund Contribution; Other Payments  34</w:t>
            </w: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2.11</w:t>
            </w:r>
          </w:p>
        </w:tc>
        <w:tc>
          <w:tcPr>
            <w:tcW w:w="2980" w:type="dxa"/>
            <w:vAlign w:val="bottom"/>
            <w:gridSpan w:val="7"/>
          </w:tcPr>
          <w:p>
            <w:pPr>
              <w:ind w:left="100"/>
              <w:spacing w:after="0"/>
              <w:rPr>
                <w:sz w:val="20"/>
                <w:szCs w:val="20"/>
                <w:color w:val="auto"/>
              </w:rPr>
            </w:pPr>
            <w:r>
              <w:rPr>
                <w:rFonts w:ascii="Times New Roman" w:cs="Times New Roman" w:eastAsia="Times New Roman" w:hAnsi="Times New Roman"/>
                <w:sz w:val="16"/>
                <w:szCs w:val="16"/>
                <w:color w:val="auto"/>
              </w:rPr>
              <w:t>Escrow Fund and [***] Releases  36</w:t>
            </w:r>
          </w:p>
        </w:tc>
        <w:tc>
          <w:tcPr>
            <w:tcW w:w="39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2.12</w:t>
            </w:r>
          </w:p>
        </w:tc>
        <w:tc>
          <w:tcPr>
            <w:tcW w:w="166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Contingent Payments</w:t>
            </w:r>
          </w:p>
        </w:tc>
        <w:tc>
          <w:tcPr>
            <w:tcW w:w="4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87"/>
              </w:rPr>
              <w:t>37</w:t>
            </w:r>
          </w:p>
        </w:tc>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2.13</w:t>
            </w:r>
          </w:p>
        </w:tc>
        <w:tc>
          <w:tcPr>
            <w:tcW w:w="208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Founder ADS Consideration</w:t>
            </w:r>
          </w:p>
        </w:tc>
        <w:tc>
          <w:tcPr>
            <w:tcW w:w="9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41</w:t>
            </w:r>
          </w:p>
        </w:tc>
        <w:tc>
          <w:tcPr>
            <w:tcW w:w="39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2.14</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Withholding Rights</w:t>
            </w:r>
          </w:p>
        </w:tc>
        <w:tc>
          <w:tcPr>
            <w:tcW w:w="64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41</w:t>
            </w:r>
          </w:p>
        </w:tc>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374"/>
        </w:trPr>
        <w:tc>
          <w:tcPr>
            <w:tcW w:w="820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ARTICLE III REPRESENTATIONS AND WARRANTIES OF THE COMPANY  42</w:t>
            </w:r>
          </w:p>
        </w:tc>
      </w:tr>
      <w:tr>
        <w:trPr>
          <w:trHeight w:val="273"/>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3.1</w:t>
            </w:r>
          </w:p>
        </w:tc>
        <w:tc>
          <w:tcPr>
            <w:tcW w:w="298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Incorporation and Qualification; Subsidiaries</w:t>
            </w:r>
          </w:p>
        </w:tc>
        <w:tc>
          <w:tcPr>
            <w:tcW w:w="3900" w:type="dxa"/>
            <w:vAlign w:val="bottom"/>
          </w:tcPr>
          <w:p>
            <w:pPr>
              <w:jc w:val="right"/>
              <w:ind w:right="3519"/>
              <w:spacing w:after="0"/>
              <w:rPr>
                <w:sz w:val="20"/>
                <w:szCs w:val="20"/>
                <w:color w:val="auto"/>
              </w:rPr>
            </w:pPr>
            <w:r>
              <w:rPr>
                <w:rFonts w:ascii="Times New Roman" w:cs="Times New Roman" w:eastAsia="Times New Roman" w:hAnsi="Times New Roman"/>
                <w:sz w:val="16"/>
                <w:szCs w:val="16"/>
                <w:color w:val="auto"/>
              </w:rPr>
              <w:t>42</w:t>
            </w: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3.2</w:t>
            </w:r>
          </w:p>
        </w:tc>
        <w:tc>
          <w:tcPr>
            <w:tcW w:w="6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Authority</w:t>
            </w:r>
          </w:p>
        </w:tc>
        <w:tc>
          <w:tcPr>
            <w:tcW w:w="160" w:type="dxa"/>
            <w:vAlign w:val="bottom"/>
          </w:tcPr>
          <w:p>
            <w:pPr>
              <w:spacing w:after="0"/>
              <w:rPr>
                <w:sz w:val="18"/>
                <w:szCs w:val="18"/>
                <w:color w:val="auto"/>
              </w:rPr>
            </w:pP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43</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3.3</w:t>
            </w:r>
          </w:p>
        </w:tc>
        <w:tc>
          <w:tcPr>
            <w:tcW w:w="298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No Conflict; Required Filings and Consents</w:t>
            </w:r>
          </w:p>
        </w:tc>
        <w:tc>
          <w:tcPr>
            <w:tcW w:w="3900" w:type="dxa"/>
            <w:vAlign w:val="bottom"/>
          </w:tcPr>
          <w:p>
            <w:pPr>
              <w:jc w:val="right"/>
              <w:ind w:right="3599"/>
              <w:spacing w:after="0"/>
              <w:rPr>
                <w:sz w:val="20"/>
                <w:szCs w:val="20"/>
                <w:color w:val="auto"/>
              </w:rPr>
            </w:pPr>
            <w:r>
              <w:rPr>
                <w:rFonts w:ascii="Times New Roman" w:cs="Times New Roman" w:eastAsia="Times New Roman" w:hAnsi="Times New Roman"/>
                <w:sz w:val="16"/>
                <w:szCs w:val="16"/>
                <w:color w:val="auto"/>
              </w:rPr>
              <w:t>44</w:t>
            </w: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3.4</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45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3.5</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Equity Interests</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3.6</w:t>
            </w:r>
          </w:p>
        </w:tc>
        <w:tc>
          <w:tcPr>
            <w:tcW w:w="688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Financial Statements; Books and Records  46</w:t>
            </w: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3.7</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47</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3.8</w:t>
            </w:r>
          </w:p>
        </w:tc>
        <w:tc>
          <w:tcPr>
            <w:tcW w:w="298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Absence of Certain Changes or Events  47</w:t>
            </w:r>
          </w:p>
        </w:tc>
        <w:tc>
          <w:tcPr>
            <w:tcW w:w="39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3.9</w:t>
            </w:r>
          </w:p>
        </w:tc>
        <w:tc>
          <w:tcPr>
            <w:tcW w:w="208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Compliance with Law; Permits</w:t>
            </w:r>
          </w:p>
        </w:tc>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47</w:t>
            </w:r>
          </w:p>
        </w:tc>
        <w:tc>
          <w:tcPr>
            <w:tcW w:w="39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3.10</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Regulatory Matters</w:t>
            </w:r>
          </w:p>
        </w:tc>
        <w:tc>
          <w:tcPr>
            <w:tcW w:w="64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48</w:t>
            </w:r>
          </w:p>
        </w:tc>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3.11</w:t>
            </w:r>
          </w:p>
        </w:tc>
        <w:tc>
          <w:tcPr>
            <w:tcW w:w="6880" w:type="dxa"/>
            <w:vAlign w:val="bottom"/>
            <w:gridSpan w:val="8"/>
          </w:tcPr>
          <w:p>
            <w:pPr>
              <w:ind w:left="100"/>
              <w:spacing w:after="0"/>
              <w:rPr>
                <w:sz w:val="20"/>
                <w:szCs w:val="20"/>
                <w:color w:val="auto"/>
              </w:rPr>
            </w:pPr>
            <w:r>
              <w:rPr>
                <w:rFonts w:ascii="Times New Roman" w:cs="Times New Roman" w:eastAsia="Times New Roman" w:hAnsi="Times New Roman"/>
                <w:sz w:val="16"/>
                <w:szCs w:val="16"/>
                <w:color w:val="auto"/>
              </w:rPr>
              <w:t>Export Control Laws; Sanctions; Anti-Corruption  51</w:t>
            </w: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3.12</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Litigation</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52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3.13</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Insolvency</w:t>
            </w:r>
          </w:p>
        </w:tc>
        <w:tc>
          <w:tcPr>
            <w:tcW w:w="6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3.14</w:t>
            </w:r>
          </w:p>
        </w:tc>
        <w:tc>
          <w:tcPr>
            <w:tcW w:w="6880" w:type="dxa"/>
            <w:vAlign w:val="bottom"/>
            <w:gridSpan w:val="8"/>
          </w:tcPr>
          <w:p>
            <w:pPr>
              <w:ind w:left="100"/>
              <w:spacing w:after="0"/>
              <w:rPr>
                <w:sz w:val="20"/>
                <w:szCs w:val="20"/>
                <w:color w:val="auto"/>
              </w:rPr>
            </w:pPr>
            <w:r>
              <w:rPr>
                <w:rFonts w:ascii="Times New Roman" w:cs="Times New Roman" w:eastAsia="Times New Roman" w:hAnsi="Times New Roman"/>
                <w:sz w:val="16"/>
                <w:szCs w:val="16"/>
                <w:color w:val="auto"/>
              </w:rPr>
              <w:t>Employee Benefit Plans and Labor and Employment Matters  52</w:t>
            </w: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3.15</w:t>
            </w:r>
          </w:p>
        </w:tc>
        <w:tc>
          <w:tcPr>
            <w:tcW w:w="166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Title to Tangible Assets</w:t>
            </w: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w:t>
            </w:r>
          </w:p>
        </w:tc>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3.16</w:t>
            </w: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Real Property</w:t>
            </w: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3.17</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Intellectual Property</w:t>
            </w:r>
          </w:p>
        </w:tc>
        <w:tc>
          <w:tcPr>
            <w:tcW w:w="6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56</w:t>
            </w:r>
          </w:p>
        </w:tc>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3.18</w:t>
            </w:r>
          </w:p>
        </w:tc>
        <w:tc>
          <w:tcPr>
            <w:tcW w:w="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Grants</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59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3.19</w:t>
            </w:r>
          </w:p>
        </w:tc>
        <w:tc>
          <w:tcPr>
            <w:tcW w:w="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60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i</w:t>
      </w:r>
    </w:p>
    <w:p>
      <w:pPr>
        <w:sectPr>
          <w:pgSz w:w="11900" w:h="16840" w:orient="portrait"/>
          <w:cols w:equalWidth="0" w:num="1">
            <w:col w:w="10520"/>
          </w:cols>
          <w:pgMar w:left="660" w:top="557" w:right="720" w:bottom="1440" w:gutter="0" w:footer="0" w:header="0"/>
        </w:sectPr>
      </w:pPr>
    </w:p>
    <w:bookmarkStart w:id="276" w:name="page277"/>
    <w:bookmarkEnd w:id="276"/>
    <w:p>
      <w:pPr>
        <w:ind w:left="442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3.20</w:t>
            </w:r>
          </w:p>
        </w:tc>
        <w:tc>
          <w:tcPr>
            <w:tcW w:w="162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Environmental Matters</w:t>
            </w:r>
          </w:p>
        </w:tc>
        <w:tc>
          <w:tcPr>
            <w:tcW w:w="5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3.21</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Material Contracts</w:t>
            </w:r>
          </w:p>
        </w:tc>
        <w:tc>
          <w:tcPr>
            <w:tcW w:w="4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62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3.22</w:t>
            </w:r>
          </w:p>
        </w:tc>
        <w:tc>
          <w:tcPr>
            <w:tcW w:w="2400" w:type="dxa"/>
            <w:vAlign w:val="bottom"/>
            <w:gridSpan w:val="8"/>
          </w:tcPr>
          <w:p>
            <w:pPr>
              <w:ind w:left="100"/>
              <w:spacing w:after="0"/>
              <w:rPr>
                <w:sz w:val="20"/>
                <w:szCs w:val="20"/>
                <w:color w:val="auto"/>
              </w:rPr>
            </w:pPr>
            <w:r>
              <w:rPr>
                <w:rFonts w:ascii="Times New Roman" w:cs="Times New Roman" w:eastAsia="Times New Roman" w:hAnsi="Times New Roman"/>
                <w:sz w:val="16"/>
                <w:szCs w:val="16"/>
                <w:color w:val="auto"/>
              </w:rPr>
              <w:t>Affiliate Interests and Transactions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3.23</w:t>
            </w:r>
          </w:p>
        </w:tc>
        <w:tc>
          <w:tcPr>
            <w:tcW w:w="162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Takeover Laws  64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rFonts w:ascii="Times New Roman" w:cs="Times New Roman" w:eastAsia="Times New Roman" w:hAnsi="Times New Roman"/>
                <w:sz w:val="16"/>
                <w:szCs w:val="16"/>
                <w:color w:val="auto"/>
              </w:rPr>
            </w:pPr>
            <w:hyperlink w:anchor="page303">
              <w:r>
                <w:rPr>
                  <w:rFonts w:ascii="Times New Roman" w:cs="Times New Roman" w:eastAsia="Times New Roman" w:hAnsi="Times New Roman"/>
                  <w:sz w:val="16"/>
                  <w:szCs w:val="16"/>
                  <w:color w:val="auto"/>
                </w:rPr>
                <w:t>Section 3.24</w:t>
              </w:r>
            </w:hyperlink>
          </w:p>
        </w:tc>
        <w:tc>
          <w:tcPr>
            <w:tcW w:w="780" w:type="dxa"/>
            <w:vAlign w:val="bottom"/>
            <w:gridSpan w:val="2"/>
          </w:tcPr>
          <w:p>
            <w:pPr>
              <w:ind w:left="100"/>
              <w:spacing w:after="0"/>
              <w:rPr>
                <w:rFonts w:ascii="Times New Roman" w:cs="Times New Roman" w:eastAsia="Times New Roman" w:hAnsi="Times New Roman"/>
                <w:sz w:val="16"/>
                <w:szCs w:val="16"/>
                <w:color w:val="auto"/>
              </w:rPr>
            </w:pPr>
            <w:hyperlink w:anchor="page303">
              <w:r>
                <w:rPr>
                  <w:rFonts w:ascii="Times New Roman" w:cs="Times New Roman" w:eastAsia="Times New Roman" w:hAnsi="Times New Roman"/>
                  <w:sz w:val="16"/>
                  <w:szCs w:val="16"/>
                  <w:color w:val="auto"/>
                </w:rPr>
                <w:t>Insurance</w:t>
              </w:r>
            </w:hyperlink>
          </w:p>
        </w:tc>
        <w:tc>
          <w:tcPr>
            <w:tcW w:w="560" w:type="dxa"/>
            <w:vAlign w:val="bottom"/>
            <w:gridSpan w:val="2"/>
          </w:tcPr>
          <w:p>
            <w:pPr>
              <w:jc w:val="right"/>
              <w:ind w:right="199"/>
              <w:spacing w:after="0"/>
              <w:rPr>
                <w:rFonts w:ascii="Times New Roman" w:cs="Times New Roman" w:eastAsia="Times New Roman" w:hAnsi="Times New Roman"/>
                <w:sz w:val="16"/>
                <w:szCs w:val="16"/>
                <w:color w:val="auto"/>
              </w:rPr>
            </w:pPr>
            <w:hyperlink w:anchor="page303">
              <w:r>
                <w:rPr>
                  <w:rFonts w:ascii="Times New Roman" w:cs="Times New Roman" w:eastAsia="Times New Roman" w:hAnsi="Times New Roman"/>
                  <w:sz w:val="16"/>
                  <w:szCs w:val="16"/>
                  <w:color w:val="auto"/>
                </w:rPr>
                <w:t>64</w:t>
              </w:r>
            </w:hyperlink>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3.25</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8"/>
              </w:rPr>
              <w:t>Brokers</w:t>
            </w: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65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374"/>
        </w:trPr>
        <w:tc>
          <w:tcPr>
            <w:tcW w:w="6920" w:type="dxa"/>
            <w:vAlign w:val="bottom"/>
            <w:gridSpan w:val="13"/>
          </w:tcPr>
          <w:p>
            <w:pPr>
              <w:spacing w:after="0"/>
              <w:rPr>
                <w:sz w:val="20"/>
                <w:szCs w:val="20"/>
                <w:color w:val="auto"/>
              </w:rPr>
            </w:pPr>
            <w:r>
              <w:rPr>
                <w:rFonts w:ascii="Times New Roman" w:cs="Times New Roman" w:eastAsia="Times New Roman" w:hAnsi="Times New Roman"/>
                <w:sz w:val="16"/>
                <w:szCs w:val="16"/>
                <w:b w:val="1"/>
                <w:bCs w:val="1"/>
                <w:color w:val="auto"/>
              </w:rPr>
              <w:t>ARTICLE IV REPRESENTATIONS AND WARRANTIES OF PARENT AND MERGER SUB  65</w:t>
            </w:r>
          </w:p>
        </w:tc>
      </w:tr>
      <w:tr>
        <w:trPr>
          <w:trHeight w:val="273"/>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4.1</w:t>
            </w:r>
          </w:p>
        </w:tc>
        <w:tc>
          <w:tcPr>
            <w:tcW w:w="212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7"/>
              </w:rPr>
              <w:t>65</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300" w:type="dxa"/>
            <w:vAlign w:val="bottom"/>
          </w:tcPr>
          <w:p>
            <w:pPr>
              <w:spacing w:after="0"/>
              <w:rPr>
                <w:sz w:val="23"/>
                <w:szCs w:val="23"/>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4.2</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Authority</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4.3</w:t>
            </w:r>
          </w:p>
        </w:tc>
        <w:tc>
          <w:tcPr>
            <w:tcW w:w="292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No Conflict; Required Filings and Consents</w:t>
            </w:r>
          </w:p>
        </w:tc>
        <w:tc>
          <w:tcPr>
            <w:tcW w:w="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w:t>
            </w: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4.4</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Adequacy of Funds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4.5</w:t>
            </w: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Brokers</w:t>
            </w:r>
          </w:p>
        </w:tc>
        <w:tc>
          <w:tcPr>
            <w:tcW w:w="4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4.6</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Litigation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4.7</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Merger Sub  67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4.8</w:t>
            </w:r>
          </w:p>
        </w:tc>
        <w:tc>
          <w:tcPr>
            <w:tcW w:w="182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No Parent Vote Required</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87"/>
              </w:rPr>
              <w:t>67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374"/>
        </w:trPr>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ARTICLE V COVENANTS</w:t>
            </w: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67</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73"/>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5.1</w:t>
            </w:r>
          </w:p>
        </w:tc>
        <w:tc>
          <w:tcPr>
            <w:tcW w:w="270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Conduct of Business Prior to the Closing</w:t>
            </w:r>
          </w:p>
        </w:tc>
        <w:tc>
          <w:tcPr>
            <w:tcW w:w="6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67</w:t>
            </w:r>
          </w:p>
        </w:tc>
        <w:tc>
          <w:tcPr>
            <w:tcW w:w="2300" w:type="dxa"/>
            <w:vAlign w:val="bottom"/>
          </w:tcPr>
          <w:p>
            <w:pPr>
              <w:spacing w:after="0"/>
              <w:rPr>
                <w:sz w:val="23"/>
                <w:szCs w:val="23"/>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5.2</w:t>
            </w:r>
          </w:p>
        </w:tc>
        <w:tc>
          <w:tcPr>
            <w:tcW w:w="16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Access to Information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71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5.3</w:t>
            </w:r>
          </w:p>
        </w:tc>
        <w:tc>
          <w:tcPr>
            <w:tcW w:w="240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No Solicitation; No IPO Activities</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71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5.4</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Requisite Approval</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5.5</w:t>
            </w:r>
          </w:p>
        </w:tc>
        <w:tc>
          <w:tcPr>
            <w:tcW w:w="212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Notification of Certain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5.6</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Takeover Statutes</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74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5.7</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Confidentiality</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5.8</w:t>
            </w:r>
          </w:p>
        </w:tc>
        <w:tc>
          <w:tcPr>
            <w:tcW w:w="182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Regulatory Filings; Efforts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5.9</w:t>
            </w:r>
          </w:p>
        </w:tc>
        <w:tc>
          <w:tcPr>
            <w:tcW w:w="16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Certain Other Consents</w:t>
            </w:r>
          </w:p>
        </w:tc>
        <w:tc>
          <w:tcPr>
            <w:tcW w:w="5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76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5.10</w:t>
            </w:r>
          </w:p>
        </w:tc>
        <w:tc>
          <w:tcPr>
            <w:tcW w:w="162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Public Announcements</w:t>
            </w:r>
          </w:p>
        </w:tc>
        <w:tc>
          <w:tcPr>
            <w:tcW w:w="5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77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5.11</w:t>
            </w: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Resignations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5.12</w:t>
            </w:r>
          </w:p>
        </w:tc>
        <w:tc>
          <w:tcPr>
            <w:tcW w:w="5600" w:type="dxa"/>
            <w:vAlign w:val="bottom"/>
            <w:gridSpan w:val="12"/>
          </w:tcPr>
          <w:p>
            <w:pPr>
              <w:ind w:left="100"/>
              <w:spacing w:after="0"/>
              <w:rPr>
                <w:sz w:val="20"/>
                <w:szCs w:val="20"/>
                <w:color w:val="auto"/>
              </w:rPr>
            </w:pPr>
            <w:r>
              <w:rPr>
                <w:rFonts w:ascii="Times New Roman" w:cs="Times New Roman" w:eastAsia="Times New Roman" w:hAnsi="Times New Roman"/>
                <w:sz w:val="16"/>
                <w:szCs w:val="16"/>
                <w:color w:val="auto"/>
              </w:rPr>
              <w:t>Indemnification; Directors’ and Officers’ Insurance  77</w:t>
            </w: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5.13</w:t>
            </w:r>
          </w:p>
        </w:tc>
        <w:tc>
          <w:tcPr>
            <w:tcW w:w="182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Related Party Agreements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5.14</w:t>
            </w: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Tax Matters</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5.15</w:t>
            </w:r>
          </w:p>
        </w:tc>
        <w:tc>
          <w:tcPr>
            <w:tcW w:w="162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Employee Covenants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81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5.16</w:t>
            </w:r>
          </w:p>
        </w:tc>
        <w:tc>
          <w:tcPr>
            <w:tcW w:w="2400" w:type="dxa"/>
            <w:vAlign w:val="bottom"/>
            <w:gridSpan w:val="8"/>
          </w:tcPr>
          <w:p>
            <w:pPr>
              <w:ind w:left="100"/>
              <w:spacing w:after="0"/>
              <w:rPr>
                <w:sz w:val="20"/>
                <w:szCs w:val="20"/>
                <w:color w:val="auto"/>
              </w:rPr>
            </w:pPr>
            <w:r>
              <w:rPr>
                <w:rFonts w:ascii="Times New Roman" w:cs="Times New Roman" w:eastAsia="Times New Roman" w:hAnsi="Times New Roman"/>
                <w:sz w:val="16"/>
                <w:szCs w:val="16"/>
                <w:color w:val="auto"/>
              </w:rPr>
              <w:t>Merger Sub Shareholder Consent</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81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5.17</w:t>
            </w:r>
          </w:p>
        </w:tc>
        <w:tc>
          <w:tcPr>
            <w:tcW w:w="3300" w:type="dxa"/>
            <w:vAlign w:val="bottom"/>
            <w:gridSpan w:val="11"/>
          </w:tcPr>
          <w:p>
            <w:pPr>
              <w:ind w:left="100"/>
              <w:spacing w:after="0"/>
              <w:rPr>
                <w:sz w:val="20"/>
                <w:szCs w:val="20"/>
                <w:color w:val="auto"/>
              </w:rPr>
            </w:pPr>
            <w:r>
              <w:rPr>
                <w:rFonts w:ascii="Times New Roman" w:cs="Times New Roman" w:eastAsia="Times New Roman" w:hAnsi="Times New Roman"/>
                <w:sz w:val="16"/>
                <w:szCs w:val="16"/>
                <w:color w:val="auto"/>
              </w:rPr>
              <w:t>Representations and Warranties Insurance Policy</w:t>
            </w:r>
          </w:p>
        </w:tc>
        <w:tc>
          <w:tcPr>
            <w:tcW w:w="2300" w:type="dxa"/>
            <w:vAlign w:val="bottom"/>
          </w:tcPr>
          <w:p>
            <w:pPr>
              <w:jc w:val="right"/>
              <w:ind w:right="1919"/>
              <w:spacing w:after="0"/>
              <w:rPr>
                <w:sz w:val="20"/>
                <w:szCs w:val="20"/>
                <w:color w:val="auto"/>
              </w:rPr>
            </w:pPr>
            <w:r>
              <w:rPr>
                <w:rFonts w:ascii="Times New Roman" w:cs="Times New Roman" w:eastAsia="Times New Roman" w:hAnsi="Times New Roman"/>
                <w:sz w:val="16"/>
                <w:szCs w:val="16"/>
                <w:color w:val="auto"/>
              </w:rPr>
              <w:t>81</w:t>
            </w: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5.18</w:t>
            </w:r>
          </w:p>
        </w:tc>
        <w:tc>
          <w:tcPr>
            <w:tcW w:w="2920" w:type="dxa"/>
            <w:vAlign w:val="bottom"/>
            <w:gridSpan w:val="10"/>
          </w:tcPr>
          <w:p>
            <w:pPr>
              <w:ind w:left="100"/>
              <w:spacing w:after="0"/>
              <w:rPr>
                <w:sz w:val="20"/>
                <w:szCs w:val="20"/>
                <w:color w:val="auto"/>
              </w:rPr>
            </w:pPr>
            <w:r>
              <w:rPr>
                <w:rFonts w:ascii="Times New Roman" w:cs="Times New Roman" w:eastAsia="Times New Roman" w:hAnsi="Times New Roman"/>
                <w:sz w:val="16"/>
                <w:szCs w:val="16"/>
                <w:color w:val="auto"/>
              </w:rPr>
              <w:t>Delivery of Audited Financial Statements</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82</w:t>
            </w: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5.19</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Internal Controls</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82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5.20</w:t>
            </w:r>
          </w:p>
        </w:tc>
        <w:tc>
          <w:tcPr>
            <w:tcW w:w="3300" w:type="dxa"/>
            <w:vAlign w:val="bottom"/>
            <w:gridSpan w:val="11"/>
          </w:tcPr>
          <w:p>
            <w:pPr>
              <w:ind w:left="100"/>
              <w:spacing w:after="0"/>
              <w:rPr>
                <w:sz w:val="20"/>
                <w:szCs w:val="20"/>
                <w:color w:val="auto"/>
              </w:rPr>
            </w:pPr>
            <w:r>
              <w:rPr>
                <w:rFonts w:ascii="Times New Roman" w:cs="Times New Roman" w:eastAsia="Times New Roman" w:hAnsi="Times New Roman"/>
                <w:sz w:val="16"/>
                <w:szCs w:val="16"/>
                <w:color w:val="auto"/>
              </w:rPr>
              <w:t>Cooperation Regarding Specified Indebtedness</w:t>
            </w:r>
          </w:p>
        </w:tc>
        <w:tc>
          <w:tcPr>
            <w:tcW w:w="2300" w:type="dxa"/>
            <w:vAlign w:val="bottom"/>
          </w:tcPr>
          <w:p>
            <w:pPr>
              <w:jc w:val="right"/>
              <w:ind w:right="2039"/>
              <w:spacing w:after="0"/>
              <w:rPr>
                <w:sz w:val="20"/>
                <w:szCs w:val="20"/>
                <w:color w:val="auto"/>
              </w:rPr>
            </w:pPr>
            <w:r>
              <w:rPr>
                <w:rFonts w:ascii="Times New Roman" w:cs="Times New Roman" w:eastAsia="Times New Roman" w:hAnsi="Times New Roman"/>
                <w:sz w:val="16"/>
                <w:szCs w:val="16"/>
                <w:color w:val="auto"/>
                <w:w w:val="99"/>
              </w:rPr>
              <w:t>83</w:t>
            </w: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5.21</w:t>
            </w:r>
          </w:p>
        </w:tc>
        <w:tc>
          <w:tcPr>
            <w:tcW w:w="182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Insurance Coverage  83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5.22</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83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5.23</w:t>
            </w:r>
          </w:p>
        </w:tc>
        <w:tc>
          <w:tcPr>
            <w:tcW w:w="2700" w:type="dxa"/>
            <w:vAlign w:val="bottom"/>
            <w:gridSpan w:val="9"/>
          </w:tcPr>
          <w:p>
            <w:pPr>
              <w:ind w:left="100"/>
              <w:spacing w:after="0"/>
              <w:rPr>
                <w:sz w:val="20"/>
                <w:szCs w:val="20"/>
                <w:color w:val="auto"/>
              </w:rPr>
            </w:pPr>
            <w:r>
              <w:rPr>
                <w:rFonts w:ascii="Times New Roman" w:cs="Times New Roman" w:eastAsia="Times New Roman" w:hAnsi="Times New Roman"/>
                <w:sz w:val="16"/>
                <w:szCs w:val="16"/>
                <w:color w:val="auto"/>
              </w:rPr>
              <w:t>Liquidation of Non-Cash Investments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83</w:t>
            </w: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5.24</w:t>
            </w:r>
          </w:p>
        </w:tc>
        <w:tc>
          <w:tcPr>
            <w:tcW w:w="2920" w:type="dxa"/>
            <w:vAlign w:val="bottom"/>
            <w:gridSpan w:val="10"/>
          </w:tcPr>
          <w:p>
            <w:pPr>
              <w:ind w:left="100"/>
              <w:spacing w:after="0"/>
              <w:rPr>
                <w:sz w:val="20"/>
                <w:szCs w:val="20"/>
                <w:color w:val="auto"/>
              </w:rPr>
            </w:pPr>
            <w:r>
              <w:rPr>
                <w:rFonts w:ascii="Times New Roman" w:cs="Times New Roman" w:eastAsia="Times New Roman" w:hAnsi="Times New Roman"/>
                <w:sz w:val="16"/>
                <w:szCs w:val="16"/>
                <w:color w:val="auto"/>
              </w:rPr>
              <w:t>Inventor Remuneration Policy and Award</w:t>
            </w:r>
          </w:p>
        </w:tc>
        <w:tc>
          <w:tcPr>
            <w:tcW w:w="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83</w:t>
            </w:r>
          </w:p>
        </w:tc>
        <w:tc>
          <w:tcPr>
            <w:tcW w:w="23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ii</w:t>
      </w:r>
    </w:p>
    <w:p>
      <w:pPr>
        <w:sectPr>
          <w:pgSz w:w="11900" w:h="16840" w:orient="portrait"/>
          <w:cols w:equalWidth="0" w:num="1">
            <w:col w:w="9800"/>
          </w:cols>
          <w:pgMar w:left="660" w:top="557" w:right="1440" w:bottom="1440" w:gutter="0" w:footer="0" w:header="0"/>
        </w:sectPr>
      </w:pPr>
    </w:p>
    <w:bookmarkStart w:id="277" w:name="page278"/>
    <w:bookmarkEnd w:id="277"/>
    <w:p>
      <w:pPr>
        <w:ind w:left="442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5.25</w:t>
            </w:r>
          </w:p>
        </w:tc>
        <w:tc>
          <w:tcPr>
            <w:tcW w:w="176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Non-Compete Firewall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84</w:t>
            </w:r>
          </w:p>
        </w:tc>
        <w:tc>
          <w:tcPr>
            <w:tcW w:w="362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5.26</w:t>
            </w:r>
          </w:p>
        </w:tc>
        <w:tc>
          <w:tcPr>
            <w:tcW w:w="5540" w:type="dxa"/>
            <w:vAlign w:val="bottom"/>
            <w:gridSpan w:val="8"/>
          </w:tcPr>
          <w:p>
            <w:pPr>
              <w:ind w:left="100"/>
              <w:spacing w:after="0"/>
              <w:rPr>
                <w:sz w:val="20"/>
                <w:szCs w:val="20"/>
                <w:color w:val="auto"/>
              </w:rPr>
            </w:pPr>
            <w:r>
              <w:rPr>
                <w:rFonts w:ascii="Times New Roman" w:cs="Times New Roman" w:eastAsia="Times New Roman" w:hAnsi="Times New Roman"/>
                <w:sz w:val="16"/>
                <w:szCs w:val="16"/>
                <w:color w:val="auto"/>
              </w:rPr>
              <w:t>Introduction and Transition Support  84</w:t>
            </w: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5.27</w:t>
            </w:r>
          </w:p>
        </w:tc>
        <w:tc>
          <w:tcPr>
            <w:tcW w:w="1920" w:type="dxa"/>
            <w:vAlign w:val="bottom"/>
            <w:gridSpan w:val="7"/>
          </w:tcPr>
          <w:p>
            <w:pPr>
              <w:ind w:left="100"/>
              <w:spacing w:after="0"/>
              <w:rPr>
                <w:sz w:val="20"/>
                <w:szCs w:val="20"/>
                <w:color w:val="auto"/>
              </w:rPr>
            </w:pPr>
            <w:r>
              <w:rPr>
                <w:rFonts w:ascii="Times New Roman" w:cs="Times New Roman" w:eastAsia="Times New Roman" w:hAnsi="Times New Roman"/>
                <w:sz w:val="16"/>
                <w:szCs w:val="16"/>
                <w:color w:val="auto"/>
              </w:rPr>
              <w:t>Clinical Trial Agreements</w:t>
            </w:r>
          </w:p>
        </w:tc>
        <w:tc>
          <w:tcPr>
            <w:tcW w:w="3620" w:type="dxa"/>
            <w:vAlign w:val="bottom"/>
          </w:tcPr>
          <w:p>
            <w:pPr>
              <w:jc w:val="right"/>
              <w:ind w:right="3339"/>
              <w:spacing w:after="0"/>
              <w:rPr>
                <w:sz w:val="20"/>
                <w:szCs w:val="20"/>
                <w:color w:val="auto"/>
              </w:rPr>
            </w:pPr>
            <w:r>
              <w:rPr>
                <w:rFonts w:ascii="Times New Roman" w:cs="Times New Roman" w:eastAsia="Times New Roman" w:hAnsi="Times New Roman"/>
                <w:sz w:val="16"/>
                <w:szCs w:val="16"/>
                <w:color w:val="auto"/>
              </w:rPr>
              <w:t>84</w:t>
            </w: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5.28</w:t>
            </w:r>
          </w:p>
        </w:tc>
        <w:tc>
          <w:tcPr>
            <w:tcW w:w="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w w:val="99"/>
              </w:rPr>
              <w:t>84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74"/>
        </w:trPr>
        <w:tc>
          <w:tcPr>
            <w:tcW w:w="324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ARTICLE VI CONDITIONS TO CLOSING</w:t>
            </w:r>
          </w:p>
        </w:tc>
        <w:tc>
          <w:tcPr>
            <w:tcW w:w="3620" w:type="dxa"/>
            <w:vAlign w:val="bottom"/>
          </w:tcPr>
          <w:p>
            <w:pPr>
              <w:jc w:val="right"/>
              <w:ind w:right="3359"/>
              <w:spacing w:after="0"/>
              <w:rPr>
                <w:sz w:val="20"/>
                <w:szCs w:val="20"/>
                <w:color w:val="auto"/>
              </w:rPr>
            </w:pPr>
            <w:r>
              <w:rPr>
                <w:rFonts w:ascii="Times New Roman" w:cs="Times New Roman" w:eastAsia="Times New Roman" w:hAnsi="Times New Roman"/>
                <w:sz w:val="16"/>
                <w:szCs w:val="16"/>
                <w:b w:val="1"/>
                <w:bCs w:val="1"/>
                <w:color w:val="auto"/>
                <w:w w:val="99"/>
              </w:rPr>
              <w:t>86</w:t>
            </w:r>
          </w:p>
        </w:tc>
      </w:tr>
      <w:tr>
        <w:trPr>
          <w:trHeight w:val="273"/>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6.1</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General Conditions</w:t>
            </w:r>
          </w:p>
        </w:tc>
        <w:tc>
          <w:tcPr>
            <w:tcW w:w="4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86</w:t>
            </w:r>
          </w:p>
        </w:tc>
        <w:tc>
          <w:tcPr>
            <w:tcW w:w="160" w:type="dxa"/>
            <w:vAlign w:val="bottom"/>
          </w:tcPr>
          <w:p>
            <w:pPr>
              <w:spacing w:after="0"/>
              <w:rPr>
                <w:sz w:val="23"/>
                <w:szCs w:val="23"/>
                <w:color w:val="auto"/>
              </w:rPr>
            </w:pPr>
          </w:p>
        </w:tc>
        <w:tc>
          <w:tcPr>
            <w:tcW w:w="3620" w:type="dxa"/>
            <w:vAlign w:val="bottom"/>
          </w:tcPr>
          <w:p>
            <w:pPr>
              <w:spacing w:after="0"/>
              <w:rPr>
                <w:sz w:val="23"/>
                <w:szCs w:val="23"/>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6.2</w:t>
            </w:r>
          </w:p>
        </w:tc>
        <w:tc>
          <w:tcPr>
            <w:tcW w:w="55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Conditions to Obligations of the Company  87</w:t>
            </w: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6.3</w:t>
            </w:r>
          </w:p>
        </w:tc>
        <w:tc>
          <w:tcPr>
            <w:tcW w:w="55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Conditions to Obligations of Parent and Merger Sub  87</w:t>
            </w:r>
          </w:p>
        </w:tc>
      </w:tr>
      <w:tr>
        <w:trPr>
          <w:trHeight w:val="374"/>
        </w:trPr>
        <w:tc>
          <w:tcPr>
            <w:tcW w:w="23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ARTICLE VII TERMINATION</w:t>
            </w: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73"/>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7.1</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Termination</w:t>
            </w: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87"/>
              </w:rPr>
              <w:t>90</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20" w:type="dxa"/>
            <w:vAlign w:val="bottom"/>
          </w:tcPr>
          <w:p>
            <w:pPr>
              <w:spacing w:after="0"/>
              <w:rPr>
                <w:sz w:val="23"/>
                <w:szCs w:val="23"/>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7.2</w:t>
            </w:r>
          </w:p>
        </w:tc>
        <w:tc>
          <w:tcPr>
            <w:tcW w:w="15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Effect of Termination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74"/>
        </w:trPr>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w w:val="99"/>
              </w:rPr>
              <w:t>ARTICLE VIII INDEMNIFICATION</w:t>
            </w:r>
          </w:p>
        </w:tc>
        <w:tc>
          <w:tcPr>
            <w:tcW w:w="4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91</w:t>
            </w:r>
          </w:p>
        </w:tc>
        <w:tc>
          <w:tcPr>
            <w:tcW w:w="1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73"/>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8.1</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Survival</w:t>
            </w:r>
          </w:p>
        </w:tc>
        <w:tc>
          <w:tcPr>
            <w:tcW w:w="12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91</w:t>
            </w: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20" w:type="dxa"/>
            <w:vAlign w:val="bottom"/>
          </w:tcPr>
          <w:p>
            <w:pPr>
              <w:spacing w:after="0"/>
              <w:rPr>
                <w:sz w:val="23"/>
                <w:szCs w:val="23"/>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8.2</w:t>
            </w:r>
          </w:p>
        </w:tc>
        <w:tc>
          <w:tcPr>
            <w:tcW w:w="55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Indemnification by the Non-Dissenting Shareholders and the Qualified Grantees  92</w:t>
            </w:r>
          </w:p>
        </w:tc>
      </w:tr>
      <w:tr>
        <w:trPr>
          <w:trHeight w:val="212"/>
        </w:trPr>
        <w:tc>
          <w:tcPr>
            <w:tcW w:w="6860" w:type="dxa"/>
            <w:vAlign w:val="bottom"/>
            <w:gridSpan w:val="9"/>
          </w:tcPr>
          <w:p>
            <w:pPr>
              <w:ind w:left="480"/>
              <w:spacing w:after="0"/>
              <w:rPr>
                <w:sz w:val="20"/>
                <w:szCs w:val="20"/>
                <w:color w:val="auto"/>
              </w:rPr>
            </w:pPr>
            <w:r>
              <w:rPr>
                <w:rFonts w:ascii="Times New Roman" w:cs="Times New Roman" w:eastAsia="Times New Roman" w:hAnsi="Times New Roman"/>
                <w:sz w:val="16"/>
                <w:szCs w:val="16"/>
                <w:color w:val="auto"/>
              </w:rPr>
              <w:t>Section 8.3  Indemnification by Parent.  92</w:t>
            </w: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8.4</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Claim Procedures</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93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8.5</w:t>
            </w:r>
          </w:p>
        </w:tc>
        <w:tc>
          <w:tcPr>
            <w:tcW w:w="15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Losses and Recoveries</w:t>
            </w:r>
          </w:p>
        </w:tc>
        <w:tc>
          <w:tcPr>
            <w:tcW w:w="4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94</w:t>
            </w:r>
          </w:p>
        </w:tc>
        <w:tc>
          <w:tcPr>
            <w:tcW w:w="362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8.6</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8.7</w:t>
            </w:r>
          </w:p>
        </w:tc>
        <w:tc>
          <w:tcPr>
            <w:tcW w:w="55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Characterization of Indemnification Payments  95</w:t>
            </w:r>
          </w:p>
        </w:tc>
      </w:tr>
      <w:tr>
        <w:trPr>
          <w:trHeight w:val="374"/>
        </w:trPr>
        <w:tc>
          <w:tcPr>
            <w:tcW w:w="28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ARTICLE IX GENERAL PROVISIONS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95</w:t>
            </w:r>
          </w:p>
        </w:tc>
        <w:tc>
          <w:tcPr>
            <w:tcW w:w="3620" w:type="dxa"/>
            <w:vAlign w:val="bottom"/>
          </w:tcPr>
          <w:p>
            <w:pPr>
              <w:spacing w:after="0"/>
              <w:rPr>
                <w:sz w:val="24"/>
                <w:szCs w:val="24"/>
                <w:color w:val="auto"/>
              </w:rPr>
            </w:pPr>
          </w:p>
        </w:tc>
      </w:tr>
      <w:tr>
        <w:trPr>
          <w:trHeight w:val="273"/>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9.1</w:t>
            </w:r>
          </w:p>
        </w:tc>
        <w:tc>
          <w:tcPr>
            <w:tcW w:w="15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Shareholders’ Agent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95</w:t>
            </w:r>
          </w:p>
        </w:tc>
        <w:tc>
          <w:tcPr>
            <w:tcW w:w="160" w:type="dxa"/>
            <w:vAlign w:val="bottom"/>
          </w:tcPr>
          <w:p>
            <w:pPr>
              <w:spacing w:after="0"/>
              <w:rPr>
                <w:sz w:val="23"/>
                <w:szCs w:val="23"/>
                <w:color w:val="auto"/>
              </w:rPr>
            </w:pPr>
          </w:p>
        </w:tc>
        <w:tc>
          <w:tcPr>
            <w:tcW w:w="3620" w:type="dxa"/>
            <w:vAlign w:val="bottom"/>
          </w:tcPr>
          <w:p>
            <w:pPr>
              <w:spacing w:after="0"/>
              <w:rPr>
                <w:sz w:val="23"/>
                <w:szCs w:val="23"/>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9.2</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Fees and Expenses</w:t>
            </w:r>
          </w:p>
        </w:tc>
        <w:tc>
          <w:tcPr>
            <w:tcW w:w="4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99</w:t>
            </w:r>
          </w:p>
        </w:tc>
        <w:tc>
          <w:tcPr>
            <w:tcW w:w="1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9.3</w:t>
            </w:r>
          </w:p>
        </w:tc>
        <w:tc>
          <w:tcPr>
            <w:tcW w:w="55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Amendment and Modification  99</w:t>
            </w: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9.4</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Extension</w:t>
            </w:r>
          </w:p>
        </w:tc>
        <w:tc>
          <w:tcPr>
            <w:tcW w:w="6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99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9.5</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Waiver</w:t>
            </w:r>
          </w:p>
        </w:tc>
        <w:tc>
          <w:tcPr>
            <w:tcW w:w="3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9.6</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Notices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9.7</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Interpretation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9.8</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Entire Agreement</w:t>
            </w:r>
          </w:p>
        </w:tc>
        <w:tc>
          <w:tcPr>
            <w:tcW w:w="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102</w:t>
            </w:r>
          </w:p>
        </w:tc>
        <w:tc>
          <w:tcPr>
            <w:tcW w:w="1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9.9</w:t>
            </w:r>
          </w:p>
        </w:tc>
        <w:tc>
          <w:tcPr>
            <w:tcW w:w="192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No Third-Party Beneficiaries</w:t>
            </w:r>
          </w:p>
        </w:tc>
        <w:tc>
          <w:tcPr>
            <w:tcW w:w="3620" w:type="dxa"/>
            <w:vAlign w:val="bottom"/>
          </w:tcPr>
          <w:p>
            <w:pPr>
              <w:jc w:val="right"/>
              <w:ind w:right="3139"/>
              <w:spacing w:after="0"/>
              <w:rPr>
                <w:sz w:val="20"/>
                <w:szCs w:val="20"/>
                <w:color w:val="auto"/>
              </w:rPr>
            </w:pPr>
            <w:r>
              <w:rPr>
                <w:rFonts w:ascii="Times New Roman" w:cs="Times New Roman" w:eastAsia="Times New Roman" w:hAnsi="Times New Roman"/>
                <w:sz w:val="16"/>
                <w:szCs w:val="16"/>
                <w:color w:val="auto"/>
              </w:rPr>
              <w:t>102</w:t>
            </w: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9.10</w:t>
            </w:r>
          </w:p>
        </w:tc>
        <w:tc>
          <w:tcPr>
            <w:tcW w:w="176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Governing Law  102</w:t>
            </w:r>
          </w:p>
        </w:tc>
        <w:tc>
          <w:tcPr>
            <w:tcW w:w="1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9.11</w:t>
            </w:r>
          </w:p>
        </w:tc>
        <w:tc>
          <w:tcPr>
            <w:tcW w:w="152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Dispute Resolution</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102</w:t>
            </w:r>
          </w:p>
        </w:tc>
        <w:tc>
          <w:tcPr>
            <w:tcW w:w="1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9.12</w:t>
            </w:r>
          </w:p>
        </w:tc>
        <w:tc>
          <w:tcPr>
            <w:tcW w:w="176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Assignment; Successors</w:t>
            </w:r>
          </w:p>
        </w:tc>
        <w:tc>
          <w:tcPr>
            <w:tcW w:w="3780" w:type="dxa"/>
            <w:vAlign w:val="bottom"/>
            <w:gridSpan w:val="2"/>
          </w:tcPr>
          <w:p>
            <w:pPr>
              <w:jc w:val="right"/>
              <w:ind w:right="3379"/>
              <w:spacing w:after="0"/>
              <w:rPr>
                <w:sz w:val="20"/>
                <w:szCs w:val="20"/>
                <w:color w:val="auto"/>
              </w:rPr>
            </w:pPr>
            <w:r>
              <w:rPr>
                <w:rFonts w:ascii="Times New Roman" w:cs="Times New Roman" w:eastAsia="Times New Roman" w:hAnsi="Times New Roman"/>
                <w:sz w:val="16"/>
                <w:szCs w:val="16"/>
                <w:color w:val="auto"/>
              </w:rPr>
              <w:t>103</w:t>
            </w: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9.13</w:t>
            </w: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Enforcement</w:t>
            </w:r>
          </w:p>
        </w:tc>
        <w:tc>
          <w:tcPr>
            <w:tcW w:w="5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9.14</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Currency</w:t>
            </w:r>
          </w:p>
        </w:tc>
        <w:tc>
          <w:tcPr>
            <w:tcW w:w="6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103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9.15</w:t>
            </w: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Severability</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9.16</w:t>
            </w:r>
          </w:p>
        </w:tc>
        <w:tc>
          <w:tcPr>
            <w:tcW w:w="152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Waiver of Jury Trial</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3620" w:type="dxa"/>
            <w:vAlign w:val="bottom"/>
          </w:tcPr>
          <w:p>
            <w:pPr>
              <w:spacing w:after="0"/>
              <w:rPr>
                <w:sz w:val="18"/>
                <w:szCs w:val="18"/>
                <w:color w:val="auto"/>
              </w:rPr>
            </w:pPr>
          </w:p>
        </w:tc>
      </w:tr>
      <w:tr>
        <w:trPr>
          <w:trHeight w:val="212"/>
        </w:trPr>
        <w:tc>
          <w:tcPr>
            <w:tcW w:w="1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9.17</w:t>
            </w: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Counterparts</w:t>
            </w:r>
          </w:p>
        </w:tc>
        <w:tc>
          <w:tcPr>
            <w:tcW w:w="5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104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iii</w:t>
      </w:r>
    </w:p>
    <w:p>
      <w:pPr>
        <w:sectPr>
          <w:pgSz w:w="11900" w:h="16840" w:orient="portrait"/>
          <w:cols w:equalWidth="0" w:num="1">
            <w:col w:w="9800"/>
          </w:cols>
          <w:pgMar w:left="660" w:top="557" w:right="1440" w:bottom="1440" w:gutter="0" w:footer="0" w:header="0"/>
        </w:sectPr>
      </w:pPr>
    </w:p>
    <w:bookmarkStart w:id="278" w:name="page279"/>
    <w:bookmarkEnd w:id="278"/>
    <w:p>
      <w:pPr>
        <w:jc w:val="right"/>
        <w:ind w:right="364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80"/>
        <w:spacing w:after="0"/>
        <w:tabs>
          <w:tab w:leader="none" w:pos="1400" w:val="left"/>
          <w:tab w:leader="none" w:pos="2900" w:val="left"/>
        </w:tabs>
        <w:rPr>
          <w:sz w:val="20"/>
          <w:szCs w:val="20"/>
          <w:color w:val="auto"/>
        </w:rPr>
      </w:pPr>
      <w:r>
        <w:rPr>
          <w:rFonts w:ascii="Times New Roman" w:cs="Times New Roman" w:eastAsia="Times New Roman" w:hAnsi="Times New Roman"/>
          <w:sz w:val="16"/>
          <w:szCs w:val="16"/>
          <w:color w:val="auto"/>
        </w:rPr>
        <w:t>Section 9.18</w:t>
        <w:tab/>
        <w:t>Electronic Signature</w:t>
        <w:tab/>
        <w:t>104</w:t>
      </w:r>
    </w:p>
    <w:p>
      <w:pPr>
        <w:spacing w:after="0" w:line="28" w:lineRule="exact"/>
        <w:rPr>
          <w:sz w:val="20"/>
          <w:szCs w:val="20"/>
          <w:color w:val="auto"/>
        </w:rPr>
      </w:pPr>
    </w:p>
    <w:p>
      <w:pPr>
        <w:ind w:left="480"/>
        <w:spacing w:after="0"/>
        <w:tabs>
          <w:tab w:leader="none" w:pos="1400" w:val="left"/>
          <w:tab w:leader="none" w:pos="4140" w:val="left"/>
        </w:tabs>
        <w:rPr>
          <w:sz w:val="20"/>
          <w:szCs w:val="20"/>
          <w:color w:val="auto"/>
        </w:rPr>
      </w:pPr>
      <w:r>
        <w:rPr>
          <w:rFonts w:ascii="Times New Roman" w:cs="Times New Roman" w:eastAsia="Times New Roman" w:hAnsi="Times New Roman"/>
          <w:sz w:val="16"/>
          <w:szCs w:val="16"/>
          <w:color w:val="auto"/>
        </w:rPr>
        <w:t>Section 9.19</w:t>
        <w:tab/>
        <w:t>No Presumption Against Drafting Party</w:t>
        <w:tab/>
        <w:t>104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EXHIBITS AND SCHEDULES</w:t>
      </w:r>
    </w:p>
    <w:p>
      <w:pPr>
        <w:spacing w:after="0" w:line="20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color w:val="auto"/>
        </w:rPr>
        <w:t>Exhibit A</w:t>
        <w:tab/>
        <w:t>Form of Support Agreement</w:t>
      </w:r>
    </w:p>
    <w:p>
      <w:pPr>
        <w:spacing w:after="0" w:line="2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color w:val="auto"/>
        </w:rPr>
        <w:t>Exhibit B</w:t>
        <w:tab/>
        <w:t>Illustrative Net Working Capital Calculation</w:t>
      </w:r>
    </w:p>
    <w:p>
      <w:pPr>
        <w:spacing w:after="0" w:line="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color w:val="auto"/>
        </w:rPr>
        <w:t>Exhibit C</w:t>
        <w:tab/>
        <w:t>Transaction Accounting Principles</w:t>
      </w:r>
    </w:p>
    <w:p>
      <w:pPr>
        <w:spacing w:after="0" w:line="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color w:val="auto"/>
        </w:rPr>
        <w:t>Exhibit D</w:t>
        <w:tab/>
        <w:t>Form of Plan of Merger</w:t>
      </w:r>
    </w:p>
    <w:p>
      <w:pPr>
        <w:spacing w:after="0" w:line="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Exhibit E</w:t>
        <w:tab/>
        <w:t>Form of ADS Agreement</w:t>
      </w:r>
    </w:p>
    <w:p>
      <w:pPr>
        <w:spacing w:after="0" w:line="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Exhibit F</w:t>
      </w:r>
      <w:r>
        <w:rPr>
          <w:sz w:val="20"/>
          <w:szCs w:val="20"/>
          <w:color w:val="auto"/>
        </w:rPr>
        <w:tab/>
      </w:r>
      <w:r>
        <w:rPr>
          <w:rFonts w:ascii="Times New Roman" w:cs="Times New Roman" w:eastAsia="Times New Roman" w:hAnsi="Times New Roman"/>
          <w:sz w:val="15"/>
          <w:szCs w:val="15"/>
          <w:color w:val="auto"/>
        </w:rPr>
        <w:t>[***]</w:t>
      </w:r>
    </w:p>
    <w:p>
      <w:pPr>
        <w:spacing w:after="0" w:line="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color w:val="auto"/>
        </w:rPr>
        <w:t>Exhibit G</w:t>
        <w:tab/>
        <w:t>Form of Share Surrender Agreement</w:t>
      </w:r>
    </w:p>
    <w:p>
      <w:pPr>
        <w:spacing w:after="0" w:line="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color w:val="auto"/>
        </w:rPr>
        <w:t>Exhibit H</w:t>
        <w:tab/>
        <w:t>Form of Key Employee Agreement</w:t>
      </w:r>
    </w:p>
    <w:p>
      <w:pPr>
        <w:spacing w:after="0" w:line="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color w:val="auto"/>
        </w:rPr>
        <w:t>Exhibit I</w:t>
        <w:tab/>
        <w:t>Illustrative Closing Payment Spreadsheet</w:t>
      </w:r>
    </w:p>
    <w:p>
      <w:pPr>
        <w:spacing w:after="0" w:line="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color w:val="auto"/>
        </w:rPr>
        <w:t>Exhibit J</w:t>
        <w:tab/>
        <w:t>Memorandum and Articles Amendment</w:t>
      </w:r>
    </w:p>
    <w:p>
      <w:pPr>
        <w:spacing w:after="0" w:line="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color w:val="auto"/>
        </w:rPr>
        <w:t>Exhibit K</w:t>
        <w:tab/>
        <w:t>Forms of Supplemental Grant Agreements</w:t>
      </w:r>
    </w:p>
    <w:tbl>
      <w:tblPr>
        <w:tblLayout w:type="fixed"/>
        <w:tblInd w:w="0" w:type="dxa"/>
        <w:tblCellMar>
          <w:top w:w="0" w:type="dxa"/>
          <w:left w:w="0" w:type="dxa"/>
          <w:bottom w:w="0" w:type="dxa"/>
          <w:right w:w="0" w:type="dxa"/>
        </w:tblCellMar>
      </w:tblPr>
      <w:tr>
        <w:trPr>
          <w:trHeight w:val="182"/>
        </w:trPr>
        <w:tc>
          <w:tcPr>
            <w:tcW w:w="7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Exhibit L</w:t>
            </w:r>
          </w:p>
        </w:tc>
        <w:tc>
          <w:tcPr>
            <w:tcW w:w="350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6"/>
                <w:szCs w:val="16"/>
                <w:color w:val="auto"/>
              </w:rPr>
              <w:t>Remuneration Policy</w:t>
            </w:r>
          </w:p>
        </w:tc>
      </w:tr>
      <w:tr>
        <w:trPr>
          <w:trHeight w:val="210"/>
        </w:trPr>
        <w:tc>
          <w:tcPr>
            <w:tcW w:w="42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Exhibit M   Unanimous Written Resolutions of the Shareholders</w:t>
            </w:r>
          </w:p>
        </w:tc>
      </w:tr>
      <w:tr>
        <w:trPr>
          <w:trHeight w:val="558"/>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Schedule 1</w:t>
            </w:r>
          </w:p>
        </w:tc>
        <w:tc>
          <w:tcPr>
            <w:tcW w:w="35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Knowledge Persons</w:t>
            </w:r>
          </w:p>
        </w:tc>
      </w:tr>
      <w:tr>
        <w:trPr>
          <w:trHeight w:val="192"/>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Schedule 2</w:t>
            </w:r>
          </w:p>
        </w:tc>
        <w:tc>
          <w:tcPr>
            <w:tcW w:w="35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Key Employees</w:t>
            </w:r>
          </w:p>
        </w:tc>
      </w:tr>
      <w:tr>
        <w:trPr>
          <w:trHeight w:val="192"/>
        </w:trPr>
        <w:tc>
          <w:tcPr>
            <w:tcW w:w="1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Schedule 2.12(b)</w:t>
            </w:r>
          </w:p>
        </w:tc>
        <w:tc>
          <w:tcPr>
            <w:tcW w:w="3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ADC Programs</w:t>
            </w:r>
          </w:p>
        </w:tc>
      </w:tr>
      <w:tr>
        <w:trPr>
          <w:trHeight w:val="192"/>
        </w:trPr>
        <w:tc>
          <w:tcPr>
            <w:tcW w:w="42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Schedule 2.12(c)  Contingent Payment Spreadsheet</w:t>
            </w:r>
          </w:p>
        </w:tc>
      </w:tr>
      <w:tr>
        <w:trPr>
          <w:trHeight w:val="192"/>
        </w:trPr>
        <w:tc>
          <w:tcPr>
            <w:tcW w:w="1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Schedule 2.12(d)</w:t>
            </w:r>
          </w:p>
        </w:tc>
        <w:tc>
          <w:tcPr>
            <w:tcW w:w="3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Schedule 5.13</w:t>
            </w:r>
          </w:p>
        </w:tc>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Surviving Related Party Agreements</w:t>
            </w:r>
          </w:p>
        </w:tc>
      </w:tr>
      <w:tr>
        <w:trPr>
          <w:trHeight w:val="192"/>
        </w:trPr>
        <w:tc>
          <w:tcPr>
            <w:tcW w:w="1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Schedule 5.15(a)</w:t>
            </w:r>
          </w:p>
        </w:tc>
        <w:tc>
          <w:tcPr>
            <w:tcW w:w="3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Schedule 5.21</w:t>
            </w:r>
          </w:p>
        </w:tc>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Parent Required Insurance Policies</w:t>
            </w:r>
          </w:p>
        </w:tc>
      </w:tr>
      <w:tr>
        <w:trPr>
          <w:trHeight w:val="19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Schedule 5.27</w:t>
            </w:r>
          </w:p>
        </w:tc>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Clinical Trial Agreements</w:t>
            </w:r>
          </w:p>
        </w:tc>
      </w:tr>
      <w:tr>
        <w:trPr>
          <w:trHeight w:val="21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Schedule 8.2(a)</w:t>
            </w:r>
          </w:p>
        </w:tc>
        <w:tc>
          <w:tcPr>
            <w:tcW w:w="100" w:type="dxa"/>
            <w:vAlign w:val="bottom"/>
          </w:tcPr>
          <w:p>
            <w:pPr>
              <w:spacing w:after="0"/>
              <w:rPr>
                <w:sz w:val="18"/>
                <w:szCs w:val="18"/>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Covered Matters</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iv</w:t>
      </w:r>
    </w:p>
    <w:p>
      <w:pPr>
        <w:sectPr>
          <w:pgSz w:w="11900" w:h="16840" w:orient="portrait"/>
          <w:cols w:equalWidth="0" w:num="1">
            <w:col w:w="9800"/>
          </w:cols>
          <w:pgMar w:left="660" w:top="557" w:right="1440" w:bottom="1440" w:gutter="0" w:footer="0" w:header="0"/>
        </w:sectPr>
      </w:pPr>
    </w:p>
    <w:bookmarkStart w:id="279" w:name="page280"/>
    <w:bookmarkEnd w:id="279"/>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330" w:lineRule="exact"/>
        <w:rPr>
          <w:sz w:val="20"/>
          <w:szCs w:val="20"/>
          <w:color w:val="auto"/>
        </w:rPr>
      </w:pPr>
    </w:p>
    <w:p>
      <w:pPr>
        <w:jc w:val="both"/>
        <w:ind w:firstLine="485"/>
        <w:spacing w:after="0" w:line="260" w:lineRule="auto"/>
        <w:rPr>
          <w:sz w:val="20"/>
          <w:szCs w:val="20"/>
          <w:color w:val="auto"/>
        </w:rPr>
      </w:pPr>
      <w:r>
        <w:rPr>
          <w:rFonts w:ascii="Times New Roman" w:cs="Times New Roman" w:eastAsia="Times New Roman" w:hAnsi="Times New Roman"/>
          <w:sz w:val="16"/>
          <w:szCs w:val="16"/>
          <w:color w:val="auto"/>
        </w:rPr>
        <w:t xml:space="preserve">This AGREEMENT AND PLAN OF MERGER, dated as of November 13, 2024 (as may be amended from time to time, this “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is by and among BioNTech Collaborations GmbH, with its registered office in Mainz, Germany, and registered in the commercial register of the Local Court of Mainz under HRB 52740 (“</w:t>
      </w:r>
      <w:r>
        <w:rPr>
          <w:rFonts w:ascii="Times New Roman" w:cs="Times New Roman" w:eastAsia="Times New Roman" w:hAnsi="Times New Roman"/>
          <w:sz w:val="16"/>
          <w:szCs w:val="16"/>
          <w:b w:val="1"/>
          <w:bCs w:val="1"/>
          <w:i w:val="1"/>
          <w:iCs w:val="1"/>
          <w:color w:val="auto"/>
        </w:rPr>
        <w:t>Parent</w:t>
      </w:r>
      <w:r>
        <w:rPr>
          <w:rFonts w:ascii="Times New Roman" w:cs="Times New Roman" w:eastAsia="Times New Roman" w:hAnsi="Times New Roman"/>
          <w:sz w:val="16"/>
          <w:szCs w:val="16"/>
          <w:color w:val="auto"/>
        </w:rPr>
        <w:t>”), Simba Merger Sub, a Cayman Islands exempted company and a wholly owned subsidiary of Parent (“</w:t>
      </w:r>
      <w:r>
        <w:rPr>
          <w:rFonts w:ascii="Times New Roman" w:cs="Times New Roman" w:eastAsia="Times New Roman" w:hAnsi="Times New Roman"/>
          <w:sz w:val="16"/>
          <w:szCs w:val="16"/>
          <w:b w:val="1"/>
          <w:bCs w:val="1"/>
          <w:i w:val="1"/>
          <w:iCs w:val="1"/>
          <w:color w:val="auto"/>
        </w:rPr>
        <w:t>Merger Sub</w:t>
      </w:r>
      <w:r>
        <w:rPr>
          <w:rFonts w:ascii="Times New Roman" w:cs="Times New Roman" w:eastAsia="Times New Roman" w:hAnsi="Times New Roman"/>
          <w:sz w:val="16"/>
          <w:szCs w:val="16"/>
          <w:color w:val="auto"/>
        </w:rPr>
        <w:t>”), Biotheus, a Cayman Islands exempted company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xml:space="preserve">”), and Shareholder Representative Services LLC, a Colorado limited liability company, solely in its capacity as the Shareholders’ Agent (as defined in </w:t>
      </w:r>
      <w:r>
        <w:rPr>
          <w:rFonts w:ascii="Times New Roman" w:cs="Times New Roman" w:eastAsia="Times New Roman" w:hAnsi="Times New Roman"/>
          <w:sz w:val="16"/>
          <w:szCs w:val="16"/>
          <w:b w:val="1"/>
          <w:bCs w:val="1"/>
          <w:color w:val="auto"/>
        </w:rPr>
        <w:t>Section 9.1(a)</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72" w:lineRule="exact"/>
        <w:rPr>
          <w:sz w:val="20"/>
          <w:szCs w:val="20"/>
          <w:color w:val="auto"/>
        </w:rPr>
      </w:pPr>
    </w:p>
    <w:p>
      <w:pPr>
        <w:jc w:val="both"/>
        <w:ind w:firstLine="476"/>
        <w:spacing w:after="0" w:line="261" w:lineRule="auto"/>
        <w:tabs>
          <w:tab w:leader="none" w:pos="85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terms and conditions of this Agreement, Parent, Merger Sub and the Company intend to effect a merger of Merger Sub with and into the Company (the “</w:t>
      </w:r>
      <w:r>
        <w:rPr>
          <w:rFonts w:ascii="Times New Roman" w:cs="Times New Roman" w:eastAsia="Times New Roman" w:hAnsi="Times New Roman"/>
          <w:sz w:val="16"/>
          <w:szCs w:val="16"/>
          <w:b w:val="1"/>
          <w:bCs w:val="1"/>
          <w:i w:val="1"/>
          <w:iCs w:val="1"/>
          <w:color w:val="auto"/>
        </w:rPr>
        <w:t>Merger</w:t>
      </w:r>
      <w:r>
        <w:rPr>
          <w:rFonts w:ascii="Times New Roman" w:cs="Times New Roman" w:eastAsia="Times New Roman" w:hAnsi="Times New Roman"/>
          <w:sz w:val="16"/>
          <w:szCs w:val="16"/>
          <w:color w:val="auto"/>
        </w:rPr>
        <w:t>”) in accordance with this Agreement and Part XVI of the Companies Act (As Revised) of the Cayman Islands (the “</w:t>
      </w:r>
      <w:r>
        <w:rPr>
          <w:rFonts w:ascii="Times New Roman" w:cs="Times New Roman" w:eastAsia="Times New Roman" w:hAnsi="Times New Roman"/>
          <w:sz w:val="16"/>
          <w:szCs w:val="16"/>
          <w:b w:val="1"/>
          <w:bCs w:val="1"/>
          <w:i w:val="1"/>
          <w:iCs w:val="1"/>
          <w:color w:val="auto"/>
        </w:rPr>
        <w:t>Cayman Companies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Law</w:t>
      </w:r>
      <w:r>
        <w:rPr>
          <w:rFonts w:ascii="Times New Roman" w:cs="Times New Roman" w:eastAsia="Times New Roman" w:hAnsi="Times New Roman"/>
          <w:sz w:val="16"/>
          <w:szCs w:val="16"/>
          <w:color w:val="auto"/>
        </w:rPr>
        <w:t>”). Upon consummation of the Merger, Merger Sub will cease to exist as a separate corporate entity, and the Company will become a wholly owned subsidiary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Parent.</w:t>
      </w:r>
    </w:p>
    <w:p>
      <w:pPr>
        <w:spacing w:after="0" w:line="125" w:lineRule="exact"/>
        <w:rPr>
          <w:rFonts w:ascii="Times New Roman" w:cs="Times New Roman" w:eastAsia="Times New Roman" w:hAnsi="Times New Roman"/>
          <w:sz w:val="16"/>
          <w:szCs w:val="16"/>
          <w:color w:val="auto"/>
        </w:rPr>
      </w:pPr>
    </w:p>
    <w:p>
      <w:pPr>
        <w:ind w:firstLine="476"/>
        <w:spacing w:after="0" w:line="256" w:lineRule="auto"/>
        <w:tabs>
          <w:tab w:leader="none" w:pos="795"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of the Company (the “</w:t>
      </w:r>
      <w:r>
        <w:rPr>
          <w:rFonts w:ascii="Times New Roman" w:cs="Times New Roman" w:eastAsia="Times New Roman" w:hAnsi="Times New Roman"/>
          <w:sz w:val="16"/>
          <w:szCs w:val="16"/>
          <w:b w:val="1"/>
          <w:bCs w:val="1"/>
          <w:i w:val="1"/>
          <w:iCs w:val="1"/>
          <w:color w:val="auto"/>
        </w:rPr>
        <w:t>Company Board</w:t>
      </w:r>
      <w:r>
        <w:rPr>
          <w:rFonts w:ascii="Times New Roman" w:cs="Times New Roman" w:eastAsia="Times New Roman" w:hAnsi="Times New Roman"/>
          <w:sz w:val="16"/>
          <w:szCs w:val="16"/>
          <w:color w:val="auto"/>
        </w:rPr>
        <w:t>”), acting in accordance with the Company Articles, unanimously adopted resolutions: (i) determining that it is in the best interests of the Company, and declared it advisable, to enter into this Agreement; (ii) approving the execution, delivery and performance by the Company of this Agreement and the Ancillary Agreements to which the Company is a party, the Memorandum and Articles Amendment, the Plan of Merger, and the consummation of the transactions contemplated hereby and thereby upon the terms and subject to the conditions set forth herein; and (iii) resolving to submit to the Shareholders, and to recommend their approval of, the execution, delivery and performance by the Company of this Agreement and the Ancillary Agreements to which the Company is party, the Plan of Merger, the adoption of the Twelfth Amended and Restated Articles of Association of the Company (reflecting the Memorandum and Articles Amendment), and the consummation of the transactions contemplated hereby and thereby (collectively, the “</w:t>
      </w:r>
      <w:r>
        <w:rPr>
          <w:rFonts w:ascii="Times New Roman" w:cs="Times New Roman" w:eastAsia="Times New Roman" w:hAnsi="Times New Roman"/>
          <w:sz w:val="16"/>
          <w:szCs w:val="16"/>
          <w:b w:val="1"/>
          <w:bCs w:val="1"/>
          <w:i w:val="1"/>
          <w:iCs w:val="1"/>
          <w:color w:val="auto"/>
        </w:rPr>
        <w:t>Shareholder Matters</w:t>
      </w:r>
      <w:r>
        <w:rPr>
          <w:rFonts w:ascii="Times New Roman" w:cs="Times New Roman" w:eastAsia="Times New Roman" w:hAnsi="Times New Roman"/>
          <w:sz w:val="16"/>
          <w:szCs w:val="16"/>
          <w:color w:val="auto"/>
        </w:rPr>
        <w:t>”).</w:t>
      </w:r>
    </w:p>
    <w:p>
      <w:pPr>
        <w:spacing w:after="0" w:line="132" w:lineRule="exact"/>
        <w:rPr>
          <w:rFonts w:ascii="Times New Roman" w:cs="Times New Roman" w:eastAsia="Times New Roman" w:hAnsi="Times New Roman"/>
          <w:sz w:val="16"/>
          <w:szCs w:val="16"/>
          <w:color w:val="auto"/>
        </w:rPr>
      </w:pPr>
    </w:p>
    <w:p>
      <w:pPr>
        <w:jc w:val="both"/>
        <w:ind w:firstLine="476"/>
        <w:spacing w:after="0" w:line="259" w:lineRule="auto"/>
        <w:tabs>
          <w:tab w:leader="none" w:pos="881"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of Merger Sub has: (i) determined that this Agreement, the Merger and the other transactions to be consummated by Merger Sub pursuant to this Agreement, are in the best interests of Merger Sub; (ii) duly authorized and approved the execution, delivery and performance by Merger Sub of this Agreement, the Plan of Merger and the consummation by Merger Sub of the transactions to be consummated by Merger Sub pursuant to this Agreement, including the Merger; (iii) resolved to submit to the sole shareholder of Merger Sub for its approval, and to recommend its approval of, this Agreement and the Plan of Merger.</w:t>
      </w:r>
    </w:p>
    <w:p>
      <w:pPr>
        <w:spacing w:after="0" w:line="129" w:lineRule="exact"/>
        <w:rPr>
          <w:rFonts w:ascii="Times New Roman" w:cs="Times New Roman" w:eastAsia="Times New Roman" w:hAnsi="Times New Roman"/>
          <w:sz w:val="16"/>
          <w:szCs w:val="16"/>
          <w:color w:val="auto"/>
        </w:rPr>
      </w:pPr>
    </w:p>
    <w:p>
      <w:pPr>
        <w:ind w:firstLine="476"/>
        <w:spacing w:after="0" w:line="284" w:lineRule="auto"/>
        <w:tabs>
          <w:tab w:leader="none" w:pos="809"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management board and supervisory board of Parent have each duly authorized and approved the execution, delivery and performance by Parent of this Agreement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40" w:orient="portrait"/>
          <w:cols w:equalWidth="0" w:num="1">
            <w:col w:w="10580"/>
          </w:cols>
          <w:pgMar w:left="660" w:top="1440" w:right="660" w:bottom="1440" w:gutter="0" w:footer="0" w:header="0"/>
        </w:sectPr>
      </w:pPr>
    </w:p>
    <w:bookmarkStart w:id="280" w:name="page281"/>
    <w:bookmarkEnd w:id="280"/>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the consummation by Parent of the transactions to be consummated by Parent pursuant to this Agreement.</w:t>
      </w:r>
    </w:p>
    <w:p>
      <w:pPr>
        <w:spacing w:after="0" w:line="170" w:lineRule="exact"/>
        <w:rPr>
          <w:sz w:val="20"/>
          <w:szCs w:val="20"/>
          <w:color w:val="auto"/>
        </w:rPr>
      </w:pPr>
    </w:p>
    <w:p>
      <w:pPr>
        <w:jc w:val="both"/>
        <w:ind w:firstLine="476"/>
        <w:spacing w:after="0" w:line="267" w:lineRule="auto"/>
        <w:tabs>
          <w:tab w:leader="none" w:pos="786"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Concurrently with the execution and delivery of this Agreement, and as a condition and material inducement to Parent and Merger Sub to enter into this Agreement, the Company and the [***] have entered into the share surrender agreement in the form attached hereto as </w:t>
      </w:r>
      <w:r>
        <w:rPr>
          <w:rFonts w:ascii="Times New Roman" w:cs="Times New Roman" w:eastAsia="Times New Roman" w:hAnsi="Times New Roman"/>
          <w:sz w:val="16"/>
          <w:szCs w:val="16"/>
          <w:b w:val="1"/>
          <w:bCs w:val="1"/>
          <w:color w:val="auto"/>
        </w:rPr>
        <w:t>Exhibit G</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Share Surrender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w:t>
      </w:r>
    </w:p>
    <w:p>
      <w:pPr>
        <w:spacing w:after="0" w:line="123" w:lineRule="exact"/>
        <w:rPr>
          <w:rFonts w:ascii="Times New Roman" w:cs="Times New Roman" w:eastAsia="Times New Roman" w:hAnsi="Times New Roman"/>
          <w:sz w:val="16"/>
          <w:szCs w:val="16"/>
          <w:color w:val="auto"/>
        </w:rPr>
      </w:pPr>
    </w:p>
    <w:p>
      <w:pPr>
        <w:jc w:val="both"/>
        <w:ind w:firstLine="476"/>
        <w:spacing w:after="0" w:line="259" w:lineRule="auto"/>
        <w:tabs>
          <w:tab w:leader="none" w:pos="777"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Concurrently with the execution and delivery of this Agreement, and as a condition and material inducement to Parent and Merger Sub to enter into this Agreement, Shareholders holding all of the issued and outstanding Shares have entered into support agreements in the form attached hereto as </w:t>
      </w:r>
      <w:r>
        <w:rPr>
          <w:rFonts w:ascii="Times New Roman" w:cs="Times New Roman" w:eastAsia="Times New Roman" w:hAnsi="Times New Roman"/>
          <w:sz w:val="16"/>
          <w:szCs w:val="16"/>
          <w:b w:val="1"/>
          <w:bCs w:val="1"/>
          <w:color w:val="auto"/>
        </w:rPr>
        <w:t>Exhibit A</w:t>
      </w:r>
      <w:r>
        <w:rPr>
          <w:rFonts w:ascii="Times New Roman" w:cs="Times New Roman" w:eastAsia="Times New Roman" w:hAnsi="Times New Roman"/>
          <w:sz w:val="16"/>
          <w:szCs w:val="16"/>
          <w:color w:val="auto"/>
        </w:rPr>
        <w:t xml:space="preserve"> (each, a “</w:t>
      </w:r>
      <w:r>
        <w:rPr>
          <w:rFonts w:ascii="Times New Roman" w:cs="Times New Roman" w:eastAsia="Times New Roman" w:hAnsi="Times New Roman"/>
          <w:sz w:val="16"/>
          <w:szCs w:val="16"/>
          <w:b w:val="1"/>
          <w:bCs w:val="1"/>
          <w:i w:val="1"/>
          <w:iCs w:val="1"/>
          <w:color w:val="auto"/>
        </w:rPr>
        <w:t>Support Agreement</w:t>
      </w:r>
      <w:r>
        <w:rPr>
          <w:rFonts w:ascii="Times New Roman" w:cs="Times New Roman" w:eastAsia="Times New Roman" w:hAnsi="Times New Roman"/>
          <w:sz w:val="16"/>
          <w:szCs w:val="16"/>
          <w:color w:val="auto"/>
        </w:rPr>
        <w:t>”) with Parent, whereby, among other things, such Shareholders have agreed to vote all their Shares in favor of the approval of the Shareholder Matters, and, in the case of Shareholders who are Founders (or controlled by Founders), have agreed to certain covenants regarding confidentiality, non-competition and employee non-solicitation (with such covenants to be effective as of the Closing).</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AGREEMENT</w:t>
      </w:r>
    </w:p>
    <w:p>
      <w:pPr>
        <w:spacing w:after="0" w:line="172" w:lineRule="exact"/>
        <w:rPr>
          <w:sz w:val="20"/>
          <w:szCs w:val="20"/>
          <w:color w:val="auto"/>
        </w:rPr>
      </w:pPr>
    </w:p>
    <w:p>
      <w:pPr>
        <w:ind w:right="40" w:firstLine="485"/>
        <w:spacing w:after="0" w:line="284" w:lineRule="auto"/>
        <w:rPr>
          <w:sz w:val="20"/>
          <w:szCs w:val="20"/>
          <w:color w:val="auto"/>
        </w:rPr>
      </w:pPr>
      <w:r>
        <w:rPr>
          <w:rFonts w:ascii="Times New Roman" w:cs="Times New Roman" w:eastAsia="Times New Roman" w:hAnsi="Times New Roman"/>
          <w:sz w:val="16"/>
          <w:szCs w:val="16"/>
          <w:color w:val="auto"/>
        </w:rPr>
        <w:t>In consideration of the foregoing, and the representations, warranties, covenants and agreements herein contained, the parties to this Agreement, intending to be legally bound hereby, agree as follows:</w:t>
      </w:r>
    </w:p>
    <w:p>
      <w:pPr>
        <w:spacing w:after="0" w:line="9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010000"/>
        </w:rPr>
        <w:t>Article I</w:t>
      </w:r>
    </w:p>
    <w:p>
      <w:pPr>
        <w:ind w:left="4760"/>
        <w:spacing w:after="0"/>
        <w:rPr>
          <w:sz w:val="20"/>
          <w:szCs w:val="20"/>
          <w:color w:val="auto"/>
        </w:rPr>
      </w:pPr>
      <w:r>
        <w:rPr>
          <w:rFonts w:ascii="Times New Roman" w:cs="Times New Roman" w:eastAsia="Times New Roman" w:hAnsi="Times New Roman"/>
          <w:sz w:val="16"/>
          <w:szCs w:val="16"/>
          <w:b w:val="1"/>
          <w:bCs w:val="1"/>
          <w:color w:val="auto"/>
        </w:rPr>
        <w:t>DEFINITIONS</w:t>
      </w:r>
    </w:p>
    <w:p>
      <w:pPr>
        <w:spacing w:after="0" w:line="119"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1.1</w:t>
      </w:r>
      <w:r>
        <w:rPr>
          <w:rFonts w:ascii="Times New Roman" w:cs="Times New Roman" w:eastAsia="Times New Roman" w:hAnsi="Times New Roman"/>
          <w:sz w:val="16"/>
          <w:szCs w:val="16"/>
          <w:b w:val="1"/>
          <w:bCs w:val="1"/>
          <w:color w:val="auto"/>
        </w:rPr>
        <w:tab/>
        <w:t>Certain Defined Terms</w:t>
      </w:r>
      <w:r>
        <w:rPr>
          <w:rFonts w:ascii="Times New Roman" w:cs="Times New Roman" w:eastAsia="Times New Roman" w:hAnsi="Times New Roman"/>
          <w:sz w:val="16"/>
          <w:szCs w:val="16"/>
          <w:color w:val="auto"/>
        </w:rPr>
        <w:t>. For purposes of this Agreement:</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 License</w:t>
      </w:r>
      <w:r>
        <w:rPr>
          <w:rFonts w:ascii="Times New Roman" w:cs="Times New Roman" w:eastAsia="Times New Roman" w:hAnsi="Times New Roman"/>
          <w:sz w:val="16"/>
          <w:szCs w:val="16"/>
          <w:color w:val="auto"/>
        </w:rPr>
        <w:t>” means the license agreement entered into by and between Biotheus Inc. and [***].</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 License</w:t>
      </w:r>
      <w:r>
        <w:rPr>
          <w:rFonts w:ascii="Times New Roman" w:cs="Times New Roman" w:eastAsia="Times New Roman" w:hAnsi="Times New Roman"/>
          <w:sz w:val="16"/>
          <w:szCs w:val="16"/>
          <w:color w:val="auto"/>
        </w:rPr>
        <w:t>” means the license agreement entered into by and between Biotheus Inc. and [***].</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Accounting Principles</w:t>
      </w:r>
      <w:r>
        <w:rPr>
          <w:rFonts w:ascii="Times New Roman" w:cs="Times New Roman" w:eastAsia="Times New Roman" w:hAnsi="Times New Roman"/>
          <w:sz w:val="16"/>
          <w:szCs w:val="16"/>
          <w:color w:val="auto"/>
        </w:rPr>
        <w:t>” means PRC GAAP or IFRS, as applicable.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Acquired Companies</w:t>
      </w:r>
      <w:r>
        <w:rPr>
          <w:rFonts w:ascii="Times New Roman" w:cs="Times New Roman" w:eastAsia="Times New Roman" w:hAnsi="Times New Roman"/>
          <w:sz w:val="16"/>
          <w:szCs w:val="16"/>
          <w:color w:val="auto"/>
        </w:rPr>
        <w:t>” means the Company and each Subsidiary of the Company.</w:t>
      </w:r>
    </w:p>
    <w:p>
      <w:pPr>
        <w:spacing w:after="0" w:line="170" w:lineRule="exact"/>
        <w:rPr>
          <w:sz w:val="20"/>
          <w:szCs w:val="20"/>
          <w:color w:val="auto"/>
        </w:rPr>
      </w:pPr>
    </w:p>
    <w:p>
      <w:pPr>
        <w:ind w:right="20"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Action</w:t>
      </w:r>
      <w:r>
        <w:rPr>
          <w:rFonts w:ascii="Times New Roman" w:cs="Times New Roman" w:eastAsia="Times New Roman" w:hAnsi="Times New Roman"/>
          <w:sz w:val="16"/>
          <w:szCs w:val="16"/>
          <w:color w:val="auto"/>
        </w:rPr>
        <w:t>” means any claim, action, suit, inquiry, proceeding, audit, examination, hearing, litigation or investigation by or before any Governmental Authority, or any arbitration, mediation or similar proceeding.</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ADC</w:t>
      </w:r>
      <w:r>
        <w:rPr>
          <w:rFonts w:ascii="Times New Roman" w:cs="Times New Roman" w:eastAsia="Times New Roman" w:hAnsi="Times New Roman"/>
          <w:sz w:val="16"/>
          <w:szCs w:val="16"/>
          <w:color w:val="auto"/>
        </w:rPr>
        <w:t>” means [***].</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Adjustment Escrow Amount</w:t>
      </w:r>
      <w:r>
        <w:rPr>
          <w:rFonts w:ascii="Times New Roman" w:cs="Times New Roman" w:eastAsia="Times New Roman" w:hAnsi="Times New Roman"/>
          <w:sz w:val="16"/>
          <w:szCs w:val="16"/>
          <w:color w:val="auto"/>
        </w:rPr>
        <w:t>” means [***].</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10600"/>
          </w:cols>
          <w:pgMar w:left="660" w:top="1440" w:right="640" w:bottom="1440" w:gutter="0" w:footer="0" w:header="0"/>
        </w:sectPr>
      </w:pPr>
    </w:p>
    <w:bookmarkStart w:id="281" w:name="page282"/>
    <w:bookmarkEnd w:id="281"/>
    <w:p>
      <w:pPr>
        <w:spacing w:after="0" w:line="86" w:lineRule="exact"/>
        <w:rPr>
          <w:sz w:val="20"/>
          <w:szCs w:val="20"/>
          <w:color w:val="auto"/>
        </w:rPr>
      </w:pPr>
    </w:p>
    <w:p>
      <w:pPr>
        <w:jc w:val="both"/>
        <w:ind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Affiliate</w:t>
      </w:r>
      <w:r>
        <w:rPr>
          <w:rFonts w:ascii="Times New Roman" w:cs="Times New Roman" w:eastAsia="Times New Roman" w:hAnsi="Times New Roman"/>
          <w:sz w:val="16"/>
          <w:szCs w:val="16"/>
          <w:color w:val="auto"/>
        </w:rPr>
        <w:t>” means, with respect to any specified Person, any other Person that directly, or indirectly through one or more intermediaries, controls, is controlled by, or is under common control with, such specified Person.</w:t>
      </w:r>
    </w:p>
    <w:p>
      <w:pPr>
        <w:spacing w:after="0" w:line="103" w:lineRule="exact"/>
        <w:rPr>
          <w:sz w:val="20"/>
          <w:szCs w:val="20"/>
          <w:color w:val="auto"/>
        </w:rPr>
      </w:pPr>
    </w:p>
    <w:p>
      <w:pPr>
        <w:jc w:val="both"/>
        <w:ind w:right="20"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Allocated Amount</w:t>
      </w:r>
      <w:r>
        <w:rPr>
          <w:rFonts w:ascii="Times New Roman" w:cs="Times New Roman" w:eastAsia="Times New Roman" w:hAnsi="Times New Roman"/>
          <w:sz w:val="16"/>
          <w:szCs w:val="16"/>
          <w:color w:val="auto"/>
        </w:rPr>
        <w:t>” means, for each Shareholder and the [***], the amount of the Estimated Purchase Price that will be set forth opposite such Person’s name in the column entitled “Allocated Amount” on the Closing Payment Spreadsheet, which amount will be calculated in accordance with the Company Articles and as if the [***] had not been surrendered and cancelled prior to the Closing Date in accordance with the Share Surrender Agreement.</w:t>
      </w:r>
    </w:p>
    <w:p>
      <w:pPr>
        <w:spacing w:after="0" w:line="117" w:lineRule="exact"/>
        <w:rPr>
          <w:sz w:val="20"/>
          <w:szCs w:val="20"/>
          <w:color w:val="auto"/>
        </w:rPr>
      </w:pPr>
    </w:p>
    <w:p>
      <w:pPr>
        <w:jc w:val="both"/>
        <w:ind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Allocation Percentage</w:t>
      </w:r>
      <w:r>
        <w:rPr>
          <w:rFonts w:ascii="Times New Roman" w:cs="Times New Roman" w:eastAsia="Times New Roman" w:hAnsi="Times New Roman"/>
          <w:sz w:val="16"/>
          <w:szCs w:val="16"/>
          <w:color w:val="auto"/>
        </w:rPr>
        <w:t>” means, for each Shareholder and the [***], the percentage that will be set forth opposite such Person’s name in the column entitled “Allocation Percentage” on the Closing Payment Spreadsheet, which percentage will be the result of such Person’s Allocated Amount divided by the Estimated Purchase Price.</w:t>
      </w:r>
    </w:p>
    <w:p>
      <w:pPr>
        <w:spacing w:after="0" w:line="117" w:lineRule="exact"/>
        <w:rPr>
          <w:sz w:val="20"/>
          <w:szCs w:val="20"/>
          <w:color w:val="auto"/>
        </w:rPr>
      </w:pPr>
    </w:p>
    <w:p>
      <w:pPr>
        <w:jc w:val="both"/>
        <w:ind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Ancillary Agreements</w:t>
      </w:r>
      <w:r>
        <w:rPr>
          <w:rFonts w:ascii="Times New Roman" w:cs="Times New Roman" w:eastAsia="Times New Roman" w:hAnsi="Times New Roman"/>
          <w:sz w:val="16"/>
          <w:szCs w:val="16"/>
          <w:color w:val="auto"/>
        </w:rPr>
        <w:t xml:space="preserve">” means the Escrow Agreement, the [***] Agreement, the Paying Agent Agreement, the Support Agreements, the Key Employee Agreements, the ADS Agreements, the Share Surrender Agreement, and any certificate required to be delivered by any party pursuant to </w:t>
      </w:r>
      <w:r>
        <w:rPr>
          <w:rFonts w:ascii="Times New Roman" w:cs="Times New Roman" w:eastAsia="Times New Roman" w:hAnsi="Times New Roman"/>
          <w:sz w:val="16"/>
          <w:szCs w:val="16"/>
          <w:b w:val="1"/>
          <w:bCs w:val="1"/>
          <w:color w:val="auto"/>
        </w:rPr>
        <w:t>Section 6.2(c)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Section 6.3(d)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color w:val="auto"/>
        </w:rPr>
        <w:t xml:space="preserve"> Section 6.3(e) </w:t>
      </w:r>
      <w:r>
        <w:rPr>
          <w:rFonts w:ascii="Times New Roman" w:cs="Times New Roman" w:eastAsia="Times New Roman" w:hAnsi="Times New Roman"/>
          <w:sz w:val="16"/>
          <w:szCs w:val="16"/>
          <w:color w:val="auto"/>
        </w:rPr>
        <w:t>of this Agreement.</w:t>
      </w:r>
    </w:p>
    <w:p>
      <w:pPr>
        <w:spacing w:after="0" w:line="117" w:lineRule="exact"/>
        <w:rPr>
          <w:sz w:val="20"/>
          <w:szCs w:val="20"/>
          <w:color w:val="auto"/>
        </w:rPr>
      </w:pPr>
    </w:p>
    <w:p>
      <w:pPr>
        <w:jc w:val="both"/>
        <w:ind w:right="40"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Anti -Corruption Laws</w:t>
      </w:r>
      <w:r>
        <w:rPr>
          <w:rFonts w:ascii="Times New Roman" w:cs="Times New Roman" w:eastAsia="Times New Roman" w:hAnsi="Times New Roman"/>
          <w:sz w:val="16"/>
          <w:szCs w:val="16"/>
          <w:color w:val="auto"/>
        </w:rPr>
        <w:t>” shall mean the Foreign Corrupt Practices Act of 1977, as amended, the Anti-Kickback Act of 1986, as amended, the UK Bribery Act of 2010, the Cayman Islands Anti-Corruption Act, Part IV of the British Virgin Islands Criminal Code, and the Anti-Bribery Laws of the People’s Republic of China or any applicable legal requirements of similar effect, and the related regulations and published interpretations thereunder.</w:t>
      </w:r>
    </w:p>
    <w:p>
      <w:pPr>
        <w:spacing w:after="0" w:line="117"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Antitrust Law</w:t>
      </w:r>
      <w:r>
        <w:rPr>
          <w:rFonts w:ascii="Times New Roman" w:cs="Times New Roman" w:eastAsia="Times New Roman" w:hAnsi="Times New Roman"/>
          <w:sz w:val="16"/>
          <w:szCs w:val="16"/>
          <w:color w:val="auto"/>
        </w:rPr>
        <w:t>” means the Sherman Act, the Clayton Act, the HSR Act, the Federal Trade Commission Act, the German GWB and all other applicable Laws (including non-U.S. Laws) issued by a Governmental Authority that are designed or intended to preserve and protect competition, prohibit and restrict monopolization, attempted monopolization, restraint of trade and abuse of dominant position, to prevent acquisitions, mergers or other business combinations and similar transactions, the effect of which may be to lessen or impede competition or to tend to create or strengthen a dominant position or to create a monopoly, or to prohibit, restrict or regulate actions to acquire interests in or control over domestic equities, securities, entities, assets, land or interests to address national security or public order or similar policy goals.</w:t>
      </w:r>
    </w:p>
    <w:p>
      <w:pPr>
        <w:spacing w:after="0" w:line="127" w:lineRule="exact"/>
        <w:rPr>
          <w:sz w:val="20"/>
          <w:szCs w:val="20"/>
          <w:color w:val="auto"/>
        </w:rPr>
      </w:pPr>
    </w:p>
    <w:p>
      <w:pPr>
        <w:jc w:val="both"/>
        <w:ind w:right="20"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Business Day</w:t>
      </w:r>
      <w:r>
        <w:rPr>
          <w:rFonts w:ascii="Times New Roman" w:cs="Times New Roman" w:eastAsia="Times New Roman" w:hAnsi="Times New Roman"/>
          <w:sz w:val="16"/>
          <w:szCs w:val="16"/>
          <w:color w:val="auto"/>
        </w:rPr>
        <w:t xml:space="preserve"> ” means any day that is not a Saturday, a Sunday or other day on which banks are required or authorized by Law to be closed in Mainz, Germany, the Cayman Islands, or Zhuhai, China.</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Cash Addback Amount</w:t>
      </w:r>
      <w:r>
        <w:rPr>
          <w:rFonts w:ascii="Times New Roman" w:cs="Times New Roman" w:eastAsia="Times New Roman" w:hAnsi="Times New Roman"/>
          <w:sz w:val="16"/>
          <w:szCs w:val="16"/>
          <w:color w:val="auto"/>
        </w:rPr>
        <w:t>” means, [***].</w:t>
      </w:r>
    </w:p>
    <w:p>
      <w:pPr>
        <w:spacing w:after="0" w:line="170" w:lineRule="exact"/>
        <w:rPr>
          <w:sz w:val="20"/>
          <w:szCs w:val="20"/>
          <w:color w:val="auto"/>
        </w:rPr>
      </w:pPr>
    </w:p>
    <w:p>
      <w:pPr>
        <w:jc w:val="both"/>
        <w:ind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Closing Cash Amount</w:t>
      </w:r>
      <w:r>
        <w:rPr>
          <w:rFonts w:ascii="Times New Roman" w:cs="Times New Roman" w:eastAsia="Times New Roman" w:hAnsi="Times New Roman"/>
          <w:sz w:val="16"/>
          <w:szCs w:val="16"/>
          <w:color w:val="auto"/>
        </w:rPr>
        <w:t xml:space="preserve">” means cash, cash equivalents which can be converted into cash within [***] days, and the other items specified in </w:t>
      </w:r>
      <w:r>
        <w:rPr>
          <w:rFonts w:ascii="Times New Roman" w:cs="Times New Roman" w:eastAsia="Times New Roman" w:hAnsi="Times New Roman"/>
          <w:sz w:val="16"/>
          <w:szCs w:val="16"/>
          <w:b w:val="1"/>
          <w:bCs w:val="1"/>
          <w:color w:val="auto"/>
        </w:rPr>
        <w:t>Exhibit B</w:t>
      </w:r>
      <w:r>
        <w:rPr>
          <w:rFonts w:ascii="Times New Roman" w:cs="Times New Roman" w:eastAsia="Times New Roman" w:hAnsi="Times New Roman"/>
          <w:sz w:val="16"/>
          <w:szCs w:val="16"/>
          <w:color w:val="auto"/>
        </w:rPr>
        <w:t xml:space="preserve">, in each case, held by the Acquired Companies as of the Measurement Time,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(a) the amounts of any unpaid checks, drafts and wire transfers, cash held in escrow accounts or as collateral for outstanding obligations, cash or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10580"/>
          </w:cols>
          <w:pgMar w:left="660" w:top="1440" w:right="660" w:bottom="1440" w:gutter="0" w:footer="0" w:header="0"/>
        </w:sectPr>
      </w:pPr>
    </w:p>
    <w:bookmarkStart w:id="282" w:name="page283"/>
    <w:bookmarkEnd w:id="282"/>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cash equivalents not freely usable because such cash is subject to restrictions or limitations on use or distribution due to legal or contractual restrictions or insurance proceeds or indemnification payments received with respect to any casualty or similar loss or otherwise in respect of Liabilities that have not been discharged, in each case, as of the Measurement Time,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(b) the amount of checks, drafts and wire transfers deposited or available for deposit or in transit for the account of any Acquired Company and any bank acceptances received on behalf of any Acquired Company, in each case, as of the Measurement Time, determined in accordance with the Transaction Accounting Principles and subject to any such checks, drafts, wire transfers or bank acceptances clearing and becoming available to, and immediately usable by, an Acquired Company (as of or after the Measurement Time); </w:t>
      </w:r>
      <w:r>
        <w:rPr>
          <w:rFonts w:ascii="Times New Roman" w:cs="Times New Roman" w:eastAsia="Times New Roman" w:hAnsi="Times New Roman"/>
          <w:sz w:val="16"/>
          <w:szCs w:val="16"/>
          <w:u w:val="single" w:color="auto"/>
          <w:color w:val="auto"/>
        </w:rPr>
        <w:t>provided, however</w:t>
      </w:r>
      <w:r>
        <w:rPr>
          <w:rFonts w:ascii="Times New Roman" w:cs="Times New Roman" w:eastAsia="Times New Roman" w:hAnsi="Times New Roman"/>
          <w:sz w:val="16"/>
          <w:szCs w:val="16"/>
          <w:color w:val="auto"/>
        </w:rPr>
        <w:t xml:space="preserve">, that the Closing Cash Amount shall exclude any amounts taken into account in the calculation of the Closing Indebtedness Amount, the Closing Net Working Capital, the Closing Transaction Expenses or the Cash Addback Amount. For the purposes hereof, an illustrative calculation of “Closing Cash Amounts” is set forth on </w:t>
      </w:r>
      <w:r>
        <w:rPr>
          <w:rFonts w:ascii="Times New Roman" w:cs="Times New Roman" w:eastAsia="Times New Roman" w:hAnsi="Times New Roman"/>
          <w:sz w:val="16"/>
          <w:szCs w:val="16"/>
          <w:b w:val="1"/>
          <w:bCs w:val="1"/>
          <w:color w:val="auto"/>
        </w:rPr>
        <w:t>Exhibit B</w:t>
      </w:r>
      <w:r>
        <w:rPr>
          <w:rFonts w:ascii="Times New Roman" w:cs="Times New Roman" w:eastAsia="Times New Roman" w:hAnsi="Times New Roman"/>
          <w:sz w:val="16"/>
          <w:szCs w:val="16"/>
          <w:color w:val="auto"/>
        </w:rPr>
        <w:t>.</w:t>
      </w:r>
    </w:p>
    <w:p>
      <w:pPr>
        <w:spacing w:after="0" w:line="130" w:lineRule="exact"/>
        <w:rPr>
          <w:sz w:val="20"/>
          <w:szCs w:val="20"/>
          <w:color w:val="auto"/>
        </w:rPr>
      </w:pPr>
    </w:p>
    <w:p>
      <w:pPr>
        <w:jc w:val="both"/>
        <w:ind w:right="20"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Closing Consideration Amount</w:t>
      </w:r>
      <w:r>
        <w:rPr>
          <w:rFonts w:ascii="Times New Roman" w:cs="Times New Roman" w:eastAsia="Times New Roman" w:hAnsi="Times New Roman"/>
          <w:sz w:val="16"/>
          <w:szCs w:val="16"/>
          <w:color w:val="auto"/>
        </w:rPr>
        <w:t>” means, for each Non-Dissenting Shareholder, the portion of the Estimated Purchase Price that will be set forth opposite such Shareholder’s name in the column entitled “Closing Payment In Cash” on the Closing Payment Spreadsheet.</w:t>
      </w:r>
    </w:p>
    <w:p>
      <w:pPr>
        <w:spacing w:after="0" w:line="103" w:lineRule="exact"/>
        <w:rPr>
          <w:sz w:val="20"/>
          <w:szCs w:val="20"/>
          <w:color w:val="auto"/>
        </w:rPr>
      </w:pPr>
    </w:p>
    <w:p>
      <w:pPr>
        <w:jc w:val="both"/>
        <w:ind w:right="40"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Closing Indebtedness Amount</w:t>
      </w:r>
      <w:r>
        <w:rPr>
          <w:rFonts w:ascii="Times New Roman" w:cs="Times New Roman" w:eastAsia="Times New Roman" w:hAnsi="Times New Roman"/>
          <w:sz w:val="16"/>
          <w:szCs w:val="16"/>
          <w:color w:val="auto"/>
        </w:rPr>
        <w:t xml:space="preserve">” means the aggregate amount of outstanding Indebtedness of the Acquired Companies as of the Measurement Time;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Closing Indebtedness Amount shall exclude any amounts taken into account in the calculation of the Closing Cash Amount, the Closing Net Working Capital, the Closing Transaction Expenses or the Cash Addback Amount.</w:t>
      </w:r>
    </w:p>
    <w:p>
      <w:pPr>
        <w:spacing w:after="0" w:line="117" w:lineRule="exact"/>
        <w:rPr>
          <w:sz w:val="20"/>
          <w:szCs w:val="20"/>
          <w:color w:val="auto"/>
        </w:rPr>
      </w:pPr>
    </w:p>
    <w:p>
      <w:pPr>
        <w:jc w:val="both"/>
        <w:ind w:right="20"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Closing Issuer ADS VWAP</w:t>
      </w:r>
      <w:r>
        <w:rPr>
          <w:rFonts w:ascii="Times New Roman" w:cs="Times New Roman" w:eastAsia="Times New Roman" w:hAnsi="Times New Roman"/>
          <w:sz w:val="16"/>
          <w:szCs w:val="16"/>
          <w:color w:val="auto"/>
        </w:rPr>
        <w:t xml:space="preserve"> ” means the average of the daily volume weighted average price per share of Issuer ADSs on Nasdaq for each of the [***] consecutive days on which Nasdaq is open for trading ending on the date that is [***] Trading Days prior to the Closing Date (in each case, as reported by Bloomberg Financial Markets or, if unavailable, by another authoritative source agreed by the parties).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Closing Net Working Capital</w:t>
      </w:r>
      <w:r>
        <w:rPr>
          <w:rFonts w:ascii="Times New Roman" w:cs="Times New Roman" w:eastAsia="Times New Roman" w:hAnsi="Times New Roman"/>
          <w:sz w:val="16"/>
          <w:szCs w:val="16"/>
          <w:color w:val="auto"/>
        </w:rPr>
        <w:t>” means the Net Working Capital of the Acquired Companies as of the Measurement Time.</w:t>
      </w:r>
    </w:p>
    <w:p>
      <w:pPr>
        <w:spacing w:after="0" w:line="170" w:lineRule="exact"/>
        <w:rPr>
          <w:sz w:val="20"/>
          <w:szCs w:val="20"/>
          <w:color w:val="auto"/>
        </w:rPr>
      </w:pPr>
    </w:p>
    <w:p>
      <w:pPr>
        <w:jc w:val="both"/>
        <w:ind w:right="20" w:firstLine="485"/>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Closing Transaction Expenses</w:t>
      </w:r>
      <w:r>
        <w:rPr>
          <w:rFonts w:ascii="Times New Roman" w:cs="Times New Roman" w:eastAsia="Times New Roman" w:hAnsi="Times New Roman"/>
          <w:sz w:val="16"/>
          <w:szCs w:val="16"/>
          <w:color w:val="auto"/>
        </w:rPr>
        <w:t>” means, without duplication, any out-of-pocket fees, costs, expenses, obligations, expenditures, disbursements and Liabilities, incurred by or on behalf of any Acquired Company, or to which any Acquired Company is or becomes subject or liable, arising from: (a)(i) fees, costs and expenses and disbursements of all attorneys, accountants, investment bankers and other advisors of any of the Acquired Companies, or who are otherwise entitled to any compensation or payment from any Acquired Company, in connection with (A) the negotiation, execution, delivery and performance of this Agreement, or (B) any activities undertaken by any Acquired Company in preparation for, or anticipation of, any equity funding, including an IPO, and (ii) the upfront fees of the Shareholders’ Agent, (b) fees, costs or expenses that arise or are triggered or become due or payable at or in connection with the Closing Date under any Contract to which any Acquired Company is a party, as a direct or indirect result of the consummation (whether alone or in combination with any other event or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10600"/>
          </w:cols>
          <w:pgMar w:left="660" w:top="1440" w:right="640" w:bottom="1440" w:gutter="0" w:footer="0" w:header="0"/>
        </w:sectPr>
      </w:pPr>
    </w:p>
    <w:bookmarkStart w:id="283" w:name="page284"/>
    <w:bookmarkEnd w:id="283"/>
    <w:p>
      <w:pPr>
        <w:spacing w:after="0" w:line="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 xml:space="preserve">circumstance) of any of the transactions contemplated by this Agreement, (c) any compensation and severance, transaction bonus, retention or other similar change of control payment or benefit payable by the Acquired Companies to any employee, contractor or consultant of the Acquired Companies that is contingent solely upon the consummation of the Merger, together with the employer portion of any payroll, social security, unemployment or similar Taxes on such compensation (which shall, for the avoidance of doubt, not include any compensation amounts that may be paid by Parent or its Affiliates as contemplated on </w:t>
      </w:r>
      <w:r>
        <w:rPr>
          <w:rFonts w:ascii="Times New Roman" w:cs="Times New Roman" w:eastAsia="Times New Roman" w:hAnsi="Times New Roman"/>
          <w:sz w:val="16"/>
          <w:szCs w:val="16"/>
          <w:b w:val="1"/>
          <w:bCs w:val="1"/>
          <w:color w:val="auto"/>
        </w:rPr>
        <w:t>Schedule 5.15(a)</w:t>
      </w:r>
      <w:r>
        <w:rPr>
          <w:rFonts w:ascii="Times New Roman" w:cs="Times New Roman" w:eastAsia="Times New Roman" w:hAnsi="Times New Roman"/>
          <w:sz w:val="16"/>
          <w:szCs w:val="16"/>
          <w:color w:val="auto"/>
        </w:rPr>
        <w:t xml:space="preserve">, any amounts distributed to the Qualified Grantees in accordance with the [***], or any compensation in the form of Issuer ADS paid to the Founders or the Founder SPVs, as applicable, in accordance with </w:t>
      </w:r>
      <w:r>
        <w:rPr>
          <w:rFonts w:ascii="Times New Roman" w:cs="Times New Roman" w:eastAsia="Times New Roman" w:hAnsi="Times New Roman"/>
          <w:sz w:val="16"/>
          <w:szCs w:val="16"/>
          <w:b w:val="1"/>
          <w:bCs w:val="1"/>
          <w:color w:val="auto"/>
        </w:rPr>
        <w:t>Section 2.13</w:t>
      </w:r>
      <w:r>
        <w:rPr>
          <w:rFonts w:ascii="Times New Roman" w:cs="Times New Roman" w:eastAsia="Times New Roman" w:hAnsi="Times New Roman"/>
          <w:sz w:val="16"/>
          <w:szCs w:val="16"/>
          <w:color w:val="auto"/>
        </w:rPr>
        <w:t xml:space="preserve">), in each case of clauses (a), (b), and (c), to the extent unpaid by the Acquired Companies as of the Measurement Time, and (d) all R&amp;W Insurance Expenses;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Closing Transaction Expenses shall not include (v) any fees and expenses of any Escrow Agent or the Paying Agent, (w) any Taxes (except as otherwise set forth in clause (c)), (x) any payments that are triggered by actions taken by Parent or any of its Affiliates (including the Surviving Corporation) after the Closing, (y) any fees, costs and expenses payable by Parent or the Merger Sub or any of their respective Affiliates pursuant to the terms of this Agreement, including any filing fees under any Antitrust Law or (z) any employer portion of any payroll, social security, unemployment or similar Taxes on any Contingent Payments made after the Closing;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the Closing Transaction Expenses shall exclude any amounts taken into account in the calculation of the Closing Cash Amount, the Closing Net Working Capital, the Closing Indebtedness Amount, or the Cash Addback Amount.</w:t>
      </w:r>
    </w:p>
    <w:p>
      <w:pPr>
        <w:spacing w:after="0" w:line="133" w:lineRule="exact"/>
        <w:rPr>
          <w:sz w:val="20"/>
          <w:szCs w:val="20"/>
          <w:color w:val="auto"/>
        </w:rPr>
      </w:pPr>
    </w:p>
    <w:p>
      <w:pPr>
        <w:ind w:right="60"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Articles</w:t>
      </w:r>
      <w:r>
        <w:rPr>
          <w:rFonts w:ascii="Times New Roman" w:cs="Times New Roman" w:eastAsia="Times New Roman" w:hAnsi="Times New Roman"/>
          <w:sz w:val="16"/>
          <w:szCs w:val="16"/>
          <w:color w:val="auto"/>
        </w:rPr>
        <w:t>” means the Eleventh Amended and Restated Memorandum and Articles of Association of the Company, or, following receipt of the approval by the Shareholders of the Memorandum and Articles Amendment, the Twelfth Amended and Restated Articles of Association of the Company.</w:t>
      </w:r>
    </w:p>
    <w:p>
      <w:pPr>
        <w:spacing w:after="0" w:line="103" w:lineRule="exact"/>
        <w:rPr>
          <w:sz w:val="20"/>
          <w:szCs w:val="20"/>
          <w:color w:val="auto"/>
        </w:rPr>
      </w:pPr>
    </w:p>
    <w:p>
      <w:pPr>
        <w:jc w:val="both"/>
        <w:ind w:firstLine="485"/>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Grants</w:t>
      </w:r>
      <w:r>
        <w:rPr>
          <w:rFonts w:ascii="Times New Roman" w:cs="Times New Roman" w:eastAsia="Times New Roman" w:hAnsi="Times New Roman"/>
          <w:sz w:val="16"/>
          <w:szCs w:val="16"/>
          <w:color w:val="auto"/>
        </w:rPr>
        <w:t>” means (a) any Grants provided to an Acquired Company that were or are used in the development of any Company Intellectual Property, other than any licenses or (b) to the Knowledge of the Company, any Grants provided to any licensor or sub-licensor (excluding counterparties to any Excepted Contracts, solely for purposes of the applicable Excepted Contract(s)) of any Company Intellectual Property licensed or sub-licensed to an Acquired Company that were or are used in the development of any Company Intellectual Property.</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Intellectual Property</w:t>
      </w:r>
      <w:r>
        <w:rPr>
          <w:rFonts w:ascii="Times New Roman" w:cs="Times New Roman" w:eastAsia="Times New Roman" w:hAnsi="Times New Roman"/>
          <w:sz w:val="16"/>
          <w:szCs w:val="16"/>
          <w:color w:val="auto"/>
        </w:rPr>
        <w:t>” means all Owned Intellectual Property and Licensed Intellectual Property.</w:t>
      </w:r>
    </w:p>
    <w:p>
      <w:pPr>
        <w:spacing w:after="0" w:line="170" w:lineRule="exact"/>
        <w:rPr>
          <w:sz w:val="20"/>
          <w:szCs w:val="20"/>
          <w:color w:val="auto"/>
        </w:rPr>
      </w:pPr>
    </w:p>
    <w:p>
      <w:pPr>
        <w:jc w:val="both"/>
        <w:ind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Ordinary Shares</w:t>
      </w:r>
      <w:r>
        <w:rPr>
          <w:rFonts w:ascii="Times New Roman" w:cs="Times New Roman" w:eastAsia="Times New Roman" w:hAnsi="Times New Roman"/>
          <w:sz w:val="16"/>
          <w:szCs w:val="16"/>
          <w:color w:val="auto"/>
        </w:rPr>
        <w:t>” means the ordinary shares of the Company, par value $0.0001 per share, designated as “Ordinary Shares” in the Company Articles.</w:t>
      </w:r>
    </w:p>
    <w:p>
      <w:pPr>
        <w:spacing w:after="0" w:line="103" w:lineRule="exact"/>
        <w:rPr>
          <w:sz w:val="20"/>
          <w:szCs w:val="20"/>
          <w:color w:val="auto"/>
        </w:rPr>
      </w:pPr>
    </w:p>
    <w:p>
      <w:pPr>
        <w:jc w:val="both"/>
        <w:ind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Plans</w:t>
      </w:r>
      <w:r>
        <w:rPr>
          <w:rFonts w:ascii="Times New Roman" w:cs="Times New Roman" w:eastAsia="Times New Roman" w:hAnsi="Times New Roman"/>
          <w:sz w:val="16"/>
          <w:szCs w:val="16"/>
          <w:color w:val="auto"/>
        </w:rPr>
        <w:t>” means each employee benefit or compensation plan, contract, policy or arrangement, including each bonus, share option, stock option, equity or equity-based, incentive or deferred compensation, retirement, severance, redundancy pay, change-in -control, retention, medical, dental, vision, death, disability, sick leave, life insurance, vacation or fringe benefits plan, agreement, arrangement, program or policy and all plans for expatriates or similar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10580"/>
          </w:cols>
          <w:pgMar w:left="660" w:top="1440" w:right="660" w:bottom="1440" w:gutter="0" w:footer="0" w:header="0"/>
        </w:sectPr>
      </w:pPr>
    </w:p>
    <w:bookmarkStart w:id="284" w:name="page285"/>
    <w:bookmarkEnd w:id="284"/>
    <w:p>
      <w:pPr>
        <w:spacing w:after="0" w:line="9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6"/>
          <w:szCs w:val="16"/>
          <w:color w:val="auto"/>
        </w:rPr>
        <w:t>arrangements, in each case, whether payable by way of pension, lump sum or otherwise and regardless of whether it is mandated under applicable Law, voluntary, private, funded, unfunded, financed by the purchase of insurance, contributory or non-contributory.</w:t>
      </w:r>
    </w:p>
    <w:p>
      <w:pPr>
        <w:spacing w:after="0" w:line="106" w:lineRule="exact"/>
        <w:rPr>
          <w:sz w:val="20"/>
          <w:szCs w:val="20"/>
          <w:color w:val="auto"/>
        </w:rPr>
      </w:pPr>
    </w:p>
    <w:p>
      <w:pPr>
        <w:ind w:right="40"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Preferred Shares</w:t>
      </w:r>
      <w:r>
        <w:rPr>
          <w:rFonts w:ascii="Times New Roman" w:cs="Times New Roman" w:eastAsia="Times New Roman" w:hAnsi="Times New Roman"/>
          <w:sz w:val="16"/>
          <w:szCs w:val="16"/>
          <w:color w:val="auto"/>
        </w:rPr>
        <w:t>” means, collectively, the Series A Preferred Shares, the Series A+ Preferred Shares, the Series B Preferred Shares, the Series B+ Preferred Shares and the Series B3 Preferred Shares.</w:t>
      </w:r>
    </w:p>
    <w:p>
      <w:pPr>
        <w:spacing w:after="0" w:line="103" w:lineRule="exact"/>
        <w:rPr>
          <w:sz w:val="20"/>
          <w:szCs w:val="20"/>
          <w:color w:val="auto"/>
        </w:rPr>
      </w:pPr>
    </w:p>
    <w:p>
      <w:pPr>
        <w:jc w:val="both"/>
        <w:ind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Product</w:t>
      </w:r>
      <w:r>
        <w:rPr>
          <w:rFonts w:ascii="Times New Roman" w:cs="Times New Roman" w:eastAsia="Times New Roman" w:hAnsi="Times New Roman"/>
          <w:sz w:val="16"/>
          <w:szCs w:val="16"/>
          <w:color w:val="auto"/>
        </w:rPr>
        <w:t>” means any compound, protein (including any peptide or amino acid sequence, antibody or protein conferring targeting properties and any fragment of a protein or a peptide or an antibody), product or product candidate that is being researched, tested, developed, manufactured or otherwise exploited by or on behalf of the Company or any Subsidiary of the Company and that is owned by, or licensed to, the Company or any Subsidiary of the Company.</w:t>
      </w:r>
    </w:p>
    <w:p>
      <w:pPr>
        <w:spacing w:after="0" w:line="117" w:lineRule="exact"/>
        <w:rPr>
          <w:sz w:val="20"/>
          <w:szCs w:val="20"/>
          <w:color w:val="auto"/>
        </w:rPr>
      </w:pPr>
    </w:p>
    <w:p>
      <w:pPr>
        <w:jc w:val="both"/>
        <w:ind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Contingent Payment Allocation Percentage</w:t>
      </w:r>
      <w:r>
        <w:rPr>
          <w:rFonts w:ascii="Times New Roman" w:cs="Times New Roman" w:eastAsia="Times New Roman" w:hAnsi="Times New Roman"/>
          <w:sz w:val="16"/>
          <w:szCs w:val="16"/>
          <w:color w:val="auto"/>
        </w:rPr>
        <w:t xml:space="preserve">” means, for each Non-Dissenting Shareholder and the [***], the percentage included in the column titled, “Contingent Payment Allocation %”, set forth opposite its name on the illustrative Contingent Payment Spreadsheet attached hereto as </w:t>
      </w:r>
      <w:r>
        <w:rPr>
          <w:rFonts w:ascii="Times New Roman" w:cs="Times New Roman" w:eastAsia="Times New Roman" w:hAnsi="Times New Roman"/>
          <w:sz w:val="16"/>
          <w:szCs w:val="16"/>
          <w:b w:val="1"/>
          <w:bCs w:val="1"/>
          <w:color w:val="auto"/>
        </w:rPr>
        <w:t>Schedule 2.12(c)</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Contingent Payment Spreadsheet</w:t>
      </w:r>
      <w:r>
        <w:rPr>
          <w:rFonts w:ascii="Times New Roman" w:cs="Times New Roman" w:eastAsia="Times New Roman" w:hAnsi="Times New Roman"/>
          <w:sz w:val="16"/>
          <w:szCs w:val="16"/>
          <w:color w:val="auto"/>
        </w:rPr>
        <w:t>”)</w:t>
      </w:r>
    </w:p>
    <w:p>
      <w:pPr>
        <w:spacing w:after="0" w:line="117" w:lineRule="exact"/>
        <w:rPr>
          <w:sz w:val="20"/>
          <w:szCs w:val="20"/>
          <w:color w:val="auto"/>
        </w:rPr>
      </w:pPr>
    </w:p>
    <w:p>
      <w:pPr>
        <w:jc w:val="both"/>
        <w:ind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Contract</w:t>
      </w:r>
      <w:r>
        <w:rPr>
          <w:rFonts w:ascii="Times New Roman" w:cs="Times New Roman" w:eastAsia="Times New Roman" w:hAnsi="Times New Roman"/>
          <w:sz w:val="16"/>
          <w:szCs w:val="16"/>
          <w:color w:val="auto"/>
        </w:rPr>
        <w:t xml:space="preserve"> ” means any legally binding contract, subcontract, agreement, note, bond, mortgage, indenture, lease, sublease, license, sublicense, permit, franchise or other instrument, commitment, arrangement or understanding of any kind or character.</w:t>
      </w:r>
    </w:p>
    <w:p>
      <w:pPr>
        <w:spacing w:after="0" w:line="103" w:lineRule="exact"/>
        <w:rPr>
          <w:sz w:val="20"/>
          <w:szCs w:val="20"/>
          <w:color w:val="auto"/>
        </w:rPr>
      </w:pPr>
    </w:p>
    <w:p>
      <w:pPr>
        <w:jc w:val="both"/>
        <w:ind w:firstLine="485"/>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control</w:t>
      </w:r>
      <w:r>
        <w:rPr>
          <w:rFonts w:ascii="Times New Roman" w:cs="Times New Roman" w:eastAsia="Times New Roman" w:hAnsi="Times New Roman"/>
          <w:sz w:val="16"/>
          <w:szCs w:val="16"/>
          <w:color w:val="auto"/>
        </w:rPr>
        <w:t>” including the terms “controlled by” and “under common control with” means the possession, directly or indirectly, of the power to direct or cause the direction of the management and policies of a Person, whether through the ownership of voting securities, as trustee or executor, as general partner or managing member, by Contract or otherwise, including the ownership, directly or indirectly, of securities having the power to elect a majority of the board of directors or similar body governing the affairs of such Person.</w:t>
      </w:r>
    </w:p>
    <w:p>
      <w:pPr>
        <w:spacing w:after="0" w:line="123" w:lineRule="exact"/>
        <w:rPr>
          <w:sz w:val="20"/>
          <w:szCs w:val="20"/>
          <w:color w:val="auto"/>
        </w:rPr>
      </w:pPr>
    </w:p>
    <w:p>
      <w:pPr>
        <w:jc w:val="both"/>
        <w:ind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Conversion Ratio</w:t>
      </w:r>
      <w:r>
        <w:rPr>
          <w:rFonts w:ascii="Times New Roman" w:cs="Times New Roman" w:eastAsia="Times New Roman" w:hAnsi="Times New Roman"/>
          <w:sz w:val="16"/>
          <w:szCs w:val="16"/>
          <w:color w:val="auto"/>
        </w:rPr>
        <w:t>” means the ratio at which the Company Preferred Shares are convertible into Company Ordinary Shares pursuant to Article 8.3 of the Company Articles.</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Convertible Loans</w:t>
      </w:r>
      <w:r>
        <w:rPr>
          <w:rFonts w:ascii="Times New Roman" w:cs="Times New Roman" w:eastAsia="Times New Roman" w:hAnsi="Times New Roman"/>
          <w:sz w:val="16"/>
          <w:szCs w:val="16"/>
          <w:color w:val="auto"/>
        </w:rPr>
        <w:t>” shall have the definition ascribed to it in the Disclosure Schedules.</w:t>
      </w:r>
    </w:p>
    <w:p>
      <w:pPr>
        <w:spacing w:after="0" w:line="170" w:lineRule="exact"/>
        <w:rPr>
          <w:sz w:val="20"/>
          <w:szCs w:val="20"/>
          <w:color w:val="auto"/>
        </w:rPr>
      </w:pPr>
    </w:p>
    <w:p>
      <w:pPr>
        <w:jc w:val="both"/>
        <w:ind w:firstLine="485"/>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Covered Matters Expiration Date</w:t>
      </w:r>
      <w:r>
        <w:rPr>
          <w:rFonts w:ascii="Times New Roman" w:cs="Times New Roman" w:eastAsia="Times New Roman" w:hAnsi="Times New Roman"/>
          <w:sz w:val="16"/>
          <w:szCs w:val="16"/>
          <w:color w:val="auto"/>
        </w:rPr>
        <w:t>” means the [***] Business Day following the earlier of (a) the date that is [***] months after the Closing Date and (b) the date on which a Final Determination is entered providing for resolution of all Covered Matters. For clarity, if there is no pending and unresolved dispute as to any Covered Matter as of the date that is [***] months after the Closing Date, the Covered Matters Expiration Date shall be deemed to be achieved on the date that is [***] months after the Closing Date.</w:t>
      </w:r>
    </w:p>
    <w:p>
      <w:pPr>
        <w:spacing w:after="0" w:line="123" w:lineRule="exact"/>
        <w:rPr>
          <w:sz w:val="20"/>
          <w:szCs w:val="20"/>
          <w:color w:val="auto"/>
        </w:rPr>
      </w:pPr>
    </w:p>
    <w:p>
      <w:pPr>
        <w:ind w:right="60"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Distribution Waterfall</w:t>
      </w:r>
      <w:r>
        <w:rPr>
          <w:rFonts w:ascii="Times New Roman" w:cs="Times New Roman" w:eastAsia="Times New Roman" w:hAnsi="Times New Roman"/>
          <w:sz w:val="16"/>
          <w:szCs w:val="16"/>
          <w:color w:val="auto"/>
        </w:rPr>
        <w:t>” means such “Distribution Waterfall for an Approved Sale” as set forth in Addendum A to the Twelfth Amended and Restated Articles of Association of the Company.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40" w:orient="portrait"/>
          <w:cols w:equalWidth="0" w:num="1">
            <w:col w:w="10580"/>
          </w:cols>
          <w:pgMar w:left="660" w:top="1440" w:right="660" w:bottom="1440" w:gutter="0" w:footer="0" w:header="0"/>
        </w:sectPr>
      </w:pPr>
    </w:p>
    <w:bookmarkStart w:id="285" w:name="page286"/>
    <w:bookmarkEnd w:id="285"/>
    <w:p>
      <w:pPr>
        <w:spacing w:after="0" w:line="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Effect</w:t>
      </w:r>
      <w:r>
        <w:rPr>
          <w:rFonts w:ascii="Times New Roman" w:cs="Times New Roman" w:eastAsia="Times New Roman" w:hAnsi="Times New Roman"/>
          <w:sz w:val="16"/>
          <w:szCs w:val="16"/>
          <w:color w:val="auto"/>
        </w:rPr>
        <w:t>” means any effect, change, development, event, circumstance, occurrence, condition or state of facts.</w:t>
      </w:r>
    </w:p>
    <w:p>
      <w:pPr>
        <w:spacing w:after="0" w:line="170" w:lineRule="exact"/>
        <w:rPr>
          <w:sz w:val="20"/>
          <w:szCs w:val="20"/>
          <w:color w:val="auto"/>
        </w:rPr>
      </w:pPr>
    </w:p>
    <w:p>
      <w:pPr>
        <w:jc w:val="both"/>
        <w:ind w:firstLine="485"/>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Encumbrance</w:t>
      </w:r>
      <w:r>
        <w:rPr>
          <w:rFonts w:ascii="Times New Roman" w:cs="Times New Roman" w:eastAsia="Times New Roman" w:hAnsi="Times New Roman"/>
          <w:sz w:val="16"/>
          <w:szCs w:val="16"/>
          <w:color w:val="auto"/>
        </w:rPr>
        <w:t>” means any charge, claim, limitation, condition, equitable interest, mortgage, hypothecation, license, lien, option, put, call, pledge, security interest, easement, encroachment, right of first refusal, preemptive purchase right, adverse claim or restriction of any kind, including any restriction on or transfer or other assignment, as security or otherwise, of or relating to use, quiet enjoyment, voting, transfer, receipt of income or exercise of any other attribute of ownership.</w:t>
      </w:r>
    </w:p>
    <w:p>
      <w:pPr>
        <w:spacing w:after="0" w:line="318" w:lineRule="exact"/>
        <w:rPr>
          <w:sz w:val="20"/>
          <w:szCs w:val="20"/>
          <w:color w:val="auto"/>
        </w:rPr>
      </w:pPr>
    </w:p>
    <w:p>
      <w:pPr>
        <w:jc w:val="both"/>
        <w:ind w:firstLine="485"/>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End Date</w:t>
      </w:r>
      <w:r>
        <w:rPr>
          <w:rFonts w:ascii="Times New Roman" w:cs="Times New Roman" w:eastAsia="Times New Roman" w:hAnsi="Times New Roman"/>
          <w:sz w:val="16"/>
          <w:szCs w:val="16"/>
          <w:color w:val="auto"/>
        </w:rPr>
        <w:t xml:space="preserve">” means [***],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to the extent that the failure to consummate the Closing by such date is due to a failure to satisfy the condition set forth in </w:t>
      </w:r>
      <w:r>
        <w:rPr>
          <w:rFonts w:ascii="Times New Roman" w:cs="Times New Roman" w:eastAsia="Times New Roman" w:hAnsi="Times New Roman"/>
          <w:sz w:val="16"/>
          <w:szCs w:val="16"/>
          <w:b w:val="1"/>
          <w:bCs w:val="1"/>
          <w:color w:val="auto"/>
        </w:rPr>
        <w:t>Section 6.1(b)</w:t>
      </w:r>
      <w:r>
        <w:rPr>
          <w:rFonts w:ascii="Times New Roman" w:cs="Times New Roman" w:eastAsia="Times New Roman" w:hAnsi="Times New Roman"/>
          <w:sz w:val="16"/>
          <w:szCs w:val="16"/>
          <w:color w:val="auto"/>
        </w:rPr>
        <w:t xml:space="preserve"> or the condition set forth in </w:t>
      </w:r>
      <w:r>
        <w:rPr>
          <w:rFonts w:ascii="Times New Roman" w:cs="Times New Roman" w:eastAsia="Times New Roman" w:hAnsi="Times New Roman"/>
          <w:sz w:val="16"/>
          <w:szCs w:val="16"/>
          <w:b w:val="1"/>
          <w:bCs w:val="1"/>
          <w:color w:val="auto"/>
        </w:rPr>
        <w:t>Section 6.1(a)</w:t>
      </w:r>
      <w:r>
        <w:rPr>
          <w:rFonts w:ascii="Times New Roman" w:cs="Times New Roman" w:eastAsia="Times New Roman" w:hAnsi="Times New Roman"/>
          <w:sz w:val="16"/>
          <w:szCs w:val="16"/>
          <w:color w:val="auto"/>
        </w:rPr>
        <w:t xml:space="preserve"> (to the extent relating to any Antitrust Law), but all other conditions in </w:t>
      </w:r>
      <w:r>
        <w:rPr>
          <w:rFonts w:ascii="Times New Roman" w:cs="Times New Roman" w:eastAsia="Times New Roman" w:hAnsi="Times New Roman"/>
          <w:sz w:val="16"/>
          <w:szCs w:val="16"/>
          <w:b w:val="1"/>
          <w:bCs w:val="1"/>
          <w:color w:val="auto"/>
        </w:rPr>
        <w:t>Article VI</w:t>
      </w:r>
      <w:r>
        <w:rPr>
          <w:rFonts w:ascii="Times New Roman" w:cs="Times New Roman" w:eastAsia="Times New Roman" w:hAnsi="Times New Roman"/>
          <w:sz w:val="16"/>
          <w:szCs w:val="16"/>
          <w:color w:val="auto"/>
        </w:rPr>
        <w:t xml:space="preserve"> to the Closing (other than those conditions that by their nature are to be satisfied at the Closing) have been satisfied, then the End Date shall be automatically extended by [***] days.</w:t>
      </w:r>
    </w:p>
    <w:p>
      <w:pPr>
        <w:spacing w:after="0" w:line="123" w:lineRule="exact"/>
        <w:rPr>
          <w:sz w:val="20"/>
          <w:szCs w:val="20"/>
          <w:color w:val="auto"/>
        </w:rPr>
      </w:pPr>
    </w:p>
    <w:p>
      <w:pPr>
        <w:jc w:val="both"/>
        <w:ind w:firstLine="485"/>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Equity Interests</w:t>
      </w:r>
      <w:r>
        <w:rPr>
          <w:rFonts w:ascii="Times New Roman" w:cs="Times New Roman" w:eastAsia="Times New Roman" w:hAnsi="Times New Roman"/>
          <w:sz w:val="16"/>
          <w:szCs w:val="16"/>
          <w:color w:val="auto"/>
        </w:rPr>
        <w:t>” means any (a) shares or other equity interests or capital stock of any corporation, limited liability company, partnership, joint venture or other business association or entity, (b) options, warrants, calls, subscriptions or other rights or entitlements of any character relating to the issued or unissued shares or other equity interests or capital stock of any corporation, limited liability company, partnership, joint venture or other business association or entity, (c) securities convertible into or exchangeable or exercisable for any such shares, capital stock or other equity interests, or (d) any other rights or instruments that are linked in any way to the price of the shares of capital stock of any other Person or the value of all or any part of another Person.</w:t>
      </w:r>
    </w:p>
    <w:p>
      <w:pPr>
        <w:spacing w:after="0" w:line="1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Escrow Agent</w:t>
      </w:r>
      <w:r>
        <w:rPr>
          <w:rFonts w:ascii="Times New Roman" w:cs="Times New Roman" w:eastAsia="Times New Roman" w:hAnsi="Times New Roman"/>
          <w:sz w:val="16"/>
          <w:szCs w:val="16"/>
          <w:color w:val="auto"/>
        </w:rPr>
        <w:t>” means an escrow agent reasonably acceptable to the Company, Parent and the [***].</w:t>
      </w:r>
    </w:p>
    <w:p>
      <w:pPr>
        <w:spacing w:after="0" w:line="170" w:lineRule="exact"/>
        <w:rPr>
          <w:sz w:val="20"/>
          <w:szCs w:val="20"/>
          <w:color w:val="auto"/>
        </w:rPr>
      </w:pPr>
    </w:p>
    <w:p>
      <w:pPr>
        <w:ind w:right="20"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Escrow Agreement</w:t>
      </w:r>
      <w:r>
        <w:rPr>
          <w:rFonts w:ascii="Times New Roman" w:cs="Times New Roman" w:eastAsia="Times New Roman" w:hAnsi="Times New Roman"/>
          <w:sz w:val="16"/>
          <w:szCs w:val="16"/>
          <w:color w:val="auto"/>
        </w:rPr>
        <w:t>” means the escrow agreement to be entered into among Parent (or a Subsidiary of Parent), the Shareholders’ Agent and the Escrow Agent on the Closing Date, which shall be in a form reasonably acceptable to the Company, the Shareholders’ Agent and Parent.</w:t>
      </w:r>
    </w:p>
    <w:p>
      <w:pPr>
        <w:spacing w:after="0" w:line="103" w:lineRule="exact"/>
        <w:rPr>
          <w:sz w:val="20"/>
          <w:szCs w:val="20"/>
          <w:color w:val="auto"/>
        </w:rPr>
      </w:pPr>
    </w:p>
    <w:p>
      <w:pPr>
        <w:ind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Escrow Amount</w:t>
      </w:r>
      <w:r>
        <w:rPr>
          <w:rFonts w:ascii="Times New Roman" w:cs="Times New Roman" w:eastAsia="Times New Roman" w:hAnsi="Times New Roman"/>
          <w:sz w:val="16"/>
          <w:szCs w:val="16"/>
          <w:color w:val="auto"/>
        </w:rPr>
        <w:t xml:space="preserve">” means (a) the Adjustment Escrow Amount,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(b) the Indemnity Escrow Amount,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(c) the RWI Retention Escrow Amount,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(d) [***], each as may be further adjusted in accordance with the terms of this Agreement and the Escrow Agreement.</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Escrow Fund</w:t>
      </w:r>
      <w:r>
        <w:rPr>
          <w:rFonts w:ascii="Times New Roman" w:cs="Times New Roman" w:eastAsia="Times New Roman" w:hAnsi="Times New Roman"/>
          <w:sz w:val="16"/>
          <w:szCs w:val="16"/>
          <w:color w:val="auto"/>
        </w:rPr>
        <w:t>” means the escrow fund established to hold the Escrow Amount pursuant to the Escrow Agreement.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ESOP</w:t>
      </w:r>
      <w:r>
        <w:rPr>
          <w:rFonts w:ascii="Times New Roman" w:cs="Times New Roman" w:eastAsia="Times New Roman" w:hAnsi="Times New Roman"/>
          <w:sz w:val="16"/>
          <w:szCs w:val="16"/>
          <w:color w:val="auto"/>
        </w:rPr>
        <w:t>” means the share-based long-term incentive plan managed by the [***].</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40" w:orient="portrait"/>
          <w:cols w:equalWidth="0" w:num="1">
            <w:col w:w="10580"/>
          </w:cols>
          <w:pgMar w:left="660" w:top="1440" w:right="660" w:bottom="1440" w:gutter="0" w:footer="0" w:header="0"/>
        </w:sectPr>
      </w:pPr>
    </w:p>
    <w:bookmarkStart w:id="286" w:name="page287"/>
    <w:bookmarkEnd w:id="286"/>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Estimated Purchase Price</w:t>
      </w:r>
      <w:r>
        <w:rPr>
          <w:rFonts w:ascii="Times New Roman" w:cs="Times New Roman" w:eastAsia="Times New Roman" w:hAnsi="Times New Roman"/>
          <w:sz w:val="16"/>
          <w:szCs w:val="16"/>
          <w:color w:val="auto"/>
        </w:rPr>
        <w:t xml:space="preserve">” means an amount equal to: (a) $800,000,000;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w:t>
      </w:r>
    </w:p>
    <w:p>
      <w:pPr>
        <w:spacing w:after="0" w:line="170" w:lineRule="exact"/>
        <w:rPr>
          <w:sz w:val="20"/>
          <w:szCs w:val="20"/>
          <w:color w:val="auto"/>
        </w:rPr>
      </w:pPr>
    </w:p>
    <w:p>
      <w:pPr>
        <w:jc w:val="both"/>
        <w:ind w:firstLine="485"/>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Excepted Contracts</w:t>
      </w:r>
      <w:r>
        <w:rPr>
          <w:rFonts w:ascii="Times New Roman" w:cs="Times New Roman" w:eastAsia="Times New Roman" w:hAnsi="Times New Roman"/>
          <w:sz w:val="16"/>
          <w:szCs w:val="16"/>
          <w:color w:val="auto"/>
        </w:rPr>
        <w:t>” means (a) shrink-wrap, click wrap and off-the-shelf Contracts for commercially available, unmodified software, (b) Contracts that have expired on their own terms or were terminated prior to the date hereof that do not have any material ongoing continuing obligations, rights or interests (other than obligations to maintain confidentiality), (c) nondisclosure agreements entered into (x) in the ordinary course of business or (y) in connection with discussions, negotiations and transactions related to this Agreement or any transactions that were evaluated and/or pursued as an alternative to the transactions contemplated hereby, including the Company’s IPO, (d) employment or consulting agreements substantially in an Acquired Company’s standard form for employees with annual compensation of less than $[***], (e) agreements containing the grant of non-exclusive rights to use Intellectual Property granted by or to suppliers, collaborators, partners or service providers entered into in the ordinary course of business, and (f) Company Plans.</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Expense Fund</w:t>
      </w:r>
      <w:r>
        <w:rPr>
          <w:rFonts w:ascii="Times New Roman" w:cs="Times New Roman" w:eastAsia="Times New Roman" w:hAnsi="Times New Roman"/>
          <w:sz w:val="16"/>
          <w:szCs w:val="16"/>
          <w:color w:val="auto"/>
        </w:rPr>
        <w:t>” means the fund established by the Shareholders’ Agent to hold the Expense Fund Amount.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40" w:orient="portrait"/>
          <w:cols w:equalWidth="0" w:num="1">
            <w:col w:w="10580"/>
          </w:cols>
          <w:pgMar w:left="660" w:top="1440" w:right="660" w:bottom="1440" w:gutter="0" w:footer="0" w:header="0"/>
        </w:sectPr>
      </w:pPr>
    </w:p>
    <w:bookmarkStart w:id="287" w:name="page288"/>
    <w:bookmarkEnd w:id="287"/>
    <w:p>
      <w:pPr>
        <w:spacing w:after="0" w:line="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Expense Fund Amount</w:t>
      </w:r>
      <w:r>
        <w:rPr>
          <w:rFonts w:ascii="Times New Roman" w:cs="Times New Roman" w:eastAsia="Times New Roman" w:hAnsi="Times New Roman"/>
          <w:sz w:val="16"/>
          <w:szCs w:val="16"/>
          <w:color w:val="auto"/>
        </w:rPr>
        <w:t>” means $[***].</w:t>
      </w:r>
    </w:p>
    <w:p>
      <w:pPr>
        <w:spacing w:after="0" w:line="170" w:lineRule="exact"/>
        <w:rPr>
          <w:sz w:val="20"/>
          <w:szCs w:val="20"/>
          <w:color w:val="auto"/>
        </w:rPr>
      </w:pPr>
    </w:p>
    <w:p>
      <w:pPr>
        <w:jc w:val="both"/>
        <w:ind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Expense Fund Contribution Amount</w:t>
      </w:r>
      <w:r>
        <w:rPr>
          <w:rFonts w:ascii="Times New Roman" w:cs="Times New Roman" w:eastAsia="Times New Roman" w:hAnsi="Times New Roman"/>
          <w:sz w:val="16"/>
          <w:szCs w:val="16"/>
          <w:color w:val="auto"/>
        </w:rPr>
        <w:t xml:space="preserve">” for each Non-Dissenting Shareholder shall be determined by </w:t>
      </w:r>
      <w:r>
        <w:rPr>
          <w:rFonts w:ascii="Times New Roman" w:cs="Times New Roman" w:eastAsia="Times New Roman" w:hAnsi="Times New Roman"/>
          <w:sz w:val="16"/>
          <w:szCs w:val="16"/>
          <w:i w:val="1"/>
          <w:iCs w:val="1"/>
          <w:color w:val="auto"/>
        </w:rPr>
        <w:t>multiplying</w:t>
      </w:r>
      <w:r>
        <w:rPr>
          <w:rFonts w:ascii="Times New Roman" w:cs="Times New Roman" w:eastAsia="Times New Roman" w:hAnsi="Times New Roman"/>
          <w:sz w:val="16"/>
          <w:szCs w:val="16"/>
          <w:color w:val="auto"/>
        </w:rPr>
        <w:t xml:space="preserve"> the Expense Fund Amount </w:t>
      </w:r>
      <w:r>
        <w:rPr>
          <w:rFonts w:ascii="Times New Roman" w:cs="Times New Roman" w:eastAsia="Times New Roman" w:hAnsi="Times New Roman"/>
          <w:sz w:val="16"/>
          <w:szCs w:val="16"/>
          <w:i w:val="1"/>
          <w:iCs w:val="1"/>
          <w:color w:val="auto"/>
        </w:rPr>
        <w:t>by</w:t>
      </w:r>
      <w:r>
        <w:rPr>
          <w:rFonts w:ascii="Times New Roman" w:cs="Times New Roman" w:eastAsia="Times New Roman" w:hAnsi="Times New Roman"/>
          <w:sz w:val="16"/>
          <w:szCs w:val="16"/>
          <w:color w:val="auto"/>
        </w:rPr>
        <w:t xml:space="preserve"> such Non-Dissenting Shareholder’s Allocation Percentage.</w:t>
      </w:r>
    </w:p>
    <w:p>
      <w:pPr>
        <w:spacing w:after="0" w:line="103" w:lineRule="exact"/>
        <w:rPr>
          <w:sz w:val="20"/>
          <w:szCs w:val="20"/>
          <w:color w:val="auto"/>
        </w:rPr>
      </w:pPr>
    </w:p>
    <w:p>
      <w:pPr>
        <w:jc w:val="both"/>
        <w:ind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FDA</w:t>
      </w:r>
      <w:r>
        <w:rPr>
          <w:rFonts w:ascii="Times New Roman" w:cs="Times New Roman" w:eastAsia="Times New Roman" w:hAnsi="Times New Roman"/>
          <w:sz w:val="16"/>
          <w:szCs w:val="16"/>
          <w:color w:val="auto"/>
        </w:rPr>
        <w:t>” means the United States Food and Drug Administration or any successor agency with comparable responsibilities (including the administrative authority to regulate the marketing of human pharmaceutical products or biological therapeutic products, delivery systems and devices) in the United States.</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FDC Act</w:t>
      </w:r>
      <w:r>
        <w:rPr>
          <w:rFonts w:ascii="Times New Roman" w:cs="Times New Roman" w:eastAsia="Times New Roman" w:hAnsi="Times New Roman"/>
          <w:sz w:val="16"/>
          <w:szCs w:val="16"/>
          <w:color w:val="auto"/>
        </w:rPr>
        <w:t xml:space="preserve">” means the U.S. Federal Food, Drug, and Cosmetic Act of 1938 (21 U.S.C. § 301 </w:t>
      </w:r>
      <w:r>
        <w:rPr>
          <w:rFonts w:ascii="Times New Roman" w:cs="Times New Roman" w:eastAsia="Times New Roman" w:hAnsi="Times New Roman"/>
          <w:sz w:val="16"/>
          <w:szCs w:val="16"/>
          <w:i w:val="1"/>
          <w:iCs w:val="1"/>
          <w:color w:val="auto"/>
        </w:rPr>
        <w:t>et seq.</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First-to-Market Development Milestone Event</w:t>
      </w:r>
      <w:r>
        <w:rPr>
          <w:rFonts w:ascii="Times New Roman" w:cs="Times New Roman" w:eastAsia="Times New Roman" w:hAnsi="Times New Roman"/>
          <w:sz w:val="16"/>
          <w:szCs w:val="16"/>
          <w:color w:val="auto"/>
        </w:rPr>
        <w:t xml:space="preserve">” means the Development Milestone Event in row No.1 of the table in </w:t>
      </w:r>
      <w:r>
        <w:rPr>
          <w:rFonts w:ascii="Times New Roman" w:cs="Times New Roman" w:eastAsia="Times New Roman" w:hAnsi="Times New Roman"/>
          <w:sz w:val="16"/>
          <w:szCs w:val="16"/>
          <w:b w:val="1"/>
          <w:bCs w:val="1"/>
          <w:color w:val="auto"/>
        </w:rPr>
        <w:t>Section 2.12(b)</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Founders</w:t>
      </w:r>
      <w:r>
        <w:rPr>
          <w:rFonts w:ascii="Times New Roman" w:cs="Times New Roman" w:eastAsia="Times New Roman" w:hAnsi="Times New Roman"/>
          <w:sz w:val="16"/>
          <w:szCs w:val="16"/>
          <w:color w:val="auto"/>
        </w:rPr>
        <w:t>” means [***].</w:t>
      </w:r>
    </w:p>
    <w:p>
      <w:pPr>
        <w:spacing w:after="0" w:line="170" w:lineRule="exact"/>
        <w:rPr>
          <w:sz w:val="20"/>
          <w:szCs w:val="20"/>
          <w:color w:val="auto"/>
        </w:rPr>
      </w:pPr>
    </w:p>
    <w:p>
      <w:pPr>
        <w:jc w:val="both"/>
        <w:ind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Founder SPVs</w:t>
      </w:r>
      <w:r>
        <w:rPr>
          <w:rFonts w:ascii="Times New Roman" w:cs="Times New Roman" w:eastAsia="Times New Roman" w:hAnsi="Times New Roman"/>
          <w:sz w:val="16"/>
          <w:szCs w:val="16"/>
          <w:color w:val="auto"/>
        </w:rPr>
        <w:t>” means (a) Biotheus Holding Ltd, a company limited by shares incorporated under the Laws of the British Virgin Islands, which is wholly owned by [***], and (b) Biotheus Partner Ltd, a company limited by shares incorporated under the Laws of the British Virgin Islands, which is controlled by [***] and jointly owned by [***].</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Fraud</w:t>
      </w:r>
      <w:r>
        <w:rPr>
          <w:rFonts w:ascii="Times New Roman" w:cs="Times New Roman" w:eastAsia="Times New Roman" w:hAnsi="Times New Roman"/>
          <w:sz w:val="16"/>
          <w:szCs w:val="16"/>
          <w:color w:val="auto"/>
        </w:rPr>
        <w:t>” means common law fraud under New York Law.</w:t>
      </w:r>
    </w:p>
    <w:p>
      <w:pPr>
        <w:spacing w:after="0" w:line="170" w:lineRule="exact"/>
        <w:rPr>
          <w:sz w:val="20"/>
          <w:szCs w:val="20"/>
          <w:color w:val="auto"/>
        </w:rPr>
      </w:pPr>
    </w:p>
    <w:p>
      <w:pPr>
        <w:jc w:val="both"/>
        <w:ind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Fully Diluted Share Number</w:t>
      </w:r>
      <w:r>
        <w:rPr>
          <w:rFonts w:ascii="Times New Roman" w:cs="Times New Roman" w:eastAsia="Times New Roman" w:hAnsi="Times New Roman"/>
          <w:sz w:val="16"/>
          <w:szCs w:val="16"/>
          <w:color w:val="auto"/>
        </w:rPr>
        <w:t>” means the aggregate number of Shares (other than Cancelled Shares and, with respect to the Company Preferred Shares, on an as-converted to Company Ordinary Shares basis determined by multiplying the number of such Company Preferred Shares by the applicable Conversion Ratio) outstanding as of immediately prior to the Effective Time (which aggregate number shall, for the avoidance of doubt, include the number of [***]).</w:t>
      </w:r>
    </w:p>
    <w:p>
      <w:pPr>
        <w:spacing w:after="0" w:line="117" w:lineRule="exact"/>
        <w:rPr>
          <w:sz w:val="20"/>
          <w:szCs w:val="20"/>
          <w:color w:val="auto"/>
        </w:rPr>
      </w:pPr>
    </w:p>
    <w:p>
      <w:pPr>
        <w:jc w:val="both"/>
        <w:ind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Good Clinical Laboratory Practices</w:t>
      </w:r>
      <w:r>
        <w:rPr>
          <w:rFonts w:ascii="Times New Roman" w:cs="Times New Roman" w:eastAsia="Times New Roman" w:hAnsi="Times New Roman"/>
          <w:sz w:val="16"/>
          <w:szCs w:val="16"/>
          <w:color w:val="auto"/>
        </w:rPr>
        <w:t>” means all applicable Laws, rules, regulations, guidelines, standards and requirements regarding the treatment of human laboratory samples from clinical trials, including the relevant principles from Good Clinical Practices and the EMA’s reflection paper for laboratories that perform the analysis or evaluation of clinical trial samples, as amended from time to time.</w:t>
      </w:r>
    </w:p>
    <w:p>
      <w:pPr>
        <w:spacing w:after="0" w:line="117" w:lineRule="exact"/>
        <w:rPr>
          <w:sz w:val="20"/>
          <w:szCs w:val="20"/>
          <w:color w:val="auto"/>
        </w:rPr>
      </w:pPr>
    </w:p>
    <w:p>
      <w:pPr>
        <w:jc w:val="both"/>
        <w:ind w:firstLine="485"/>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Good Clinical Practices</w:t>
      </w:r>
      <w:r>
        <w:rPr>
          <w:rFonts w:ascii="Times New Roman" w:cs="Times New Roman" w:eastAsia="Times New Roman" w:hAnsi="Times New Roman"/>
          <w:sz w:val="16"/>
          <w:szCs w:val="16"/>
          <w:color w:val="auto"/>
        </w:rPr>
        <w:t>” means all applicable Laws, rules, regulations, guidelines, standards and requirements regarding the ethical conduct of clinical trials, including Parts 50, 54, 56, and 312 of the U.S. Code of Federal Regulations (CFR) Title 21, ICH GCP Guidelines E6(R2) as amended from time to time, national legislation implementing European Community Directive 2001/20/EC (if and as still applicable), European Community Directive 2005/28/EC, and, following the applicable transition periods, the Clinical Trial Regulation (EU) No. 536/2014</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40" w:orient="portrait"/>
          <w:cols w:equalWidth="0" w:num="1">
            <w:col w:w="10580"/>
          </w:cols>
          <w:pgMar w:left="660" w:top="1440" w:right="660" w:bottom="1440" w:gutter="0" w:footer="0" w:header="0"/>
        </w:sectPr>
      </w:pPr>
    </w:p>
    <w:bookmarkStart w:id="288" w:name="page289"/>
    <w:bookmarkEnd w:id="288"/>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i w:val="1"/>
          <w:iCs w:val="1"/>
          <w:color w:val="auto"/>
        </w:rPr>
        <w:t>CTR</w:t>
      </w:r>
      <w:r>
        <w:rPr>
          <w:rFonts w:ascii="Times New Roman" w:cs="Times New Roman" w:eastAsia="Times New Roman" w:hAnsi="Times New Roman"/>
          <w:sz w:val="16"/>
          <w:szCs w:val="16"/>
          <w:color w:val="auto"/>
        </w:rPr>
        <w:t>”) and the rules, regulations and guidelines applying in the context of the CTR, and the equivalent in other countries or regions.</w:t>
      </w:r>
    </w:p>
    <w:p>
      <w:pPr>
        <w:spacing w:after="0" w:line="170" w:lineRule="exact"/>
        <w:rPr>
          <w:sz w:val="20"/>
          <w:szCs w:val="20"/>
          <w:color w:val="auto"/>
        </w:rPr>
      </w:pPr>
    </w:p>
    <w:p>
      <w:pPr>
        <w:jc w:val="both"/>
        <w:ind w:right="20" w:firstLine="485"/>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Good Laboratory Practices</w:t>
      </w:r>
      <w:r>
        <w:rPr>
          <w:rFonts w:ascii="Times New Roman" w:cs="Times New Roman" w:eastAsia="Times New Roman" w:hAnsi="Times New Roman"/>
          <w:sz w:val="16"/>
          <w:szCs w:val="16"/>
          <w:color w:val="auto"/>
        </w:rPr>
        <w:t>” means all applicable Laws, rules, regulations, guidelines, standards and requirements regarding quality control for laboratories to ensure the consistency and reliability of results, including 21 CFR Part 58, national legislation implementing European Community Directives 2004/9/EC and 2004/10/EC as amended, and the OECD Series on Principles of Good Laboratory Practice and Compliance Monitoring, and the equivalent in other countries or regions. For the purposes of this Agreement, Good Laboratory Practices also includes the principles of Good Clinical Laboratory Practice.</w:t>
      </w:r>
    </w:p>
    <w:p>
      <w:pPr>
        <w:spacing w:after="0" w:line="123" w:lineRule="exact"/>
        <w:rPr>
          <w:sz w:val="20"/>
          <w:szCs w:val="20"/>
          <w:color w:val="auto"/>
        </w:rPr>
      </w:pPr>
    </w:p>
    <w:p>
      <w:pPr>
        <w:jc w:val="both"/>
        <w:ind w:right="20" w:firstLine="485"/>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Good Manufacturing Practices</w:t>
      </w:r>
      <w:r>
        <w:rPr>
          <w:rFonts w:ascii="Times New Roman" w:cs="Times New Roman" w:eastAsia="Times New Roman" w:hAnsi="Times New Roman"/>
          <w:sz w:val="16"/>
          <w:szCs w:val="16"/>
          <w:color w:val="auto"/>
        </w:rPr>
        <w:t>” means all applicable Laws, rules, regulations, guidelines, standards and requirements regarding the quality control and manufacturing of pharmaceutical products, including the 21 CFR Parts 11, 210, 211, 600 and 610, applicable ICH Guidelines including Q7 for Active Pharmaceutical Ingredients, national legislation implementing European Community Directive 2001/83/EC and Commission Directive 2003/94/EC as amended, EudraLex – Volume 4 of the Rules Governing Medicinal Products in the European Union including annexes, the CTR, Commission Delegated Regulation 2017/1569, the Detailed Commission Guideline (2017) 8179, and the equivalent in other countries or regions.</w:t>
      </w:r>
    </w:p>
    <w:p>
      <w:pPr>
        <w:spacing w:after="0" w:line="125" w:lineRule="exact"/>
        <w:rPr>
          <w:sz w:val="20"/>
          <w:szCs w:val="20"/>
          <w:color w:val="auto"/>
        </w:rPr>
      </w:pPr>
    </w:p>
    <w:p>
      <w:pPr>
        <w:jc w:val="both"/>
        <w:ind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Governmental Authority</w:t>
      </w:r>
      <w:r>
        <w:rPr>
          <w:rFonts w:ascii="Times New Roman" w:cs="Times New Roman" w:eastAsia="Times New Roman" w:hAnsi="Times New Roman"/>
          <w:sz w:val="16"/>
          <w:szCs w:val="16"/>
          <w:color w:val="auto"/>
        </w:rPr>
        <w:t xml:space="preserve"> ” means any governmental authority or instrumentality, legislative body, court, administrative agency, regulatory body, commission or instrumentality, or any administrative contractor or fiscal intermediary, including any authority having governmental or quasi-governmental powers, or any other industry self-regulatory authority, or any court, tribunal or judicial or arbitral body.</w:t>
      </w:r>
    </w:p>
    <w:p>
      <w:pPr>
        <w:spacing w:after="0" w:line="117" w:lineRule="exact"/>
        <w:rPr>
          <w:sz w:val="20"/>
          <w:szCs w:val="20"/>
          <w:color w:val="auto"/>
        </w:rPr>
      </w:pPr>
    </w:p>
    <w:p>
      <w:pPr>
        <w:jc w:val="both"/>
        <w:ind w:right="20"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Grant</w:t>
      </w:r>
      <w:r>
        <w:rPr>
          <w:rFonts w:ascii="Times New Roman" w:cs="Times New Roman" w:eastAsia="Times New Roman" w:hAnsi="Times New Roman"/>
          <w:sz w:val="16"/>
          <w:szCs w:val="16"/>
          <w:color w:val="auto"/>
        </w:rPr>
        <w:t>” means any grants, subsidies, credits, funding, facilities, resources, or consideration received from, or any Contract with respect thereto with, any Governmental Authority, university, college, other educational institution, multi-national, bi-national or international organization or research center.</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German GWB</w:t>
      </w:r>
      <w:r>
        <w:rPr>
          <w:rFonts w:ascii="Times New Roman" w:cs="Times New Roman" w:eastAsia="Times New Roman" w:hAnsi="Times New Roman"/>
          <w:sz w:val="16"/>
          <w:szCs w:val="16"/>
          <w:color w:val="auto"/>
        </w:rPr>
        <w:t>” means the German Act against Restraints of Competition (</w:t>
      </w:r>
      <w:r>
        <w:rPr>
          <w:rFonts w:ascii="Times New Roman" w:cs="Times New Roman" w:eastAsia="Times New Roman" w:hAnsi="Times New Roman"/>
          <w:sz w:val="16"/>
          <w:szCs w:val="16"/>
          <w:i w:val="1"/>
          <w:iCs w:val="1"/>
          <w:color w:val="auto"/>
        </w:rPr>
        <w:t>Gesetz gegen Wettbewerbsbeschränkungen – GWB</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right="20"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GxP</w:t>
      </w:r>
      <w:r>
        <w:rPr>
          <w:rFonts w:ascii="Times New Roman" w:cs="Times New Roman" w:eastAsia="Times New Roman" w:hAnsi="Times New Roman"/>
          <w:sz w:val="16"/>
          <w:szCs w:val="16"/>
          <w:color w:val="auto"/>
        </w:rPr>
        <w:t>” means, collectively, all relevant good practice quality guidelines and regulations, encompassing such internationally recognized standards, including Good Manufacturing Practices, Good Clinical Practices, Good Laboratory Practices and Good Clinical Laboratory Practices.</w:t>
      </w:r>
    </w:p>
    <w:p>
      <w:pPr>
        <w:spacing w:after="0" w:line="103" w:lineRule="exact"/>
        <w:rPr>
          <w:sz w:val="20"/>
          <w:szCs w:val="20"/>
          <w:color w:val="auto"/>
        </w:rPr>
      </w:pPr>
    </w:p>
    <w:p>
      <w:pPr>
        <w:jc w:val="both"/>
        <w:ind w:firstLine="485"/>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Healthcare Laws</w:t>
      </w:r>
      <w:r>
        <w:rPr>
          <w:rFonts w:ascii="Times New Roman" w:cs="Times New Roman" w:eastAsia="Times New Roman" w:hAnsi="Times New Roman"/>
          <w:sz w:val="16"/>
          <w:szCs w:val="16"/>
          <w:color w:val="auto"/>
        </w:rPr>
        <w:t xml:space="preserve">” means all applicable Laws relating to the regulation, provision or administration of, or billing or payment forms and all Laws relating to the regulation, provision or administration of, or billing or payment for, healthcare products or services, whether criminal or civil, including any applicable provisions of: (a) federal and state Laws relating to healthcare fraud and abuse, including the federal Anti-Kickback Statute (42 U.S.C. § 1320a-7b(b)), the federal False Claims Act (31 U.S.C. §§ 3729 </w:t>
      </w:r>
      <w:r>
        <w:rPr>
          <w:rFonts w:ascii="Times New Roman" w:cs="Times New Roman" w:eastAsia="Times New Roman" w:hAnsi="Times New Roman"/>
          <w:sz w:val="16"/>
          <w:szCs w:val="16"/>
          <w:i w:val="1"/>
          <w:iCs w:val="1"/>
          <w:color w:val="auto"/>
        </w:rPr>
        <w:t>et. seq.</w:t>
      </w:r>
      <w:r>
        <w:rPr>
          <w:rFonts w:ascii="Times New Roman" w:cs="Times New Roman" w:eastAsia="Times New Roman" w:hAnsi="Times New Roman"/>
          <w:sz w:val="16"/>
          <w:szCs w:val="16"/>
          <w:color w:val="auto"/>
        </w:rPr>
        <w:t>), the federal False Statements Statute (42 U.S.C. § 1320a-7b(a)), the Exclusion Requirements of Laws (42 U.S.C. § 1320a-7), the Civil</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w:t>
      </w:r>
    </w:p>
    <w:p>
      <w:pPr>
        <w:sectPr>
          <w:pgSz w:w="11900" w:h="16840" w:orient="portrait"/>
          <w:cols w:equalWidth="0" w:num="1">
            <w:col w:w="10600"/>
          </w:cols>
          <w:pgMar w:left="660" w:top="1440" w:right="640" w:bottom="1440" w:gutter="0" w:footer="0" w:header="0"/>
        </w:sectPr>
      </w:pPr>
    </w:p>
    <w:bookmarkStart w:id="289" w:name="page290"/>
    <w:bookmarkEnd w:id="289"/>
    <w:p>
      <w:pPr>
        <w:spacing w:after="0" w:line="88" w:lineRule="exact"/>
        <w:rPr>
          <w:sz w:val="20"/>
          <w:szCs w:val="20"/>
          <w:color w:val="auto"/>
        </w:rPr>
      </w:pPr>
    </w:p>
    <w:p>
      <w:pPr>
        <w:jc w:val="both"/>
        <w:ind w:left="9"/>
        <w:spacing w:after="0" w:line="263" w:lineRule="auto"/>
        <w:rPr>
          <w:sz w:val="20"/>
          <w:szCs w:val="20"/>
          <w:color w:val="auto"/>
        </w:rPr>
      </w:pPr>
      <w:r>
        <w:rPr>
          <w:rFonts w:ascii="Times New Roman" w:cs="Times New Roman" w:eastAsia="Times New Roman" w:hAnsi="Times New Roman"/>
          <w:sz w:val="16"/>
          <w:szCs w:val="16"/>
          <w:color w:val="auto"/>
        </w:rPr>
        <w:t xml:space="preserve">Monetary Penalties Law (42 U.S.C. § 1320a-7a and § 1320a-7b) and the Federal Program Fraud Civil Remedies Act (31 U.S.C. § 3801 </w:t>
      </w:r>
      <w:r>
        <w:rPr>
          <w:rFonts w:ascii="Times New Roman" w:cs="Times New Roman" w:eastAsia="Times New Roman" w:hAnsi="Times New Roman"/>
          <w:sz w:val="16"/>
          <w:szCs w:val="16"/>
          <w:i w:val="1"/>
          <w:iCs w:val="1"/>
          <w:color w:val="auto"/>
        </w:rPr>
        <w:t>et. seq.</w:t>
      </w:r>
      <w:r>
        <w:rPr>
          <w:rFonts w:ascii="Times New Roman" w:cs="Times New Roman" w:eastAsia="Times New Roman" w:hAnsi="Times New Roman"/>
          <w:sz w:val="16"/>
          <w:szCs w:val="16"/>
          <w:color w:val="auto"/>
        </w:rPr>
        <w:t>); (b) any other federal or state Laws relating to fraudulent, abusive or unlawful practices connected in any way with the provision or marketing of healthcare items or services;</w:t>
      </w:r>
    </w:p>
    <w:p>
      <w:pPr>
        <w:spacing w:after="0" w:line="1" w:lineRule="exact"/>
        <w:rPr>
          <w:sz w:val="20"/>
          <w:szCs w:val="20"/>
          <w:color w:val="auto"/>
        </w:rPr>
      </w:pPr>
    </w:p>
    <w:p>
      <w:pPr>
        <w:jc w:val="both"/>
        <w:ind w:left="9" w:hanging="9"/>
        <w:spacing w:after="0" w:line="192" w:lineRule="exact"/>
        <w:tabs>
          <w:tab w:leader="none" w:pos="241"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health care fraud provisions of the Health Insurance Portability and Accountability Act of 1996 and any rules or regulations promulgated thereunder, the Health Information Technology for Economic and Clinical Health Act of 2009, enacted as part of the American Recovery and Reinvestment Act of 2009, and any implementing regulations pursuant thereto; (d) the Public Health Service Act (42 U.S.C. § 201 </w:t>
      </w:r>
      <w:r>
        <w:rPr>
          <w:rFonts w:ascii="Times New Roman" w:cs="Times New Roman" w:eastAsia="Times New Roman" w:hAnsi="Times New Roman"/>
          <w:sz w:val="16"/>
          <w:szCs w:val="16"/>
          <w:i w:val="1"/>
          <w:iCs w:val="1"/>
          <w:color w:val="auto"/>
        </w:rPr>
        <w:t>et seq.</w:t>
      </w:r>
      <w:r>
        <w:rPr>
          <w:rFonts w:ascii="Times New Roman" w:cs="Times New Roman" w:eastAsia="Times New Roman" w:hAnsi="Times New Roman"/>
          <w:sz w:val="16"/>
          <w:szCs w:val="16"/>
          <w:color w:val="auto"/>
        </w:rPr>
        <w:t>); (e) the FDC Act; (f) the Administrative Regulations on Human Genetic Resource (2019) of the People’s Republic of China (</w:t>
      </w:r>
      <w:r>
        <w:rPr>
          <w:rFonts w:ascii="SimSun" w:cs="SimSun" w:eastAsia="SimSun" w:hAnsi="SimSun"/>
          <w:sz w:val="16"/>
          <w:szCs w:val="16"/>
          <w:color w:val="auto"/>
        </w:rPr>
        <w:t>中华人民共和国人类遗传资源管理条例</w:t>
      </w:r>
      <w:r>
        <w:rPr>
          <w:rFonts w:ascii="Times New Roman" w:cs="Times New Roman" w:eastAsia="Times New Roman" w:hAnsi="Times New Roman"/>
          <w:sz w:val="16"/>
          <w:szCs w:val="16"/>
          <w:color w:val="auto"/>
        </w:rPr>
        <w:t>); (g) any Laws which are cause for exclusion from any federal health care program; and all comparable Laws and the rules and regulations promulgated pursuant to all such Laws or (h) any Laws relating to GxPs.</w:t>
      </w:r>
    </w:p>
    <w:p>
      <w:pPr>
        <w:spacing w:after="0" w:line="142" w:lineRule="exact"/>
        <w:rPr>
          <w:sz w:val="20"/>
          <w:szCs w:val="20"/>
          <w:color w:val="auto"/>
        </w:rPr>
      </w:pPr>
    </w:p>
    <w:p>
      <w:pPr>
        <w:jc w:val="both"/>
        <w:ind w:left="9" w:firstLine="485"/>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Hedging Transaction</w:t>
      </w:r>
      <w:r>
        <w:rPr>
          <w:rFonts w:ascii="Times New Roman" w:cs="Times New Roman" w:eastAsia="Times New Roman" w:hAnsi="Times New Roman"/>
          <w:sz w:val="16"/>
          <w:szCs w:val="16"/>
          <w:color w:val="auto"/>
        </w:rPr>
        <w:t>” means any swap transaction, option, warrant, forward purchase or sale transaction, futures transaction, cap transaction, floor transaction or collar transaction relating to one or more currencies, commodities, bonds, equity securities, loans, interest rates, credit-related events or conditions or any indexes, or any other similar transaction (including any option with respect to any of these transactions) or combination of any of these transactions, including collateralized mortgage obligations or other similar instruments or transactions, and any related credit support, collateral, transportation or other similar Contracts related to such transactions or any other derivative transaction within the coverage of Statement of Financial Accounting Standard No. 133.</w:t>
      </w:r>
    </w:p>
    <w:p>
      <w:pPr>
        <w:spacing w:after="0" w:line="125"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HSR Act</w:t>
      </w:r>
      <w:r>
        <w:rPr>
          <w:rFonts w:ascii="Times New Roman" w:cs="Times New Roman" w:eastAsia="Times New Roman" w:hAnsi="Times New Roman"/>
          <w:sz w:val="16"/>
          <w:szCs w:val="16"/>
          <w:color w:val="auto"/>
        </w:rPr>
        <w:t>” shall mean the Hart-Scott-Rodino Antitrust Improvements Act of 1976 and the rules and regulations promulgated thereunder.</w:t>
      </w:r>
    </w:p>
    <w:p>
      <w:pPr>
        <w:spacing w:after="0" w:line="170"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IFRS</w:t>
      </w:r>
      <w:r>
        <w:rPr>
          <w:rFonts w:ascii="Times New Roman" w:cs="Times New Roman" w:eastAsia="Times New Roman" w:hAnsi="Times New Roman"/>
          <w:sz w:val="16"/>
          <w:szCs w:val="16"/>
          <w:color w:val="auto"/>
        </w:rPr>
        <w:t>” means international financial reporting standards as issued by the International Accounting Standards Board and adopted by the European Union.</w:t>
      </w:r>
    </w:p>
    <w:p>
      <w:pPr>
        <w:spacing w:after="0" w:line="170" w:lineRule="exact"/>
        <w:rPr>
          <w:sz w:val="20"/>
          <w:szCs w:val="20"/>
          <w:color w:val="auto"/>
        </w:rPr>
      </w:pPr>
    </w:p>
    <w:p>
      <w:pPr>
        <w:jc w:val="both"/>
        <w:ind w:left="9" w:right="20"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Immediate Family Member</w:t>
      </w:r>
      <w:r>
        <w:rPr>
          <w:rFonts w:ascii="Times New Roman" w:cs="Times New Roman" w:eastAsia="Times New Roman" w:hAnsi="Times New Roman"/>
          <w:sz w:val="16"/>
          <w:szCs w:val="16"/>
          <w:color w:val="auto"/>
        </w:rPr>
        <w:t>” means, with respect to a Person, any child, stepchild, parent, stepparent, spouse, sibling, mother-in-law, father-in-law, son-in-law, daughter-in-law, brother-in-law, or sister-in-law of such Person, and any individual (other than a tenant or employee of such Person) sharing the household of such Person.</w:t>
      </w:r>
    </w:p>
    <w:p>
      <w:pPr>
        <w:spacing w:after="0" w:line="117" w:lineRule="exact"/>
        <w:rPr>
          <w:sz w:val="20"/>
          <w:szCs w:val="20"/>
          <w:color w:val="auto"/>
        </w:rPr>
      </w:pPr>
    </w:p>
    <w:p>
      <w:pPr>
        <w:jc w:val="both"/>
        <w:ind w:left="9" w:firstLine="485"/>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Indebtedness</w:t>
      </w:r>
      <w:r>
        <w:rPr>
          <w:rFonts w:ascii="Times New Roman" w:cs="Times New Roman" w:eastAsia="Times New Roman" w:hAnsi="Times New Roman"/>
          <w:sz w:val="16"/>
          <w:szCs w:val="16"/>
          <w:color w:val="auto"/>
        </w:rPr>
        <w:t>” means the amounts outstanding, as of the Measurement Time without duplication, of: (a) the unpaid principal amount and any accrued interest, premiums, penalties, breakage costs and other fees, expenses (if any), and other payment obligations, in each case, in respect of (i) all indebtedness for borrowed money (short-term and long-term borrowings) of any Acquired Company (including overdrafts), (ii) indebtedness evidenced by notes, debentures, bonds or other similar instruments of any Acquired Company, (iii) all obligations of any Acquired Company with respect to interest- rate hedging, swaps, caps, collars or similar financial arrangements or hedging devices under which payments are obligated to be made (valued at the termination value thereof), (iv) the Tax Liability Amount, (v) all obligations of any Acquired Company with respect to capital expenditure accounts payable and capital expenditure commitment, (vi) all Liabilities or expenses of any Acquired Company with respect to (A) purchases of property or services or (B) without duplication of any of the items set forth in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6"/>
          <w:szCs w:val="16"/>
          <w:color w:val="auto"/>
        </w:rPr>
        <w:t>11</w:t>
      </w:r>
    </w:p>
    <w:p>
      <w:pPr>
        <w:sectPr>
          <w:pgSz w:w="11900" w:h="16840" w:orient="portrait"/>
          <w:cols w:equalWidth="0" w:num="1">
            <w:col w:w="10589"/>
          </w:cols>
          <w:pgMar w:left="651" w:top="1440" w:right="660" w:bottom="1440" w:gutter="0" w:footer="0" w:header="0"/>
        </w:sectPr>
      </w:pPr>
    </w:p>
    <w:bookmarkStart w:id="290" w:name="page291"/>
    <w:bookmarkEnd w:id="290"/>
    <w:p>
      <w:pPr>
        <w:spacing w:after="0" w:line="90" w:lineRule="exact"/>
        <w:rPr>
          <w:sz w:val="20"/>
          <w:szCs w:val="20"/>
          <w:color w:val="auto"/>
        </w:rPr>
      </w:pPr>
    </w:p>
    <w:p>
      <w:pPr>
        <w:jc w:val="both"/>
        <w:ind w:left="9"/>
        <w:spacing w:after="0" w:line="255" w:lineRule="auto"/>
        <w:rPr>
          <w:sz w:val="20"/>
          <w:szCs w:val="20"/>
          <w:color w:val="auto"/>
        </w:rPr>
      </w:pPr>
      <w:r>
        <w:rPr>
          <w:rFonts w:ascii="Times New Roman" w:cs="Times New Roman" w:eastAsia="Times New Roman" w:hAnsi="Times New Roman"/>
          <w:sz w:val="16"/>
          <w:szCs w:val="16"/>
          <w:color w:val="auto"/>
        </w:rPr>
        <w:t xml:space="preserve">clause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of the definition of Closing Transaction Expenses, compensation and benefits for any employee of any Acquired Company (other than annual bonuses paid in accordance with a Company Plan in effect as of the date of this Agreement or established or adopted after the date of this Agreement in accordance with </w:t>
      </w:r>
      <w:r>
        <w:rPr>
          <w:rFonts w:ascii="Times New Roman" w:cs="Times New Roman" w:eastAsia="Times New Roman" w:hAnsi="Times New Roman"/>
          <w:sz w:val="16"/>
          <w:szCs w:val="16"/>
          <w:b w:val="1"/>
          <w:bCs w:val="1"/>
          <w:color w:val="auto"/>
        </w:rPr>
        <w:t>Section 5.1(b)(xv)</w:t>
      </w:r>
      <w:r>
        <w:rPr>
          <w:rFonts w:ascii="Times New Roman" w:cs="Times New Roman" w:eastAsia="Times New Roman" w:hAnsi="Times New Roman"/>
          <w:sz w:val="16"/>
          <w:szCs w:val="16"/>
          <w:color w:val="auto"/>
        </w:rPr>
        <w:t>), in each case, incurred or accrued in accordance with PRC GAAP but not paid as of the Measurement Time; (b) any reimbursement obligation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an Acquired Company with respect to letters of credit (including standby letters of credit to the extent drawn upon), bankers’ acceptances or similar facilities issued for the account of an Acquired Company; (c) all obligations of the Company in respect of dividends declared but not yet paid or other distributions payable;</w:t>
      </w:r>
    </w:p>
    <w:p>
      <w:pPr>
        <w:spacing w:after="0" w:line="1" w:lineRule="exact"/>
        <w:rPr>
          <w:sz w:val="20"/>
          <w:szCs w:val="20"/>
          <w:color w:val="auto"/>
        </w:rPr>
      </w:pPr>
    </w:p>
    <w:p>
      <w:pPr>
        <w:jc w:val="both"/>
        <w:ind w:left="9" w:hanging="9"/>
        <w:spacing w:after="0" w:line="252" w:lineRule="auto"/>
        <w:tabs>
          <w:tab w:leader="none" w:pos="24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indebtedness of any Acquired Company created or arising under any conditional sale or other title retention agreement with respect to acquired property; (e) all obligations of any Acquired Company under acceptance, letter of credit or similar facilities; (f) any unfunded incurred pension and/or deferred compensation or similar Liabilities of any Acquired Company; and (g) all obligations of the type referred to in clauses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of other Persons for the payment of which an Acquired Company is responsible or liable, as obligor, guarantor, surety or otherwise, including any guarantee of such obligations. “Indebtedness” shall not include deferred income, lease liabilities and trade payables or other similar liabilities recognized as current liabilities and preferred shares issued by the Company recognized as financial liabilities at fair value through profit or loss in accordance with PRC GAAP. For the avoidance of doubt, any items included in the definition or calculation of Closing Cash Amount, Closing Transaction Expenses, Net Working Capital or the Cash Addback Amount shall not be counted as Indebtedness. For the purpose hereof, an illustrative calculation of “Indebtedness” is set forth on </w:t>
      </w:r>
      <w:r>
        <w:rPr>
          <w:rFonts w:ascii="Times New Roman" w:cs="Times New Roman" w:eastAsia="Times New Roman" w:hAnsi="Times New Roman"/>
          <w:sz w:val="16"/>
          <w:szCs w:val="16"/>
          <w:b w:val="1"/>
          <w:bCs w:val="1"/>
          <w:color w:val="auto"/>
        </w:rPr>
        <w:t>Exhibit B</w:t>
      </w:r>
      <w:r>
        <w:rPr>
          <w:rFonts w:ascii="Times New Roman" w:cs="Times New Roman" w:eastAsia="Times New Roman" w:hAnsi="Times New Roman"/>
          <w:sz w:val="16"/>
          <w:szCs w:val="16"/>
          <w:color w:val="auto"/>
        </w:rPr>
        <w:t>.</w:t>
      </w:r>
    </w:p>
    <w:p>
      <w:pPr>
        <w:spacing w:after="0" w:line="131"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Indemnity Escrow Amount</w:t>
      </w:r>
      <w:r>
        <w:rPr>
          <w:rFonts w:ascii="Times New Roman" w:cs="Times New Roman" w:eastAsia="Times New Roman" w:hAnsi="Times New Roman"/>
          <w:sz w:val="16"/>
          <w:szCs w:val="16"/>
          <w:color w:val="auto"/>
        </w:rPr>
        <w:t>” means the Shareholder Percentage of $[***].</w:t>
      </w:r>
    </w:p>
    <w:p>
      <w:pPr>
        <w:spacing w:after="0" w:line="170" w:lineRule="exact"/>
        <w:rPr>
          <w:sz w:val="20"/>
          <w:szCs w:val="20"/>
          <w:color w:val="auto"/>
        </w:rPr>
      </w:pPr>
    </w:p>
    <w:p>
      <w:pPr>
        <w:jc w:val="both"/>
        <w:ind w:left="9" w:firstLine="485"/>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Insolvency Event</w:t>
      </w:r>
      <w:r>
        <w:rPr>
          <w:rFonts w:ascii="Times New Roman" w:cs="Times New Roman" w:eastAsia="Times New Roman" w:hAnsi="Times New Roman"/>
          <w:sz w:val="16"/>
          <w:szCs w:val="16"/>
          <w:color w:val="auto"/>
        </w:rPr>
        <w:t>” means, in relation to any Acquired Company, any winding-up, dissolution, reconstruction, restructuring, reorganization, administration, examinership, moratorium, arrangement or composition with creditors, proceedings under any bankruptcy, restructuring or reorganization legislation, receivership, legal limitation, incapacity or lack of corporate power or authority or other circumstances of, or any change in the constitution or change of corporate identity or loss of corporate identity by such person and any equivalent or analogous proceeding by whatever name known and in whatever jurisdiction, and any step taken (including the presentation of a petition or the passing of a resolution) for or with a view to any of the foregoing.</w:t>
      </w:r>
    </w:p>
    <w:p>
      <w:pPr>
        <w:spacing w:after="0" w:line="125" w:lineRule="exact"/>
        <w:rPr>
          <w:sz w:val="20"/>
          <w:szCs w:val="20"/>
          <w:color w:val="auto"/>
        </w:rPr>
      </w:pPr>
    </w:p>
    <w:p>
      <w:pPr>
        <w:jc w:val="both"/>
        <w:ind w:left="9" w:firstLine="485"/>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Intellectual Property</w:t>
      </w:r>
      <w:r>
        <w:rPr>
          <w:rFonts w:ascii="Times New Roman" w:cs="Times New Roman" w:eastAsia="Times New Roman" w:hAnsi="Times New Roman"/>
          <w:sz w:val="16"/>
          <w:szCs w:val="16"/>
          <w:color w:val="auto"/>
        </w:rPr>
        <w:t>” means all intellectual property, whether protected, created or arising under the Laws of any jurisdiction worldwide, including: (a) patents and patent applications, including amendments, certificates of correction, continuations, continuations-in- part, divisionals, non-provisionals, provisionals, reexaminations, reissues, designs, utility models, extensions, patent term extensions (including any supplementary protection certificates and the like and pediatric and other regulatory exclusivity), renewals, restorations, revisions, any patent granted as a result of any post-grant proceedings, reviews and substitutions thereof (collectively, “</w:t>
      </w:r>
      <w:r>
        <w:rPr>
          <w:rFonts w:ascii="Times New Roman" w:cs="Times New Roman" w:eastAsia="Times New Roman" w:hAnsi="Times New Roman"/>
          <w:sz w:val="16"/>
          <w:szCs w:val="16"/>
          <w:b w:val="1"/>
          <w:bCs w:val="1"/>
          <w:i w:val="1"/>
          <w:iCs w:val="1"/>
          <w:color w:val="auto"/>
        </w:rPr>
        <w:t>Patents</w:t>
      </w:r>
      <w:r>
        <w:rPr>
          <w:rFonts w:ascii="Times New Roman" w:cs="Times New Roman" w:eastAsia="Times New Roman" w:hAnsi="Times New Roman"/>
          <w:sz w:val="16"/>
          <w:szCs w:val="16"/>
          <w:color w:val="auto"/>
        </w:rPr>
        <w:t>”); (b) trademarks, service marks, brand names, corporate names, logos, symbols, social media accounts, trade dress and other indicia of origin, and all registrations and applications for all of the foregoing, including all extensions, modifications and renewals thereof,</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6"/>
          <w:szCs w:val="16"/>
          <w:color w:val="auto"/>
        </w:rPr>
        <w:t>12</w:t>
      </w:r>
    </w:p>
    <w:p>
      <w:pPr>
        <w:sectPr>
          <w:pgSz w:w="11900" w:h="16840" w:orient="portrait"/>
          <w:cols w:equalWidth="0" w:num="1">
            <w:col w:w="10589"/>
          </w:cols>
          <w:pgMar w:left="651" w:top="1440" w:right="660" w:bottom="1440" w:gutter="0" w:footer="0" w:header="0"/>
        </w:sectPr>
      </w:pPr>
    </w:p>
    <w:bookmarkStart w:id="291" w:name="page292"/>
    <w:bookmarkEnd w:id="291"/>
    <w:p>
      <w:pPr>
        <w:spacing w:after="0" w:line="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and all goodwill associated with all of the foregoing (collectively, “ </w:t>
      </w:r>
      <w:r>
        <w:rPr>
          <w:rFonts w:ascii="Times New Roman" w:cs="Times New Roman" w:eastAsia="Times New Roman" w:hAnsi="Times New Roman"/>
          <w:sz w:val="16"/>
          <w:szCs w:val="16"/>
          <w:b w:val="1"/>
          <w:bCs w:val="1"/>
          <w:i w:val="1"/>
          <w:iCs w:val="1"/>
          <w:color w:val="auto"/>
        </w:rPr>
        <w:t>Marks</w:t>
      </w:r>
      <w:r>
        <w:rPr>
          <w:rFonts w:ascii="Times New Roman" w:cs="Times New Roman" w:eastAsia="Times New Roman" w:hAnsi="Times New Roman"/>
          <w:sz w:val="16"/>
          <w:szCs w:val="16"/>
          <w:color w:val="auto"/>
        </w:rPr>
        <w:t>”); (c) designs and rights in designs, and all registrations and applications for registration for all of the foregoing (collectively, “</w:t>
      </w:r>
      <w:r>
        <w:rPr>
          <w:rFonts w:ascii="Times New Roman" w:cs="Times New Roman" w:eastAsia="Times New Roman" w:hAnsi="Times New Roman"/>
          <w:sz w:val="16"/>
          <w:szCs w:val="16"/>
          <w:b w:val="1"/>
          <w:bCs w:val="1"/>
          <w:i w:val="1"/>
          <w:iCs w:val="1"/>
          <w:color w:val="auto"/>
        </w:rPr>
        <w:t>Designs</w:t>
      </w:r>
      <w:r>
        <w:rPr>
          <w:rFonts w:ascii="Times New Roman" w:cs="Times New Roman" w:eastAsia="Times New Roman" w:hAnsi="Times New Roman"/>
          <w:sz w:val="16"/>
          <w:szCs w:val="16"/>
          <w:color w:val="auto"/>
        </w:rPr>
        <w:t>”), (d) published and unpublished works of authorship (whether copyrightable or not), copyrights therein and thereto, all registrations and applications for registration for all of the foregoing, and all moral rights related thereto (collectively, “</w:t>
      </w:r>
      <w:r>
        <w:rPr>
          <w:rFonts w:ascii="Times New Roman" w:cs="Times New Roman" w:eastAsia="Times New Roman" w:hAnsi="Times New Roman"/>
          <w:sz w:val="16"/>
          <w:szCs w:val="16"/>
          <w:b w:val="1"/>
          <w:bCs w:val="1"/>
          <w:i w:val="1"/>
          <w:iCs w:val="1"/>
          <w:color w:val="auto"/>
        </w:rPr>
        <w:t>Copyrights</w:t>
      </w:r>
      <w:r>
        <w:rPr>
          <w:rFonts w:ascii="Times New Roman" w:cs="Times New Roman" w:eastAsia="Times New Roman" w:hAnsi="Times New Roman"/>
          <w:sz w:val="16"/>
          <w:szCs w:val="16"/>
          <w:color w:val="auto"/>
        </w:rPr>
        <w:t>”); (e) Know-How; (f) rights in Internet domain names; and (g) rights to sue for past, present, and future infringement of the rights set forth above.</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Investor Rights Agreement</w:t>
      </w:r>
      <w:r>
        <w:rPr>
          <w:rFonts w:ascii="Times New Roman" w:cs="Times New Roman" w:eastAsia="Times New Roman" w:hAnsi="Times New Roman"/>
          <w:sz w:val="16"/>
          <w:szCs w:val="16"/>
          <w:color w:val="auto"/>
        </w:rPr>
        <w:t>” means that certain Investor Rights Agreement, dated as of [***], by and among the Company and the other parties thereto.</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IPO</w:t>
      </w:r>
      <w:r>
        <w:rPr>
          <w:rFonts w:ascii="Times New Roman" w:cs="Times New Roman" w:eastAsia="Times New Roman" w:hAnsi="Times New Roman"/>
          <w:sz w:val="16"/>
          <w:szCs w:val="16"/>
          <w:color w:val="auto"/>
        </w:rPr>
        <w:t>” means any initial public offering of Company Ordinary Shares.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Issuer</w:t>
      </w:r>
      <w:r>
        <w:rPr>
          <w:rFonts w:ascii="Times New Roman" w:cs="Times New Roman" w:eastAsia="Times New Roman" w:hAnsi="Times New Roman"/>
          <w:sz w:val="16"/>
          <w:szCs w:val="16"/>
          <w:color w:val="auto"/>
        </w:rPr>
        <w:t>” means BioNTech SE.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Issuer ADS</w:t>
      </w:r>
      <w:r>
        <w:rPr>
          <w:rFonts w:ascii="Times New Roman" w:cs="Times New Roman" w:eastAsia="Times New Roman" w:hAnsi="Times New Roman"/>
          <w:sz w:val="16"/>
          <w:szCs w:val="16"/>
          <w:color w:val="auto"/>
        </w:rPr>
        <w:t>” means an American depositary share or receipt of the Issuer representing one ordinary share of the Issuer, no par value.</w:t>
      </w:r>
    </w:p>
    <w:p>
      <w:pPr>
        <w:spacing w:after="0" w:line="170" w:lineRule="exact"/>
        <w:rPr>
          <w:sz w:val="20"/>
          <w:szCs w:val="20"/>
          <w:color w:val="auto"/>
        </w:rPr>
      </w:pPr>
    </w:p>
    <w:p>
      <w:pPr>
        <w:jc w:val="both"/>
        <w:ind w:firstLine="485"/>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Know-How</w:t>
      </w:r>
      <w:r>
        <w:rPr>
          <w:rFonts w:ascii="Times New Roman" w:cs="Times New Roman" w:eastAsia="Times New Roman" w:hAnsi="Times New Roman"/>
          <w:sz w:val="16"/>
          <w:szCs w:val="16"/>
          <w:color w:val="auto"/>
        </w:rPr>
        <w:t>” means all non-public and proprietary information, including trade secrets (including those trade secrets defined in the Uniform Trade Secrets Act and under corresponding non-United States statutory and common Law), ideas, inventions and invention disclosures, data, technology, platforms, formulas, compositions, plans, designs, methodologies, processes and/or procedures, specifications, financial, marketing and business data, pricing and cost information, business and marketing plans, customer and supplier lists and information and all other know-how, whether or not protected by patent or copyright Law.</w:t>
      </w:r>
    </w:p>
    <w:p>
      <w:pPr>
        <w:spacing w:after="0" w:line="123" w:lineRule="exact"/>
        <w:rPr>
          <w:sz w:val="20"/>
          <w:szCs w:val="20"/>
          <w:color w:val="auto"/>
        </w:rPr>
      </w:pPr>
    </w:p>
    <w:p>
      <w:pPr>
        <w:jc w:val="both"/>
        <w:ind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Knowledge of the Company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i w:val="1"/>
          <w:iCs w:val="1"/>
          <w:color w:val="auto"/>
        </w:rPr>
        <w:t>Company’s Knowledge</w:t>
      </w:r>
      <w:r>
        <w:rPr>
          <w:rFonts w:ascii="Times New Roman" w:cs="Times New Roman" w:eastAsia="Times New Roman" w:hAnsi="Times New Roman"/>
          <w:sz w:val="16"/>
          <w:szCs w:val="16"/>
          <w:color w:val="auto"/>
        </w:rPr>
        <w:t xml:space="preserve">” means the actual knowledge of any of the individuals set forth on </w:t>
      </w:r>
      <w:r>
        <w:rPr>
          <w:rFonts w:ascii="Times New Roman" w:cs="Times New Roman" w:eastAsia="Times New Roman" w:hAnsi="Times New Roman"/>
          <w:sz w:val="16"/>
          <w:szCs w:val="16"/>
          <w:b w:val="1"/>
          <w:bCs w:val="1"/>
          <w:color w:val="auto"/>
        </w:rPr>
        <w:t>Schedule 1,</w:t>
      </w:r>
      <w:r>
        <w:rPr>
          <w:rFonts w:ascii="Times New Roman" w:cs="Times New Roman" w:eastAsia="Times New Roman" w:hAnsi="Times New Roman"/>
          <w:sz w:val="16"/>
          <w:szCs w:val="16"/>
          <w:color w:val="auto"/>
        </w:rPr>
        <w:t xml:space="preserve"> in each case, including the knowledge that any such individuals would reasonably be expected to discover or become aware of after reasonable inquiry of such Person’s direct reports with operational responsibility for the fact or matter in question.</w:t>
      </w:r>
    </w:p>
    <w:p>
      <w:pPr>
        <w:spacing w:after="0" w:line="117" w:lineRule="exact"/>
        <w:rPr>
          <w:sz w:val="20"/>
          <w:szCs w:val="20"/>
          <w:color w:val="auto"/>
        </w:rPr>
      </w:pPr>
    </w:p>
    <w:p>
      <w:pPr>
        <w:jc w:val="both"/>
        <w:ind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Law</w:t>
      </w:r>
      <w:r>
        <w:rPr>
          <w:rFonts w:ascii="Times New Roman" w:cs="Times New Roman" w:eastAsia="Times New Roman" w:hAnsi="Times New Roman"/>
          <w:sz w:val="16"/>
          <w:szCs w:val="16"/>
          <w:color w:val="auto"/>
        </w:rPr>
        <w:t>” means any statute, law (including common law), ordinance, regulation, rule, code, executive order, injunction, award, judgment, decree or order of any Governmental Authority.</w:t>
      </w:r>
    </w:p>
    <w:p>
      <w:pPr>
        <w:spacing w:after="0" w:line="103" w:lineRule="exact"/>
        <w:rPr>
          <w:sz w:val="20"/>
          <w:szCs w:val="20"/>
          <w:color w:val="auto"/>
        </w:rPr>
      </w:pPr>
    </w:p>
    <w:p>
      <w:pPr>
        <w:jc w:val="both"/>
        <w:ind w:right="20"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Leased Real Property</w:t>
      </w:r>
      <w:r>
        <w:rPr>
          <w:rFonts w:ascii="Times New Roman" w:cs="Times New Roman" w:eastAsia="Times New Roman" w:hAnsi="Times New Roman"/>
          <w:sz w:val="16"/>
          <w:szCs w:val="16"/>
          <w:color w:val="auto"/>
        </w:rPr>
        <w:t>” means all real property leased, subleased or licensed to an Acquired Company or which an Acquired Company otherwise has a right or option to use or occupy, including the buildings, structures, fixtures and improvements thereon.</w:t>
      </w:r>
    </w:p>
    <w:p>
      <w:pPr>
        <w:spacing w:after="0" w:line="103" w:lineRule="exact"/>
        <w:rPr>
          <w:sz w:val="20"/>
          <w:szCs w:val="20"/>
          <w:color w:val="auto"/>
        </w:rPr>
      </w:pPr>
    </w:p>
    <w:p>
      <w:pPr>
        <w:jc w:val="both"/>
        <w:ind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Liability</w:t>
      </w:r>
      <w:r>
        <w:rPr>
          <w:rFonts w:ascii="Times New Roman" w:cs="Times New Roman" w:eastAsia="Times New Roman" w:hAnsi="Times New Roman"/>
          <w:sz w:val="16"/>
          <w:szCs w:val="16"/>
          <w:color w:val="auto"/>
        </w:rPr>
        <w:t>” means any liabilities, debts or other obligations of any nature, whether known or unknown, absolute, accrued, contingent, liquidated, unliquidated or otherwise, matured or unmatured, determined or determinable, and whether or not required to be reflected on a statement of financial position prepared in accordance with the applicable Accounting Principle.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40" w:orient="portrait"/>
          <w:cols w:equalWidth="0" w:num="1">
            <w:col w:w="10580"/>
          </w:cols>
          <w:pgMar w:left="660" w:top="1440" w:right="660" w:bottom="1440" w:gutter="0" w:footer="0" w:header="0"/>
        </w:sectPr>
      </w:pPr>
    </w:p>
    <w:bookmarkStart w:id="292" w:name="page293"/>
    <w:bookmarkEnd w:id="292"/>
    <w:p>
      <w:pPr>
        <w:spacing w:after="0" w:line="86" w:lineRule="exact"/>
        <w:rPr>
          <w:sz w:val="20"/>
          <w:szCs w:val="20"/>
          <w:color w:val="auto"/>
        </w:rPr>
      </w:pPr>
    </w:p>
    <w:p>
      <w:pPr>
        <w:ind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Licensed Intellectual Property</w:t>
      </w:r>
      <w:r>
        <w:rPr>
          <w:rFonts w:ascii="Times New Roman" w:cs="Times New Roman" w:eastAsia="Times New Roman" w:hAnsi="Times New Roman"/>
          <w:sz w:val="16"/>
          <w:szCs w:val="16"/>
          <w:color w:val="auto"/>
        </w:rPr>
        <w:t>” means all Intellectual Property that an Acquired Company is licensed or otherwise granted rights under or permitted to use (for the avoidance of doubt, other than Owned Intellectual Property).</w:t>
      </w:r>
    </w:p>
    <w:p>
      <w:pPr>
        <w:spacing w:after="0" w:line="103" w:lineRule="exact"/>
        <w:rPr>
          <w:sz w:val="20"/>
          <w:szCs w:val="20"/>
          <w:color w:val="auto"/>
        </w:rPr>
      </w:pPr>
    </w:p>
    <w:p>
      <w:pPr>
        <w:jc w:val="both"/>
        <w:ind w:right="40" w:firstLine="485"/>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Loss</w:t>
      </w:r>
      <w:r>
        <w:rPr>
          <w:rFonts w:ascii="Times New Roman" w:cs="Times New Roman" w:eastAsia="Times New Roman" w:hAnsi="Times New Roman"/>
          <w:sz w:val="16"/>
          <w:szCs w:val="16"/>
          <w:color w:val="auto"/>
        </w:rPr>
        <w:t>” means the amount of any loss, claim, deficiency, demand, damage, injury, liability, settlement, judgment, award, fine, penalty, fee (including attorneys’ fees and consultants’ and experts’ fees), charge, cost (including costs of investigation), Tax, or expense of any nature, whether or not involving an Action, including any costs of defending any Actions or enforcing an Indemnified Party’s rights under this Agreement, incurred or suffered, by a party with respect to or relating to an Action, event, circumstance or state of facts.</w:t>
      </w:r>
    </w:p>
    <w:p>
      <w:pPr>
        <w:spacing w:after="0" w:line="123" w:lineRule="exact"/>
        <w:rPr>
          <w:sz w:val="20"/>
          <w:szCs w:val="20"/>
          <w:color w:val="auto"/>
        </w:rPr>
      </w:pPr>
    </w:p>
    <w:p>
      <w:pPr>
        <w:jc w:val="both"/>
        <w:ind w:right="20" w:firstLine="485"/>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Marketing Approval</w:t>
      </w:r>
      <w:r>
        <w:rPr>
          <w:rFonts w:ascii="Times New Roman" w:cs="Times New Roman" w:eastAsia="Times New Roman" w:hAnsi="Times New Roman"/>
          <w:sz w:val="16"/>
          <w:szCs w:val="16"/>
          <w:color w:val="auto"/>
        </w:rPr>
        <w:t>” means, with respect to a pharmaceutical product and any country or regulatory jurisdiction, any registration, licensure, authorization or approval of the applicable Regulatory Authority necessary to sell or market such product in such country or regulatory jurisdiction, and any amendment or supplement thereto. For clarity, “Marketing Approval” includes any accelerated approval or conditional approval granted by the FDA, but excludes pricing or reimbursement approvals.</w:t>
      </w:r>
    </w:p>
    <w:p>
      <w:pPr>
        <w:spacing w:after="0" w:line="123" w:lineRule="exact"/>
        <w:rPr>
          <w:sz w:val="20"/>
          <w:szCs w:val="20"/>
          <w:color w:val="auto"/>
        </w:rPr>
      </w:pPr>
    </w:p>
    <w:p>
      <w:pPr>
        <w:jc w:val="both"/>
        <w:ind w:right="20" w:firstLine="485"/>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Material Adverse Effect</w:t>
      </w:r>
      <w:r>
        <w:rPr>
          <w:rFonts w:ascii="Times New Roman" w:cs="Times New Roman" w:eastAsia="Times New Roman" w:hAnsi="Times New Roman"/>
          <w:sz w:val="16"/>
          <w:szCs w:val="16"/>
          <w:color w:val="auto"/>
        </w:rPr>
        <w:t xml:space="preserve">” means any Effect that, individually or in the aggregate with any other Effect (a) has had, or would reasonably be expected to have, a materially adverse effect on the business, assets, financial condition, operations or results of operations of the Acquired Companies, taken as a whole, or (b) prevents or materially delays the ability of the Company to consummate the Merger;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the case of </w:t>
      </w:r>
      <w:r>
        <w:rPr>
          <w:rFonts w:ascii="Times New Roman" w:cs="Times New Roman" w:eastAsia="Times New Roman" w:hAnsi="Times New Roman"/>
          <w:sz w:val="16"/>
          <w:szCs w:val="16"/>
          <w:u w:val="single" w:color="auto"/>
          <w:color w:val="auto"/>
        </w:rPr>
        <w:t>clause (a)</w:t>
      </w:r>
      <w:r>
        <w:rPr>
          <w:rFonts w:ascii="Times New Roman" w:cs="Times New Roman" w:eastAsia="Times New Roman" w:hAnsi="Times New Roman"/>
          <w:sz w:val="16"/>
          <w:szCs w:val="16"/>
          <w:color w:val="auto"/>
        </w:rPr>
        <w:t xml:space="preserve">, a “Material Adverse Effect” shall not include any Effect to the extent resulting directly or indirectly from: (i) general business, regulatory, economic or political conditions or changes; (ii) conditions or changes generally affecting the industry sector in which the Acquired Companies operate; (iii) the announcement, execution or delivery of this Agreement or the pendency or consummation of the Merger, including any disruption in (or loss of) customer, vendor, supplier, service provider, manufacturer, licensor, licensee, partner or similar relationships or any loss of employees (provided that the foregoing exception in this </w:t>
      </w:r>
      <w:r>
        <w:rPr>
          <w:rFonts w:ascii="Times New Roman" w:cs="Times New Roman" w:eastAsia="Times New Roman" w:hAnsi="Times New Roman"/>
          <w:sz w:val="16"/>
          <w:szCs w:val="16"/>
          <w:u w:val="single" w:color="auto"/>
          <w:color w:val="auto"/>
        </w:rPr>
        <w:t>clause (iii)</w:t>
      </w:r>
      <w:r>
        <w:rPr>
          <w:rFonts w:ascii="Times New Roman" w:cs="Times New Roman" w:eastAsia="Times New Roman" w:hAnsi="Times New Roman"/>
          <w:sz w:val="16"/>
          <w:szCs w:val="16"/>
          <w:color w:val="auto"/>
        </w:rPr>
        <w:t xml:space="preserve"> shall not apply to any representations or warranties contained in </w:t>
      </w:r>
      <w:r>
        <w:rPr>
          <w:rFonts w:ascii="Times New Roman" w:cs="Times New Roman" w:eastAsia="Times New Roman" w:hAnsi="Times New Roman"/>
          <w:sz w:val="16"/>
          <w:szCs w:val="16"/>
          <w:b w:val="1"/>
          <w:bCs w:val="1"/>
          <w:color w:val="auto"/>
        </w:rPr>
        <w:t>Section 3.3(a)</w:t>
      </w:r>
      <w:r>
        <w:rPr>
          <w:rFonts w:ascii="Times New Roman" w:cs="Times New Roman" w:eastAsia="Times New Roman" w:hAnsi="Times New Roman"/>
          <w:sz w:val="16"/>
          <w:szCs w:val="16"/>
          <w:color w:val="auto"/>
        </w:rPr>
        <w:t xml:space="preserve"> (or the condition in </w:t>
      </w:r>
      <w:r>
        <w:rPr>
          <w:rFonts w:ascii="Times New Roman" w:cs="Times New Roman" w:eastAsia="Times New Roman" w:hAnsi="Times New Roman"/>
          <w:sz w:val="16"/>
          <w:szCs w:val="16"/>
          <w:b w:val="1"/>
          <w:bCs w:val="1"/>
          <w:color w:val="auto"/>
        </w:rPr>
        <w:t>Section 6.3(a)</w:t>
      </w:r>
      <w:r>
        <w:rPr>
          <w:rFonts w:ascii="Times New Roman" w:cs="Times New Roman" w:eastAsia="Times New Roman" w:hAnsi="Times New Roman"/>
          <w:sz w:val="16"/>
          <w:szCs w:val="16"/>
          <w:color w:val="auto"/>
        </w:rPr>
        <w:t xml:space="preserve"> as it relates to the representations and warranties contained in </w:t>
      </w:r>
      <w:r>
        <w:rPr>
          <w:rFonts w:ascii="Times New Roman" w:cs="Times New Roman" w:eastAsia="Times New Roman" w:hAnsi="Times New Roman"/>
          <w:sz w:val="16"/>
          <w:szCs w:val="16"/>
          <w:b w:val="1"/>
          <w:bCs w:val="1"/>
          <w:color w:val="auto"/>
        </w:rPr>
        <w:t>Section 3.3(a)</w:t>
      </w:r>
      <w:r>
        <w:rPr>
          <w:rFonts w:ascii="Times New Roman" w:cs="Times New Roman" w:eastAsia="Times New Roman" w:hAnsi="Times New Roman"/>
          <w:sz w:val="16"/>
          <w:szCs w:val="16"/>
          <w:color w:val="auto"/>
        </w:rPr>
        <w:t xml:space="preserve">, subject to the disclosures in the Disclosure Schedules)); (iv) the outbreak or escalation of hostilities or any acts of war, sabotage, or terrorism or cyberattacks; (v) any pandemic, epidemic, disease outbreak, hurricane, tornado, flood, earthquake, tsunamis, tornadoes, mudslides, fires or other natural disaster or force majeure event, or the escalation or worsening thereof; (vi) any change in the Accounting Principles or any change in applicable Laws or the interpretation, implementation or enforcement thereof, in each case, occurring after the date of this Agreement; (vii) any changes in financial, banking or securities markets in general, including any disruption thereof and any decline in the price of any security or any market index or any change in prevailing interest rates; (viii) the failure of the Acquired Companies to meet internal or analysts’ expectations or projections or the results of operations of the Acquired Companies (provided that this exception will not preclude a determination that a matter underlying such failure has resulted in or contributed to a Material Adverse Effect unless excluded under another clause of this definition); or (ix) any action taken by an Acquired Company at Parent’s written direction;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if the exceptions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ectPr>
          <w:pgSz w:w="11900" w:h="16840" w:orient="portrait"/>
          <w:cols w:equalWidth="0" w:num="1">
            <w:col w:w="10600"/>
          </w:cols>
          <w:pgMar w:left="660" w:top="1440" w:right="640" w:bottom="1440" w:gutter="0" w:footer="0" w:header="0"/>
        </w:sectPr>
      </w:pPr>
    </w:p>
    <w:bookmarkStart w:id="293" w:name="page294"/>
    <w:bookmarkEnd w:id="293"/>
    <w:p>
      <w:pPr>
        <w:spacing w:after="0" w:line="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set forth in subclauses (i), (ii), (iv), (v) or (vi) have a disproportionate Effect on the Acquired Companies, taken as a whole, compared to other similarly situated companies that operate in the industry sector in which the Acquired Companies operate, then only the incremental disproportionate Effect may be taken into account in determining whether a Material Adverse Effect has occurred. [***]</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Measurement Time</w:t>
      </w:r>
      <w:r>
        <w:rPr>
          <w:rFonts w:ascii="Times New Roman" w:cs="Times New Roman" w:eastAsia="Times New Roman" w:hAnsi="Times New Roman"/>
          <w:sz w:val="16"/>
          <w:szCs w:val="16"/>
          <w:color w:val="auto"/>
        </w:rPr>
        <w:t>” means 11:59:59 p.m., New York time, on the day immediately preceding the Closing Date.</w:t>
      </w:r>
    </w:p>
    <w:p>
      <w:pPr>
        <w:spacing w:after="0" w:line="170" w:lineRule="exact"/>
        <w:rPr>
          <w:sz w:val="20"/>
          <w:szCs w:val="20"/>
          <w:color w:val="auto"/>
        </w:rPr>
      </w:pPr>
    </w:p>
    <w:p>
      <w:pPr>
        <w:ind w:right="40"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Memorandum and Articles Amendment</w:t>
      </w:r>
      <w:r>
        <w:rPr>
          <w:rFonts w:ascii="Times New Roman" w:cs="Times New Roman" w:eastAsia="Times New Roman" w:hAnsi="Times New Roman"/>
          <w:sz w:val="16"/>
          <w:szCs w:val="16"/>
          <w:color w:val="auto"/>
        </w:rPr>
        <w:t xml:space="preserve"> ” means the amendment to the Company Articles, as set forth in the Twelfth Amended and Restated Articles of Association of the Company, the form of which is attached hereto as </w:t>
      </w:r>
      <w:r>
        <w:rPr>
          <w:rFonts w:ascii="Times New Roman" w:cs="Times New Roman" w:eastAsia="Times New Roman" w:hAnsi="Times New Roman"/>
          <w:sz w:val="16"/>
          <w:szCs w:val="16"/>
          <w:b w:val="1"/>
          <w:bCs w:val="1"/>
          <w:color w:val="auto"/>
        </w:rPr>
        <w:t>Exhibit J</w:t>
      </w:r>
      <w:r>
        <w:rPr>
          <w:rFonts w:ascii="Times New Roman" w:cs="Times New Roman" w:eastAsia="Times New Roman" w:hAnsi="Times New Roman"/>
          <w:sz w:val="16"/>
          <w:szCs w:val="16"/>
          <w:color w:val="auto"/>
        </w:rPr>
        <w:t>.</w:t>
      </w:r>
    </w:p>
    <w:p>
      <w:pPr>
        <w:spacing w:after="0" w:line="1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Nasdaq</w:t>
      </w:r>
      <w:r>
        <w:rPr>
          <w:rFonts w:ascii="Times New Roman" w:cs="Times New Roman" w:eastAsia="Times New Roman" w:hAnsi="Times New Roman"/>
          <w:sz w:val="16"/>
          <w:szCs w:val="16"/>
          <w:color w:val="auto"/>
        </w:rPr>
        <w:t>” means The Nasdaq Stock Market LLC.</w:t>
      </w:r>
    </w:p>
    <w:p>
      <w:pPr>
        <w:spacing w:after="0" w:line="170" w:lineRule="exact"/>
        <w:rPr>
          <w:sz w:val="20"/>
          <w:szCs w:val="20"/>
          <w:color w:val="auto"/>
        </w:rPr>
      </w:pPr>
    </w:p>
    <w:p>
      <w:pPr>
        <w:jc w:val="both"/>
        <w:ind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Net Working Capital</w:t>
      </w:r>
      <w:r>
        <w:rPr>
          <w:rFonts w:ascii="Times New Roman" w:cs="Times New Roman" w:eastAsia="Times New Roman" w:hAnsi="Times New Roman"/>
          <w:sz w:val="16"/>
          <w:szCs w:val="16"/>
          <w:color w:val="auto"/>
        </w:rPr>
        <w:t xml:space="preserve">” means an amount (which may be negative or positive) equal to (a) the total current assets of the Acquired Companies </w:t>
      </w:r>
      <w:r>
        <w:rPr>
          <w:rFonts w:ascii="Times New Roman" w:cs="Times New Roman" w:eastAsia="Times New Roman" w:hAnsi="Times New Roman"/>
          <w:sz w:val="16"/>
          <w:szCs w:val="16"/>
          <w:i w:val="1"/>
          <w:iCs w:val="1"/>
          <w:color w:val="auto"/>
        </w:rPr>
        <w:t>less</w:t>
      </w:r>
      <w:r>
        <w:rPr>
          <w:rFonts w:ascii="Times New Roman" w:cs="Times New Roman" w:eastAsia="Times New Roman" w:hAnsi="Times New Roman"/>
          <w:sz w:val="16"/>
          <w:szCs w:val="16"/>
          <w:color w:val="auto"/>
        </w:rPr>
        <w:t xml:space="preserve"> (b) the total current liabilities of the Acquired Companies, as set forth in </w:t>
      </w:r>
      <w:r>
        <w:rPr>
          <w:rFonts w:ascii="Times New Roman" w:cs="Times New Roman" w:eastAsia="Times New Roman" w:hAnsi="Times New Roman"/>
          <w:sz w:val="16"/>
          <w:szCs w:val="16"/>
          <w:b w:val="1"/>
          <w:bCs w:val="1"/>
          <w:color w:val="auto"/>
        </w:rPr>
        <w:t>Exhibit B</w:t>
      </w:r>
      <w:r>
        <w:rPr>
          <w:rFonts w:ascii="Times New Roman" w:cs="Times New Roman" w:eastAsia="Times New Roman" w:hAnsi="Times New Roman"/>
          <w:sz w:val="16"/>
          <w:szCs w:val="16"/>
          <w:color w:val="auto"/>
        </w:rPr>
        <w:t xml:space="preserve">; in each case, determined as of the Measurement Time. An illustrative calculation of Net Working Capital as of [***], is set forth on </w:t>
      </w:r>
      <w:r>
        <w:rPr>
          <w:rFonts w:ascii="Times New Roman" w:cs="Times New Roman" w:eastAsia="Times New Roman" w:hAnsi="Times New Roman"/>
          <w:sz w:val="16"/>
          <w:szCs w:val="16"/>
          <w:b w:val="1"/>
          <w:bCs w:val="1"/>
          <w:color w:val="auto"/>
        </w:rPr>
        <w:t>Exhibit B</w:t>
      </w:r>
      <w:r>
        <w:rPr>
          <w:rFonts w:ascii="Times New Roman" w:cs="Times New Roman" w:eastAsia="Times New Roman" w:hAnsi="Times New Roman"/>
          <w:sz w:val="16"/>
          <w:szCs w:val="16"/>
          <w:color w:val="auto"/>
        </w:rPr>
        <w:t>.</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Net Working Capital Target</w:t>
      </w:r>
      <w:r>
        <w:rPr>
          <w:rFonts w:ascii="Times New Roman" w:cs="Times New Roman" w:eastAsia="Times New Roman" w:hAnsi="Times New Roman"/>
          <w:sz w:val="16"/>
          <w:szCs w:val="16"/>
          <w:color w:val="auto"/>
        </w:rPr>
        <w:t>” means [***] in an equivalent amount of U.S. dollars.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NMPA</w:t>
      </w:r>
      <w:r>
        <w:rPr>
          <w:rFonts w:ascii="Times New Roman" w:cs="Times New Roman" w:eastAsia="Times New Roman" w:hAnsi="Times New Roman"/>
          <w:sz w:val="16"/>
          <w:szCs w:val="16"/>
          <w:color w:val="auto"/>
        </w:rPr>
        <w:t>” means the National Medical Products Administration (formerly the China Food and Drug Administration of China).</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Non-Dissenting Shareholder</w:t>
      </w:r>
      <w:r>
        <w:rPr>
          <w:rFonts w:ascii="Times New Roman" w:cs="Times New Roman" w:eastAsia="Times New Roman" w:hAnsi="Times New Roman"/>
          <w:sz w:val="16"/>
          <w:szCs w:val="16"/>
          <w:color w:val="auto"/>
        </w:rPr>
        <w:t>” means each Shareholder other than holders of the Dissenting Shares.</w:t>
      </w:r>
    </w:p>
    <w:p>
      <w:pPr>
        <w:spacing w:after="0" w:line="170" w:lineRule="exact"/>
        <w:rPr>
          <w:sz w:val="20"/>
          <w:szCs w:val="20"/>
          <w:color w:val="auto"/>
        </w:rPr>
      </w:pPr>
    </w:p>
    <w:p>
      <w:pPr>
        <w:jc w:val="both"/>
        <w:ind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Non- PN7 Exempt Shareholder</w:t>
      </w:r>
      <w:r>
        <w:rPr>
          <w:rFonts w:ascii="Times New Roman" w:cs="Times New Roman" w:eastAsia="Times New Roman" w:hAnsi="Times New Roman"/>
          <w:sz w:val="16"/>
          <w:szCs w:val="16"/>
          <w:color w:val="auto"/>
        </w:rPr>
        <w:t>” means any Shareholder that has failed to provide evidence, acceptable to Parent, at least [***] Business Days prior to the Closing Date, confirming that such Non-Dissenting Shareholder is a Person incorporated or organized (as applicable) under the Laws of the PRC.</w:t>
      </w:r>
    </w:p>
    <w:p>
      <w:pPr>
        <w:spacing w:after="0" w:line="103" w:lineRule="exact"/>
        <w:rPr>
          <w:sz w:val="20"/>
          <w:szCs w:val="20"/>
          <w:color w:val="auto"/>
        </w:rPr>
      </w:pPr>
    </w:p>
    <w:p>
      <w:pPr>
        <w:jc w:val="both"/>
        <w:ind w:firstLine="485"/>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Open Source</w:t>
      </w:r>
      <w:r>
        <w:rPr>
          <w:rFonts w:ascii="Times New Roman" w:cs="Times New Roman" w:eastAsia="Times New Roman" w:hAnsi="Times New Roman"/>
          <w:sz w:val="16"/>
          <w:szCs w:val="16"/>
          <w:color w:val="auto"/>
        </w:rPr>
        <w:t>” means any software that is distributed as free software, open source software, copyleft software, “freeware” or “shareware” or under similar licensing or distribution models, including any software licensed under the GNU General Public License, the GNU Library General Public License, the GNU Lesser General Public License, the Affero General Public License, the Mozilla Public License, the Common Development and Distribution License, the Eclipse Public License or any other license or distribution model described by the Open Source Initiative as set forth on www.opensource.org.</w:t>
      </w:r>
    </w:p>
    <w:p>
      <w:pPr>
        <w:spacing w:after="0" w:line="123" w:lineRule="exact"/>
        <w:rPr>
          <w:sz w:val="20"/>
          <w:szCs w:val="20"/>
          <w:color w:val="auto"/>
        </w:rPr>
      </w:pPr>
    </w:p>
    <w:p>
      <w:pPr>
        <w:ind w:right="20"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Owned Intellectual Property</w:t>
      </w:r>
      <w:r>
        <w:rPr>
          <w:rFonts w:ascii="Times New Roman" w:cs="Times New Roman" w:eastAsia="Times New Roman" w:hAnsi="Times New Roman"/>
          <w:sz w:val="16"/>
          <w:szCs w:val="16"/>
          <w:color w:val="auto"/>
        </w:rPr>
        <w:t>” means all Intellectual Property owned or purported to be owned by an Acquired Company, including the Company Registered IP.</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40" w:orient="portrait"/>
          <w:cols w:equalWidth="0" w:num="1">
            <w:col w:w="10580"/>
          </w:cols>
          <w:pgMar w:left="660" w:top="1440" w:right="660" w:bottom="1440" w:gutter="0" w:footer="0" w:header="0"/>
        </w:sectPr>
      </w:pPr>
    </w:p>
    <w:bookmarkStart w:id="294" w:name="page295"/>
    <w:bookmarkEnd w:id="294"/>
    <w:p>
      <w:pPr>
        <w:spacing w:after="0" w:line="86"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parties</w:t>
      </w:r>
      <w:r>
        <w:rPr>
          <w:rFonts w:ascii="Times New Roman" w:cs="Times New Roman" w:eastAsia="Times New Roman" w:hAnsi="Times New Roman"/>
          <w:sz w:val="16"/>
          <w:szCs w:val="16"/>
          <w:color w:val="auto"/>
        </w:rPr>
        <w:t>” means, collectively, Parent, Merger Sub, the Company and the Shareholders’ Agent, and each individually a “</w:t>
      </w:r>
      <w:r>
        <w:rPr>
          <w:rFonts w:ascii="Times New Roman" w:cs="Times New Roman" w:eastAsia="Times New Roman" w:hAnsi="Times New Roman"/>
          <w:sz w:val="16"/>
          <w:szCs w:val="16"/>
          <w:b w:val="1"/>
          <w:bCs w:val="1"/>
          <w:i w:val="1"/>
          <w:iCs w:val="1"/>
          <w:color w:val="auto"/>
        </w:rPr>
        <w:t>party.</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left="9"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Paying Agent Agreement</w:t>
      </w:r>
      <w:r>
        <w:rPr>
          <w:rFonts w:ascii="Times New Roman" w:cs="Times New Roman" w:eastAsia="Times New Roman" w:hAnsi="Times New Roman"/>
          <w:sz w:val="16"/>
          <w:szCs w:val="16"/>
          <w:color w:val="auto"/>
        </w:rPr>
        <w:t>” means a paying agent agreement to be entered into at or prior to the Closing pursuant to this Agreement by and between Parent and the Paying Agent in a form mutually agreeable to Parent and the Paying Agent and reasonably acceptable to the Company, each acting reasonably.</w:t>
      </w:r>
    </w:p>
    <w:p>
      <w:pPr>
        <w:spacing w:after="0" w:line="103" w:lineRule="exact"/>
        <w:rPr>
          <w:sz w:val="20"/>
          <w:szCs w:val="20"/>
          <w:color w:val="auto"/>
        </w:rPr>
      </w:pPr>
    </w:p>
    <w:p>
      <w:pPr>
        <w:jc w:val="both"/>
        <w:ind w:left="9" w:firstLine="485"/>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Payment Spreadsheets</w:t>
      </w:r>
      <w:r>
        <w:rPr>
          <w:rFonts w:ascii="Times New Roman" w:cs="Times New Roman" w:eastAsia="Times New Roman" w:hAnsi="Times New Roman"/>
          <w:sz w:val="16"/>
          <w:szCs w:val="16"/>
          <w:color w:val="auto"/>
        </w:rPr>
        <w:t>” means, collectively, the Estimated Closing Statement, the Closing Payment Spreadsheet, the Adjustment Amount Payment Spreadsheet, the Escrow Amount Payment Spreadsheet, the Expense Fund Payment Spreadsheet, the Contingent Payment Spreadsheet, and any other statement delivered by the Company or the Shareholders’ Agent to Parent or any of its Affiliates for the purposes of Parent making payments under this Agreement or any Ancillary Agreement.</w:t>
      </w:r>
    </w:p>
    <w:p>
      <w:pPr>
        <w:spacing w:after="0" w:line="127"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6"/>
          <w:szCs w:val="16"/>
          <w:color w:val="auto"/>
        </w:rPr>
        <w:t>[***]</w:t>
      </w:r>
    </w:p>
    <w:p>
      <w:pPr>
        <w:spacing w:after="0" w:line="166" w:lineRule="exact"/>
        <w:rPr>
          <w:sz w:val="20"/>
          <w:szCs w:val="20"/>
          <w:color w:val="auto"/>
        </w:rPr>
      </w:pPr>
    </w:p>
    <w:p>
      <w:pPr>
        <w:jc w:val="both"/>
        <w:ind w:left="9" w:firstLine="485"/>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Permitted Encumbrances</w:t>
      </w:r>
      <w:r>
        <w:rPr>
          <w:rFonts w:ascii="Times New Roman" w:cs="Times New Roman" w:eastAsia="Times New Roman" w:hAnsi="Times New Roman"/>
          <w:sz w:val="16"/>
          <w:szCs w:val="16"/>
          <w:color w:val="auto"/>
        </w:rPr>
        <w:t>” means: (a) liens for current Taxes not yet due and payable or that are being contested in good faith by appropriate proceedings and for which appropriate reserves have been established in accordance with the applicable Accounting Principle; (b) encumbrances that do not materially impair the ownership or use of the assets to which they relate; (c) statutory or common law liens to secure obligations to landlords, lessors or renters under leases or rental agreements arising in the ordinary course of business and which are not materially adverse to the occupancy, operation or use of any real property leased by any member of the Acquired Company; (d) deposits or pledges made in connection with, or to secure payment of, workers’ compensation, unemployment insurance or similar programs mandated by applicable Law or governmental regulations; (e) statutory or common law liens in favor of carriers, warehousemen, mechanics and materialmen, to secure claims for labor, materials or supplies, in each case which would not constitute a default under any lease to which any Acquired Company is a party; (f) leases or subleases and non-exclusive licenses or sublicenses granted to others in the ordinary course of the Acquired Companies’ business; and</w:t>
      </w:r>
    </w:p>
    <w:p>
      <w:pPr>
        <w:spacing w:after="0" w:line="1" w:lineRule="exact"/>
        <w:rPr>
          <w:sz w:val="20"/>
          <w:szCs w:val="20"/>
          <w:color w:val="auto"/>
        </w:rPr>
      </w:pPr>
    </w:p>
    <w:p>
      <w:pPr>
        <w:ind w:left="9" w:hanging="9"/>
        <w:spacing w:after="0" w:line="261" w:lineRule="auto"/>
        <w:tabs>
          <w:tab w:leader="none" w:pos="25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easements, reservations, rights-of-way, restrictions, minor defects or irregularities in title and other similar liens affecting real property not interfering in any material respect with the ownership or use of the real property to which they relate or the ordinary conduct of the business of the Acquired Companies.</w:t>
      </w:r>
    </w:p>
    <w:p>
      <w:pPr>
        <w:spacing w:after="0" w:line="124" w:lineRule="exact"/>
        <w:rPr>
          <w:sz w:val="20"/>
          <w:szCs w:val="20"/>
          <w:color w:val="auto"/>
        </w:rPr>
      </w:pPr>
    </w:p>
    <w:p>
      <w:pPr>
        <w:jc w:val="both"/>
        <w:ind w:left="9" w:right="20"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Person</w:t>
      </w:r>
      <w:r>
        <w:rPr>
          <w:rFonts w:ascii="Times New Roman" w:cs="Times New Roman" w:eastAsia="Times New Roman" w:hAnsi="Times New Roman"/>
          <w:sz w:val="16"/>
          <w:szCs w:val="16"/>
          <w:color w:val="auto"/>
        </w:rPr>
        <w:t>” means an individual, corporation, partnership, limited liability company, limited liability partnership, syndicate, person, trust, association, organization or other entity, including any Governmental Authority, and including any successor, by merger or otherwise, of any of the foregoing.</w:t>
      </w:r>
    </w:p>
    <w:p>
      <w:pPr>
        <w:spacing w:after="0" w:line="103" w:lineRule="exact"/>
        <w:rPr>
          <w:sz w:val="20"/>
          <w:szCs w:val="20"/>
          <w:color w:val="auto"/>
        </w:rPr>
      </w:pPr>
    </w:p>
    <w:p>
      <w:pPr>
        <w:jc w:val="both"/>
        <w:ind w:left="9"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Personal Data</w:t>
      </w:r>
      <w:r>
        <w:rPr>
          <w:rFonts w:ascii="Times New Roman" w:cs="Times New Roman" w:eastAsia="Times New Roman" w:hAnsi="Times New Roman"/>
          <w:sz w:val="16"/>
          <w:szCs w:val="16"/>
          <w:color w:val="auto"/>
        </w:rPr>
        <w:t xml:space="preserve"> ” means any data or information that constitutes “personally identifiable information,” “personal information,” “personal data” or any similar term as defined by applicable Laws or any information that is governed, regulated or protected by one or more Laws concerning information relating to an identified or identifiable individual natural person or household.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6"/>
          <w:szCs w:val="16"/>
          <w:color w:val="auto"/>
        </w:rPr>
        <w:t>16</w:t>
      </w:r>
    </w:p>
    <w:p>
      <w:pPr>
        <w:sectPr>
          <w:pgSz w:w="11900" w:h="16840" w:orient="portrait"/>
          <w:cols w:equalWidth="0" w:num="1">
            <w:col w:w="10589"/>
          </w:cols>
          <w:pgMar w:left="651" w:top="1440" w:right="660" w:bottom="1440" w:gutter="0" w:footer="0" w:header="0"/>
        </w:sectPr>
      </w:pPr>
    </w:p>
    <w:bookmarkStart w:id="295" w:name="page296"/>
    <w:bookmarkEnd w:id="295"/>
    <w:p>
      <w:pPr>
        <w:spacing w:after="0" w:line="86" w:lineRule="exact"/>
        <w:rPr>
          <w:sz w:val="20"/>
          <w:szCs w:val="20"/>
          <w:color w:val="auto"/>
        </w:rPr>
      </w:pPr>
    </w:p>
    <w:p>
      <w:pPr>
        <w:jc w:val="both"/>
        <w:ind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PM8002</w:t>
      </w:r>
      <w:r>
        <w:rPr>
          <w:rFonts w:ascii="Times New Roman" w:cs="Times New Roman" w:eastAsia="Times New Roman" w:hAnsi="Times New Roman"/>
          <w:sz w:val="16"/>
          <w:szCs w:val="16"/>
          <w:color w:val="auto"/>
        </w:rPr>
        <w:t>” means the Company’s proprietary bispecific antibody directed to PDL1 and VEGF as outlicensed to the Issuer under a license agreement dated July 19, 2023, and controlled by the Issuer as BNT327.</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PN7 Tax Indemnity Amount</w:t>
      </w:r>
      <w:r>
        <w:rPr>
          <w:rFonts w:ascii="Times New Roman" w:cs="Times New Roman" w:eastAsia="Times New Roman" w:hAnsi="Times New Roman"/>
          <w:sz w:val="16"/>
          <w:szCs w:val="16"/>
          <w:color w:val="auto"/>
        </w:rPr>
        <w:t>” means an amount equal to [***]% of the Closing Consideration Amount payable to all Non-PN7 Exempt Shareholders.</w:t>
      </w:r>
    </w:p>
    <w:p>
      <w:pPr>
        <w:spacing w:after="0" w:line="170" w:lineRule="exact"/>
        <w:rPr>
          <w:sz w:val="20"/>
          <w:szCs w:val="20"/>
          <w:color w:val="auto"/>
        </w:rPr>
      </w:pPr>
    </w:p>
    <w:p>
      <w:pPr>
        <w:ind w:right="20"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PN7 Taxes</w:t>
      </w:r>
      <w:r>
        <w:rPr>
          <w:rFonts w:ascii="Times New Roman" w:cs="Times New Roman" w:eastAsia="Times New Roman" w:hAnsi="Times New Roman"/>
          <w:sz w:val="16"/>
          <w:szCs w:val="16"/>
          <w:color w:val="auto"/>
        </w:rPr>
        <w:t>” means any Taxes levied pursuant to Public Notice 7 (including for the avoidance of doubt, any such Taxes imposed on any Acquired Company or Parent).</w:t>
      </w:r>
    </w:p>
    <w:p>
      <w:pPr>
        <w:spacing w:after="0" w:line="103" w:lineRule="exact"/>
        <w:rPr>
          <w:sz w:val="20"/>
          <w:szCs w:val="20"/>
          <w:color w:val="auto"/>
        </w:rPr>
      </w:pPr>
    </w:p>
    <w:p>
      <w:pPr>
        <w:ind w:right="20"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PRC</w:t>
      </w:r>
      <w:r>
        <w:rPr>
          <w:rFonts w:ascii="Times New Roman" w:cs="Times New Roman" w:eastAsia="Times New Roman" w:hAnsi="Times New Roman"/>
          <w:sz w:val="16"/>
          <w:szCs w:val="16"/>
          <w:color w:val="auto"/>
        </w:rPr>
        <w:t>” means the People’s Republic of China, but solely for purposes of this Agreement, excluding Hong Kong, the Macau Special Administrative Region and Taiwan.</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PRC GAAP</w:t>
      </w:r>
      <w:r>
        <w:rPr>
          <w:rFonts w:ascii="Times New Roman" w:cs="Times New Roman" w:eastAsia="Times New Roman" w:hAnsi="Times New Roman"/>
          <w:sz w:val="16"/>
          <w:szCs w:val="16"/>
          <w:color w:val="auto"/>
        </w:rPr>
        <w:t>” means the generally accepted accounting principles of the PRC.</w:t>
      </w:r>
    </w:p>
    <w:p>
      <w:pPr>
        <w:spacing w:after="0" w:line="170" w:lineRule="exact"/>
        <w:rPr>
          <w:sz w:val="20"/>
          <w:szCs w:val="20"/>
          <w:color w:val="auto"/>
        </w:rPr>
      </w:pPr>
    </w:p>
    <w:p>
      <w:pPr>
        <w:jc w:val="both"/>
        <w:ind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Preferred Majority</w:t>
      </w:r>
      <w:r>
        <w:rPr>
          <w:rFonts w:ascii="Times New Roman" w:cs="Times New Roman" w:eastAsia="Times New Roman" w:hAnsi="Times New Roman"/>
          <w:sz w:val="16"/>
          <w:szCs w:val="16"/>
          <w:color w:val="auto"/>
        </w:rPr>
        <w:t>” means the holders of at least sixty percent of the voting power of the then outstanding Company Preferred Shares, voting together as a single class and calculated on an as-converted basis.</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Pre-Closing Tax Period</w:t>
      </w:r>
      <w:r>
        <w:rPr>
          <w:rFonts w:ascii="Times New Roman" w:cs="Times New Roman" w:eastAsia="Times New Roman" w:hAnsi="Times New Roman"/>
          <w:sz w:val="16"/>
          <w:szCs w:val="16"/>
          <w:color w:val="auto"/>
        </w:rPr>
        <w:t>” means any taxable period, or portion of a Straddle Period, ending on or before the Closing Date.</w:t>
      </w:r>
    </w:p>
    <w:p>
      <w:pPr>
        <w:spacing w:after="0" w:line="170" w:lineRule="exact"/>
        <w:rPr>
          <w:sz w:val="20"/>
          <w:szCs w:val="20"/>
          <w:color w:val="auto"/>
        </w:rPr>
      </w:pPr>
    </w:p>
    <w:p>
      <w:pPr>
        <w:jc w:val="both"/>
        <w:ind w:firstLine="485"/>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Privacy Laws</w:t>
      </w:r>
      <w:r>
        <w:rPr>
          <w:rFonts w:ascii="Times New Roman" w:cs="Times New Roman" w:eastAsia="Times New Roman" w:hAnsi="Times New Roman"/>
          <w:sz w:val="16"/>
          <w:szCs w:val="16"/>
          <w:color w:val="auto"/>
        </w:rPr>
        <w:t>” means all Laws governing the collection, protection, privacy, processing and security of Personal Data, including the Personal Information Protection Law of China (2021), the General Data Protection Regulation (EU) 2016/679 (GDPR), the UK Data Protection Act 2018, the Cayman Islands Data Protection Act (2021 Revision), the British Virgin Islands Data Protection Act, 2021, the e-Privacy Directive (2002/58/EC) and comparable Laws in other jurisdictions and all guidance thereof issued by any applicable data protection authority.</w:t>
      </w:r>
    </w:p>
    <w:p>
      <w:pPr>
        <w:spacing w:after="0" w:line="123" w:lineRule="exact"/>
        <w:rPr>
          <w:sz w:val="20"/>
          <w:szCs w:val="20"/>
          <w:color w:val="auto"/>
        </w:rPr>
      </w:pPr>
    </w:p>
    <w:p>
      <w:pPr>
        <w:jc w:val="both"/>
        <w:ind w:right="20"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Public Notice 7</w:t>
      </w:r>
      <w:r>
        <w:rPr>
          <w:rFonts w:ascii="Times New Roman" w:cs="Times New Roman" w:eastAsia="Times New Roman" w:hAnsi="Times New Roman"/>
          <w:sz w:val="16"/>
          <w:szCs w:val="16"/>
          <w:color w:val="auto"/>
        </w:rPr>
        <w:t xml:space="preserve"> ” means Public Notice 2015 No. 7 issued by the PRC State Administration of Taxation on February 3, 2015, titled “Public Notice of the State Administration of Taxation Regarding Certain Corporate Income Tax Matters on Indirect Transfer of Properties by Non-Tax Resident Enterprises,” as amended.</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Purchase Price</w:t>
      </w:r>
      <w:r>
        <w:rPr>
          <w:rFonts w:ascii="Times New Roman" w:cs="Times New Roman" w:eastAsia="Times New Roman" w:hAnsi="Times New Roman"/>
          <w:sz w:val="16"/>
          <w:szCs w:val="16"/>
          <w:color w:val="auto"/>
        </w:rPr>
        <w:t>” means an amount equal to: (a) $800,000,000; [***].</w:t>
      </w:r>
    </w:p>
    <w:p>
      <w:pPr>
        <w:spacing w:after="0" w:line="170" w:lineRule="exact"/>
        <w:rPr>
          <w:sz w:val="20"/>
          <w:szCs w:val="20"/>
          <w:color w:val="auto"/>
        </w:rPr>
      </w:pPr>
    </w:p>
    <w:p>
      <w:pPr>
        <w:jc w:val="both"/>
        <w:ind w:right="20"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Qualified Grantees</w:t>
      </w:r>
      <w:r>
        <w:rPr>
          <w:rFonts w:ascii="Times New Roman" w:cs="Times New Roman" w:eastAsia="Times New Roman" w:hAnsi="Times New Roman"/>
          <w:sz w:val="16"/>
          <w:szCs w:val="16"/>
          <w:color w:val="auto"/>
        </w:rPr>
        <w:t>” means employees, consultants and service providers of the Company or any Acquired Company, as set forth in the [***], who have signed each applicable Supplemental Grant Agreement with the Company and the [***] at the time of payment in accordance with the [***].</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Real Property</w:t>
      </w:r>
      <w:r>
        <w:rPr>
          <w:rFonts w:ascii="Times New Roman" w:cs="Times New Roman" w:eastAsia="Times New Roman" w:hAnsi="Times New Roman"/>
          <w:sz w:val="16"/>
          <w:szCs w:val="16"/>
          <w:color w:val="auto"/>
        </w:rPr>
        <w:t>” shall mean the Leased Real Property and the Owned Real Property.</w:t>
      </w:r>
    </w:p>
    <w:p>
      <w:pPr>
        <w:spacing w:after="0" w:line="170" w:lineRule="exact"/>
        <w:rPr>
          <w:sz w:val="20"/>
          <w:szCs w:val="20"/>
          <w:color w:val="auto"/>
        </w:rPr>
      </w:pPr>
    </w:p>
    <w:p>
      <w:pPr>
        <w:jc w:val="both"/>
        <w:ind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Regulatory Authority</w:t>
      </w:r>
      <w:r>
        <w:rPr>
          <w:rFonts w:ascii="Times New Roman" w:cs="Times New Roman" w:eastAsia="Times New Roman" w:hAnsi="Times New Roman"/>
          <w:sz w:val="16"/>
          <w:szCs w:val="16"/>
          <w:color w:val="auto"/>
        </w:rPr>
        <w:t>” means, with respect to any country or other regulatory jurisdiction, the applicable Governmental Authority responsible for granting Marketing Approval and any other regulatory approvals in such country or regulatory jurisdiction, including, in the United States, the FDA.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40" w:orient="portrait"/>
          <w:cols w:equalWidth="0" w:num="1">
            <w:col w:w="10580"/>
          </w:cols>
          <w:pgMar w:left="660" w:top="1440" w:right="660" w:bottom="1440" w:gutter="0" w:footer="0" w:header="0"/>
        </w:sectPr>
      </w:pPr>
    </w:p>
    <w:bookmarkStart w:id="296" w:name="page297"/>
    <w:bookmarkEnd w:id="296"/>
    <w:p>
      <w:pPr>
        <w:spacing w:after="0" w:line="86" w:lineRule="exact"/>
        <w:rPr>
          <w:sz w:val="20"/>
          <w:szCs w:val="20"/>
          <w:color w:val="auto"/>
        </w:rPr>
      </w:pPr>
    </w:p>
    <w:p>
      <w:pPr>
        <w:jc w:val="both"/>
        <w:ind w:left="9" w:firstLine="485"/>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Related Party</w:t>
      </w:r>
      <w:r>
        <w:rPr>
          <w:rFonts w:ascii="Times New Roman" w:cs="Times New Roman" w:eastAsia="Times New Roman" w:hAnsi="Times New Roman"/>
          <w:sz w:val="16"/>
          <w:szCs w:val="16"/>
          <w:color w:val="auto"/>
        </w:rPr>
        <w:t>” with respect to any specified Person, means: (a) any Affiliate of such specified Person, or any director, officer, principal, general partner or managing member of such Affiliate; (b) any Person who serves as a director, officer, principal, partner, member, employee or in a similar capacity of such specified Person; (c) to the Knowledge of the Company, any Immediate Family Member of a Person described in clause (b); or (d) any other Person who holds, individually or together with any Affiliate of such other Person and, to the Knowledge of the Company, any member(s) of such Person’s immediate family, more than [***]% of the outstanding voting equity or ownership interests of such specified Person.</w:t>
      </w:r>
    </w:p>
    <w:p>
      <w:pPr>
        <w:spacing w:after="0" w:line="125" w:lineRule="exact"/>
        <w:rPr>
          <w:sz w:val="20"/>
          <w:szCs w:val="20"/>
          <w:color w:val="auto"/>
        </w:rPr>
      </w:pPr>
    </w:p>
    <w:p>
      <w:pPr>
        <w:jc w:val="both"/>
        <w:ind w:left="9" w:right="40" w:firstLine="485"/>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Related Party Agreements</w:t>
      </w:r>
      <w:r>
        <w:rPr>
          <w:rFonts w:ascii="Times New Roman" w:cs="Times New Roman" w:eastAsia="Times New Roman" w:hAnsi="Times New Roman"/>
          <w:sz w:val="16"/>
          <w:szCs w:val="16"/>
          <w:color w:val="auto"/>
        </w:rPr>
        <w:t>” means any agreements, arrangements, relationships or Contracts between an Acquired Company, on the one hand, and a Related Party of any Acquired Company, on the other hand, but excluding any agreements, arrangements, relationships or Contracts (a) for payment of salaries and bonuses for services rendered to any Acquired Company, (b) benefits due or other rights granted under Company Plans, (c) as provided in the constitutional or organizational documents of the Acquired Companies, and (d) Contracts solely between Acquired Companies.</w:t>
      </w:r>
    </w:p>
    <w:p>
      <w:pPr>
        <w:spacing w:after="0" w:line="123" w:lineRule="exact"/>
        <w:rPr>
          <w:sz w:val="20"/>
          <w:szCs w:val="20"/>
          <w:color w:val="auto"/>
        </w:rPr>
      </w:pPr>
    </w:p>
    <w:p>
      <w:pPr>
        <w:jc w:val="both"/>
        <w:ind w:left="9" w:right="20"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Representatives</w:t>
      </w:r>
      <w:r>
        <w:rPr>
          <w:rFonts w:ascii="Times New Roman" w:cs="Times New Roman" w:eastAsia="Times New Roman" w:hAnsi="Times New Roman"/>
          <w:sz w:val="16"/>
          <w:szCs w:val="16"/>
          <w:color w:val="auto"/>
        </w:rPr>
        <w:t>” means, with respect to any Person, the officers, directors, principals, employees, agents, auditors, advisors, bankers and other representatives of such Person (and including, with respect to Parent solely to the extent it seeks to obtain a R&amp;W Insurance Policy, any insurer or broker of Parent in connection with any representations and warranties insurance policy obtained by Parent in connection with the transactions contemplated hereby).</w:t>
      </w:r>
    </w:p>
    <w:p>
      <w:pPr>
        <w:spacing w:after="0" w:line="117"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Required Shareholder Vote</w:t>
      </w:r>
      <w:r>
        <w:rPr>
          <w:rFonts w:ascii="Times New Roman" w:cs="Times New Roman" w:eastAsia="Times New Roman" w:hAnsi="Times New Roman"/>
          <w:sz w:val="16"/>
          <w:szCs w:val="16"/>
          <w:color w:val="auto"/>
        </w:rPr>
        <w:t xml:space="preserve">” means either (a) irrevocable unanimous written resolutions of the Shareholders in the form attached hereto as </w:t>
      </w:r>
      <w:r>
        <w:rPr>
          <w:rFonts w:ascii="Times New Roman" w:cs="Times New Roman" w:eastAsia="Times New Roman" w:hAnsi="Times New Roman"/>
          <w:sz w:val="16"/>
          <w:szCs w:val="16"/>
          <w:b w:val="1"/>
          <w:bCs w:val="1"/>
          <w:color w:val="auto"/>
        </w:rPr>
        <w:t>Exhibit M</w:t>
      </w:r>
      <w:r>
        <w:rPr>
          <w:rFonts w:ascii="Times New Roman" w:cs="Times New Roman" w:eastAsia="Times New Roman" w:hAnsi="Times New Roman"/>
          <w:sz w:val="16"/>
          <w:szCs w:val="16"/>
          <w:color w:val="auto"/>
        </w:rPr>
        <w:t>; or</w:t>
      </w:r>
    </w:p>
    <w:p>
      <w:pPr>
        <w:spacing w:after="0" w:line="30" w:lineRule="exact"/>
        <w:rPr>
          <w:sz w:val="20"/>
          <w:szCs w:val="20"/>
          <w:color w:val="auto"/>
        </w:rPr>
      </w:pPr>
    </w:p>
    <w:p>
      <w:pPr>
        <w:jc w:val="both"/>
        <w:ind w:left="9" w:right="20" w:hanging="9"/>
        <w:spacing w:after="0" w:line="252" w:lineRule="auto"/>
        <w:tabs>
          <w:tab w:leader="none" w:pos="256"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with respect to the Memorandum and Articles Amendment and the execution of this Agreement, the approval in writing, in advance of the date of this Agreement, by the Preferred Majority in accordance with the Investor Rights Agreement and the Company Articles, (ii) with respect to the Memorandum and Articles Amendment, the approval in writing of all Shareholders, and (iii) with respect to the Merger and the other transactions contemplated by this Agreement, special resolutions (as defined in the Company Articles) that are substantially the same as the special resolutions set forth in the irrevocable unanimous written resolutions of the Shareholders in the form attached hereto as </w:t>
      </w:r>
      <w:r>
        <w:rPr>
          <w:rFonts w:ascii="Times New Roman" w:cs="Times New Roman" w:eastAsia="Times New Roman" w:hAnsi="Times New Roman"/>
          <w:sz w:val="16"/>
          <w:szCs w:val="16"/>
          <w:b w:val="1"/>
          <w:bCs w:val="1"/>
          <w:color w:val="auto"/>
        </w:rPr>
        <w:t>Exhibit M</w:t>
      </w:r>
      <w:r>
        <w:rPr>
          <w:rFonts w:ascii="Times New Roman" w:cs="Times New Roman" w:eastAsia="Times New Roman" w:hAnsi="Times New Roman"/>
          <w:sz w:val="16"/>
          <w:szCs w:val="16"/>
          <w:color w:val="auto"/>
        </w:rPr>
        <w:t>, passed by a majority of at least two-thirds of the members of the Company, voting in person or by proxy at a general meeting of the Company of which notice specifying the intention to propose the resolution as a special resolution has been duly given in accordance with the Company Articles.</w:t>
      </w:r>
    </w:p>
    <w:p>
      <w:pPr>
        <w:spacing w:after="0" w:line="132" w:lineRule="exact"/>
        <w:rPr>
          <w:sz w:val="20"/>
          <w:szCs w:val="20"/>
          <w:color w:val="auto"/>
        </w:rPr>
      </w:pPr>
    </w:p>
    <w:p>
      <w:pPr>
        <w:ind w:left="9" w:right="20"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Research Program</w:t>
      </w:r>
      <w:r>
        <w:rPr>
          <w:rFonts w:ascii="Times New Roman" w:cs="Times New Roman" w:eastAsia="Times New Roman" w:hAnsi="Times New Roman"/>
          <w:sz w:val="16"/>
          <w:szCs w:val="16"/>
          <w:color w:val="auto"/>
        </w:rPr>
        <w:t>” means all research and development programs, pre-clinical and clinical trials, pre-clinical and clinical studies and the results therefrom, including those involving any Company Product.</w:t>
      </w:r>
    </w:p>
    <w:p>
      <w:pPr>
        <w:spacing w:after="0" w:line="103" w:lineRule="exact"/>
        <w:rPr>
          <w:sz w:val="20"/>
          <w:szCs w:val="20"/>
          <w:color w:val="auto"/>
        </w:rPr>
      </w:pPr>
    </w:p>
    <w:p>
      <w:pPr>
        <w:ind w:left="9" w:right="20"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Restructuring</w:t>
      </w:r>
      <w:r>
        <w:rPr>
          <w:rFonts w:ascii="Times New Roman" w:cs="Times New Roman" w:eastAsia="Times New Roman" w:hAnsi="Times New Roman"/>
          <w:sz w:val="16"/>
          <w:szCs w:val="16"/>
          <w:color w:val="auto"/>
        </w:rPr>
        <w:t>” means the transactions effected by the Acquired Companies [***] resulting in the transfer of Cabt-Bio (HongKong) Limited, Biotheus (Suzhou) Co., Ltd., and Biotheus (Nantong) Co., Ltd., to Biotheus Inc.</w:t>
      </w:r>
    </w:p>
    <w:p>
      <w:pPr>
        <w:spacing w:after="0" w:line="103"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RWI Retention Escrow Amount</w:t>
      </w:r>
      <w:r>
        <w:rPr>
          <w:rFonts w:ascii="Times New Roman" w:cs="Times New Roman" w:eastAsia="Times New Roman" w:hAnsi="Times New Roman"/>
          <w:sz w:val="16"/>
          <w:szCs w:val="16"/>
          <w:color w:val="auto"/>
        </w:rPr>
        <w:t>” means the Shareholder Percentage of $[***].</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18</w:t>
      </w:r>
    </w:p>
    <w:p>
      <w:pPr>
        <w:sectPr>
          <w:pgSz w:w="11900" w:h="16840" w:orient="portrait"/>
          <w:cols w:equalWidth="0" w:num="1">
            <w:col w:w="10609"/>
          </w:cols>
          <w:pgMar w:left="651" w:top="1440" w:right="640" w:bottom="1440" w:gutter="0" w:footer="0" w:header="0"/>
        </w:sectPr>
      </w:pPr>
    </w:p>
    <w:bookmarkStart w:id="297" w:name="page298"/>
    <w:bookmarkEnd w:id="297"/>
    <w:p>
      <w:pPr>
        <w:spacing w:after="0" w:line="86" w:lineRule="exact"/>
        <w:rPr>
          <w:sz w:val="20"/>
          <w:szCs w:val="20"/>
          <w:color w:val="auto"/>
        </w:rPr>
      </w:pPr>
    </w:p>
    <w:p>
      <w:pPr>
        <w:jc w:val="both"/>
        <w:ind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Sanctioned Country</w:t>
      </w:r>
      <w:r>
        <w:rPr>
          <w:rFonts w:ascii="Times New Roman" w:cs="Times New Roman" w:eastAsia="Times New Roman" w:hAnsi="Times New Roman"/>
          <w:sz w:val="16"/>
          <w:szCs w:val="16"/>
          <w:color w:val="auto"/>
        </w:rPr>
        <w:t>” means any country or region or government thereof that is, or has been in the last five years, the subject or target of a comprehensive embargo under Trade Control Laws (including Cuba, Iran, North Korea, Syria, the Crimea region of Ukraine, the so -called Donetsk People’s Republic and so-called Luhansk People’s Republic regions of Ukraine and the non-government controlled areas of the Zaporizhzhia and Kherson regions of Ukraine).</w:t>
      </w:r>
    </w:p>
    <w:p>
      <w:pPr>
        <w:spacing w:after="0" w:line="117"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Sanctioned Person</w:t>
      </w:r>
      <w:r>
        <w:rPr>
          <w:rFonts w:ascii="Times New Roman" w:cs="Times New Roman" w:eastAsia="Times New Roman" w:hAnsi="Times New Roman"/>
          <w:sz w:val="16"/>
          <w:szCs w:val="16"/>
          <w:color w:val="auto"/>
        </w:rPr>
        <w:t xml:space="preserve">” means any Person that is the subject or target of sanctions or restrictions under Trade Control Laws including: (a) any Person listed on any U.S. or non-U.S. sanctions- or export-related restricted party list, including His Majesty’s Treasury and the Office of Financial Sanctions Implementation, the List of Specially Designated Nationals and Blocked Persons, or any other sanctions- or export-related restricted party list maintained by the United Nations, the U.S. Department of the Treasury Office of Foreign Assets Control (“ </w:t>
      </w:r>
      <w:r>
        <w:rPr>
          <w:rFonts w:ascii="Times New Roman" w:cs="Times New Roman" w:eastAsia="Times New Roman" w:hAnsi="Times New Roman"/>
          <w:sz w:val="16"/>
          <w:szCs w:val="16"/>
          <w:b w:val="1"/>
          <w:bCs w:val="1"/>
          <w:i w:val="1"/>
          <w:iCs w:val="1"/>
          <w:color w:val="auto"/>
        </w:rPr>
        <w:t>OFAC</w:t>
      </w:r>
      <w:r>
        <w:rPr>
          <w:rFonts w:ascii="Times New Roman" w:cs="Times New Roman" w:eastAsia="Times New Roman" w:hAnsi="Times New Roman"/>
          <w:sz w:val="16"/>
          <w:szCs w:val="16"/>
          <w:color w:val="auto"/>
        </w:rPr>
        <w:t>”), the U.S. Department of Commerce Bureau of Industry and Security, or the U.S. Department of State; (b) the Government of Venezuela or any Person located, organized, or resident in, or a national of, a Sanctioned Country; or (c) any Person that is, in the aggregate, fifty percent or greater owned, directly or indirectly, or otherwise controlled by a Person or Persons described in clauses (a) or (b).</w:t>
      </w:r>
    </w:p>
    <w:p>
      <w:pPr>
        <w:spacing w:after="0" w:line="127" w:lineRule="exact"/>
        <w:rPr>
          <w:sz w:val="20"/>
          <w:szCs w:val="20"/>
          <w:color w:val="auto"/>
        </w:rPr>
      </w:pPr>
    </w:p>
    <w:p>
      <w:pPr>
        <w:ind w:right="40"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Series A Preferred Shares</w:t>
      </w:r>
      <w:r>
        <w:rPr>
          <w:rFonts w:ascii="Times New Roman" w:cs="Times New Roman" w:eastAsia="Times New Roman" w:hAnsi="Times New Roman"/>
          <w:sz w:val="16"/>
          <w:szCs w:val="16"/>
          <w:color w:val="auto"/>
        </w:rPr>
        <w:t xml:space="preserve"> ” means the series of preferred shares of the Company, par value $0.0001 per share, designated as “Series A Preferred Shares” in the Company Articles.</w:t>
      </w:r>
    </w:p>
    <w:p>
      <w:pPr>
        <w:spacing w:after="0" w:line="103" w:lineRule="exact"/>
        <w:rPr>
          <w:sz w:val="20"/>
          <w:szCs w:val="20"/>
          <w:color w:val="auto"/>
        </w:rPr>
      </w:pPr>
    </w:p>
    <w:p>
      <w:pPr>
        <w:jc w:val="both"/>
        <w:ind w:right="20"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Series A+ Preferred Shares</w:t>
      </w:r>
      <w:r>
        <w:rPr>
          <w:rFonts w:ascii="Times New Roman" w:cs="Times New Roman" w:eastAsia="Times New Roman" w:hAnsi="Times New Roman"/>
          <w:sz w:val="16"/>
          <w:szCs w:val="16"/>
          <w:color w:val="auto"/>
        </w:rPr>
        <w:t>” means the series of preferred shares of the Company, par value $0.0001 per share, designated as “Series A+ Preferred Shares” in the Company Articles.</w:t>
      </w:r>
    </w:p>
    <w:p>
      <w:pPr>
        <w:spacing w:after="0" w:line="103" w:lineRule="exact"/>
        <w:rPr>
          <w:sz w:val="20"/>
          <w:szCs w:val="20"/>
          <w:color w:val="auto"/>
        </w:rPr>
      </w:pPr>
    </w:p>
    <w:p>
      <w:pPr>
        <w:jc w:val="both"/>
        <w:ind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Series B Preferred Shares</w:t>
      </w:r>
      <w:r>
        <w:rPr>
          <w:rFonts w:ascii="Times New Roman" w:cs="Times New Roman" w:eastAsia="Times New Roman" w:hAnsi="Times New Roman"/>
          <w:sz w:val="16"/>
          <w:szCs w:val="16"/>
          <w:color w:val="auto"/>
        </w:rPr>
        <w:t>” means the series of preferred shares of the Company, par value $0.0001 per share, designated as “Series B Preferred Shares” in the Company Articles.</w:t>
      </w:r>
    </w:p>
    <w:p>
      <w:pPr>
        <w:spacing w:after="0" w:line="103" w:lineRule="exact"/>
        <w:rPr>
          <w:sz w:val="20"/>
          <w:szCs w:val="20"/>
          <w:color w:val="auto"/>
        </w:rPr>
      </w:pPr>
    </w:p>
    <w:p>
      <w:pPr>
        <w:jc w:val="both"/>
        <w:ind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Series B+ Preferred Shares</w:t>
      </w:r>
      <w:r>
        <w:rPr>
          <w:rFonts w:ascii="Times New Roman" w:cs="Times New Roman" w:eastAsia="Times New Roman" w:hAnsi="Times New Roman"/>
          <w:sz w:val="16"/>
          <w:szCs w:val="16"/>
          <w:color w:val="auto"/>
        </w:rPr>
        <w:t>” means the series of preferred shares of the Company, par value $0.0001 per share, designated as “Series B+ Preferred Shares” in the Company Articles.</w:t>
      </w:r>
    </w:p>
    <w:p>
      <w:pPr>
        <w:spacing w:after="0" w:line="103" w:lineRule="exact"/>
        <w:rPr>
          <w:sz w:val="20"/>
          <w:szCs w:val="20"/>
          <w:color w:val="auto"/>
        </w:rPr>
      </w:pPr>
    </w:p>
    <w:p>
      <w:pPr>
        <w:jc w:val="both"/>
        <w:ind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Series B3 Preferred Shares</w:t>
      </w:r>
      <w:r>
        <w:rPr>
          <w:rFonts w:ascii="Times New Roman" w:cs="Times New Roman" w:eastAsia="Times New Roman" w:hAnsi="Times New Roman"/>
          <w:sz w:val="16"/>
          <w:szCs w:val="16"/>
          <w:color w:val="auto"/>
        </w:rPr>
        <w:t>” means the series of preferred shares of the Company, par value $0.0001 per share, designated as “Series B3 Preferred Shares” in the Company Articles.</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Shareholder</w:t>
      </w:r>
      <w:r>
        <w:rPr>
          <w:rFonts w:ascii="Times New Roman" w:cs="Times New Roman" w:eastAsia="Times New Roman" w:hAnsi="Times New Roman"/>
          <w:sz w:val="16"/>
          <w:szCs w:val="16"/>
          <w:color w:val="auto"/>
        </w:rPr>
        <w:t>” means a holder of Shares.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Shareholder Percentage</w:t>
      </w:r>
      <w:r>
        <w:rPr>
          <w:rFonts w:ascii="Times New Roman" w:cs="Times New Roman" w:eastAsia="Times New Roman" w:hAnsi="Times New Roman"/>
          <w:sz w:val="16"/>
          <w:szCs w:val="16"/>
          <w:color w:val="auto"/>
        </w:rPr>
        <w:t>” means the aggregate Allocation Percentages of all Shareholders (which shall for the avoidance of doubt not include the [***]).</w:t>
      </w:r>
    </w:p>
    <w:p>
      <w:pPr>
        <w:spacing w:after="0" w:line="170" w:lineRule="exact"/>
        <w:rPr>
          <w:sz w:val="20"/>
          <w:szCs w:val="20"/>
          <w:color w:val="auto"/>
        </w:rPr>
      </w:pPr>
    </w:p>
    <w:p>
      <w:pPr>
        <w:jc w:val="both"/>
        <w:ind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Specified Representations</w:t>
      </w:r>
      <w:r>
        <w:rPr>
          <w:rFonts w:ascii="Times New Roman" w:cs="Times New Roman" w:eastAsia="Times New Roman" w:hAnsi="Times New Roman"/>
          <w:sz w:val="16"/>
          <w:szCs w:val="16"/>
          <w:color w:val="auto"/>
        </w:rPr>
        <w:t xml:space="preserve">” means the representations and warranties of the Company contained in subsections (a), (b), (c) and (d) of </w:t>
      </w:r>
      <w:r>
        <w:rPr>
          <w:rFonts w:ascii="Times New Roman" w:cs="Times New Roman" w:eastAsia="Times New Roman" w:hAnsi="Times New Roman"/>
          <w:sz w:val="16"/>
          <w:szCs w:val="16"/>
          <w:b w:val="1"/>
          <w:bCs w:val="1"/>
          <w:color w:val="auto"/>
        </w:rPr>
        <w:t>Section 3.1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Organization and Qualification; Subsidiaries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3.2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Authority</w:t>
      </w:r>
      <w:r>
        <w:rPr>
          <w:rFonts w:ascii="Times New Roman" w:cs="Times New Roman" w:eastAsia="Times New Roman" w:hAnsi="Times New Roman"/>
          <w:sz w:val="16"/>
          <w:szCs w:val="16"/>
          <w:color w:val="auto"/>
        </w:rPr>
        <w:t xml:space="preserve">), subsections (a), (b) and (d) of </w:t>
      </w:r>
      <w:r>
        <w:rPr>
          <w:rFonts w:ascii="Times New Roman" w:cs="Times New Roman" w:eastAsia="Times New Roman" w:hAnsi="Times New Roman"/>
          <w:sz w:val="16"/>
          <w:szCs w:val="16"/>
          <w:b w:val="1"/>
          <w:bCs w:val="1"/>
          <w:color w:val="auto"/>
        </w:rPr>
        <w:t>Section 3.4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Capitalization</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Section 3.8(a)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Absence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Certain Changes or Events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3.23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Takeover Laws</w:t>
      </w:r>
      <w:r>
        <w:rPr>
          <w:rFonts w:ascii="Times New Roman" w:cs="Times New Roman" w:eastAsia="Times New Roman" w:hAnsi="Times New Roman"/>
          <w:sz w:val="16"/>
          <w:szCs w:val="16"/>
          <w:color w:val="auto"/>
        </w:rPr>
        <w:t>)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3.25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Brokers</w:t>
      </w:r>
      <w:r>
        <w:rPr>
          <w:rFonts w:ascii="Times New Roman" w:cs="Times New Roman" w:eastAsia="Times New Roman" w:hAnsi="Times New Roman"/>
          <w:sz w:val="16"/>
          <w:szCs w:val="16"/>
          <w:color w:val="auto"/>
        </w:rPr>
        <w:t>).</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Steam Supply Agreement</w:t>
      </w:r>
      <w:r>
        <w:rPr>
          <w:rFonts w:ascii="Times New Roman" w:cs="Times New Roman" w:eastAsia="Times New Roman" w:hAnsi="Times New Roman"/>
          <w:sz w:val="16"/>
          <w:szCs w:val="16"/>
          <w:color w:val="auto"/>
        </w:rPr>
        <w:t>” means [***].</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40" w:orient="portrait"/>
          <w:cols w:equalWidth="0" w:num="1">
            <w:col w:w="10580"/>
          </w:cols>
          <w:pgMar w:left="660" w:top="1440" w:right="660" w:bottom="1440" w:gutter="0" w:footer="0" w:header="0"/>
        </w:sectPr>
      </w:pPr>
    </w:p>
    <w:bookmarkStart w:id="298" w:name="page299"/>
    <w:bookmarkEnd w:id="298"/>
    <w:p>
      <w:pPr>
        <w:spacing w:after="0" w:line="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Straddle Period</w:t>
      </w:r>
      <w:r>
        <w:rPr>
          <w:rFonts w:ascii="Times New Roman" w:cs="Times New Roman" w:eastAsia="Times New Roman" w:hAnsi="Times New Roman"/>
          <w:sz w:val="16"/>
          <w:szCs w:val="16"/>
          <w:color w:val="auto"/>
        </w:rPr>
        <w:t>” means any taxable period beginning on or before the Closing Date and ending after the Closing Date.</w:t>
      </w:r>
    </w:p>
    <w:p>
      <w:pPr>
        <w:spacing w:after="0" w:line="170" w:lineRule="exact"/>
        <w:rPr>
          <w:sz w:val="20"/>
          <w:szCs w:val="20"/>
          <w:color w:val="auto"/>
        </w:rPr>
      </w:pPr>
    </w:p>
    <w:p>
      <w:pPr>
        <w:jc w:val="both"/>
        <w:ind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Subsidiary</w:t>
      </w:r>
      <w:r>
        <w:rPr>
          <w:rFonts w:ascii="Times New Roman" w:cs="Times New Roman" w:eastAsia="Times New Roman" w:hAnsi="Times New Roman"/>
          <w:sz w:val="16"/>
          <w:szCs w:val="16"/>
          <w:color w:val="auto"/>
        </w:rPr>
        <w:t>” means, with respect to any specified Person, any other Person controlled by such specified Person, directly or indirectly, through one or more intermediaries.</w:t>
      </w:r>
    </w:p>
    <w:p>
      <w:pPr>
        <w:spacing w:after="0" w:line="103" w:lineRule="exact"/>
        <w:rPr>
          <w:sz w:val="20"/>
          <w:szCs w:val="20"/>
          <w:color w:val="auto"/>
        </w:rPr>
      </w:pPr>
    </w:p>
    <w:p>
      <w:pPr>
        <w:jc w:val="both"/>
        <w:ind w:right="20"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Supplemental Grant Agreements</w:t>
      </w:r>
      <w:r>
        <w:rPr>
          <w:rFonts w:ascii="Times New Roman" w:cs="Times New Roman" w:eastAsia="Times New Roman" w:hAnsi="Times New Roman"/>
          <w:sz w:val="16"/>
          <w:szCs w:val="16"/>
          <w:color w:val="auto"/>
        </w:rPr>
        <w:t xml:space="preserve">” means the (a) Supplemental Terms I to Stock Option Agreement, (b) Supplemental Terms II to Stock Option Agreement, (c) Supplemental Terms I to Restricted Stock Unit Agreement and (d) Supplemental Terms II to Restricted Stock Unit Agreement, each of which is substantially in the form attached hereto as </w:t>
      </w:r>
      <w:r>
        <w:rPr>
          <w:rFonts w:ascii="Times New Roman" w:cs="Times New Roman" w:eastAsia="Times New Roman" w:hAnsi="Times New Roman"/>
          <w:sz w:val="16"/>
          <w:szCs w:val="16"/>
          <w:b w:val="1"/>
          <w:bCs w:val="1"/>
          <w:color w:val="auto"/>
        </w:rPr>
        <w:t>Exhibit K.</w:t>
      </w:r>
    </w:p>
    <w:p>
      <w:pPr>
        <w:spacing w:after="0" w:line="117" w:lineRule="exact"/>
        <w:rPr>
          <w:sz w:val="20"/>
          <w:szCs w:val="20"/>
          <w:color w:val="auto"/>
        </w:rPr>
      </w:pPr>
    </w:p>
    <w:p>
      <w:pPr>
        <w:jc w:val="both"/>
        <w:ind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Systems</w:t>
      </w:r>
      <w:r>
        <w:rPr>
          <w:rFonts w:ascii="Times New Roman" w:cs="Times New Roman" w:eastAsia="Times New Roman" w:hAnsi="Times New Roman"/>
          <w:sz w:val="16"/>
          <w:szCs w:val="16"/>
          <w:color w:val="auto"/>
        </w:rPr>
        <w:t>” means computer, information technology and data processing systems, facilities and services used or held for use by any Acquired Company in the operation of the business, including all software, hardware, firmware, servers, networks, data, communications facilities, platforms and related equipment, systems and services.</w:t>
      </w:r>
    </w:p>
    <w:p>
      <w:pPr>
        <w:spacing w:after="0" w:line="117"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“Tax Liability Amount </w:t>
      </w:r>
      <w:r>
        <w:rPr>
          <w:rFonts w:ascii="Times New Roman" w:cs="Times New Roman" w:eastAsia="Times New Roman" w:hAnsi="Times New Roman"/>
          <w:sz w:val="16"/>
          <w:szCs w:val="16"/>
          <w:color w:val="auto"/>
        </w:rPr>
        <w:t>” means an amount (not less than $0 with respect to each particular income Tax liability of an Acquired Company) equal to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aggregate income Tax liabilities of the Acquired Companies attributable to any Pre-Closing Tax Period for which the relevant income Tax Returns are first due (with extension) after the Closing Date, calculated (a) as if the taxable year of each such Acquired Company ends as of the Closing Date (determined, in the case of a Straddle Period, in the manner set forth in </w:t>
      </w:r>
      <w:r>
        <w:rPr>
          <w:rFonts w:ascii="Times New Roman" w:cs="Times New Roman" w:eastAsia="Times New Roman" w:hAnsi="Times New Roman"/>
          <w:sz w:val="16"/>
          <w:szCs w:val="16"/>
          <w:b w:val="1"/>
          <w:bCs w:val="1"/>
          <w:color w:val="auto"/>
        </w:rPr>
        <w:t>Section 5.14(j)</w:t>
      </w:r>
      <w:r>
        <w:rPr>
          <w:rFonts w:ascii="Times New Roman" w:cs="Times New Roman" w:eastAsia="Times New Roman" w:hAnsi="Times New Roman"/>
          <w:sz w:val="16"/>
          <w:szCs w:val="16"/>
          <w:color w:val="auto"/>
        </w:rPr>
        <w:t>), (b) by including estimated (or other prepaid) income Tax payments only to the extent that such payments have the effect of reducing (but not below $0) the particular income Tax liability in respect of which such payments were made, (c) by taking into account Transaction Tax Deductions that are properly deductible in Pre-Closing Tax Periods to the maximum extent permitted by applicable law at a “more likely than not” (or higher) level of comfort, (d) be calculated in accordance with the past practice (including reporting positions, jurisdictions and types of income Taxes, elections and accounting methods) of the Company in preparing Tax Returns, (e) exclude all deferred Tax liabilities and deferred Tax assets established for financial reporting purposes, (f) exclude any Taxes attributable to transactions outside the ordinary course of business on the Closing Date after the time the Closing and (g) take into account any net operating losses or credits generated in a Pre- Closing Tax Period that can be used to offset income or Taxes in a Pre-Closing Tax Period, provided that any such deductions or credits used in the computation of this Tax Liability Amount will only be taken into account to the extent deductible under applicable Law by an Acquired Company in a Pre-Closing Tax Period at a “more-likely-than-not” or greater level of comfort.</w:t>
      </w:r>
    </w:p>
    <w:p>
      <w:pPr>
        <w:spacing w:after="0" w:line="130" w:lineRule="exact"/>
        <w:rPr>
          <w:sz w:val="20"/>
          <w:szCs w:val="20"/>
          <w:color w:val="auto"/>
        </w:rPr>
      </w:pPr>
    </w:p>
    <w:p>
      <w:pPr>
        <w:jc w:val="both"/>
        <w:ind w:firstLine="485"/>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Tax Return</w:t>
      </w:r>
      <w:r>
        <w:rPr>
          <w:rFonts w:ascii="Times New Roman" w:cs="Times New Roman" w:eastAsia="Times New Roman" w:hAnsi="Times New Roman"/>
          <w:sz w:val="16"/>
          <w:szCs w:val="16"/>
          <w:color w:val="auto"/>
        </w:rPr>
        <w:t>” means any return, declaration, report, form, claim for refund, election, certificate, statement, information statement and other document relating to Taxes, including relating to the exchange of Taxes information between Governmental Authorities and any amendment, schedule, or attachment thereto (including all related and supporting information) in respect of Taxes.</w:t>
      </w:r>
    </w:p>
    <w:p>
      <w:pPr>
        <w:spacing w:after="0" w:line="117" w:lineRule="exact"/>
        <w:rPr>
          <w:sz w:val="20"/>
          <w:szCs w:val="20"/>
          <w:color w:val="auto"/>
        </w:rPr>
      </w:pPr>
    </w:p>
    <w:p>
      <w:pPr>
        <w:jc w:val="both"/>
        <w:ind w:firstLine="48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Taxes</w:t>
      </w:r>
      <w:r>
        <w:rPr>
          <w:rFonts w:ascii="Times New Roman" w:cs="Times New Roman" w:eastAsia="Times New Roman" w:hAnsi="Times New Roman"/>
          <w:sz w:val="16"/>
          <w:szCs w:val="16"/>
          <w:color w:val="auto"/>
        </w:rPr>
        <w:t>” means all net income, gross income, gross receipts, sales, use, ad valorem, transfer, franchise, profits, registration, license, lease, service, service use, withholding, payroll,</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40" w:orient="portrait"/>
          <w:cols w:equalWidth="0" w:num="1">
            <w:col w:w="10580"/>
          </w:cols>
          <w:pgMar w:left="660" w:top="1440" w:right="660" w:bottom="1440" w:gutter="0" w:footer="0" w:header="0"/>
        </w:sectPr>
      </w:pPr>
    </w:p>
    <w:bookmarkStart w:id="299" w:name="page300"/>
    <w:bookmarkEnd w:id="299"/>
    <w:p>
      <w:pPr>
        <w:spacing w:after="0" w:line="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employment, social security, excise, severance, stamp, occupation, premium, property, real property, unclaimed property, windfall profits, fuel, gas import, customs, duties, value added, alternative or add on minimum, estimated, or other taxes, or similar fees, assessments or charges, together with any interest and any penalties, additions to tax or additional amounts imposed, assessed or collected by or under the authority of any Governmental Authority.</w:t>
      </w:r>
    </w:p>
    <w:p>
      <w:pPr>
        <w:spacing w:after="0" w:line="120" w:lineRule="exact"/>
        <w:rPr>
          <w:sz w:val="20"/>
          <w:szCs w:val="20"/>
          <w:color w:val="auto"/>
        </w:rPr>
      </w:pPr>
    </w:p>
    <w:p>
      <w:pPr>
        <w:jc w:val="both"/>
        <w:ind w:firstLine="485"/>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Trade Control Laws</w:t>
      </w:r>
      <w:r>
        <w:rPr>
          <w:rFonts w:ascii="Times New Roman" w:cs="Times New Roman" w:eastAsia="Times New Roman" w:hAnsi="Times New Roman"/>
          <w:sz w:val="16"/>
          <w:szCs w:val="16"/>
          <w:color w:val="auto"/>
        </w:rPr>
        <w:t>” means all export, reexport, transfer, retransfer, and import control Laws; all U.S. anti-boycott Laws; and all U.S. and non-U.S. Laws relating to economic or trade sanctions, including the Laws administered or enforced by the United States (including by the OFAC or the U.S. Department of State), His Majesty’s Treasury of the United Kingdom, the Cayman Islands Governor or Financial Reporting Authority, the Office of the Governor in the British Virgin Islands or Financial Investigations Agency, the European Union, and the United Nations Security Council.</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Trading Days</w:t>
      </w:r>
      <w:r>
        <w:rPr>
          <w:rFonts w:ascii="Times New Roman" w:cs="Times New Roman" w:eastAsia="Times New Roman" w:hAnsi="Times New Roman"/>
          <w:sz w:val="16"/>
          <w:szCs w:val="16"/>
          <w:color w:val="auto"/>
        </w:rPr>
        <w:t>” means a day on which shares of Issuer ADSs are traded on Nasdaq.</w:t>
      </w:r>
    </w:p>
    <w:p>
      <w:pPr>
        <w:spacing w:after="0" w:line="160" w:lineRule="exact"/>
        <w:rPr>
          <w:sz w:val="20"/>
          <w:szCs w:val="20"/>
          <w:color w:val="auto"/>
        </w:rPr>
      </w:pPr>
    </w:p>
    <w:p>
      <w:pPr>
        <w:jc w:val="both"/>
        <w:ind w:firstLine="485"/>
        <w:spacing w:after="0" w:line="25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Transaction Accounting Principles</w:t>
      </w:r>
      <w:r>
        <w:rPr>
          <w:rFonts w:ascii="Times New Roman" w:cs="Times New Roman" w:eastAsia="Times New Roman" w:hAnsi="Times New Roman"/>
          <w:sz w:val="16"/>
          <w:szCs w:val="16"/>
          <w:color w:val="auto"/>
        </w:rPr>
        <w:t xml:space="preserve"> ” means the accounting principles, practices, procedures, policies and methods set forth on </w:t>
      </w:r>
      <w:r>
        <w:rPr>
          <w:rFonts w:ascii="Times New Roman" w:cs="Times New Roman" w:eastAsia="Times New Roman" w:hAnsi="Times New Roman"/>
          <w:sz w:val="16"/>
          <w:szCs w:val="16"/>
          <w:b w:val="1"/>
          <w:bCs w:val="1"/>
          <w:color w:val="auto"/>
        </w:rPr>
        <w:t>Exhibit C</w:t>
      </w:r>
      <w:r>
        <w:rPr>
          <w:rFonts w:ascii="Times New Roman" w:cs="Times New Roman" w:eastAsia="Times New Roman" w:hAnsi="Times New Roman"/>
          <w:sz w:val="16"/>
          <w:szCs w:val="16"/>
          <w:color w:val="auto"/>
        </w:rPr>
        <w:t>, including the illustrative calculations of each of the Closing Cash Amount, Indebtedness and Net Working Capital, in each case as of [***].</w:t>
      </w:r>
    </w:p>
    <w:p>
      <w:pPr>
        <w:spacing w:after="0" w:line="102" w:lineRule="exact"/>
        <w:rPr>
          <w:sz w:val="20"/>
          <w:szCs w:val="20"/>
          <w:color w:val="auto"/>
        </w:rPr>
      </w:pPr>
    </w:p>
    <w:p>
      <w:pPr>
        <w:jc w:val="both"/>
        <w:ind w:firstLine="485"/>
        <w:spacing w:after="0" w:line="22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Transaction Tax Deductions</w:t>
      </w:r>
      <w:r>
        <w:rPr>
          <w:rFonts w:ascii="Times New Roman" w:cs="Times New Roman" w:eastAsia="Times New Roman" w:hAnsi="Times New Roman"/>
          <w:sz w:val="16"/>
          <w:szCs w:val="16"/>
          <w:color w:val="auto"/>
        </w:rPr>
        <w:t xml:space="preserve"> ” means the sum of (a) any and all bonuses or other compensation paid in connection with the consummation of the transactions contemplated by this Agreement (including the employer portion of any employment-related Taxes), (b) any and all deductible amounts incurred in connection with the retirement of any Indebtedness, as contemplated by this Agreement, (c) any and all deductible payments of Closing Transaction Expenses as contemplated by this Agreement and (d) any other deductible payments made in connection with the consummation of the transactions contemplated hereunder.</w:t>
      </w:r>
    </w:p>
    <w:p>
      <w:pPr>
        <w:spacing w:after="0" w:line="110" w:lineRule="exact"/>
        <w:rPr>
          <w:sz w:val="20"/>
          <w:szCs w:val="20"/>
          <w:color w:val="auto"/>
        </w:rPr>
      </w:pPr>
    </w:p>
    <w:p>
      <w:pPr>
        <w:jc w:val="both"/>
        <w:ind w:firstLine="485"/>
        <w:spacing w:after="0" w:line="22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Willful Breach</w:t>
      </w:r>
      <w:r>
        <w:rPr>
          <w:rFonts w:ascii="Times New Roman" w:cs="Times New Roman" w:eastAsia="Times New Roman" w:hAnsi="Times New Roman"/>
          <w:sz w:val="16"/>
          <w:szCs w:val="16"/>
          <w:color w:val="auto"/>
        </w:rPr>
        <w:t>” means with respect to (a) any breach of a representation or warranty contained in this Agreement, any material breach that is made with actual knowledge of such breach by the breaching party or (b) with respect to any covenant or agreement contained in this Agreement, any breach or failure to perform that is a consequence of an act or failure to act undertaken by the breaching party with actual knowledge that such party’s act or failure to act would, or would reasonably be expected to, result in or constitute a material breach of this Agreement.</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p>
    <w:p>
      <w:pPr>
        <w:spacing w:after="0" w:line="137"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1.2</w:t>
      </w:r>
      <w:r>
        <w:rPr>
          <w:rFonts w:ascii="Times New Roman" w:cs="Times New Roman" w:eastAsia="Times New Roman" w:hAnsi="Times New Roman"/>
          <w:sz w:val="16"/>
          <w:szCs w:val="16"/>
          <w:b w:val="1"/>
          <w:bCs w:val="1"/>
          <w:color w:val="auto"/>
        </w:rPr>
        <w:tab/>
        <w:t>Table of Definitions</w:t>
      </w:r>
      <w:r>
        <w:rPr>
          <w:rFonts w:ascii="Times New Roman" w:cs="Times New Roman" w:eastAsia="Times New Roman" w:hAnsi="Times New Roman"/>
          <w:sz w:val="16"/>
          <w:szCs w:val="16"/>
          <w:color w:val="auto"/>
        </w:rPr>
        <w:t>. The following terms have the meanings set forth in the Sections referenced below:</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Definition</w:t>
            </w:r>
          </w:p>
        </w:tc>
        <w:tc>
          <w:tcPr>
            <w:tcW w:w="3100" w:type="dxa"/>
            <w:vAlign w:val="bottom"/>
          </w:tcPr>
          <w:p>
            <w:pPr>
              <w:ind w:left="2480"/>
              <w:spacing w:after="0"/>
              <w:rPr>
                <w:sz w:val="20"/>
                <w:szCs w:val="20"/>
                <w:color w:val="auto"/>
              </w:rPr>
            </w:pPr>
            <w:r>
              <w:rPr>
                <w:rFonts w:ascii="Times New Roman" w:cs="Times New Roman" w:eastAsia="Times New Roman" w:hAnsi="Times New Roman"/>
                <w:sz w:val="16"/>
                <w:szCs w:val="16"/>
                <w:b w:val="1"/>
                <w:bCs w:val="1"/>
                <w:color w:val="auto"/>
                <w:w w:val="99"/>
              </w:rPr>
              <w:t>Location</w:t>
            </w:r>
          </w:p>
        </w:tc>
      </w:tr>
      <w:tr>
        <w:trPr>
          <w:trHeight w:val="224"/>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 Audited Financial Statements</w:t>
            </w:r>
          </w:p>
        </w:tc>
        <w:tc>
          <w:tcPr>
            <w:tcW w:w="3100" w:type="dxa"/>
            <w:vAlign w:val="bottom"/>
          </w:tcPr>
          <w:p>
            <w:pPr>
              <w:ind w:left="2480"/>
              <w:spacing w:after="0"/>
              <w:rPr>
                <w:sz w:val="20"/>
                <w:szCs w:val="20"/>
                <w:color w:val="auto"/>
              </w:rPr>
            </w:pPr>
            <w:r>
              <w:rPr>
                <w:rFonts w:ascii="Times New Roman" w:cs="Times New Roman" w:eastAsia="Times New Roman" w:hAnsi="Times New Roman"/>
                <w:sz w:val="16"/>
                <w:szCs w:val="16"/>
                <w:b w:val="1"/>
                <w:bCs w:val="1"/>
                <w:color w:val="auto"/>
              </w:rPr>
              <w:t>3.6(a)</w:t>
            </w:r>
          </w:p>
        </w:tc>
      </w:tr>
      <w:tr>
        <w:trPr>
          <w:trHeight w:val="221"/>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 Group Audited Financial Statements</w:t>
            </w:r>
          </w:p>
        </w:tc>
        <w:tc>
          <w:tcPr>
            <w:tcW w:w="3100" w:type="dxa"/>
            <w:vAlign w:val="bottom"/>
          </w:tcPr>
          <w:p>
            <w:pPr>
              <w:ind w:left="2480"/>
              <w:spacing w:after="0"/>
              <w:rPr>
                <w:sz w:val="20"/>
                <w:szCs w:val="20"/>
                <w:color w:val="auto"/>
              </w:rPr>
            </w:pPr>
            <w:r>
              <w:rPr>
                <w:rFonts w:ascii="Times New Roman" w:cs="Times New Roman" w:eastAsia="Times New Roman" w:hAnsi="Times New Roman"/>
                <w:sz w:val="16"/>
                <w:szCs w:val="16"/>
                <w:b w:val="1"/>
                <w:bCs w:val="1"/>
                <w:color w:val="auto"/>
              </w:rPr>
              <w:t>5.18</w:t>
            </w:r>
          </w:p>
        </w:tc>
      </w:tr>
      <w:tr>
        <w:trPr>
          <w:trHeight w:val="214"/>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Proposal</w:t>
            </w:r>
          </w:p>
        </w:tc>
        <w:tc>
          <w:tcPr>
            <w:tcW w:w="3100" w:type="dxa"/>
            <w:vAlign w:val="bottom"/>
          </w:tcPr>
          <w:p>
            <w:pPr>
              <w:ind w:left="2480"/>
              <w:spacing w:after="0"/>
              <w:rPr>
                <w:sz w:val="20"/>
                <w:szCs w:val="20"/>
                <w:color w:val="auto"/>
              </w:rPr>
            </w:pPr>
            <w:r>
              <w:rPr>
                <w:rFonts w:ascii="Times New Roman" w:cs="Times New Roman" w:eastAsia="Times New Roman" w:hAnsi="Times New Roman"/>
                <w:sz w:val="16"/>
                <w:szCs w:val="16"/>
                <w:b w:val="1"/>
                <w:bCs w:val="1"/>
                <w:color w:val="auto"/>
              </w:rPr>
              <w:t>5.3</w:t>
            </w:r>
          </w:p>
        </w:tc>
      </w:tr>
      <w:tr>
        <w:trPr>
          <w:trHeight w:val="232"/>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Adjustment Amount</w:t>
            </w:r>
          </w:p>
        </w:tc>
        <w:tc>
          <w:tcPr>
            <w:tcW w:w="3100" w:type="dxa"/>
            <w:vAlign w:val="bottom"/>
          </w:tcPr>
          <w:p>
            <w:pPr>
              <w:ind w:left="2480"/>
              <w:spacing w:after="0"/>
              <w:rPr>
                <w:sz w:val="20"/>
                <w:szCs w:val="20"/>
                <w:color w:val="auto"/>
              </w:rPr>
            </w:pPr>
            <w:r>
              <w:rPr>
                <w:rFonts w:ascii="Times New Roman" w:cs="Times New Roman" w:eastAsia="Times New Roman" w:hAnsi="Times New Roman"/>
                <w:sz w:val="16"/>
                <w:szCs w:val="16"/>
                <w:b w:val="1"/>
                <w:bCs w:val="1"/>
                <w:color w:val="auto"/>
              </w:rPr>
              <w:t>2.9(f)</w:t>
            </w:r>
          </w:p>
        </w:tc>
      </w:tr>
      <w:tr>
        <w:trPr>
          <w:trHeight w:val="232"/>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Adjustment Amount Payment Spreadsheet</w:t>
            </w:r>
          </w:p>
        </w:tc>
        <w:tc>
          <w:tcPr>
            <w:tcW w:w="3100" w:type="dxa"/>
            <w:vAlign w:val="bottom"/>
          </w:tcPr>
          <w:p>
            <w:pPr>
              <w:ind w:left="2480"/>
              <w:spacing w:after="0"/>
              <w:rPr>
                <w:sz w:val="20"/>
                <w:szCs w:val="20"/>
                <w:color w:val="auto"/>
              </w:rPr>
            </w:pPr>
            <w:r>
              <w:rPr>
                <w:rFonts w:ascii="Times New Roman" w:cs="Times New Roman" w:eastAsia="Times New Roman" w:hAnsi="Times New Roman"/>
                <w:sz w:val="16"/>
                <w:szCs w:val="16"/>
                <w:b w:val="1"/>
                <w:bCs w:val="1"/>
                <w:color w:val="auto"/>
              </w:rPr>
              <w:t>2.9(d)</w:t>
            </w:r>
          </w:p>
        </w:tc>
      </w:tr>
      <w:tr>
        <w:trPr>
          <w:trHeight w:val="222"/>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ADS Agreement</w:t>
            </w:r>
          </w:p>
        </w:tc>
        <w:tc>
          <w:tcPr>
            <w:tcW w:w="3100" w:type="dxa"/>
            <w:vAlign w:val="bottom"/>
          </w:tcPr>
          <w:p>
            <w:pPr>
              <w:ind w:left="2480"/>
              <w:spacing w:after="0"/>
              <w:rPr>
                <w:sz w:val="20"/>
                <w:szCs w:val="20"/>
                <w:color w:val="auto"/>
              </w:rPr>
            </w:pPr>
            <w:r>
              <w:rPr>
                <w:rFonts w:ascii="Times New Roman" w:cs="Times New Roman" w:eastAsia="Times New Roman" w:hAnsi="Times New Roman"/>
                <w:sz w:val="16"/>
                <w:szCs w:val="16"/>
                <w:b w:val="1"/>
                <w:bCs w:val="1"/>
                <w:color w:val="auto"/>
              </w:rPr>
              <w:t>2.13</w:t>
            </w:r>
          </w:p>
        </w:tc>
      </w:tr>
      <w:tr>
        <w:trPr>
          <w:trHeight w:val="839"/>
        </w:trPr>
        <w:tc>
          <w:tcPr>
            <w:tcW w:w="4000" w:type="dxa"/>
            <w:vAlign w:val="bottom"/>
          </w:tcPr>
          <w:p>
            <w:pPr>
              <w:spacing w:after="0"/>
              <w:rPr>
                <w:sz w:val="24"/>
                <w:szCs w:val="24"/>
                <w:color w:val="auto"/>
              </w:rPr>
            </w:pPr>
          </w:p>
        </w:tc>
        <w:tc>
          <w:tcPr>
            <w:tcW w:w="310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21</w:t>
            </w:r>
          </w:p>
        </w:tc>
      </w:tr>
    </w:tbl>
    <w:p>
      <w:pPr>
        <w:sectPr>
          <w:pgSz w:w="11900" w:h="16840" w:orient="portrait"/>
          <w:cols w:equalWidth="0" w:num="1">
            <w:col w:w="10580"/>
          </w:cols>
          <w:pgMar w:left="660" w:top="1440" w:right="660" w:bottom="1440" w:gutter="0" w:footer="0" w:header="0"/>
        </w:sectPr>
      </w:pPr>
    </w:p>
    <w:bookmarkStart w:id="300" w:name="page301"/>
    <w:bookmarkEnd w:id="300"/>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Advisory Group</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9.1(f)</w:t>
            </w:r>
          </w:p>
        </w:tc>
      </w:tr>
      <w:tr>
        <w:trPr>
          <w:trHeight w:val="23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Agreement</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Preamble</w:t>
            </w:r>
          </w:p>
        </w:tc>
      </w:t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Issuer ADSs</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2.13</w:t>
            </w:r>
          </w:p>
        </w:tc>
      </w:tr>
      <w:tr>
        <w:trPr>
          <w:trHeight w:val="20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 Withheld Amount</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2.13</w:t>
            </w:r>
          </w:p>
        </w:tc>
      </w:tr>
      <w:tr>
        <w:trPr>
          <w:trHeight w:val="21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Arbitration</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9.11</w:t>
            </w:r>
          </w:p>
        </w:tc>
      </w:tr>
      <w:tr>
        <w:trPr>
          <w:trHeight w:val="214"/>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Bankruptcy and Equity Exception</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3.2(a)</w:t>
            </w:r>
          </w:p>
        </w:tc>
      </w:tr>
      <w:tr>
        <w:trPr>
          <w:trHeight w:val="221"/>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2.12(d)</w:t>
            </w:r>
          </w:p>
        </w:tc>
      </w:tr>
      <w:tr>
        <w:trPr>
          <w:trHeight w:val="214"/>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Cancelled Shares</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2.6(c)</w:t>
            </w:r>
          </w:p>
        </w:tc>
      </w:tr>
      <w:tr>
        <w:trPr>
          <w:trHeight w:val="23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Cayman Companies Law</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Recitals</w:t>
            </w:r>
          </w:p>
        </w:tc>
      </w:tr>
      <w:tr>
        <w:trPr>
          <w:trHeight w:val="23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Certificates</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2.8(c)</w:t>
            </w:r>
          </w:p>
        </w:tc>
      </w:tr>
      <w:tr>
        <w:trPr>
          <w:trHeight w:val="23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Claim Notice</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8.4(a)</w:t>
            </w:r>
          </w:p>
        </w:tc>
      </w:tr>
      <w:tr>
        <w:trPr>
          <w:trHeight w:val="23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Closing</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2.2(a)</w:t>
            </w:r>
          </w:p>
        </w:tc>
      </w:tr>
      <w:tr>
        <w:trPr>
          <w:trHeight w:val="23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Closing Date</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2.2(a)</w:t>
            </w:r>
          </w:p>
        </w:tc>
      </w:tr>
      <w:tr>
        <w:trPr>
          <w:trHeight w:val="23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Closing Payment Spreadsheet</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6.3(d)</w:t>
            </w:r>
          </w:p>
        </w:tc>
      </w:tr>
      <w:tr>
        <w:trPr>
          <w:trHeight w:val="23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Closing Statement</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2.9(b)</w:t>
            </w:r>
          </w:p>
        </w:tc>
      </w:tr>
      <w:tr>
        <w:trPr>
          <w:trHeight w:val="23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Company</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Preamble</w:t>
            </w:r>
          </w:p>
        </w:tc>
      </w:t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Company Board</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Recitals</w:t>
            </w:r>
          </w:p>
        </w:tc>
      </w:tr>
      <w:tr>
        <w:trPr>
          <w:trHeight w:val="20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Company Indemnified Parties</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8.3(a)</w:t>
            </w:r>
          </w:p>
        </w:tc>
      </w:tr>
      <w:tr>
        <w:trPr>
          <w:trHeight w:val="224"/>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Company Parties</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8.1(b)</w:t>
            </w:r>
          </w:p>
        </w:tc>
      </w:tr>
      <w:tr>
        <w:trPr>
          <w:trHeight w:val="23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Company Registered IP</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3.17(a)</w:t>
            </w:r>
          </w:p>
        </w:tc>
      </w:tr>
      <w:tr>
        <w:trPr>
          <w:trHeight w:val="23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Confidentiality Agreement</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5.7</w:t>
            </w:r>
          </w:p>
        </w:tc>
      </w:tr>
      <w:tr>
        <w:trPr>
          <w:trHeight w:val="221"/>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Contingent Payment</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2.12(a)</w:t>
            </w:r>
          </w:p>
        </w:tc>
      </w:tr>
      <w:tr>
        <w:trPr>
          <w:trHeight w:val="214"/>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Contributor</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3.17(h)</w:t>
            </w:r>
          </w:p>
        </w:tc>
      </w:tr>
      <w:tr>
        <w:trPr>
          <w:trHeight w:val="23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Copyrights</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1.1</w:t>
            </w:r>
          </w:p>
        </w:tc>
      </w:t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Covered Matter</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8.2(a)</w:t>
            </w:r>
          </w:p>
        </w:tc>
      </w:tr>
      <w:tr>
        <w:trPr>
          <w:trHeight w:val="20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D&amp;O Agreements</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5.12(a)</w:t>
            </w:r>
          </w:p>
        </w:tc>
      </w:tr>
      <w:tr>
        <w:trPr>
          <w:trHeight w:val="20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D&amp;O Indemnified Party</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5.12(a)</w:t>
            </w:r>
          </w:p>
        </w:tc>
      </w:tr>
      <w:tr>
        <w:trPr>
          <w:trHeight w:val="20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Data Room</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9.7</w:t>
            </w:r>
          </w:p>
        </w:tc>
      </w:tr>
      <w:tr>
        <w:trPr>
          <w:trHeight w:val="224"/>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Debt Payoff Letters</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2.10(i)</w:t>
            </w:r>
          </w:p>
        </w:tc>
      </w:t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Designs</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1.1</w:t>
            </w:r>
          </w:p>
        </w:tc>
      </w:tr>
      <w:tr>
        <w:trPr>
          <w:trHeight w:val="21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Development Milestone Event</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2.12(b)</w:t>
            </w:r>
          </w:p>
        </w:tc>
      </w:tr>
      <w:tr>
        <w:trPr>
          <w:trHeight w:val="214"/>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Disclosure Schedules</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w w:val="97"/>
              </w:rPr>
              <w:t>Article III</w:t>
            </w:r>
          </w:p>
        </w:tc>
      </w:tr>
      <w:tr>
        <w:trPr>
          <w:trHeight w:val="23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Dispute Auditor</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2.9(c)</w:t>
            </w:r>
          </w:p>
        </w:tc>
      </w:tr>
      <w:tr>
        <w:trPr>
          <w:trHeight w:val="23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Dispute Notice</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2.9(c)</w:t>
            </w:r>
          </w:p>
        </w:tc>
      </w:tr>
      <w:tr>
        <w:trPr>
          <w:trHeight w:val="221"/>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Dispute Period</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2.9(c)</w:t>
            </w:r>
          </w:p>
        </w:tc>
      </w:tr>
      <w:tr>
        <w:trPr>
          <w:trHeight w:val="214"/>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Dissenting Shares</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2.7</w:t>
            </w:r>
          </w:p>
        </w:tc>
      </w:t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2.12(f)</w:t>
            </w:r>
          </w:p>
        </w:tc>
      </w:tr>
      <w:tr>
        <w:trPr>
          <w:trHeight w:val="21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2.12(d)</w:t>
            </w:r>
          </w:p>
        </w:tc>
      </w:tr>
      <w:tr>
        <w:trPr>
          <w:trHeight w:val="214"/>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DOJ</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5.8(a)</w:t>
            </w:r>
          </w:p>
        </w:tc>
      </w:t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Dormant Subsidiaries</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3.1(d)</w:t>
            </w:r>
          </w:p>
        </w:tc>
      </w:tr>
      <w:tr>
        <w:trPr>
          <w:trHeight w:val="224"/>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DPA</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3.11(b)</w:t>
            </w:r>
          </w:p>
        </w:tc>
      </w:tr>
      <w:tr>
        <w:trPr>
          <w:trHeight w:val="23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Effective Time</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2.2(b)</w:t>
            </w:r>
          </w:p>
        </w:tc>
      </w:tr>
      <w:tr>
        <w:trPr>
          <w:trHeight w:val="23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Environmental Laws</w:t>
            </w:r>
          </w:p>
        </w:tc>
        <w:tc>
          <w:tcPr>
            <w:tcW w:w="348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3.20(b)(i)</w:t>
            </w:r>
          </w:p>
        </w:tc>
      </w:tr>
      <w:tr>
        <w:trPr>
          <w:trHeight w:val="859"/>
        </w:trPr>
        <w:tc>
          <w:tcPr>
            <w:tcW w:w="3720" w:type="dxa"/>
            <w:vAlign w:val="bottom"/>
          </w:tcPr>
          <w:p>
            <w:pPr>
              <w:spacing w:after="0"/>
              <w:rPr>
                <w:sz w:val="24"/>
                <w:szCs w:val="24"/>
                <w:color w:val="auto"/>
              </w:rPr>
            </w:pPr>
          </w:p>
        </w:tc>
        <w:tc>
          <w:tcPr>
            <w:tcW w:w="34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22</w:t>
            </w:r>
          </w:p>
        </w:tc>
      </w:tr>
    </w:tbl>
    <w:p>
      <w:pPr>
        <w:sectPr>
          <w:pgSz w:w="11900" w:h="16840" w:orient="portrait"/>
          <w:cols w:equalWidth="0" w:num="1">
            <w:col w:w="9760"/>
          </w:cols>
          <w:pgMar w:left="700" w:top="1440" w:right="1440" w:bottom="1440" w:gutter="0" w:footer="0" w:header="0"/>
        </w:sectPr>
      </w:pPr>
    </w:p>
    <w:bookmarkStart w:id="301" w:name="page302"/>
    <w:bookmarkEnd w:id="301"/>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Escrow Amount Payment Spreadsheet</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2.9(d)</w:t>
            </w: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5.28(a)</w:t>
            </w:r>
          </w:p>
        </w:tc>
      </w:tr>
      <w:tr>
        <w:trPr>
          <w:trHeight w:val="20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2.10(e)</w:t>
            </w:r>
          </w:p>
        </w:tc>
      </w:tr>
      <w:tr>
        <w:trPr>
          <w:trHeight w:val="20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2.10(c)</w:t>
            </w:r>
          </w:p>
        </w:tc>
      </w:tr>
      <w:tr>
        <w:trPr>
          <w:trHeight w:val="20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2.9(a)</w:t>
            </w:r>
          </w:p>
        </w:tc>
      </w:tr>
      <w:tr>
        <w:trPr>
          <w:trHeight w:val="224"/>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2.9(a)</w:t>
            </w:r>
          </w:p>
        </w:tc>
      </w:tr>
      <w:tr>
        <w:trPr>
          <w:trHeight w:val="23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2.9(a)</w:t>
            </w:r>
          </w:p>
        </w:tc>
      </w:tr>
      <w:tr>
        <w:trPr>
          <w:trHeight w:val="23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2.9(a)</w:t>
            </w:r>
          </w:p>
        </w:tc>
      </w:tr>
      <w:tr>
        <w:trPr>
          <w:trHeight w:val="23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Estimated Closing Statement</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2.9(a)</w:t>
            </w:r>
          </w:p>
        </w:tc>
      </w:tr>
      <w:tr>
        <w:trPr>
          <w:trHeight w:val="23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2.9(a)</w:t>
            </w: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Existing Lender</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5.20</w:t>
            </w:r>
          </w:p>
        </w:tc>
      </w:tr>
      <w:tr>
        <w:trPr>
          <w:trHeight w:val="224"/>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Expense Fund Payment Spreadsheet</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9.1(e)</w:t>
            </w:r>
          </w:p>
        </w:tc>
      </w:tr>
      <w:tr>
        <w:trPr>
          <w:trHeight w:val="23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Expiration Date</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8.1(a)</w:t>
            </w: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FCO</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5.8(a)</w:t>
            </w:r>
          </w:p>
        </w:tc>
      </w:tr>
      <w:tr>
        <w:trPr>
          <w:trHeight w:val="20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Final Determination</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8.6</w:t>
            </w:r>
          </w:p>
        </w:tc>
      </w:tr>
      <w:tr>
        <w:trPr>
          <w:trHeight w:val="21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Founder Issuer ADSs</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2.13</w:t>
            </w:r>
          </w:p>
        </w:tc>
      </w:tr>
      <w:tr>
        <w:trPr>
          <w:trHeight w:val="214"/>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FTC</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5.8(a)</w:t>
            </w:r>
          </w:p>
        </w:tc>
      </w:tr>
      <w:tr>
        <w:trPr>
          <w:trHeight w:val="23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Hazardous Substances</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w w:val="95"/>
              </w:rPr>
              <w:t>3.20(b)(ii)</w:t>
            </w: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ICC</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9.11</w:t>
            </w:r>
          </w:p>
        </w:tc>
      </w:tr>
      <w:tr>
        <w:trPr>
          <w:trHeight w:val="21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ICC Rules</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9.11</w:t>
            </w:r>
          </w:p>
        </w:tc>
      </w:tr>
      <w:tr>
        <w:trPr>
          <w:trHeight w:val="214"/>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Inbound Licenses</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3.17(e)</w:t>
            </w:r>
          </w:p>
        </w:tc>
      </w:tr>
      <w:tr>
        <w:trPr>
          <w:trHeight w:val="221"/>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Indemnified Parties</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8.3(a)</w:t>
            </w:r>
          </w:p>
        </w:tc>
      </w:tr>
      <w:tr>
        <w:trPr>
          <w:trHeight w:val="214"/>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Information Statement</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5.4(a)</w:t>
            </w:r>
          </w:p>
        </w:tc>
      </w:tr>
      <w:tr>
        <w:trPr>
          <w:trHeight w:val="221"/>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Interim Management Accounts</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3.6(a)</w:t>
            </w:r>
          </w:p>
        </w:tc>
      </w:tr>
      <w:tr>
        <w:trPr>
          <w:trHeight w:val="214"/>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IP Agreement</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3.17(h)</w:t>
            </w: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Issuer ADSs</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2.13</w:t>
            </w:r>
          </w:p>
        </w:tc>
      </w:tr>
      <w:tr>
        <w:trPr>
          <w:trHeight w:val="20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 Withheld Amount</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2.13</w:t>
            </w:r>
          </w:p>
        </w:tc>
      </w:tr>
      <w:tr>
        <w:trPr>
          <w:trHeight w:val="20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Key Employee</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6.3(g)</w:t>
            </w:r>
          </w:p>
        </w:tc>
      </w:tr>
      <w:tr>
        <w:trPr>
          <w:trHeight w:val="21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Key Employee Agreements</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6.3(g)</w:t>
            </w:r>
          </w:p>
        </w:tc>
      </w:tr>
      <w:tr>
        <w:trPr>
          <w:trHeight w:val="214"/>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Letter of Transmittal</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2.8(c)</w:t>
            </w:r>
          </w:p>
        </w:tc>
      </w:tr>
      <w:tr>
        <w:trPr>
          <w:trHeight w:val="23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Marks</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1.1</w:t>
            </w:r>
          </w:p>
        </w:tc>
      </w:tr>
      <w:tr>
        <w:trPr>
          <w:trHeight w:val="23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Material Contracts</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3.21(a)</w:t>
            </w:r>
          </w:p>
        </w:tc>
      </w:tr>
      <w:tr>
        <w:trPr>
          <w:trHeight w:val="21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2.12(d)</w:t>
            </w:r>
          </w:p>
        </w:tc>
      </w:tr>
      <w:tr>
        <w:trPr>
          <w:trHeight w:val="22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Merger</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Recitals</w:t>
            </w:r>
          </w:p>
        </w:tc>
      </w:tr>
      <w:tr>
        <w:trPr>
          <w:trHeight w:val="23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Merger Sub</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w w:val="97"/>
              </w:rPr>
              <w:t>Preamble</w:t>
            </w: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OFAC</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1.1</w:t>
            </w:r>
          </w:p>
        </w:tc>
      </w:tr>
      <w:tr>
        <w:trPr>
          <w:trHeight w:val="20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Option</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3.15(a)</w:t>
            </w:r>
          </w:p>
        </w:tc>
      </w:tr>
      <w:tr>
        <w:trPr>
          <w:trHeight w:val="224"/>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Orders</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3.12</w:t>
            </w:r>
          </w:p>
        </w:tc>
      </w:tr>
      <w:tr>
        <w:trPr>
          <w:trHeight w:val="221"/>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Owned Real Property</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3.16(a)</w:t>
            </w:r>
          </w:p>
        </w:tc>
      </w:tr>
      <w:tr>
        <w:trPr>
          <w:trHeight w:val="214"/>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Outbound Licenses</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3.17(f)</w:t>
            </w:r>
          </w:p>
        </w:tc>
      </w:tr>
      <w:tr>
        <w:trPr>
          <w:trHeight w:val="23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Parent</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w w:val="97"/>
              </w:rPr>
              <w:t>Preamble</w:t>
            </w:r>
          </w:p>
        </w:tc>
      </w:tr>
      <w:tr>
        <w:trPr>
          <w:trHeight w:val="23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Parent Adjustment Amount</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2.9(d)</w:t>
            </w:r>
          </w:p>
        </w:tc>
      </w:tr>
      <w:tr>
        <w:trPr>
          <w:trHeight w:val="22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Parent Indemnified Parties</w:t>
            </w:r>
          </w:p>
        </w:tc>
        <w:tc>
          <w:tcPr>
            <w:tcW w:w="3320" w:type="dxa"/>
            <w:vAlign w:val="bottom"/>
          </w:tcPr>
          <w:p>
            <w:pPr>
              <w:ind w:left="2660"/>
              <w:spacing w:after="0"/>
              <w:rPr>
                <w:sz w:val="20"/>
                <w:szCs w:val="20"/>
                <w:color w:val="auto"/>
              </w:rPr>
            </w:pPr>
            <w:r>
              <w:rPr>
                <w:rFonts w:ascii="Times New Roman" w:cs="Times New Roman" w:eastAsia="Times New Roman" w:hAnsi="Times New Roman"/>
                <w:sz w:val="16"/>
                <w:szCs w:val="16"/>
                <w:b w:val="1"/>
                <w:bCs w:val="1"/>
                <w:color w:val="auto"/>
              </w:rPr>
              <w:t>8.2(a)</w:t>
            </w:r>
          </w:p>
        </w:tc>
      </w:tr>
      <w:tr>
        <w:trPr>
          <w:trHeight w:val="839"/>
        </w:trPr>
        <w:tc>
          <w:tcPr>
            <w:tcW w:w="3860" w:type="dxa"/>
            <w:vAlign w:val="bottom"/>
          </w:tcPr>
          <w:p>
            <w:pPr>
              <w:spacing w:after="0"/>
              <w:rPr>
                <w:sz w:val="24"/>
                <w:szCs w:val="24"/>
                <w:color w:val="auto"/>
              </w:rPr>
            </w:pPr>
          </w:p>
        </w:tc>
        <w:tc>
          <w:tcPr>
            <w:tcW w:w="332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23</w:t>
            </w:r>
          </w:p>
        </w:tc>
      </w:tr>
    </w:tbl>
    <w:p>
      <w:pPr>
        <w:sectPr>
          <w:pgSz w:w="11900" w:h="16840" w:orient="portrait"/>
          <w:cols w:equalWidth="0" w:num="1">
            <w:col w:w="9760"/>
          </w:cols>
          <w:pgMar w:left="700" w:top="1440" w:right="1440" w:bottom="1440" w:gutter="0" w:footer="0" w:header="0"/>
        </w:sectPr>
      </w:pPr>
    </w:p>
    <w:bookmarkStart w:id="302" w:name="page303"/>
    <w:bookmarkEnd w:id="302"/>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Parent Parties</w:t>
            </w:r>
          </w:p>
        </w:tc>
        <w:tc>
          <w:tcPr>
            <w:tcW w:w="232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8.1(b)</w:t>
            </w:r>
          </w:p>
        </w:tc>
      </w:tr>
      <w:tr>
        <w:trPr>
          <w:trHeight w:val="232"/>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Parent Party</w:t>
            </w:r>
          </w:p>
        </w:tc>
        <w:tc>
          <w:tcPr>
            <w:tcW w:w="232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8.1(b)</w:t>
            </w:r>
          </w:p>
        </w:tc>
      </w:tr>
      <w:tr>
        <w:trPr>
          <w:trHeight w:val="221"/>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Parent Required Insurance Policies</w:t>
            </w:r>
          </w:p>
        </w:tc>
        <w:tc>
          <w:tcPr>
            <w:tcW w:w="2320" w:type="dxa"/>
            <w:vAlign w:val="bottom"/>
          </w:tcPr>
          <w:p>
            <w:pPr>
              <w:ind w:left="1780"/>
              <w:spacing w:after="0"/>
              <w:rPr>
                <w:sz w:val="20"/>
                <w:szCs w:val="20"/>
                <w:color w:val="auto"/>
              </w:rPr>
            </w:pPr>
            <w:r>
              <w:rPr>
                <w:rFonts w:ascii="Times New Roman" w:cs="Times New Roman" w:eastAsia="Times New Roman" w:hAnsi="Times New Roman"/>
                <w:sz w:val="16"/>
                <w:szCs w:val="16"/>
                <w:b w:val="1"/>
                <w:bCs w:val="1"/>
                <w:color w:val="auto"/>
              </w:rPr>
              <w:t>5.21</w:t>
            </w:r>
          </w:p>
        </w:tc>
      </w:tr>
      <w:tr>
        <w:trPr>
          <w:trHeight w:val="214"/>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Patents</w:t>
            </w:r>
          </w:p>
        </w:tc>
        <w:tc>
          <w:tcPr>
            <w:tcW w:w="232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1.1</w:t>
            </w:r>
          </w:p>
        </w:tc>
      </w:tr>
      <w:tr>
        <w:trPr>
          <w:trHeight w:val="232"/>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Paying Agent</w:t>
            </w:r>
          </w:p>
        </w:tc>
        <w:tc>
          <w:tcPr>
            <w:tcW w:w="232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2.8(a)</w:t>
            </w:r>
          </w:p>
        </w:tc>
      </w:tr>
      <w:tr>
        <w:trPr>
          <w:trHeight w:val="232"/>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Permits</w:t>
            </w:r>
          </w:p>
        </w:tc>
        <w:tc>
          <w:tcPr>
            <w:tcW w:w="232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3.9(b)</w:t>
            </w:r>
          </w:p>
        </w:tc>
      </w:tr>
      <w:tr>
        <w:trPr>
          <w:trHeight w:val="232"/>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Plan of Merger</w:t>
            </w:r>
          </w:p>
        </w:tc>
        <w:tc>
          <w:tcPr>
            <w:tcW w:w="232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2.2(b)</w:t>
            </w: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Products</w:t>
            </w:r>
          </w:p>
        </w:tc>
        <w:tc>
          <w:tcPr>
            <w:tcW w:w="2320" w:type="dxa"/>
            <w:vAlign w:val="bottom"/>
          </w:tcPr>
          <w:p>
            <w:pPr>
              <w:ind w:left="1780"/>
              <w:spacing w:after="0"/>
              <w:rPr>
                <w:sz w:val="20"/>
                <w:szCs w:val="20"/>
                <w:color w:val="auto"/>
              </w:rPr>
            </w:pPr>
            <w:r>
              <w:rPr>
                <w:rFonts w:ascii="Times New Roman" w:cs="Times New Roman" w:eastAsia="Times New Roman" w:hAnsi="Times New Roman"/>
                <w:sz w:val="16"/>
                <w:szCs w:val="16"/>
                <w:b w:val="1"/>
                <w:bCs w:val="1"/>
                <w:color w:val="auto"/>
              </w:rPr>
              <w:t>2.12(e)</w:t>
            </w:r>
          </w:p>
        </w:tc>
      </w:tr>
      <w:tr>
        <w:trPr>
          <w:trHeight w:val="202"/>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2320" w:type="dxa"/>
            <w:vAlign w:val="bottom"/>
          </w:tcPr>
          <w:p>
            <w:pPr>
              <w:ind w:left="1780"/>
              <w:spacing w:after="0"/>
              <w:rPr>
                <w:sz w:val="20"/>
                <w:szCs w:val="20"/>
                <w:color w:val="auto"/>
              </w:rPr>
            </w:pPr>
            <w:r>
              <w:rPr>
                <w:rFonts w:ascii="Times New Roman" w:cs="Times New Roman" w:eastAsia="Times New Roman" w:hAnsi="Times New Roman"/>
                <w:sz w:val="16"/>
                <w:szCs w:val="16"/>
                <w:b w:val="1"/>
                <w:bCs w:val="1"/>
                <w:color w:val="auto"/>
              </w:rPr>
              <w:t>5.14(a)</w:t>
            </w:r>
          </w:p>
        </w:tc>
      </w:tr>
      <w:tr>
        <w:trPr>
          <w:trHeight w:val="202"/>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R&amp;W Insurance Expenses</w:t>
            </w:r>
          </w:p>
        </w:tc>
        <w:tc>
          <w:tcPr>
            <w:tcW w:w="2320" w:type="dxa"/>
            <w:vAlign w:val="bottom"/>
          </w:tcPr>
          <w:p>
            <w:pPr>
              <w:ind w:left="1780"/>
              <w:spacing w:after="0"/>
              <w:rPr>
                <w:sz w:val="20"/>
                <w:szCs w:val="20"/>
                <w:color w:val="auto"/>
              </w:rPr>
            </w:pPr>
            <w:r>
              <w:rPr>
                <w:rFonts w:ascii="Times New Roman" w:cs="Times New Roman" w:eastAsia="Times New Roman" w:hAnsi="Times New Roman"/>
                <w:sz w:val="16"/>
                <w:szCs w:val="16"/>
                <w:b w:val="1"/>
                <w:bCs w:val="1"/>
                <w:color w:val="auto"/>
              </w:rPr>
              <w:t>5.17</w:t>
            </w:r>
          </w:p>
        </w:tc>
      </w:tr>
      <w:tr>
        <w:trPr>
          <w:trHeight w:val="202"/>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R&amp;W Insurance Policy</w:t>
            </w:r>
          </w:p>
        </w:tc>
        <w:tc>
          <w:tcPr>
            <w:tcW w:w="2320" w:type="dxa"/>
            <w:vAlign w:val="bottom"/>
          </w:tcPr>
          <w:p>
            <w:pPr>
              <w:ind w:left="1780"/>
              <w:spacing w:after="0"/>
              <w:rPr>
                <w:sz w:val="20"/>
                <w:szCs w:val="20"/>
                <w:color w:val="auto"/>
              </w:rPr>
            </w:pPr>
            <w:r>
              <w:rPr>
                <w:rFonts w:ascii="Times New Roman" w:cs="Times New Roman" w:eastAsia="Times New Roman" w:hAnsi="Times New Roman"/>
                <w:sz w:val="16"/>
                <w:szCs w:val="16"/>
                <w:b w:val="1"/>
                <w:bCs w:val="1"/>
                <w:color w:val="auto"/>
              </w:rPr>
              <w:t>5.17</w:t>
            </w:r>
          </w:p>
        </w:tc>
      </w:tr>
      <w:tr>
        <w:trPr>
          <w:trHeight w:val="202"/>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Real Property Lease</w:t>
            </w:r>
          </w:p>
        </w:tc>
        <w:tc>
          <w:tcPr>
            <w:tcW w:w="2320" w:type="dxa"/>
            <w:vAlign w:val="bottom"/>
          </w:tcPr>
          <w:p>
            <w:pPr>
              <w:ind w:left="1780"/>
              <w:spacing w:after="0"/>
              <w:rPr>
                <w:sz w:val="20"/>
                <w:szCs w:val="20"/>
                <w:color w:val="auto"/>
              </w:rPr>
            </w:pPr>
            <w:r>
              <w:rPr>
                <w:rFonts w:ascii="Times New Roman" w:cs="Times New Roman" w:eastAsia="Times New Roman" w:hAnsi="Times New Roman"/>
                <w:sz w:val="16"/>
                <w:szCs w:val="16"/>
                <w:b w:val="1"/>
                <w:bCs w:val="1"/>
                <w:color w:val="auto"/>
              </w:rPr>
              <w:t>3.16(b)</w:t>
            </w:r>
          </w:p>
        </w:tc>
      </w:tr>
      <w:tr>
        <w:trPr>
          <w:trHeight w:val="202"/>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Registered Share</w:t>
            </w:r>
          </w:p>
        </w:tc>
        <w:tc>
          <w:tcPr>
            <w:tcW w:w="2320" w:type="dxa"/>
            <w:vAlign w:val="bottom"/>
          </w:tcPr>
          <w:p>
            <w:pPr>
              <w:ind w:left="1780"/>
              <w:spacing w:after="0"/>
              <w:rPr>
                <w:sz w:val="20"/>
                <w:szCs w:val="20"/>
                <w:color w:val="auto"/>
              </w:rPr>
            </w:pPr>
            <w:r>
              <w:rPr>
                <w:rFonts w:ascii="Times New Roman" w:cs="Times New Roman" w:eastAsia="Times New Roman" w:hAnsi="Times New Roman"/>
                <w:sz w:val="16"/>
                <w:szCs w:val="16"/>
                <w:b w:val="1"/>
                <w:bCs w:val="1"/>
                <w:color w:val="auto"/>
              </w:rPr>
              <w:t>2.8(c)</w:t>
            </w:r>
          </w:p>
        </w:tc>
      </w:tr>
      <w:tr>
        <w:trPr>
          <w:trHeight w:val="202"/>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Security Breach</w:t>
            </w:r>
          </w:p>
        </w:tc>
        <w:tc>
          <w:tcPr>
            <w:tcW w:w="2320" w:type="dxa"/>
            <w:vAlign w:val="bottom"/>
          </w:tcPr>
          <w:p>
            <w:pPr>
              <w:ind w:left="1780"/>
              <w:spacing w:after="0"/>
              <w:rPr>
                <w:sz w:val="20"/>
                <w:szCs w:val="20"/>
                <w:color w:val="auto"/>
              </w:rPr>
            </w:pPr>
            <w:r>
              <w:rPr>
                <w:rFonts w:ascii="Times New Roman" w:cs="Times New Roman" w:eastAsia="Times New Roman" w:hAnsi="Times New Roman"/>
                <w:sz w:val="16"/>
                <w:szCs w:val="16"/>
                <w:b w:val="1"/>
                <w:bCs w:val="1"/>
                <w:color w:val="auto"/>
              </w:rPr>
              <w:t>3.17(l)</w:t>
            </w:r>
          </w:p>
        </w:tc>
      </w:tr>
      <w:tr>
        <w:trPr>
          <w:trHeight w:val="202"/>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Shareholder Matters</w:t>
            </w:r>
          </w:p>
        </w:tc>
        <w:tc>
          <w:tcPr>
            <w:tcW w:w="2320" w:type="dxa"/>
            <w:vAlign w:val="bottom"/>
          </w:tcPr>
          <w:p>
            <w:pPr>
              <w:ind w:left="1780"/>
              <w:spacing w:after="0"/>
              <w:rPr>
                <w:sz w:val="20"/>
                <w:szCs w:val="20"/>
                <w:color w:val="auto"/>
              </w:rPr>
            </w:pPr>
            <w:r>
              <w:rPr>
                <w:rFonts w:ascii="Times New Roman" w:cs="Times New Roman" w:eastAsia="Times New Roman" w:hAnsi="Times New Roman"/>
                <w:sz w:val="16"/>
                <w:szCs w:val="16"/>
                <w:b w:val="1"/>
                <w:bCs w:val="1"/>
                <w:color w:val="auto"/>
                <w:w w:val="95"/>
              </w:rPr>
              <w:t>Recitals</w:t>
            </w:r>
          </w:p>
        </w:tc>
      </w:tr>
      <w:tr>
        <w:trPr>
          <w:trHeight w:val="224"/>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Shareholders’ Agent</w:t>
            </w:r>
          </w:p>
        </w:tc>
        <w:tc>
          <w:tcPr>
            <w:tcW w:w="232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9.1(a)</w:t>
            </w:r>
          </w:p>
        </w:tc>
      </w:tr>
      <w:tr>
        <w:trPr>
          <w:trHeight w:val="232"/>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Shareholders’ Agent Engagement Agreement</w:t>
            </w:r>
          </w:p>
        </w:tc>
        <w:tc>
          <w:tcPr>
            <w:tcW w:w="232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9.1(f)</w:t>
            </w:r>
          </w:p>
        </w:tc>
      </w:tr>
      <w:tr>
        <w:trPr>
          <w:trHeight w:val="232"/>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Shareholders’ Agent Expenses</w:t>
            </w:r>
          </w:p>
        </w:tc>
        <w:tc>
          <w:tcPr>
            <w:tcW w:w="232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9.1(f)</w:t>
            </w:r>
          </w:p>
        </w:tc>
      </w:tr>
      <w:tr>
        <w:trPr>
          <w:trHeight w:val="232"/>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Shareholders’ Agent Group</w:t>
            </w:r>
          </w:p>
        </w:tc>
        <w:tc>
          <w:tcPr>
            <w:tcW w:w="232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9.1(f)</w:t>
            </w:r>
          </w:p>
        </w:tc>
      </w:tr>
      <w:tr>
        <w:trPr>
          <w:trHeight w:val="221"/>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2320" w:type="dxa"/>
            <w:vAlign w:val="bottom"/>
          </w:tcPr>
          <w:p>
            <w:pPr>
              <w:ind w:left="1780"/>
              <w:spacing w:after="0"/>
              <w:rPr>
                <w:sz w:val="20"/>
                <w:szCs w:val="20"/>
                <w:color w:val="auto"/>
              </w:rPr>
            </w:pPr>
            <w:r>
              <w:rPr>
                <w:rFonts w:ascii="Times New Roman" w:cs="Times New Roman" w:eastAsia="Times New Roman" w:hAnsi="Times New Roman"/>
                <w:sz w:val="16"/>
                <w:szCs w:val="16"/>
                <w:b w:val="1"/>
                <w:bCs w:val="1"/>
                <w:color w:val="auto"/>
              </w:rPr>
              <w:t>5.14(d)</w:t>
            </w:r>
          </w:p>
        </w:tc>
      </w:tr>
      <w:tr>
        <w:trPr>
          <w:trHeight w:val="214"/>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Shareholders Meeting</w:t>
            </w:r>
          </w:p>
        </w:tc>
        <w:tc>
          <w:tcPr>
            <w:tcW w:w="232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5.4(b)</w:t>
            </w:r>
          </w:p>
        </w:tc>
      </w:tr>
      <w:tr>
        <w:trPr>
          <w:trHeight w:val="221"/>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Share Surrender Agreement</w:t>
            </w:r>
          </w:p>
        </w:tc>
        <w:tc>
          <w:tcPr>
            <w:tcW w:w="2320" w:type="dxa"/>
            <w:vAlign w:val="bottom"/>
          </w:tcPr>
          <w:p>
            <w:pPr>
              <w:ind w:left="1780"/>
              <w:spacing w:after="0"/>
              <w:rPr>
                <w:sz w:val="20"/>
                <w:szCs w:val="20"/>
                <w:color w:val="auto"/>
              </w:rPr>
            </w:pPr>
            <w:r>
              <w:rPr>
                <w:rFonts w:ascii="Times New Roman" w:cs="Times New Roman" w:eastAsia="Times New Roman" w:hAnsi="Times New Roman"/>
                <w:sz w:val="16"/>
                <w:szCs w:val="16"/>
                <w:b w:val="1"/>
                <w:bCs w:val="1"/>
                <w:color w:val="auto"/>
                <w:w w:val="95"/>
              </w:rPr>
              <w:t>Recitals</w:t>
            </w:r>
          </w:p>
        </w:tc>
      </w:tr>
      <w:tr>
        <w:trPr>
          <w:trHeight w:val="214"/>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Shares</w:t>
            </w:r>
          </w:p>
        </w:tc>
        <w:tc>
          <w:tcPr>
            <w:tcW w:w="232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2.6</w:t>
            </w: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Specified Indebtedness</w:t>
            </w:r>
          </w:p>
        </w:tc>
        <w:tc>
          <w:tcPr>
            <w:tcW w:w="2320" w:type="dxa"/>
            <w:vAlign w:val="bottom"/>
          </w:tcPr>
          <w:p>
            <w:pPr>
              <w:ind w:left="1780"/>
              <w:spacing w:after="0"/>
              <w:rPr>
                <w:sz w:val="20"/>
                <w:szCs w:val="20"/>
                <w:color w:val="auto"/>
              </w:rPr>
            </w:pPr>
            <w:r>
              <w:rPr>
                <w:rFonts w:ascii="Times New Roman" w:cs="Times New Roman" w:eastAsia="Times New Roman" w:hAnsi="Times New Roman"/>
                <w:sz w:val="16"/>
                <w:szCs w:val="16"/>
                <w:b w:val="1"/>
                <w:bCs w:val="1"/>
                <w:color w:val="auto"/>
              </w:rPr>
              <w:t>5.20</w:t>
            </w:r>
          </w:p>
        </w:tc>
      </w:tr>
      <w:tr>
        <w:trPr>
          <w:trHeight w:val="202"/>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2320" w:type="dxa"/>
            <w:vAlign w:val="bottom"/>
          </w:tcPr>
          <w:p>
            <w:pPr>
              <w:ind w:left="1780"/>
              <w:spacing w:after="0"/>
              <w:rPr>
                <w:sz w:val="20"/>
                <w:szCs w:val="20"/>
                <w:color w:val="auto"/>
              </w:rPr>
            </w:pPr>
            <w:r>
              <w:rPr>
                <w:rFonts w:ascii="Times New Roman" w:cs="Times New Roman" w:eastAsia="Times New Roman" w:hAnsi="Times New Roman"/>
                <w:sz w:val="16"/>
                <w:szCs w:val="16"/>
                <w:b w:val="1"/>
                <w:bCs w:val="1"/>
                <w:color w:val="auto"/>
              </w:rPr>
              <w:t>5.22</w:t>
            </w:r>
          </w:p>
        </w:tc>
      </w:tr>
      <w:tr>
        <w:trPr>
          <w:trHeight w:val="202"/>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Support Agreement</w:t>
            </w:r>
          </w:p>
        </w:tc>
        <w:tc>
          <w:tcPr>
            <w:tcW w:w="2320" w:type="dxa"/>
            <w:vAlign w:val="bottom"/>
          </w:tcPr>
          <w:p>
            <w:pPr>
              <w:ind w:left="1780"/>
              <w:spacing w:after="0"/>
              <w:rPr>
                <w:sz w:val="20"/>
                <w:szCs w:val="20"/>
                <w:color w:val="auto"/>
              </w:rPr>
            </w:pPr>
            <w:r>
              <w:rPr>
                <w:rFonts w:ascii="Times New Roman" w:cs="Times New Roman" w:eastAsia="Times New Roman" w:hAnsi="Times New Roman"/>
                <w:sz w:val="16"/>
                <w:szCs w:val="16"/>
                <w:b w:val="1"/>
                <w:bCs w:val="1"/>
                <w:color w:val="auto"/>
                <w:w w:val="95"/>
              </w:rPr>
              <w:t>Recitals</w:t>
            </w:r>
          </w:p>
        </w:tc>
      </w:tr>
      <w:tr>
        <w:trPr>
          <w:trHeight w:val="212"/>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Surviving Covenant</w:t>
            </w:r>
          </w:p>
        </w:tc>
        <w:tc>
          <w:tcPr>
            <w:tcW w:w="2320" w:type="dxa"/>
            <w:vAlign w:val="bottom"/>
          </w:tcPr>
          <w:p>
            <w:pPr>
              <w:ind w:left="1780"/>
              <w:spacing w:after="0"/>
              <w:rPr>
                <w:sz w:val="20"/>
                <w:szCs w:val="20"/>
                <w:color w:val="auto"/>
              </w:rPr>
            </w:pPr>
            <w:r>
              <w:rPr>
                <w:rFonts w:ascii="Times New Roman" w:cs="Times New Roman" w:eastAsia="Times New Roman" w:hAnsi="Times New Roman"/>
                <w:sz w:val="16"/>
                <w:szCs w:val="16"/>
                <w:b w:val="1"/>
                <w:bCs w:val="1"/>
                <w:color w:val="auto"/>
              </w:rPr>
              <w:t>8.1(a)</w:t>
            </w:r>
          </w:p>
        </w:tc>
      </w:tr>
      <w:tr>
        <w:trPr>
          <w:trHeight w:val="214"/>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Surviving Corporation</w:t>
            </w:r>
          </w:p>
        </w:tc>
        <w:tc>
          <w:tcPr>
            <w:tcW w:w="232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2.1</w:t>
            </w: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Third-Party Claim</w:t>
            </w:r>
          </w:p>
        </w:tc>
        <w:tc>
          <w:tcPr>
            <w:tcW w:w="2320" w:type="dxa"/>
            <w:vAlign w:val="bottom"/>
          </w:tcPr>
          <w:p>
            <w:pPr>
              <w:ind w:left="1780"/>
              <w:spacing w:after="0"/>
              <w:rPr>
                <w:sz w:val="20"/>
                <w:szCs w:val="20"/>
                <w:color w:val="auto"/>
              </w:rPr>
            </w:pPr>
            <w:r>
              <w:rPr>
                <w:rFonts w:ascii="Times New Roman" w:cs="Times New Roman" w:eastAsia="Times New Roman" w:hAnsi="Times New Roman"/>
                <w:sz w:val="16"/>
                <w:szCs w:val="16"/>
                <w:b w:val="1"/>
                <w:bCs w:val="1"/>
                <w:color w:val="auto"/>
              </w:rPr>
              <w:t>8.4(b)</w:t>
            </w:r>
          </w:p>
        </w:tc>
      </w:tr>
      <w:tr>
        <w:trPr>
          <w:trHeight w:val="224"/>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 Expense Payoff Letters</w:t>
            </w:r>
          </w:p>
        </w:tc>
        <w:tc>
          <w:tcPr>
            <w:tcW w:w="232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2.10(j)</w:t>
            </w: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Issuer ADSs</w:t>
            </w:r>
          </w:p>
        </w:tc>
        <w:tc>
          <w:tcPr>
            <w:tcW w:w="2320" w:type="dxa"/>
            <w:vAlign w:val="bottom"/>
          </w:tcPr>
          <w:p>
            <w:pPr>
              <w:ind w:left="1780"/>
              <w:spacing w:after="0"/>
              <w:rPr>
                <w:sz w:val="20"/>
                <w:szCs w:val="20"/>
                <w:color w:val="auto"/>
              </w:rPr>
            </w:pPr>
            <w:r>
              <w:rPr>
                <w:rFonts w:ascii="Times New Roman" w:cs="Times New Roman" w:eastAsia="Times New Roman" w:hAnsi="Times New Roman"/>
                <w:sz w:val="16"/>
                <w:szCs w:val="16"/>
                <w:b w:val="1"/>
                <w:bCs w:val="1"/>
                <w:color w:val="auto"/>
              </w:rPr>
              <w:t>2.13</w:t>
            </w:r>
          </w:p>
        </w:tc>
      </w:tr>
      <w:tr>
        <w:trPr>
          <w:trHeight w:val="214"/>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 Withheld Amount</w:t>
            </w:r>
          </w:p>
        </w:tc>
        <w:tc>
          <w:tcPr>
            <w:tcW w:w="2320" w:type="dxa"/>
            <w:vAlign w:val="bottom"/>
          </w:tcPr>
          <w:p>
            <w:pPr>
              <w:ind w:left="1780"/>
              <w:spacing w:after="0"/>
              <w:rPr>
                <w:sz w:val="20"/>
                <w:szCs w:val="20"/>
                <w:color w:val="auto"/>
              </w:rPr>
            </w:pPr>
            <w:r>
              <w:rPr>
                <w:rFonts w:ascii="Times New Roman" w:cs="Times New Roman" w:eastAsia="Times New Roman" w:hAnsi="Times New Roman"/>
                <w:sz w:val="16"/>
                <w:szCs w:val="16"/>
                <w:b w:val="1"/>
                <w:bCs w:val="1"/>
                <w:color w:val="auto"/>
              </w:rPr>
              <w:t>2.13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24</w:t>
      </w:r>
    </w:p>
    <w:p>
      <w:pPr>
        <w:sectPr>
          <w:pgSz w:w="11900" w:h="16840" w:orient="portrait"/>
          <w:cols w:equalWidth="0" w:num="1">
            <w:col w:w="9760"/>
          </w:cols>
          <w:pgMar w:left="700" w:top="1440" w:right="1440" w:bottom="1440" w:gutter="0" w:footer="0" w:header="0"/>
        </w:sectPr>
      </w:pPr>
    </w:p>
    <w:bookmarkStart w:id="303" w:name="page304"/>
    <w:bookmarkEnd w:id="303"/>
    <w:p>
      <w:pPr>
        <w:spacing w:after="0" w:line="23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010000"/>
        </w:rPr>
        <w:t>Article II</w:t>
      </w:r>
    </w:p>
    <w:p>
      <w:pPr>
        <w:jc w:val="center"/>
        <w:spacing w:after="0"/>
        <w:rPr>
          <w:sz w:val="20"/>
          <w:szCs w:val="20"/>
          <w:color w:val="auto"/>
        </w:rPr>
      </w:pPr>
      <w:r>
        <w:rPr>
          <w:rFonts w:ascii="Times New Roman" w:cs="Times New Roman" w:eastAsia="Times New Roman" w:hAnsi="Times New Roman"/>
          <w:sz w:val="16"/>
          <w:szCs w:val="16"/>
          <w:b w:val="1"/>
          <w:bCs w:val="1"/>
          <w:color w:val="auto"/>
        </w:rPr>
        <w:t>THE MERGER</w:t>
      </w:r>
    </w:p>
    <w:p>
      <w:pPr>
        <w:spacing w:after="0" w:line="119" w:lineRule="exact"/>
        <w:rPr>
          <w:sz w:val="20"/>
          <w:szCs w:val="20"/>
          <w:color w:val="auto"/>
        </w:rPr>
      </w:pPr>
    </w:p>
    <w:p>
      <w:pPr>
        <w:jc w:val="both"/>
        <w:ind w:firstLine="485"/>
        <w:spacing w:after="0" w:line="220" w:lineRule="auto"/>
        <w:rPr>
          <w:sz w:val="20"/>
          <w:szCs w:val="20"/>
          <w:color w:val="auto"/>
        </w:rPr>
      </w:pPr>
      <w:r>
        <w:rPr>
          <w:rFonts w:ascii="Times New Roman" w:cs="Times New Roman" w:eastAsia="Times New Roman" w:hAnsi="Times New Roman"/>
          <w:sz w:val="16"/>
          <w:szCs w:val="16"/>
          <w:b w:val="1"/>
          <w:bCs w:val="1"/>
          <w:color w:val="010000"/>
        </w:rPr>
        <w:t xml:space="preserve">Section 2.1 </w:t>
      </w:r>
      <w:r>
        <w:rPr>
          <w:rFonts w:ascii="Times New Roman" w:cs="Times New Roman" w:eastAsia="Times New Roman" w:hAnsi="Times New Roman"/>
          <w:sz w:val="16"/>
          <w:szCs w:val="16"/>
          <w:b w:val="1"/>
          <w:bCs w:val="1"/>
          <w:color w:val="000000"/>
        </w:rPr>
        <w:t>The Merger</w:t>
      </w:r>
      <w:r>
        <w:rPr>
          <w:rFonts w:ascii="Times New Roman" w:cs="Times New Roman" w:eastAsia="Times New Roman" w:hAnsi="Times New Roman"/>
          <w:sz w:val="16"/>
          <w:szCs w:val="16"/>
          <w:color w:val="000000"/>
        </w:rPr>
        <w:t>. Upon the terms and subject to the conditions of this Agreement, at the Effective Time and in accordance with the Cayman</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Companies Law, Merger Sub shall be merged with and into the Company pursuant to which (a) the separate corporate existence of Merger Sub shall cease, (b) the Company shall be the surviving company (within the meaning of the Cayman Companies Law) resulting from the Merger (the “</w:t>
      </w:r>
      <w:r>
        <w:rPr>
          <w:rFonts w:ascii="Times New Roman" w:cs="Times New Roman" w:eastAsia="Times New Roman" w:hAnsi="Times New Roman"/>
          <w:sz w:val="16"/>
          <w:szCs w:val="16"/>
          <w:b w:val="1"/>
          <w:bCs w:val="1"/>
          <w:i w:val="1"/>
          <w:iCs w:val="1"/>
          <w:color w:val="000000"/>
        </w:rPr>
        <w:t>Surviving Corporation</w:t>
      </w:r>
      <w:r>
        <w:rPr>
          <w:rFonts w:ascii="Times New Roman" w:cs="Times New Roman" w:eastAsia="Times New Roman" w:hAnsi="Times New Roman"/>
          <w:sz w:val="16"/>
          <w:szCs w:val="16"/>
          <w:color w:val="000000"/>
        </w:rPr>
        <w:t>”) and shall continue as a Cayman Islands exempted company and a wholly owned Subsidiary of Parent and (c) the rights, the property of every description including choses in action, and the business, undertaking, goodwill, benefits, immunities and privileges of each of Merger Sub and the Company, shall vest in the Surviving Corporation and the Surviving Corporation shall be liable for and subject, in the same manner as Merger Sub and the Company, to all mortgages, charges or security interests, and all contracts, obligations, claims, debts, and liabilities of each of Merger Sub and the Company.</w:t>
      </w:r>
    </w:p>
    <w:p>
      <w:pPr>
        <w:spacing w:after="0" w:line="113"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2.2</w:t>
      </w:r>
      <w:r>
        <w:rPr>
          <w:rFonts w:ascii="Times New Roman" w:cs="Times New Roman" w:eastAsia="Times New Roman" w:hAnsi="Times New Roman"/>
          <w:sz w:val="16"/>
          <w:szCs w:val="16"/>
          <w:b w:val="1"/>
          <w:bCs w:val="1"/>
          <w:color w:val="auto"/>
        </w:rPr>
        <w:tab/>
        <w:t>Closing; Effective Time</w:t>
      </w:r>
      <w:r>
        <w:rPr>
          <w:rFonts w:ascii="Times New Roman" w:cs="Times New Roman" w:eastAsia="Times New Roman" w:hAnsi="Times New Roman"/>
          <w:sz w:val="16"/>
          <w:szCs w:val="16"/>
          <w:color w:val="auto"/>
        </w:rPr>
        <w:t>.</w:t>
      </w:r>
    </w:p>
    <w:p>
      <w:pPr>
        <w:spacing w:after="0" w:line="137" w:lineRule="exact"/>
        <w:rPr>
          <w:sz w:val="20"/>
          <w:szCs w:val="20"/>
          <w:color w:val="auto"/>
        </w:rPr>
      </w:pPr>
    </w:p>
    <w:p>
      <w:pPr>
        <w:jc w:val="both"/>
        <w:ind w:firstLine="961"/>
        <w:spacing w:after="0" w:line="217" w:lineRule="auto"/>
        <w:tabs>
          <w:tab w:leader="none" w:pos="1456"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Unless this Agreement shall have been validly terminated in accordance with </w:t>
      </w:r>
      <w:r>
        <w:rPr>
          <w:rFonts w:ascii="Times New Roman" w:cs="Times New Roman" w:eastAsia="Times New Roman" w:hAnsi="Times New Roman"/>
          <w:sz w:val="16"/>
          <w:szCs w:val="16"/>
          <w:b w:val="1"/>
          <w:bCs w:val="1"/>
          <w:color w:val="auto"/>
        </w:rPr>
        <w:t>Article VII</w:t>
      </w:r>
      <w:r>
        <w:rPr>
          <w:rFonts w:ascii="Times New Roman" w:cs="Times New Roman" w:eastAsia="Times New Roman" w:hAnsi="Times New Roman"/>
          <w:sz w:val="16"/>
          <w:szCs w:val="16"/>
          <w:color w:val="auto"/>
        </w:rPr>
        <w:t>, the closing of the Merger (the “</w:t>
      </w:r>
      <w:r>
        <w:rPr>
          <w:rFonts w:ascii="Times New Roman" w:cs="Times New Roman" w:eastAsia="Times New Roman" w:hAnsi="Times New Roman"/>
          <w:sz w:val="16"/>
          <w:szCs w:val="16"/>
          <w:b w:val="1"/>
          <w:bCs w:val="1"/>
          <w:i w:val="1"/>
          <w:iCs w:val="1"/>
          <w:color w:val="auto"/>
        </w:rPr>
        <w:t>Closing</w:t>
      </w:r>
      <w:r>
        <w:rPr>
          <w:rFonts w:ascii="Times New Roman" w:cs="Times New Roman" w:eastAsia="Times New Roman" w:hAnsi="Times New Roman"/>
          <w:sz w:val="16"/>
          <w:szCs w:val="16"/>
          <w:color w:val="auto"/>
        </w:rPr>
        <w:t xml:space="preserve">”) shall take place remotely via electronic exchange of required Closing documentation and deliverables in lieu of an in-person Closing at 10:00 a.m., New York time, on the last Business Day of the calendar month during which the conditions to the obligations of the parties set forth in </w:t>
      </w:r>
      <w:r>
        <w:rPr>
          <w:rFonts w:ascii="Times New Roman" w:cs="Times New Roman" w:eastAsia="Times New Roman" w:hAnsi="Times New Roman"/>
          <w:sz w:val="16"/>
          <w:szCs w:val="16"/>
          <w:b w:val="1"/>
          <w:bCs w:val="1"/>
          <w:color w:val="auto"/>
        </w:rPr>
        <w:t>Article VI</w:t>
      </w:r>
      <w:r>
        <w:rPr>
          <w:rFonts w:ascii="Times New Roman" w:cs="Times New Roman" w:eastAsia="Times New Roman" w:hAnsi="Times New Roman"/>
          <w:sz w:val="16"/>
          <w:szCs w:val="16"/>
          <w:color w:val="auto"/>
        </w:rPr>
        <w:t xml:space="preserve"> are satisfied or waived (other than such conditions as may, by their nature, only be satisfied at the Closing or on the Closing Date, subject to their satisfaction or written waiver (where permissible)), or at such other place or at such other time or on such other date as the parties may mutually agree upon in writing;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such conditions (other than those conditions as may, by their nature, only be satisfied at the Closing or on the Closing Date, subject to their satisfaction or written waiver (where permissible)) are satisfied or waived on the date that is one of the last [***] Business Days of a given calendar month, then the Closing shall take place on the [***] Business Day after the conditions to the obligations of the parties set forth in </w:t>
      </w:r>
      <w:r>
        <w:rPr>
          <w:rFonts w:ascii="Times New Roman" w:cs="Times New Roman" w:eastAsia="Times New Roman" w:hAnsi="Times New Roman"/>
          <w:sz w:val="16"/>
          <w:szCs w:val="16"/>
          <w:b w:val="1"/>
          <w:bCs w:val="1"/>
          <w:color w:val="auto"/>
        </w:rPr>
        <w:t>Article VI</w:t>
      </w:r>
      <w:r>
        <w:rPr>
          <w:rFonts w:ascii="Times New Roman" w:cs="Times New Roman" w:eastAsia="Times New Roman" w:hAnsi="Times New Roman"/>
          <w:sz w:val="16"/>
          <w:szCs w:val="16"/>
          <w:color w:val="auto"/>
        </w:rPr>
        <w:t xml:space="preserve"> are satisfied or waived (other than such conditions as may, by their nature, only be satisfied at the Closing or on the Closing Date, subject to their satisfaction or written waiver (where permissible)). The day on which the Closing takes place is referred to as the “</w:t>
      </w:r>
      <w:r>
        <w:rPr>
          <w:rFonts w:ascii="Times New Roman" w:cs="Times New Roman" w:eastAsia="Times New Roman" w:hAnsi="Times New Roman"/>
          <w:sz w:val="16"/>
          <w:szCs w:val="16"/>
          <w:b w:val="1"/>
          <w:bCs w:val="1"/>
          <w:i w:val="1"/>
          <w:iCs w:val="1"/>
          <w:color w:val="auto"/>
        </w:rPr>
        <w:t>Closing Date.</w:t>
      </w:r>
      <w:r>
        <w:rPr>
          <w:rFonts w:ascii="Times New Roman" w:cs="Times New Roman" w:eastAsia="Times New Roman" w:hAnsi="Times New Roman"/>
          <w:sz w:val="16"/>
          <w:szCs w:val="16"/>
          <w:color w:val="auto"/>
        </w:rPr>
        <w:t>”</w:t>
      </w:r>
    </w:p>
    <w:p>
      <w:pPr>
        <w:spacing w:after="0" w:line="119" w:lineRule="exact"/>
        <w:rPr>
          <w:rFonts w:ascii="Times New Roman" w:cs="Times New Roman" w:eastAsia="Times New Roman" w:hAnsi="Times New Roman"/>
          <w:sz w:val="16"/>
          <w:szCs w:val="16"/>
          <w:color w:val="auto"/>
        </w:rPr>
      </w:pPr>
    </w:p>
    <w:p>
      <w:pPr>
        <w:jc w:val="both"/>
        <w:ind w:firstLine="961"/>
        <w:spacing w:after="0"/>
        <w:tabs>
          <w:tab w:leader="none" w:pos="1456"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soon as practicable on the Closing Date, the parties (other than the Shareholders’ Agent) shall cause a plan of merger, substantially in the form attached hereto as </w:t>
      </w:r>
      <w:r>
        <w:rPr>
          <w:rFonts w:ascii="Times New Roman" w:cs="Times New Roman" w:eastAsia="Times New Roman" w:hAnsi="Times New Roman"/>
          <w:sz w:val="16"/>
          <w:szCs w:val="16"/>
          <w:b w:val="1"/>
          <w:bCs w:val="1"/>
          <w:color w:val="auto"/>
        </w:rPr>
        <w:t>Exhibit D</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Plan of Merger</w:t>
      </w:r>
      <w:r>
        <w:rPr>
          <w:rFonts w:ascii="Times New Roman" w:cs="Times New Roman" w:eastAsia="Times New Roman" w:hAnsi="Times New Roman"/>
          <w:sz w:val="16"/>
          <w:szCs w:val="16"/>
          <w:color w:val="auto"/>
        </w:rPr>
        <w:t>”), and other documents required under the Cayman Companies Law to effect the Merger, to be executed and filed with the Registrar of Companies of the Cayman Islands in accordance with Section 233 of the Cayman Companies Law. The Merger shall become effective at the time when the Plan of Merger is registered by the Registrar of Companies of the Cayman Islands or such later time on the Closing Date as the parties shall agree and as shall be specified in the Plan of Merger. The date and time when the Merger shall become effective is herein referred to as the “</w:t>
      </w:r>
      <w:r>
        <w:rPr>
          <w:rFonts w:ascii="Times New Roman" w:cs="Times New Roman" w:eastAsia="Times New Roman" w:hAnsi="Times New Roman"/>
          <w:sz w:val="16"/>
          <w:szCs w:val="16"/>
          <w:b w:val="1"/>
          <w:bCs w:val="1"/>
          <w:i w:val="1"/>
          <w:iCs w:val="1"/>
          <w:color w:val="auto"/>
        </w:rPr>
        <w:t>Effective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Time</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ind w:firstLine="485"/>
        <w:spacing w:after="0" w:line="247" w:lineRule="auto"/>
        <w:rPr>
          <w:sz w:val="20"/>
          <w:szCs w:val="20"/>
          <w:color w:val="auto"/>
        </w:rPr>
      </w:pPr>
      <w:r>
        <w:rPr>
          <w:rFonts w:ascii="Times New Roman" w:cs="Times New Roman" w:eastAsia="Times New Roman" w:hAnsi="Times New Roman"/>
          <w:sz w:val="16"/>
          <w:szCs w:val="16"/>
          <w:b w:val="1"/>
          <w:bCs w:val="1"/>
          <w:color w:val="010000"/>
        </w:rPr>
        <w:t xml:space="preserve">Section 2.3 </w:t>
      </w:r>
      <w:r>
        <w:rPr>
          <w:rFonts w:ascii="Times New Roman" w:cs="Times New Roman" w:eastAsia="Times New Roman" w:hAnsi="Times New Roman"/>
          <w:sz w:val="16"/>
          <w:szCs w:val="16"/>
          <w:b w:val="1"/>
          <w:bCs w:val="1"/>
          <w:color w:val="000000"/>
        </w:rPr>
        <w:t>Effects of the Merger</w:t>
      </w:r>
      <w:r>
        <w:rPr>
          <w:rFonts w:ascii="Times New Roman" w:cs="Times New Roman" w:eastAsia="Times New Roman" w:hAnsi="Times New Roman"/>
          <w:sz w:val="16"/>
          <w:szCs w:val="16"/>
          <w:color w:val="000000"/>
        </w:rPr>
        <w:t>. The Merger shall have the effects provided for in this Agreement, the Plan of Merger and the applicable provisions</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of the Cayman Companies Law.</w:t>
      </w:r>
    </w:p>
    <w:p>
      <w:pPr>
        <w:spacing w:after="0" w:line="106"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2.4</w:t>
      </w:r>
      <w:r>
        <w:rPr>
          <w:rFonts w:ascii="Times New Roman" w:cs="Times New Roman" w:eastAsia="Times New Roman" w:hAnsi="Times New Roman"/>
          <w:sz w:val="16"/>
          <w:szCs w:val="16"/>
          <w:b w:val="1"/>
          <w:bCs w:val="1"/>
          <w:color w:val="auto"/>
        </w:rPr>
        <w:tab/>
        <w:t>Memorandum of Association and Articles of Association; Directors and Officers</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firstLine="961"/>
        <w:spacing w:after="0" w:line="247" w:lineRule="auto"/>
        <w:tabs>
          <w:tab w:leader="none" w:pos="1456"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b w:val="1"/>
          <w:bCs w:val="1"/>
          <w:color w:val="auto"/>
        </w:rPr>
        <w:t>Section 5.12</w:t>
      </w:r>
      <w:r>
        <w:rPr>
          <w:rFonts w:ascii="Times New Roman" w:cs="Times New Roman" w:eastAsia="Times New Roman" w:hAnsi="Times New Roman"/>
          <w:sz w:val="16"/>
          <w:szCs w:val="16"/>
          <w:color w:val="auto"/>
        </w:rPr>
        <w:t>, the memorandum and articles of association of the Surviving Corporation shall be amended and restated as of the Effective Time to conform to</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1900" w:h="16840" w:orient="portrait"/>
          <w:cols w:equalWidth="0" w:num="1">
            <w:col w:w="10580"/>
          </w:cols>
          <w:pgMar w:left="660" w:top="1440" w:right="660" w:bottom="1440" w:gutter="0" w:footer="0" w:header="0"/>
        </w:sectPr>
      </w:pPr>
    </w:p>
    <w:bookmarkStart w:id="304" w:name="page305"/>
    <w:bookmarkEnd w:id="304"/>
    <w:p>
      <w:pPr>
        <w:spacing w:after="0" w:line="80" w:lineRule="exact"/>
        <w:rPr>
          <w:sz w:val="20"/>
          <w:szCs w:val="20"/>
          <w:color w:val="auto"/>
        </w:rPr>
      </w:pPr>
    </w:p>
    <w:p>
      <w:pPr>
        <w:jc w:val="both"/>
        <w:ind w:right="40"/>
        <w:spacing w:after="0" w:line="232" w:lineRule="auto"/>
        <w:rPr>
          <w:sz w:val="20"/>
          <w:szCs w:val="20"/>
          <w:color w:val="auto"/>
        </w:rPr>
      </w:pPr>
      <w:r>
        <w:rPr>
          <w:rFonts w:ascii="Times New Roman" w:cs="Times New Roman" w:eastAsia="Times New Roman" w:hAnsi="Times New Roman"/>
          <w:sz w:val="16"/>
          <w:szCs w:val="16"/>
          <w:color w:val="auto"/>
        </w:rPr>
        <w:t>the memorandum and articles of association of Merger Sub as in effect immediately prior to the Effective Time, except that (i) the name of the Surviving Corporation shall be “Biotheus” and (ii) all references therein to the authorized share capital of the Surviving Corporation shall be amended to refer to the authorized share capital of the Surviving Corporation as approved in the Plan of Merger.</w:t>
      </w:r>
    </w:p>
    <w:p>
      <w:pPr>
        <w:spacing w:after="0" w:line="113" w:lineRule="exact"/>
        <w:rPr>
          <w:sz w:val="20"/>
          <w:szCs w:val="20"/>
          <w:color w:val="auto"/>
        </w:rPr>
      </w:pPr>
    </w:p>
    <w:p>
      <w:pPr>
        <w:jc w:val="both"/>
        <w:ind w:right="40" w:firstLine="961"/>
        <w:spacing w:after="0" w:line="226" w:lineRule="auto"/>
        <w:tabs>
          <w:tab w:leader="none" w:pos="1456"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designated by Parent in writing prior to the Effective Time, the parties (other than the Shareholders’ Agent) shall take all actions necessary such that, from and after the Effective Time, the directors and officers of the Surviving Corporation shall be the respective individuals who are the directors and officers of Merger Sub immediately prior to the Effective Time until their successors have been duly elected and qualified or until their earlier death, resignation or removal in accordance with the memorandum and articles of association of the Surviving Corporation.</w:t>
      </w:r>
    </w:p>
    <w:p>
      <w:pPr>
        <w:spacing w:after="0" w:line="114" w:lineRule="exact"/>
        <w:rPr>
          <w:sz w:val="20"/>
          <w:szCs w:val="20"/>
          <w:color w:val="auto"/>
        </w:rPr>
      </w:pPr>
    </w:p>
    <w:p>
      <w:pPr>
        <w:jc w:val="both"/>
        <w:ind w:firstLine="485"/>
        <w:spacing w:after="0" w:line="221" w:lineRule="auto"/>
        <w:rPr>
          <w:sz w:val="20"/>
          <w:szCs w:val="20"/>
          <w:color w:val="auto"/>
        </w:rPr>
      </w:pPr>
      <w:r>
        <w:rPr>
          <w:rFonts w:ascii="Times New Roman" w:cs="Times New Roman" w:eastAsia="Times New Roman" w:hAnsi="Times New Roman"/>
          <w:sz w:val="16"/>
          <w:szCs w:val="16"/>
          <w:b w:val="1"/>
          <w:bCs w:val="1"/>
          <w:color w:val="010000"/>
        </w:rPr>
        <w:t xml:space="preserve">Section 2.5 </w:t>
      </w:r>
      <w:r>
        <w:rPr>
          <w:rFonts w:ascii="Times New Roman" w:cs="Times New Roman" w:eastAsia="Times New Roman" w:hAnsi="Times New Roman"/>
          <w:sz w:val="16"/>
          <w:szCs w:val="16"/>
          <w:b w:val="1"/>
          <w:bCs w:val="1"/>
          <w:color w:val="000000"/>
        </w:rPr>
        <w:t>Subsequent Actions</w:t>
      </w:r>
      <w:r>
        <w:rPr>
          <w:rFonts w:ascii="Times New Roman" w:cs="Times New Roman" w:eastAsia="Times New Roman" w:hAnsi="Times New Roman"/>
          <w:sz w:val="16"/>
          <w:szCs w:val="16"/>
          <w:color w:val="000000"/>
        </w:rPr>
        <w:t>. If, after the Effective Time, the Surviving Corporation shall consider or be advised that any deeds, bills of sale,</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assignments, assurances or any other actions or things are necessary or desirable to vest, perfect or confirm of record or otherwise in the Surviving Corporation its right, title or interest in, to or under any of the rights, properties or assets of either the Company or Merger Sub vested in the Surviving Corporation as a result of or in connection with the Merger or otherwise to carry out this Agreement, the officers and directors of the Surviving Corporation shall be authorized to execute and deliver all such deeds, bills of sale, assignments and assurances and to take and do all such other actions and things as may be necessary or desirable to vest, perfect or confirm any and all right, title and interest in, to and under such rights, properties or assets in the Surviving Corporation or otherwise to carry out this Agreement.</w:t>
      </w:r>
    </w:p>
    <w:p>
      <w:pPr>
        <w:spacing w:after="0" w:line="113"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2.6</w:t>
      </w:r>
      <w:r>
        <w:rPr>
          <w:rFonts w:ascii="Times New Roman" w:cs="Times New Roman" w:eastAsia="Times New Roman" w:hAnsi="Times New Roman"/>
          <w:sz w:val="16"/>
          <w:szCs w:val="16"/>
          <w:b w:val="1"/>
          <w:bCs w:val="1"/>
          <w:color w:val="auto"/>
        </w:rPr>
        <w:tab/>
        <w:t>Conversion of Shares</w:t>
      </w:r>
      <w:r>
        <w:rPr>
          <w:rFonts w:ascii="Times New Roman" w:cs="Times New Roman" w:eastAsia="Times New Roman" w:hAnsi="Times New Roman"/>
          <w:sz w:val="16"/>
          <w:szCs w:val="16"/>
          <w:color w:val="auto"/>
        </w:rPr>
        <w:t>. At the Effective Time, by virtue of the Merger and without any further action on the part of Parent, Merger Sub, the</w:t>
      </w:r>
    </w:p>
    <w:p>
      <w:pPr>
        <w:spacing w:after="0"/>
        <w:rPr>
          <w:sz w:val="20"/>
          <w:szCs w:val="20"/>
          <w:color w:val="auto"/>
        </w:rPr>
      </w:pPr>
      <w:r>
        <w:rPr>
          <w:rFonts w:ascii="Times New Roman" w:cs="Times New Roman" w:eastAsia="Times New Roman" w:hAnsi="Times New Roman"/>
          <w:sz w:val="16"/>
          <w:szCs w:val="16"/>
          <w:color w:val="auto"/>
        </w:rPr>
        <w:t>Company or any holder of any Company Ordinary Shares or Company Preferred Shares (collectively, the “</w:t>
      </w:r>
      <w:r>
        <w:rPr>
          <w:rFonts w:ascii="Times New Roman" w:cs="Times New Roman" w:eastAsia="Times New Roman" w:hAnsi="Times New Roman"/>
          <w:sz w:val="16"/>
          <w:szCs w:val="16"/>
          <w:b w:val="1"/>
          <w:bCs w:val="1"/>
          <w:i w:val="1"/>
          <w:iCs w:val="1"/>
          <w:color w:val="auto"/>
        </w:rPr>
        <w:t>Shares</w:t>
      </w:r>
      <w:r>
        <w:rPr>
          <w:rFonts w:ascii="Times New Roman" w:cs="Times New Roman" w:eastAsia="Times New Roman" w:hAnsi="Times New Roman"/>
          <w:sz w:val="16"/>
          <w:szCs w:val="16"/>
          <w:color w:val="auto"/>
        </w:rPr>
        <w:t>”) or any other Person:</w:t>
      </w:r>
    </w:p>
    <w:p>
      <w:pPr>
        <w:sectPr>
          <w:pgSz w:w="11900" w:h="16840" w:orient="portrait"/>
          <w:cols w:equalWidth="0" w:num="1">
            <w:col w:w="10620"/>
          </w:cols>
          <w:pgMar w:left="660" w:top="1440" w:right="620" w:bottom="1440" w:gutter="0" w:footer="0" w:header="0"/>
        </w:sectPr>
      </w:pPr>
    </w:p>
    <w:p>
      <w:pPr>
        <w:spacing w:after="0" w:line="121" w:lineRule="exact"/>
        <w:rPr>
          <w:sz w:val="20"/>
          <w:szCs w:val="20"/>
          <w:color w:val="auto"/>
        </w:rPr>
      </w:pPr>
    </w:p>
    <w:p>
      <w:pPr>
        <w:jc w:val="both"/>
        <w:ind w:firstLine="961"/>
        <w:spacing w:after="0" w:line="232" w:lineRule="auto"/>
        <w:tabs>
          <w:tab w:leader="none" w:pos="1456"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Shares held by each Non-Dissenting Shareholder shall extinguished Shares, such Non-Dissenting Shareholder shall, subject to </w:t>
      </w:r>
      <w:r>
        <w:rPr>
          <w:rFonts w:ascii="Times New Roman" w:cs="Times New Roman" w:eastAsia="Times New Roman" w:hAnsi="Times New Roman"/>
          <w:sz w:val="16"/>
          <w:szCs w:val="16"/>
          <w:b w:val="1"/>
          <w:bCs w:val="1"/>
          <w:color w:val="auto"/>
        </w:rPr>
        <w:t>Section 2.8</w:t>
      </w:r>
      <w:r>
        <w:rPr>
          <w:rFonts w:ascii="Times New Roman" w:cs="Times New Roman" w:eastAsia="Times New Roman" w:hAnsi="Times New Roman"/>
          <w:sz w:val="16"/>
          <w:szCs w:val="16"/>
          <w:color w:val="auto"/>
        </w:rPr>
        <w:t xml:space="preserve"> Cancelled Shares (including [***])), the following:</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40" w:firstLine="9"/>
        <w:spacing w:after="0" w:line="245" w:lineRule="auto"/>
        <w:rPr>
          <w:sz w:val="20"/>
          <w:szCs w:val="20"/>
          <w:color w:val="auto"/>
        </w:rPr>
      </w:pPr>
      <w:r>
        <w:rPr>
          <w:rFonts w:ascii="Times New Roman" w:cs="Times New Roman" w:eastAsia="Times New Roman" w:hAnsi="Times New Roman"/>
          <w:sz w:val="16"/>
          <w:szCs w:val="16"/>
          <w:color w:val="auto"/>
        </w:rPr>
        <w:t xml:space="preserve">be cancelled and extinguished and, in exchange for such cancelled and and </w:t>
      </w:r>
      <w:r>
        <w:rPr>
          <w:rFonts w:ascii="Times New Roman" w:cs="Times New Roman" w:eastAsia="Times New Roman" w:hAnsi="Times New Roman"/>
          <w:sz w:val="16"/>
          <w:szCs w:val="16"/>
          <w:b w:val="1"/>
          <w:bCs w:val="1"/>
          <w:color w:val="auto"/>
        </w:rPr>
        <w:t>Section 2.14</w:t>
      </w:r>
      <w:r>
        <w:rPr>
          <w:rFonts w:ascii="Times New Roman" w:cs="Times New Roman" w:eastAsia="Times New Roman" w:hAnsi="Times New Roman"/>
          <w:sz w:val="16"/>
          <w:szCs w:val="16"/>
          <w:color w:val="auto"/>
        </w:rPr>
        <w:t>, be entitled to receive, in respect of its Shares (other than</w:t>
      </w:r>
    </w:p>
    <w:p>
      <w:pPr>
        <w:spacing w:after="0" w:line="268" w:lineRule="exact"/>
        <w:rPr>
          <w:sz w:val="20"/>
          <w:szCs w:val="20"/>
          <w:color w:val="auto"/>
        </w:rPr>
      </w:pPr>
    </w:p>
    <w:p>
      <w:pPr>
        <w:sectPr>
          <w:pgSz w:w="11900" w:h="16840" w:orient="portrait"/>
          <w:cols w:equalWidth="0" w:num="2">
            <w:col w:w="5500" w:space="80"/>
            <w:col w:w="5040"/>
          </w:cols>
          <w:pgMar w:left="660" w:top="1440" w:right="620" w:bottom="1440" w:gutter="0" w:footer="0" w:header="0"/>
          <w:type w:val="continuous"/>
        </w:sectPr>
      </w:pPr>
    </w:p>
    <w:p>
      <w:pPr>
        <w:jc w:val="both"/>
        <w:ind w:right="40" w:firstLine="1446"/>
        <w:spacing w:after="0" w:line="232" w:lineRule="auto"/>
        <w:tabs>
          <w:tab w:leader="none" w:pos="1931" w:val="left"/>
        </w:tabs>
        <w:numPr>
          <w:ilvl w:val="0"/>
          <w:numId w:val="11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an amount in cash equal to: (A) such Non-Dissenting Shareholder’s Allocation Percentage of the Purchase Price;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(B) such Non-Dissenting Shareholder’s Allocation Percentage of the Escrow Amount;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(C) such Non-Dissenting Shareholder’s Allocation Percentage of the Expense Fund Contribution Amount;</w:t>
      </w:r>
    </w:p>
    <w:p>
      <w:pPr>
        <w:spacing w:after="0" w:line="115" w:lineRule="exact"/>
        <w:rPr>
          <w:rFonts w:ascii="Times New Roman" w:cs="Times New Roman" w:eastAsia="Times New Roman" w:hAnsi="Times New Roman"/>
          <w:sz w:val="16"/>
          <w:szCs w:val="16"/>
          <w:color w:val="010000"/>
        </w:rPr>
      </w:pPr>
    </w:p>
    <w:p>
      <w:pPr>
        <w:ind w:right="40" w:firstLine="1446"/>
        <w:spacing w:after="0" w:line="245" w:lineRule="auto"/>
        <w:tabs>
          <w:tab w:leader="none" w:pos="1941" w:val="left"/>
        </w:tabs>
        <w:numPr>
          <w:ilvl w:val="0"/>
          <w:numId w:val="11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such Non-Dissenting Shareholder’s Allocation Percentage of any cash disbursements made from the Escrow Fund, if, as and when such disbursements are required to be made;</w:t>
      </w:r>
    </w:p>
    <w:p>
      <w:pPr>
        <w:spacing w:after="0" w:line="109" w:lineRule="exact"/>
        <w:rPr>
          <w:rFonts w:ascii="Times New Roman" w:cs="Times New Roman" w:eastAsia="Times New Roman" w:hAnsi="Times New Roman"/>
          <w:sz w:val="16"/>
          <w:szCs w:val="16"/>
          <w:color w:val="010000"/>
        </w:rPr>
      </w:pPr>
    </w:p>
    <w:p>
      <w:pPr>
        <w:ind w:right="40" w:firstLine="1446"/>
        <w:spacing w:after="0" w:line="245" w:lineRule="auto"/>
        <w:tabs>
          <w:tab w:leader="none" w:pos="1941" w:val="left"/>
        </w:tabs>
        <w:numPr>
          <w:ilvl w:val="0"/>
          <w:numId w:val="11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such Non-Dissenting Shareholder’s Allocation Percentage of any cash disbursements made from the Expense Fund in accordance with the terms of this Agreement, if, as and when such disbursements are required to be made; and</w:t>
      </w:r>
    </w:p>
    <w:p>
      <w:pPr>
        <w:spacing w:after="0" w:line="109" w:lineRule="exact"/>
        <w:rPr>
          <w:rFonts w:ascii="Times New Roman" w:cs="Times New Roman" w:eastAsia="Times New Roman" w:hAnsi="Times New Roman"/>
          <w:sz w:val="16"/>
          <w:szCs w:val="16"/>
          <w:color w:val="010000"/>
        </w:rPr>
      </w:pPr>
    </w:p>
    <w:p>
      <w:pPr>
        <w:ind w:right="60" w:firstLine="1446"/>
        <w:spacing w:after="0" w:line="245" w:lineRule="auto"/>
        <w:tabs>
          <w:tab w:leader="none" w:pos="1931" w:val="left"/>
        </w:tabs>
        <w:numPr>
          <w:ilvl w:val="0"/>
          <w:numId w:val="11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such Non-Dissenting Shareholder’s Allocation Percentage of the Adjustment Amount with respect to such Shares, if, as and when such payment is required to be made in accordance with </w:t>
      </w:r>
      <w:r>
        <w:rPr>
          <w:rFonts w:ascii="Times New Roman" w:cs="Times New Roman" w:eastAsia="Times New Roman" w:hAnsi="Times New Roman"/>
          <w:sz w:val="16"/>
          <w:szCs w:val="16"/>
          <w:b w:val="1"/>
          <w:bCs w:val="1"/>
          <w:color w:val="auto"/>
        </w:rPr>
        <w:t>Section 2.9(d)</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26</w:t>
      </w:r>
    </w:p>
    <w:p>
      <w:pPr>
        <w:sectPr>
          <w:pgSz w:w="11900" w:h="16840" w:orient="portrait"/>
          <w:cols w:equalWidth="0" w:num="1">
            <w:col w:w="10620"/>
          </w:cols>
          <w:pgMar w:left="660" w:top="1440" w:right="620" w:bottom="1440" w:gutter="0" w:footer="0" w:header="0"/>
          <w:type w:val="continuous"/>
        </w:sectPr>
      </w:pPr>
    </w:p>
    <w:bookmarkStart w:id="305" w:name="page306"/>
    <w:bookmarkEnd w:id="305"/>
    <w:p>
      <w:pPr>
        <w:spacing w:after="0" w:line="80" w:lineRule="exact"/>
        <w:rPr>
          <w:sz w:val="20"/>
          <w:szCs w:val="20"/>
          <w:color w:val="auto"/>
        </w:rPr>
      </w:pPr>
    </w:p>
    <w:p>
      <w:pPr>
        <w:ind w:firstLine="961"/>
        <w:spacing w:after="0" w:line="245" w:lineRule="auto"/>
        <w:tabs>
          <w:tab w:leader="none" w:pos="1456"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that is owned by Parent or Merger Sub immediately prior to the Effective Time shall automatically be cancelled and extinguished and shall cease to exist, and no cash or other consideration shall be delivered or deliverable in exchange therefor;</w:t>
      </w:r>
    </w:p>
    <w:p>
      <w:pPr>
        <w:spacing w:after="0" w:line="109" w:lineRule="exact"/>
        <w:rPr>
          <w:rFonts w:ascii="Times New Roman" w:cs="Times New Roman" w:eastAsia="Times New Roman" w:hAnsi="Times New Roman"/>
          <w:sz w:val="16"/>
          <w:szCs w:val="16"/>
          <w:color w:val="auto"/>
        </w:rPr>
      </w:pPr>
    </w:p>
    <w:p>
      <w:pPr>
        <w:jc w:val="both"/>
        <w:ind w:firstLine="961"/>
        <w:spacing w:after="0" w:line="232" w:lineRule="auto"/>
        <w:tabs>
          <w:tab w:leader="none" w:pos="1456"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Share that is held by an Acquired Company or owned by an Acquired Company immediately prior to the Effective Time (including, for the avoidance of doubt, the [***]) shall automatically be cancelled and extinguished and shall cease to exist, and no cash or other consideration shall be delivered or deliverable in exchange therefor (the Shares described in </w:t>
      </w:r>
      <w:r>
        <w:rPr>
          <w:rFonts w:ascii="Times New Roman" w:cs="Times New Roman" w:eastAsia="Times New Roman" w:hAnsi="Times New Roman"/>
          <w:sz w:val="16"/>
          <w:szCs w:val="16"/>
          <w:b w:val="1"/>
          <w:bCs w:val="1"/>
          <w:color w:val="auto"/>
        </w:rPr>
        <w:t>Section 2.6(b)</w:t>
      </w:r>
      <w:r>
        <w:rPr>
          <w:rFonts w:ascii="Times New Roman" w:cs="Times New Roman" w:eastAsia="Times New Roman" w:hAnsi="Times New Roman"/>
          <w:sz w:val="16"/>
          <w:szCs w:val="16"/>
          <w:color w:val="auto"/>
        </w:rPr>
        <w:t xml:space="preserve"> and this </w:t>
      </w:r>
      <w:r>
        <w:rPr>
          <w:rFonts w:ascii="Times New Roman" w:cs="Times New Roman" w:eastAsia="Times New Roman" w:hAnsi="Times New Roman"/>
          <w:sz w:val="16"/>
          <w:szCs w:val="16"/>
          <w:b w:val="1"/>
          <w:bCs w:val="1"/>
          <w:color w:val="auto"/>
        </w:rPr>
        <w:t>Section 2.6(c)</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i w:val="1"/>
          <w:iCs w:val="1"/>
          <w:color w:val="auto"/>
        </w:rPr>
        <w:t>Cancelled Shares</w:t>
      </w:r>
      <w:r>
        <w:rPr>
          <w:rFonts w:ascii="Times New Roman" w:cs="Times New Roman" w:eastAsia="Times New Roman" w:hAnsi="Times New Roman"/>
          <w:sz w:val="16"/>
          <w:szCs w:val="16"/>
          <w:color w:val="auto"/>
        </w:rPr>
        <w:t>)”; and</w:t>
      </w:r>
    </w:p>
    <w:p>
      <w:pPr>
        <w:spacing w:after="0" w:line="113" w:lineRule="exact"/>
        <w:rPr>
          <w:rFonts w:ascii="Times New Roman" w:cs="Times New Roman" w:eastAsia="Times New Roman" w:hAnsi="Times New Roman"/>
          <w:sz w:val="16"/>
          <w:szCs w:val="16"/>
          <w:color w:val="auto"/>
        </w:rPr>
      </w:pPr>
    </w:p>
    <w:p>
      <w:pPr>
        <w:ind w:firstLine="961"/>
        <w:spacing w:after="0" w:line="245" w:lineRule="auto"/>
        <w:tabs>
          <w:tab w:leader="none" w:pos="1456"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ordinary share, par value $0.0001 per share, of Merger Sub issued and outstanding immediately prior to the Effective Time shall be converted into one fully paid ordinary share, par value $0.0001 per share, of the Surviving Corporation.</w:t>
      </w:r>
    </w:p>
    <w:p>
      <w:pPr>
        <w:spacing w:after="0" w:line="108" w:lineRule="exact"/>
        <w:rPr>
          <w:sz w:val="20"/>
          <w:szCs w:val="20"/>
          <w:color w:val="auto"/>
        </w:rPr>
      </w:pPr>
    </w:p>
    <w:p>
      <w:pPr>
        <w:jc w:val="both"/>
        <w:ind w:firstLine="485"/>
        <w:spacing w:after="0" w:line="215" w:lineRule="auto"/>
        <w:rPr>
          <w:sz w:val="20"/>
          <w:szCs w:val="20"/>
          <w:color w:val="auto"/>
        </w:rPr>
      </w:pPr>
      <w:r>
        <w:rPr>
          <w:rFonts w:ascii="Times New Roman" w:cs="Times New Roman" w:eastAsia="Times New Roman" w:hAnsi="Times New Roman"/>
          <w:sz w:val="16"/>
          <w:szCs w:val="16"/>
          <w:b w:val="1"/>
          <w:bCs w:val="1"/>
          <w:color w:val="010000"/>
        </w:rPr>
        <w:t xml:space="preserve">Section 2.7 </w:t>
      </w:r>
      <w:r>
        <w:rPr>
          <w:rFonts w:ascii="Times New Roman" w:cs="Times New Roman" w:eastAsia="Times New Roman" w:hAnsi="Times New Roman"/>
          <w:sz w:val="16"/>
          <w:szCs w:val="16"/>
          <w:b w:val="1"/>
          <w:bCs w:val="1"/>
          <w:color w:val="000000"/>
        </w:rPr>
        <w:t>Dissenting Shares</w:t>
      </w:r>
      <w:r>
        <w:rPr>
          <w:rFonts w:ascii="Times New Roman" w:cs="Times New Roman" w:eastAsia="Times New Roman" w:hAnsi="Times New Roman"/>
          <w:sz w:val="16"/>
          <w:szCs w:val="16"/>
          <w:color w:val="000000"/>
        </w:rPr>
        <w:t>. Notwithstanding anything in this Agreement to the contrary, Shares held by a Shareholder who has properly demanded</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dissenters’ rights for such Shares in accordance with Section 238 of the Cayman Companies Law and otherwise complied with all of the provisions of the Cayman Companies Law relevant to the exercise and perfection of dissenters’ rights (any such shares being referred to as “</w:t>
      </w:r>
      <w:r>
        <w:rPr>
          <w:rFonts w:ascii="Times New Roman" w:cs="Times New Roman" w:eastAsia="Times New Roman" w:hAnsi="Times New Roman"/>
          <w:sz w:val="16"/>
          <w:szCs w:val="16"/>
          <w:b w:val="1"/>
          <w:bCs w:val="1"/>
          <w:i w:val="1"/>
          <w:iCs w:val="1"/>
          <w:color w:val="000000"/>
        </w:rPr>
        <w:t>Dissenting Shares</w:t>
      </w:r>
      <w:r>
        <w:rPr>
          <w:rFonts w:ascii="Times New Roman" w:cs="Times New Roman" w:eastAsia="Times New Roman" w:hAnsi="Times New Roman"/>
          <w:sz w:val="16"/>
          <w:szCs w:val="16"/>
          <w:color w:val="000000"/>
        </w:rPr>
        <w:t xml:space="preserve">”) shall not be converted into or be exchangeable for the right to receive any portion of the Purchase Price (and such holders of Dissenting Shares shall have no right to receive any portion of the Purchase Price unless and until any such Shareholder fails to perfect or withdraws or otherwise loses his, her or its right to dissenters’ rights under the Cayman Companies Law). Upon the exercise and perfection of dissenters’ rights pursuant to the Cayman Companies Law, such Shareholder shall have the right to be paid the fair value of such Shareholder’s Shares and such Shares shall then be cancelled by the Company. The Shares owned by any Shareholder who fails to perfect or who effectively withdraws or otherwise loses his, her or its rights to appraisal of such Shares under section 238 of the Cayman Companies Law shall thereupon be deemed to have been converted into, and to have become exchangeable for, as of the Effective Time, the right to receive the relevant portion of the Purchase Price payable in respect thereof pursuant to </w:t>
      </w:r>
      <w:r>
        <w:rPr>
          <w:rFonts w:ascii="Times New Roman" w:cs="Times New Roman" w:eastAsia="Times New Roman" w:hAnsi="Times New Roman"/>
          <w:sz w:val="16"/>
          <w:szCs w:val="16"/>
          <w:b w:val="1"/>
          <w:bCs w:val="1"/>
          <w:color w:val="000000"/>
        </w:rPr>
        <w:t>Section 2.6(a)</w:t>
      </w:r>
      <w:r>
        <w:rPr>
          <w:rFonts w:ascii="Times New Roman" w:cs="Times New Roman" w:eastAsia="Times New Roman" w:hAnsi="Times New Roman"/>
          <w:sz w:val="16"/>
          <w:szCs w:val="16"/>
          <w:color w:val="000000"/>
        </w:rPr>
        <w:t>, without any interest thereon, and such Shareholder shall be deemed to be a “Non- Dissenting Shareholder” for all purposes hereunder. Upon the occurrence of the Effective Time, a holder of Dissenting Shares shall cease to have any rights of a member of the Company except (a) the right to be paid the fair value of that holder’s Dissenting Shares, and (b) such other rights prescribed in Section 238 of the Cayman Companies Law. The Company shall give Parent (i) prompt notice of any written demand received by the Company for dissenters’ rights, and (ii) the opportunity to participate in all negotiations and proceedings with respect to any such demand for dissenters’ rights under the Cayman Companies Law. Prior to the Effective Time, the Company shall not, without the prior written consent of Parent, make any payment with respect to, or settle or offer to settle, any such demands, or agree to do any of the foregoing.</w:t>
      </w:r>
    </w:p>
    <w:p>
      <w:pPr>
        <w:spacing w:after="0" w:line="112"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2.8</w:t>
      </w:r>
      <w:r>
        <w:rPr>
          <w:rFonts w:ascii="Times New Roman" w:cs="Times New Roman" w:eastAsia="Times New Roman" w:hAnsi="Times New Roman"/>
          <w:sz w:val="16"/>
          <w:szCs w:val="16"/>
          <w:b w:val="1"/>
          <w:bCs w:val="1"/>
          <w:color w:val="auto"/>
        </w:rPr>
        <w:tab/>
        <w:t>Payment for Shares</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jc w:val="both"/>
        <w:ind w:firstLine="961"/>
        <w:spacing w:after="0" w:line="223" w:lineRule="auto"/>
        <w:tabs>
          <w:tab w:leader="none" w:pos="1456"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Effective Time, Parent shall designate a bank or trust company approved (such approval not to be unreasonably withheld, conditioned or delayed) in writing (including by email) in advance by the Company to act as paying agent in connection with the Merger (the “</w:t>
      </w:r>
      <w:r>
        <w:rPr>
          <w:rFonts w:ascii="Times New Roman" w:cs="Times New Roman" w:eastAsia="Times New Roman" w:hAnsi="Times New Roman"/>
          <w:sz w:val="16"/>
          <w:szCs w:val="16"/>
          <w:b w:val="1"/>
          <w:bCs w:val="1"/>
          <w:i w:val="1"/>
          <w:iCs w:val="1"/>
          <w:color w:val="auto"/>
        </w:rPr>
        <w:t>Paying Agent</w:t>
      </w:r>
      <w:r>
        <w:rPr>
          <w:rFonts w:ascii="Times New Roman" w:cs="Times New Roman" w:eastAsia="Times New Roman" w:hAnsi="Times New Roman"/>
          <w:sz w:val="16"/>
          <w:szCs w:val="16"/>
          <w:color w:val="auto"/>
        </w:rPr>
        <w:t xml:space="preserve">”) pursuant to the Paying Agent Agreement providing for, among other things, the matters set forth in this </w:t>
      </w:r>
      <w:r>
        <w:rPr>
          <w:rFonts w:ascii="Times New Roman" w:cs="Times New Roman" w:eastAsia="Times New Roman" w:hAnsi="Times New Roman"/>
          <w:sz w:val="16"/>
          <w:szCs w:val="16"/>
          <w:b w:val="1"/>
          <w:bCs w:val="1"/>
          <w:color w:val="auto"/>
        </w:rPr>
        <w:t>Section 2.8</w:t>
      </w:r>
      <w:r>
        <w:rPr>
          <w:rFonts w:ascii="Times New Roman" w:cs="Times New Roman" w:eastAsia="Times New Roman" w:hAnsi="Times New Roman"/>
          <w:sz w:val="16"/>
          <w:szCs w:val="16"/>
          <w:color w:val="auto"/>
        </w:rPr>
        <w:t>. At or prior to the Effective Time, Parent shall pay the upfront fees of the Paying Agent and Parent shall deliver, or cause to be delivered, to the Paying Agent for the benefit of Shareholders (other than holders of Cancelled Shares or Dissenting Shares) the Closing Consideration Amount.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1900" w:h="16840" w:orient="portrait"/>
          <w:cols w:equalWidth="0" w:num="1">
            <w:col w:w="10580"/>
          </w:cols>
          <w:pgMar w:left="660" w:top="1440" w:right="660" w:bottom="1440" w:gutter="0" w:footer="0" w:header="0"/>
        </w:sectPr>
      </w:pPr>
    </w:p>
    <w:bookmarkStart w:id="306" w:name="page307"/>
    <w:bookmarkEnd w:id="306"/>
    <w:p>
      <w:pPr>
        <w:spacing w:after="0" w:line="80" w:lineRule="exact"/>
        <w:rPr>
          <w:sz w:val="20"/>
          <w:szCs w:val="20"/>
          <w:color w:val="auto"/>
        </w:rPr>
      </w:pPr>
    </w:p>
    <w:p>
      <w:pPr>
        <w:ind w:left="9" w:right="20" w:firstLine="961"/>
        <w:spacing w:after="0" w:line="245" w:lineRule="auto"/>
        <w:tabs>
          <w:tab w:leader="none" w:pos="1465"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later than [***] Business Days (but in no event more than [***] Business Days) prior to the anticipated Closing Date, the Company shall prepare and deliver to Parent and the Paying Agent the Closing Payment Spreadsheet.</w:t>
      </w:r>
    </w:p>
    <w:p>
      <w:pPr>
        <w:spacing w:after="0" w:line="109" w:lineRule="exact"/>
        <w:rPr>
          <w:rFonts w:ascii="Times New Roman" w:cs="Times New Roman" w:eastAsia="Times New Roman" w:hAnsi="Times New Roman"/>
          <w:sz w:val="16"/>
          <w:szCs w:val="16"/>
          <w:color w:val="auto"/>
        </w:rPr>
      </w:pPr>
    </w:p>
    <w:p>
      <w:pPr>
        <w:jc w:val="both"/>
        <w:ind w:left="9" w:right="20" w:firstLine="961"/>
        <w:spacing w:after="0" w:line="216" w:lineRule="auto"/>
        <w:tabs>
          <w:tab w:leader="none" w:pos="1465"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promptly as practicable after the Effective Time (but no later than [***] after the Closing Date), the Surviving Corporation shall direct the Paying Agent to mail to each Non-Dissenting Shareholder that is registered as the holder of record of Shares in the register of members of the Company (whether or not represented by a certificate or certificates that, immediately prior to the Effective Time, evidenced outstanding Shares (the “</w:t>
      </w:r>
      <w:r>
        <w:rPr>
          <w:rFonts w:ascii="Times New Roman" w:cs="Times New Roman" w:eastAsia="Times New Roman" w:hAnsi="Times New Roman"/>
          <w:sz w:val="16"/>
          <w:szCs w:val="16"/>
          <w:b w:val="1"/>
          <w:bCs w:val="1"/>
          <w:i w:val="1"/>
          <w:iCs w:val="1"/>
          <w:color w:val="auto"/>
        </w:rPr>
        <w:t>Certificates</w:t>
      </w:r>
      <w:r>
        <w:rPr>
          <w:rFonts w:ascii="Times New Roman" w:cs="Times New Roman" w:eastAsia="Times New Roman" w:hAnsi="Times New Roman"/>
          <w:sz w:val="16"/>
          <w:szCs w:val="16"/>
          <w:color w:val="auto"/>
        </w:rPr>
        <w:t>”)) immediately prior to the Effective Time, (each, a “</w:t>
      </w:r>
      <w:r>
        <w:rPr>
          <w:rFonts w:ascii="Times New Roman" w:cs="Times New Roman" w:eastAsia="Times New Roman" w:hAnsi="Times New Roman"/>
          <w:sz w:val="16"/>
          <w:szCs w:val="16"/>
          <w:b w:val="1"/>
          <w:bCs w:val="1"/>
          <w:i w:val="1"/>
          <w:iCs w:val="1"/>
          <w:color w:val="auto"/>
        </w:rPr>
        <w:t>Registered Share</w:t>
      </w:r>
      <w:r>
        <w:rPr>
          <w:rFonts w:ascii="Times New Roman" w:cs="Times New Roman" w:eastAsia="Times New Roman" w:hAnsi="Times New Roman"/>
          <w:sz w:val="16"/>
          <w:szCs w:val="16"/>
          <w:color w:val="auto"/>
        </w:rPr>
        <w:t>”) and whose Shares were cancelled in exchange for the right to receive the consideration</w:t>
      </w:r>
    </w:p>
    <w:p>
      <w:pPr>
        <w:ind w:left="9"/>
        <w:spacing w:after="0" w:line="214" w:lineRule="auto"/>
        <w:rPr>
          <w:sz w:val="20"/>
          <w:szCs w:val="20"/>
          <w:color w:val="auto"/>
        </w:rPr>
      </w:pPr>
      <w:r>
        <w:rPr>
          <w:rFonts w:ascii="Times New Roman" w:cs="Times New Roman" w:eastAsia="Times New Roman" w:hAnsi="Times New Roman"/>
          <w:sz w:val="16"/>
          <w:szCs w:val="16"/>
          <w:color w:val="auto"/>
        </w:rPr>
        <w:t xml:space="preserve">described in </w:t>
      </w:r>
      <w:r>
        <w:rPr>
          <w:rFonts w:ascii="Times New Roman" w:cs="Times New Roman" w:eastAsia="Times New Roman" w:hAnsi="Times New Roman"/>
          <w:sz w:val="16"/>
          <w:szCs w:val="16"/>
          <w:b w:val="1"/>
          <w:bCs w:val="1"/>
          <w:color w:val="auto"/>
        </w:rPr>
        <w:t>Section 2.6</w:t>
      </w:r>
      <w:r>
        <w:rPr>
          <w:rFonts w:ascii="Times New Roman" w:cs="Times New Roman" w:eastAsia="Times New Roman" w:hAnsi="Times New Roman"/>
          <w:sz w:val="16"/>
          <w:szCs w:val="16"/>
          <w:color w:val="auto"/>
        </w:rPr>
        <w:t>, (i) a letter of transmittal in form and substance reasonably satisfactory to the Company and Parent (the “</w:t>
      </w:r>
      <w:r>
        <w:rPr>
          <w:rFonts w:ascii="Times New Roman" w:cs="Times New Roman" w:eastAsia="Times New Roman" w:hAnsi="Times New Roman"/>
          <w:sz w:val="16"/>
          <w:szCs w:val="16"/>
          <w:b w:val="1"/>
          <w:bCs w:val="1"/>
          <w:i w:val="1"/>
          <w:iCs w:val="1"/>
          <w:color w:val="auto"/>
        </w:rPr>
        <w:t>Letter of Transmittal</w:t>
      </w:r>
      <w:r>
        <w:rPr>
          <w:rFonts w:ascii="Times New Roman" w:cs="Times New Roman" w:eastAsia="Times New Roman" w:hAnsi="Times New Roman"/>
          <w:sz w:val="16"/>
          <w:szCs w:val="16"/>
          <w:color w:val="auto"/>
        </w:rPr>
        <w:t>”),</w:t>
      </w:r>
    </w:p>
    <w:p>
      <w:pPr>
        <w:jc w:val="both"/>
        <w:ind w:left="9" w:right="20" w:hanging="9"/>
        <w:spacing w:after="0" w:line="214" w:lineRule="auto"/>
        <w:tabs>
          <w:tab w:leader="none" w:pos="251"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instructions for use in effecting the surrender of the Certificates, as applicable, and (iii) instructions for effecting the conversion of such Registered Shares into payment therefor (as set forth in </w:t>
      </w:r>
      <w:r>
        <w:rPr>
          <w:rFonts w:ascii="Times New Roman" w:cs="Times New Roman" w:eastAsia="Times New Roman" w:hAnsi="Times New Roman"/>
          <w:sz w:val="16"/>
          <w:szCs w:val="16"/>
          <w:b w:val="1"/>
          <w:bCs w:val="1"/>
          <w:color w:val="auto"/>
        </w:rPr>
        <w:t>Section 2.6</w:t>
      </w:r>
      <w:r>
        <w:rPr>
          <w:rFonts w:ascii="Times New Roman" w:cs="Times New Roman" w:eastAsia="Times New Roman" w:hAnsi="Times New Roman"/>
          <w:sz w:val="16"/>
          <w:szCs w:val="16"/>
          <w:color w:val="auto"/>
        </w:rPr>
        <w:t xml:space="preserve">). With respect to holders of Certificates, upon surrender of a Certificate for cancellation to the Paying Agent, together with such letter of transmittal duly executed, and, with respect to Registered Shares (with Certificates), upon the submission of such letter of transmittal duly executed, each Non-Dissenting Shareholder registered as the holder of record of Shares in the register of members of the Company shall be entitled to receive in exchange therefor its Allocation Percentage of the Purchase Price, and such Certificates, as applicable, shall, upon such surrender, be cancelled. Notwithstanding the foregoing, Parent and the Company shall use reasonable best efforts to cause (x) such Letter of Transmittal to be made available to each Non-Dissenting Shareholder that holds Registered Shares pursuant to this </w:t>
      </w:r>
      <w:r>
        <w:rPr>
          <w:rFonts w:ascii="Times New Roman" w:cs="Times New Roman" w:eastAsia="Times New Roman" w:hAnsi="Times New Roman"/>
          <w:sz w:val="16"/>
          <w:szCs w:val="16"/>
          <w:b w:val="1"/>
          <w:bCs w:val="1"/>
          <w:color w:val="auto"/>
        </w:rPr>
        <w:t>Section 2.8</w:t>
      </w:r>
      <w:r>
        <w:rPr>
          <w:rFonts w:ascii="Times New Roman" w:cs="Times New Roman" w:eastAsia="Times New Roman" w:hAnsi="Times New Roman"/>
          <w:sz w:val="16"/>
          <w:szCs w:val="16"/>
          <w:color w:val="auto"/>
        </w:rPr>
        <w:t xml:space="preserve"> prior to the Effective Time, and (y) such Non-Dissenting Shareholder’s Letter of Transmittal to be reviewed and processed on or prior to the Effective Time, such that, so long as such Non-Dissenting Shareholder remains entitled to receive such Letter of Transmittal pursuant to this </w:t>
      </w:r>
      <w:r>
        <w:rPr>
          <w:rFonts w:ascii="Times New Roman" w:cs="Times New Roman" w:eastAsia="Times New Roman" w:hAnsi="Times New Roman"/>
          <w:sz w:val="16"/>
          <w:szCs w:val="16"/>
          <w:b w:val="1"/>
          <w:bCs w:val="1"/>
          <w:color w:val="auto"/>
        </w:rPr>
        <w:t>Section 2.8</w:t>
      </w:r>
      <w:r>
        <w:rPr>
          <w:rFonts w:ascii="Times New Roman" w:cs="Times New Roman" w:eastAsia="Times New Roman" w:hAnsi="Times New Roman"/>
          <w:sz w:val="16"/>
          <w:szCs w:val="16"/>
          <w:color w:val="auto"/>
        </w:rPr>
        <w:t>, such Non-Dissenting Shareholder will be paid its Closing Consideration Amount on, or as promptly as practicable following, the Closing Date.</w:t>
      </w:r>
    </w:p>
    <w:p>
      <w:pPr>
        <w:spacing w:after="0" w:line="120" w:lineRule="exact"/>
        <w:rPr>
          <w:rFonts w:ascii="Times New Roman" w:cs="Times New Roman" w:eastAsia="Times New Roman" w:hAnsi="Times New Roman"/>
          <w:sz w:val="16"/>
          <w:szCs w:val="16"/>
          <w:color w:val="auto"/>
        </w:rPr>
      </w:pPr>
    </w:p>
    <w:p>
      <w:pPr>
        <w:jc w:val="both"/>
        <w:ind w:left="9" w:right="20" w:firstLine="961"/>
        <w:spacing w:after="0" w:line="232" w:lineRule="auto"/>
        <w:tabs>
          <w:tab w:leader="none" w:pos="1465"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the Effective Time, the register of members of the Company shall be closed and there shall be no further registration of transfers of any shares thereafter on the register of members of the Company. If, after the Effective Time, a valid Certificate or Registered Share (other than one representing any Cancelled Shares or Dissenting Shares) is presented to the Surviving Corporation, it shall be cancelled and exchanged as provided in this </w:t>
      </w:r>
      <w:r>
        <w:rPr>
          <w:rFonts w:ascii="Times New Roman" w:cs="Times New Roman" w:eastAsia="Times New Roman" w:hAnsi="Times New Roman"/>
          <w:sz w:val="16"/>
          <w:szCs w:val="16"/>
          <w:b w:val="1"/>
          <w:bCs w:val="1"/>
          <w:color w:val="auto"/>
        </w:rPr>
        <w:t>Section 2.8</w:t>
      </w:r>
      <w:r>
        <w:rPr>
          <w:rFonts w:ascii="Times New Roman" w:cs="Times New Roman" w:eastAsia="Times New Roman" w:hAnsi="Times New Roman"/>
          <w:sz w:val="16"/>
          <w:szCs w:val="16"/>
          <w:color w:val="auto"/>
        </w:rPr>
        <w:t>.</w:t>
      </w:r>
    </w:p>
    <w:p>
      <w:pPr>
        <w:spacing w:after="0" w:line="111" w:lineRule="exact"/>
        <w:rPr>
          <w:rFonts w:ascii="Times New Roman" w:cs="Times New Roman" w:eastAsia="Times New Roman" w:hAnsi="Times New Roman"/>
          <w:sz w:val="16"/>
          <w:szCs w:val="16"/>
          <w:color w:val="auto"/>
        </w:rPr>
      </w:pPr>
    </w:p>
    <w:p>
      <w:pPr>
        <w:jc w:val="both"/>
        <w:ind w:left="9" w:firstLine="961"/>
        <w:spacing w:after="0" w:line="227" w:lineRule="auto"/>
        <w:tabs>
          <w:tab w:leader="none" w:pos="1465"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cash paid in exchange for the cancellation of the Shares in accordance with the terms of this </w:t>
      </w:r>
      <w:r>
        <w:rPr>
          <w:rFonts w:ascii="Times New Roman" w:cs="Times New Roman" w:eastAsia="Times New Roman" w:hAnsi="Times New Roman"/>
          <w:sz w:val="16"/>
          <w:szCs w:val="16"/>
          <w:b w:val="1"/>
          <w:bCs w:val="1"/>
          <w:color w:val="auto"/>
        </w:rPr>
        <w:t>Article II</w:t>
      </w:r>
      <w:r>
        <w:rPr>
          <w:rFonts w:ascii="Times New Roman" w:cs="Times New Roman" w:eastAsia="Times New Roman" w:hAnsi="Times New Roman"/>
          <w:sz w:val="16"/>
          <w:szCs w:val="16"/>
          <w:color w:val="auto"/>
        </w:rPr>
        <w:t xml:space="preserve"> and all cash deposited with the Company pursuant to this </w:t>
      </w:r>
      <w:r>
        <w:rPr>
          <w:rFonts w:ascii="Times New Roman" w:cs="Times New Roman" w:eastAsia="Times New Roman" w:hAnsi="Times New Roman"/>
          <w:sz w:val="16"/>
          <w:szCs w:val="16"/>
          <w:b w:val="1"/>
          <w:bCs w:val="1"/>
          <w:color w:val="auto"/>
        </w:rPr>
        <w:t>Article II</w:t>
      </w:r>
      <w:r>
        <w:rPr>
          <w:rFonts w:ascii="Times New Roman" w:cs="Times New Roman" w:eastAsia="Times New Roman" w:hAnsi="Times New Roman"/>
          <w:sz w:val="16"/>
          <w:szCs w:val="16"/>
          <w:color w:val="auto"/>
        </w:rPr>
        <w:t xml:space="preserve"> shall be deemed to have been paid in full satisfaction of all rights pertaining to such Shares. From and after the Effective Time, the holders of issued and outstanding Shares as registered in the register of members of the Company (including any Certificates evidencing ownership of Shares) shall cease to have any rights as Shareholders or with respect to Shares represented thereby, except as otherwise provided herein or by applicable Law.</w:t>
      </w:r>
    </w:p>
    <w:p>
      <w:pPr>
        <w:spacing w:after="0" w:line="114" w:lineRule="exact"/>
        <w:rPr>
          <w:rFonts w:ascii="Times New Roman" w:cs="Times New Roman" w:eastAsia="Times New Roman" w:hAnsi="Times New Roman"/>
          <w:sz w:val="16"/>
          <w:szCs w:val="16"/>
          <w:color w:val="auto"/>
        </w:rPr>
      </w:pPr>
    </w:p>
    <w:p>
      <w:pPr>
        <w:jc w:val="both"/>
        <w:ind w:left="9" w:right="20" w:firstLine="961"/>
        <w:spacing w:after="0" w:line="223" w:lineRule="auto"/>
        <w:tabs>
          <w:tab w:leader="none" w:pos="1465"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any Certificate shall have been lost, stolen or destroyed, upon the making of an affidavit of that fact by the holder thereof, the Surviving Corporation shall pay or cause to be paid in exchange for such lost, stolen or destroyed Certificate the relevant portion of the Purchase Price payable in respect thereof pursuant to </w:t>
      </w:r>
      <w:r>
        <w:rPr>
          <w:rFonts w:ascii="Times New Roman" w:cs="Times New Roman" w:eastAsia="Times New Roman" w:hAnsi="Times New Roman"/>
          <w:sz w:val="16"/>
          <w:szCs w:val="16"/>
          <w:b w:val="1"/>
          <w:bCs w:val="1"/>
          <w:color w:val="auto"/>
        </w:rPr>
        <w:t>Section 2.6(a)</w:t>
      </w:r>
      <w:r>
        <w:rPr>
          <w:rFonts w:ascii="Times New Roman" w:cs="Times New Roman" w:eastAsia="Times New Roman" w:hAnsi="Times New Roman"/>
          <w:sz w:val="16"/>
          <w:szCs w:val="16"/>
          <w:color w:val="auto"/>
        </w:rPr>
        <w:t xml:space="preserve"> for Shares represented thereby;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Shares represented thereby are Registered Shares and provided that the Surviving Corporation or the Paying Agent may, in their discretion, require the delivery of a reasonable affidavit containing an indemnity from the holder against any claim that may be made against the Surviving Corporation with respect to such Certificate.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28</w:t>
      </w:r>
    </w:p>
    <w:p>
      <w:pPr>
        <w:sectPr>
          <w:pgSz w:w="11900" w:h="16840" w:orient="portrait"/>
          <w:cols w:equalWidth="0" w:num="1">
            <w:col w:w="10609"/>
          </w:cols>
          <w:pgMar w:left="651" w:top="1440" w:right="640" w:bottom="1440" w:gutter="0" w:footer="0" w:header="0"/>
        </w:sectPr>
      </w:pPr>
    </w:p>
    <w:bookmarkStart w:id="307" w:name="page308"/>
    <w:bookmarkEnd w:id="307"/>
    <w:p>
      <w:pPr>
        <w:spacing w:after="0" w:line="80" w:lineRule="exact"/>
        <w:rPr>
          <w:sz w:val="20"/>
          <w:szCs w:val="20"/>
          <w:color w:val="auto"/>
        </w:rPr>
      </w:pPr>
    </w:p>
    <w:p>
      <w:pPr>
        <w:jc w:val="both"/>
        <w:ind w:right="20" w:firstLine="961"/>
        <w:spacing w:after="0" w:line="232" w:lineRule="auto"/>
        <w:tabs>
          <w:tab w:leader="none" w:pos="1456"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any time following the date that is [***] months after the Effective Time, Parent may demand from the Paying Agent any funds that remain undistributed by the Paying Agent to holders of Shares as registered in the register of members of the Company. Such holders shall thereafter, to the extent permitted by applicable Laws, be entitled to look only to Parent for satisfaction of their claims for the cash amounts payable in accordance with </w:t>
      </w:r>
      <w:r>
        <w:rPr>
          <w:rFonts w:ascii="Times New Roman" w:cs="Times New Roman" w:eastAsia="Times New Roman" w:hAnsi="Times New Roman"/>
          <w:sz w:val="16"/>
          <w:szCs w:val="16"/>
          <w:b w:val="1"/>
          <w:bCs w:val="1"/>
          <w:color w:val="auto"/>
        </w:rPr>
        <w:t>Section 2.6</w:t>
      </w:r>
      <w:r>
        <w:rPr>
          <w:rFonts w:ascii="Times New Roman" w:cs="Times New Roman" w:eastAsia="Times New Roman" w:hAnsi="Times New Roman"/>
          <w:sz w:val="16"/>
          <w:szCs w:val="16"/>
          <w:color w:val="auto"/>
        </w:rPr>
        <w:t>.</w:t>
      </w:r>
    </w:p>
    <w:p>
      <w:pPr>
        <w:spacing w:after="0" w:line="113" w:lineRule="exact"/>
        <w:rPr>
          <w:rFonts w:ascii="Times New Roman" w:cs="Times New Roman" w:eastAsia="Times New Roman" w:hAnsi="Times New Roman"/>
          <w:sz w:val="16"/>
          <w:szCs w:val="16"/>
          <w:color w:val="auto"/>
        </w:rPr>
      </w:pPr>
    </w:p>
    <w:p>
      <w:pPr>
        <w:jc w:val="both"/>
        <w:ind w:firstLine="961"/>
        <w:spacing w:after="0" w:line="232" w:lineRule="auto"/>
        <w:tabs>
          <w:tab w:leader="none" w:pos="1456"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Parent nor the Surviving Corporation shall, to the extent permitted by applicable Laws, be liable to any holder or former holder of Company Preferred Shares or Company Ordinary Shares with respect to any amounts properly delivered to any public official pursuant to any applicable abandoned property Law or escheat Law.</w:t>
      </w:r>
    </w:p>
    <w:p>
      <w:pPr>
        <w:spacing w:after="0" w:line="111"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2.9</w:t>
      </w:r>
      <w:r>
        <w:rPr>
          <w:rFonts w:ascii="Times New Roman" w:cs="Times New Roman" w:eastAsia="Times New Roman" w:hAnsi="Times New Roman"/>
          <w:sz w:val="16"/>
          <w:szCs w:val="16"/>
          <w:b w:val="1"/>
          <w:bCs w:val="1"/>
          <w:color w:val="auto"/>
        </w:rPr>
        <w:tab/>
        <w:t>Estimated Closing Statement; Post-Closing Adjustment to Purchase Price</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jc w:val="both"/>
        <w:ind w:firstLine="961"/>
        <w:spacing w:after="0" w:line="219" w:lineRule="auto"/>
        <w:tabs>
          <w:tab w:leader="none" w:pos="1456"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less than [***] Business Days (but in no event more than [***] Business Days) prior to the anticipated Closing Date, the Company shall deliver to Parent a written schedule (the “</w:t>
      </w:r>
      <w:r>
        <w:rPr>
          <w:rFonts w:ascii="Times New Roman" w:cs="Times New Roman" w:eastAsia="Times New Roman" w:hAnsi="Times New Roman"/>
          <w:sz w:val="16"/>
          <w:szCs w:val="16"/>
          <w:b w:val="1"/>
          <w:bCs w:val="1"/>
          <w:i w:val="1"/>
          <w:iCs w:val="1"/>
          <w:color w:val="auto"/>
        </w:rPr>
        <w:t>Estimated Closing Statement</w:t>
      </w:r>
      <w:r>
        <w:rPr>
          <w:rFonts w:ascii="Times New Roman" w:cs="Times New Roman" w:eastAsia="Times New Roman" w:hAnsi="Times New Roman"/>
          <w:sz w:val="16"/>
          <w:szCs w:val="16"/>
          <w:color w:val="auto"/>
        </w:rPr>
        <w:t xml:space="preserve">”) setting forth in reasonable detail the Company’s good faith estimates of [***]. Upon the delivery of the Estimated Closing Statement and subject to the restrictions and limitations set forth in </w:t>
      </w:r>
      <w:r>
        <w:rPr>
          <w:rFonts w:ascii="Times New Roman" w:cs="Times New Roman" w:eastAsia="Times New Roman" w:hAnsi="Times New Roman"/>
          <w:sz w:val="16"/>
          <w:szCs w:val="16"/>
          <w:b w:val="1"/>
          <w:bCs w:val="1"/>
          <w:color w:val="auto"/>
        </w:rPr>
        <w:t>Section 5.2</w:t>
      </w:r>
      <w:r>
        <w:rPr>
          <w:rFonts w:ascii="Times New Roman" w:cs="Times New Roman" w:eastAsia="Times New Roman" w:hAnsi="Times New Roman"/>
          <w:sz w:val="16"/>
          <w:szCs w:val="16"/>
          <w:color w:val="auto"/>
        </w:rPr>
        <w:t>, the Company will make available to Parent and its Representatives the Company’s auditors, advisors, accounting and financial staff, work papers (subject to the execution of customary work paper access letters, if requested) and other books and records used in preparing the Estimated Closing Statement solely for the purpose of assisting Parent in its review of the Estimated Closing Statement. The Company shall review any comments proposed by Parent with respect to the Estimated Closing Statement, and shall consider, in good faith, any appropriate changes thereto to reflect such comments.</w:t>
      </w:r>
    </w:p>
    <w:p>
      <w:pPr>
        <w:spacing w:after="0" w:line="118" w:lineRule="exact"/>
        <w:rPr>
          <w:rFonts w:ascii="Times New Roman" w:cs="Times New Roman" w:eastAsia="Times New Roman" w:hAnsi="Times New Roman"/>
          <w:sz w:val="16"/>
          <w:szCs w:val="16"/>
          <w:color w:val="auto"/>
        </w:rPr>
      </w:pPr>
    </w:p>
    <w:p>
      <w:pPr>
        <w:jc w:val="both"/>
        <w:ind w:firstLine="961"/>
        <w:spacing w:after="0" w:line="221" w:lineRule="auto"/>
        <w:tabs>
          <w:tab w:leader="none" w:pos="1456"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 days following the Closing Date, Parent shall prepare and deliver, or cause to be prepared and delivered, to the Shareholders’ Agent a written schedule (the “</w:t>
      </w:r>
      <w:r>
        <w:rPr>
          <w:rFonts w:ascii="Times New Roman" w:cs="Times New Roman" w:eastAsia="Times New Roman" w:hAnsi="Times New Roman"/>
          <w:sz w:val="16"/>
          <w:szCs w:val="16"/>
          <w:b w:val="1"/>
          <w:bCs w:val="1"/>
          <w:i w:val="1"/>
          <w:iCs w:val="1"/>
          <w:color w:val="auto"/>
        </w:rPr>
        <w:t>Closing Statement</w:t>
      </w:r>
      <w:r>
        <w:rPr>
          <w:rFonts w:ascii="Times New Roman" w:cs="Times New Roman" w:eastAsia="Times New Roman" w:hAnsi="Times New Roman"/>
          <w:sz w:val="16"/>
          <w:szCs w:val="16"/>
          <w:color w:val="auto"/>
        </w:rPr>
        <w:t>”) setting forth in reasonable detail its calculation of [***]. Following Parent’s delivery of the Closing Statement to the Shareholders’ Agent, Parent shall provide the Shareholders’ Agent and its Representatives reasonable access (including by electronic delivery of documents), during regular business hours, in such a manner as to not interfere with the normal operation of Parent or the Surviving Corporation, to work papers (subject to the execution of customary work paper access letters, if requested) and books and records relating to the preparation of the Closing Statement solely for the purpose of assisting the Shareholders’ Agent in its review of the Closing Statement and the calculations contained therein.</w:t>
      </w:r>
    </w:p>
    <w:p>
      <w:pPr>
        <w:spacing w:after="0" w:line="115" w:lineRule="exact"/>
        <w:rPr>
          <w:rFonts w:ascii="Times New Roman" w:cs="Times New Roman" w:eastAsia="Times New Roman" w:hAnsi="Times New Roman"/>
          <w:sz w:val="16"/>
          <w:szCs w:val="16"/>
          <w:color w:val="auto"/>
        </w:rPr>
      </w:pPr>
    </w:p>
    <w:p>
      <w:pPr>
        <w:jc w:val="both"/>
        <w:ind w:firstLine="961"/>
        <w:spacing w:after="0" w:line="217" w:lineRule="auto"/>
        <w:tabs>
          <w:tab w:leader="none" w:pos="1456"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Shareholders’ Agent disagrees with the calculations in the Closing Statement, the Shareholders’ Agent shall notify Parent of such disagreement in writing (the “</w:t>
      </w:r>
      <w:r>
        <w:rPr>
          <w:rFonts w:ascii="Times New Roman" w:cs="Times New Roman" w:eastAsia="Times New Roman" w:hAnsi="Times New Roman"/>
          <w:sz w:val="16"/>
          <w:szCs w:val="16"/>
          <w:b w:val="1"/>
          <w:bCs w:val="1"/>
          <w:i w:val="1"/>
          <w:iCs w:val="1"/>
          <w:color w:val="auto"/>
        </w:rPr>
        <w:t>Dispute Notice</w:t>
      </w:r>
      <w:r>
        <w:rPr>
          <w:rFonts w:ascii="Times New Roman" w:cs="Times New Roman" w:eastAsia="Times New Roman" w:hAnsi="Times New Roman"/>
          <w:sz w:val="16"/>
          <w:szCs w:val="16"/>
          <w:color w:val="auto"/>
        </w:rPr>
        <w:t>”) within [***] days after delivery of the Closing Statement (such [***]- day period, the “</w:t>
      </w:r>
      <w:r>
        <w:rPr>
          <w:rFonts w:ascii="Times New Roman" w:cs="Times New Roman" w:eastAsia="Times New Roman" w:hAnsi="Times New Roman"/>
          <w:sz w:val="16"/>
          <w:szCs w:val="16"/>
          <w:b w:val="1"/>
          <w:bCs w:val="1"/>
          <w:i w:val="1"/>
          <w:iCs w:val="1"/>
          <w:color w:val="auto"/>
        </w:rPr>
        <w:t>Dispute Period</w:t>
      </w:r>
      <w:r>
        <w:rPr>
          <w:rFonts w:ascii="Times New Roman" w:cs="Times New Roman" w:eastAsia="Times New Roman" w:hAnsi="Times New Roman"/>
          <w:sz w:val="16"/>
          <w:szCs w:val="16"/>
          <w:color w:val="auto"/>
        </w:rPr>
        <w:t xml:space="preserve">”). If no Dispute Notice is received by Parent within such Dispute Period, then the Closing Statement and the calculations thereunder shall be deemed to have been accepted by the Shareholders’ Agent and will become final, binding and conclusive for all purposes hereunder;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prior to the end of such Dispute Period, the Shareholders’ Agent may accept the Closing Statement by delivering written notice to that effect to Parent, in which case the Closing Statement and the calculations thereunder shall be deemed to have been finally determined when such notice is given. Any Dispute Notice must set forth in reasonable detail (i) any item on the Closing Statement which the Shareholders’ Agent believes has not been prepared in accordance with this Agreement and the Shareholders’ Agent’s determination of the amount of such item and [***], as the case may be, together with reasonable detail regarding the basis for such alternative calculation and such supporting documentation as reasonably requested by Parent, including calculations, work papers (subject to the execution of</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1900" w:h="16840" w:orient="portrait"/>
          <w:cols w:equalWidth="0" w:num="1">
            <w:col w:w="10580"/>
          </w:cols>
          <w:pgMar w:left="660" w:top="1440" w:right="660" w:bottom="1440" w:gutter="0" w:footer="0" w:header="0"/>
        </w:sectPr>
      </w:pPr>
    </w:p>
    <w:bookmarkStart w:id="308" w:name="page309"/>
    <w:bookmarkEnd w:id="308"/>
    <w:p>
      <w:pPr>
        <w:spacing w:after="0" w:line="80"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6"/>
          <w:szCs w:val="16"/>
          <w:color w:val="auto"/>
        </w:rPr>
        <w:t xml:space="preserve">customary work paper access letters, if requested) and other similar supporting documentation. Any item or amount that the Shareholders’ Agent does not dispute in the Dispute Notice within such Dispute Period shall be final, binding and conclusive for all purposes hereunder. In the event any such Dispute Notice is timely provided, Parent and the Shareholders’ Agent shall use reasonable best efforts for a period of [***] Business Days (or such shorter or longer period as they may mutually agree) following Parent’s receipt of any such Dispute Notice to resolve any disagreements with respect to the calculations included in the Closing Statement that were disputed in the Dispute Notice. Any resolution agreed to in writing by Parent and the Shareholders’ Agent as to any items in dispute within such period shall be final and binding. If, at the end of such period, the Shareholders’ Agent and Parent remain unable to resolve the dispute in its entirety, then the unresolved items and amounts thereof in dispute shall be submitted to [***], or if [***] cannot or does not accept such engagement, such other internationally recognized independent accounting firm with at least [***] years of experience in such processes and the relevant industry and regional expertise, reasonably acceptable to Parent and the Shareholders’ Agent, which shall not be the independent accountants of Parent or the Company (the “ </w:t>
      </w:r>
      <w:r>
        <w:rPr>
          <w:rFonts w:ascii="Times New Roman" w:cs="Times New Roman" w:eastAsia="Times New Roman" w:hAnsi="Times New Roman"/>
          <w:sz w:val="16"/>
          <w:szCs w:val="16"/>
          <w:b w:val="1"/>
          <w:bCs w:val="1"/>
          <w:i w:val="1"/>
          <w:iCs w:val="1"/>
          <w:color w:val="auto"/>
        </w:rPr>
        <w:t>Dispute Auditor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If Parent and the Shareholders’ Agent are not able to mutually select and jointly engage a Dispute Auditor within [***] Business Days, each of Parent and the Shareholders’ Agent shall, within [***] thereafter, select an independent accounting firm of recognized national standing and shall cause such accounting firm to promptly, but in any event within [***] Business Days, choose a third independent accounting firm of recognized national standing (which firm is not the independent accountants of Parent or the Company) to serve as the Dispute Auditor, and such third accounting firm shall, notwithstanding anything to the contrary set forth herein, be the Dispute Auditor; provided, however, that if either Parent or the Shareholders’ Agent fails to so select an accounting firm for the purpose of choosing a third accounting firm within the [***] period set forth above, then the accounting firm selected by the party that did so select an accounting firm for such purpose shall, notwithstanding anything to the contrary set forth herein, be the Dispute Auditor. All submissions by the Shareholders’ Agent or Parent to the Dispute Auditor shall be in writing and shall simultaneously be delivered to the other party and there shall be no </w:t>
      </w:r>
      <w:r>
        <w:rPr>
          <w:rFonts w:ascii="Times New Roman" w:cs="Times New Roman" w:eastAsia="Times New Roman" w:hAnsi="Times New Roman"/>
          <w:sz w:val="16"/>
          <w:szCs w:val="16"/>
          <w:i w:val="1"/>
          <w:iCs w:val="1"/>
          <w:color w:val="auto"/>
        </w:rPr>
        <w:t>ex parte</w:t>
      </w:r>
      <w:r>
        <w:rPr>
          <w:rFonts w:ascii="Times New Roman" w:cs="Times New Roman" w:eastAsia="Times New Roman" w:hAnsi="Times New Roman"/>
          <w:sz w:val="16"/>
          <w:szCs w:val="16"/>
          <w:color w:val="auto"/>
        </w:rPr>
        <w:t xml:space="preserve"> communication with the Dispute Auditor with respect to the dispute in connection herewith. The Dispute Auditor shall act as an expert and not as an arbitrator to determine, based solely on the provisions of this </w:t>
      </w:r>
      <w:r>
        <w:rPr>
          <w:rFonts w:ascii="Times New Roman" w:cs="Times New Roman" w:eastAsia="Times New Roman" w:hAnsi="Times New Roman"/>
          <w:sz w:val="16"/>
          <w:szCs w:val="16"/>
          <w:b w:val="1"/>
          <w:bCs w:val="1"/>
          <w:color w:val="auto"/>
        </w:rPr>
        <w:t xml:space="preserve">Section 2.9(c) </w:t>
      </w:r>
      <w:r>
        <w:rPr>
          <w:rFonts w:ascii="Times New Roman" w:cs="Times New Roman" w:eastAsia="Times New Roman" w:hAnsi="Times New Roman"/>
          <w:sz w:val="16"/>
          <w:szCs w:val="16"/>
          <w:color w:val="auto"/>
        </w:rPr>
        <w:t>and the written presentations by Shareholders’ Agent and Parent, and not by independent review, only those items and amounts that remain then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dispute as set forth in the Dispute Notice. Parent and the Shareholders’ Agent shall instruct the Dispute Auditor to make a determination, acting as an expert and not as an arbitrator, of [***], within [***] Business Days after the dispute is submitted to the Dispute Auditor for its determination, which such determination shall be set forth in a written statement, including in reasonable detail the Dispute Auditor’s basis therefor, delivered to the Shareholders’ Agent and Parent within such [***]- Business Day period. The Dispute Auditor shall have exclusive jurisdiction over, and resorting to the Dispute Auditor as provided in this </w:t>
      </w:r>
      <w:r>
        <w:rPr>
          <w:rFonts w:ascii="Times New Roman" w:cs="Times New Roman" w:eastAsia="Times New Roman" w:hAnsi="Times New Roman"/>
          <w:sz w:val="16"/>
          <w:szCs w:val="16"/>
          <w:b w:val="1"/>
          <w:bCs w:val="1"/>
          <w:color w:val="auto"/>
        </w:rPr>
        <w:t>Section 2.9(c)</w:t>
      </w:r>
      <w:r>
        <w:rPr>
          <w:rFonts w:ascii="Times New Roman" w:cs="Times New Roman" w:eastAsia="Times New Roman" w:hAnsi="Times New Roman"/>
          <w:sz w:val="16"/>
          <w:szCs w:val="16"/>
          <w:color w:val="auto"/>
        </w:rPr>
        <w:t xml:space="preserve"> shall be the only recourse and remedy of the parties against one another with respect to, those items and amounts that remain in dispute under this </w:t>
      </w:r>
      <w:r>
        <w:rPr>
          <w:rFonts w:ascii="Times New Roman" w:cs="Times New Roman" w:eastAsia="Times New Roman" w:hAnsi="Times New Roman"/>
          <w:sz w:val="16"/>
          <w:szCs w:val="16"/>
          <w:b w:val="1"/>
          <w:bCs w:val="1"/>
          <w:color w:val="auto"/>
        </w:rPr>
        <w:t>Section 2.9(c)</w:t>
      </w:r>
      <w:r>
        <w:rPr>
          <w:rFonts w:ascii="Times New Roman" w:cs="Times New Roman" w:eastAsia="Times New Roman" w:hAnsi="Times New Roman"/>
          <w:sz w:val="16"/>
          <w:szCs w:val="16"/>
          <w:color w:val="auto"/>
        </w:rPr>
        <w:t xml:space="preserve">. The Dispute Auditor shall allocate its fees and expenses between Parent and the Shareholders’ Agent, on behalf of the Non-Dissenting Shareholders, according to the degree to which the positions of the respective parties are not accepted by the Dispute Auditor. In no event shall the decision of the Dispute Auditor assign a value to any item greater than the greatest value for such item claimed by either Parent or the Shareholders’ Agent or lesser than the smallest value for such item claimed by either Parent or the Shareholders’ Agent. Any determinations made by the Dispute Auditor pursuant to this </w:t>
      </w:r>
      <w:r>
        <w:rPr>
          <w:rFonts w:ascii="Times New Roman" w:cs="Times New Roman" w:eastAsia="Times New Roman" w:hAnsi="Times New Roman"/>
          <w:sz w:val="16"/>
          <w:szCs w:val="16"/>
          <w:b w:val="1"/>
          <w:bCs w:val="1"/>
          <w:color w:val="auto"/>
        </w:rPr>
        <w:t>Section 2.9(c)</w:t>
      </w:r>
      <w:r>
        <w:rPr>
          <w:rFonts w:ascii="Times New Roman" w:cs="Times New Roman" w:eastAsia="Times New Roman" w:hAnsi="Times New Roman"/>
          <w:sz w:val="16"/>
          <w:szCs w:val="16"/>
          <w:color w:val="auto"/>
        </w:rPr>
        <w:t xml:space="preserve"> shall be final, non- appealable and binding on the parties hereto, absent manifest error or fraud.</w:t>
      </w:r>
    </w:p>
    <w:p>
      <w:pPr>
        <w:spacing w:after="0" w:line="117" w:lineRule="exact"/>
        <w:rPr>
          <w:sz w:val="20"/>
          <w:szCs w:val="20"/>
          <w:color w:val="auto"/>
        </w:rPr>
      </w:pPr>
    </w:p>
    <w:p>
      <w:pPr>
        <w:jc w:val="both"/>
        <w:ind w:right="20" w:firstLine="961"/>
        <w:spacing w:after="0" w:line="232" w:lineRule="auto"/>
        <w:tabs>
          <w:tab w:leader="none" w:pos="1456"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Adjustment Amount is a positive number, then the Purchase Price shall be increased by the Adjustment Amount, and if the Adjustment Amount is a negative number, then the Purchase Price shall be decreased by the absolute value of the Adjustment Amount. If the Adjustment Amount is a positive number, then (i) within [***] Business Days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1900" w:h="16840" w:orient="portrait"/>
          <w:cols w:equalWidth="0" w:num="1">
            <w:col w:w="10580"/>
          </w:cols>
          <w:pgMar w:left="660" w:top="1440" w:right="660" w:bottom="1440" w:gutter="0" w:footer="0" w:header="0"/>
        </w:sectPr>
      </w:pPr>
    </w:p>
    <w:bookmarkStart w:id="309" w:name="page310"/>
    <w:bookmarkEnd w:id="309"/>
    <w:p>
      <w:pPr>
        <w:spacing w:after="0" w:line="80" w:lineRule="exact"/>
        <w:rPr>
          <w:sz w:val="20"/>
          <w:szCs w:val="20"/>
          <w:color w:val="auto"/>
        </w:rPr>
      </w:pPr>
    </w:p>
    <w:p>
      <w:pPr>
        <w:ind w:left="9" w:right="20"/>
        <w:spacing w:after="0" w:line="214" w:lineRule="auto"/>
        <w:rPr>
          <w:sz w:val="20"/>
          <w:szCs w:val="20"/>
          <w:color w:val="auto"/>
        </w:rPr>
      </w:pPr>
      <w:r>
        <w:rPr>
          <w:rFonts w:ascii="Times New Roman" w:cs="Times New Roman" w:eastAsia="Times New Roman" w:hAnsi="Times New Roman"/>
          <w:sz w:val="16"/>
          <w:szCs w:val="16"/>
          <w:color w:val="auto"/>
        </w:rPr>
        <w:t>after the final determination of the Adjustment Amount, the Shareholders’ Agent shall deliver or cause to be delivered to Parent and the Paying Agent an updated version of the Closing Payment Spreadsheet (the “</w:t>
      </w:r>
      <w:r>
        <w:rPr>
          <w:rFonts w:ascii="Times New Roman" w:cs="Times New Roman" w:eastAsia="Times New Roman" w:hAnsi="Times New Roman"/>
          <w:sz w:val="16"/>
          <w:szCs w:val="16"/>
          <w:b w:val="1"/>
          <w:bCs w:val="1"/>
          <w:i w:val="1"/>
          <w:iCs w:val="1"/>
          <w:color w:val="auto"/>
        </w:rPr>
        <w:t>Adjustment Amount Payment Spreadsheet</w:t>
      </w:r>
      <w:r>
        <w:rPr>
          <w:rFonts w:ascii="Times New Roman" w:cs="Times New Roman" w:eastAsia="Times New Roman" w:hAnsi="Times New Roman"/>
          <w:sz w:val="16"/>
          <w:szCs w:val="16"/>
          <w:color w:val="auto"/>
        </w:rPr>
        <w:t xml:space="preserve">”) setting forth, in addition to the items required to be included in the Closing Payment Spreadsheet, (A) with respect to each Non-Dissenting Shareholder, the portion of the Allocation Percentage of the Adjustment Amount due to such Non-Dissenting Shareholder (which shall be determined by </w:t>
      </w:r>
      <w:r>
        <w:rPr>
          <w:rFonts w:ascii="Times New Roman" w:cs="Times New Roman" w:eastAsia="Times New Roman" w:hAnsi="Times New Roman"/>
          <w:sz w:val="16"/>
          <w:szCs w:val="16"/>
          <w:i w:val="1"/>
          <w:iCs w:val="1"/>
          <w:color w:val="auto"/>
        </w:rPr>
        <w:t>multiplying</w:t>
      </w:r>
      <w:r>
        <w:rPr>
          <w:rFonts w:ascii="Times New Roman" w:cs="Times New Roman" w:eastAsia="Times New Roman" w:hAnsi="Times New Roman"/>
          <w:sz w:val="16"/>
          <w:szCs w:val="16"/>
          <w:color w:val="auto"/>
        </w:rPr>
        <w:t xml:space="preserve"> the Adjustment Amount by such Non-Dissenting Shareholder’s Allocation Percentage), and (B) the [***] of the Adjustment Amount to be paid to the Qualified Grantees in accordance with the [***], and (ii) within [***] Business Days after Parent’s receipt of the Adjustment Amount Payment Spreadsheet, Parent shall (A) pay the portion of the Shareholder Percentage of the Adjustment Amount due to the Non-Dissenting Shareholders to the Paying Agent for distribution to all Non-Dissenting Shareholders, and (B) deposit in the [***] the portion of the</w:t>
      </w:r>
    </w:p>
    <w:p>
      <w:pPr>
        <w:spacing w:after="0" w:line="2" w:lineRule="exact"/>
        <w:rPr>
          <w:sz w:val="20"/>
          <w:szCs w:val="20"/>
          <w:color w:val="auto"/>
        </w:rPr>
      </w:pPr>
    </w:p>
    <w:p>
      <w:pPr>
        <w:jc w:val="both"/>
        <w:ind w:left="9" w:right="20" w:hanging="9"/>
        <w:spacing w:after="0" w:line="213" w:lineRule="auto"/>
        <w:tabs>
          <w:tab w:leader="none" w:pos="418"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Adjustment Amount to be paid to the Qualified Grantees in accordance with the [***], in each case, in accordance with the Adjustment Amount Payment Spreadsheet. If the Adjustment Amount is a negative number, then within [***] Business Days after the final determination of such Adjustment Amount (the “</w:t>
      </w:r>
      <w:r>
        <w:rPr>
          <w:rFonts w:ascii="Times New Roman" w:cs="Times New Roman" w:eastAsia="Times New Roman" w:hAnsi="Times New Roman"/>
          <w:sz w:val="16"/>
          <w:szCs w:val="16"/>
          <w:b w:val="1"/>
          <w:bCs w:val="1"/>
          <w:i w:val="1"/>
          <w:iCs w:val="1"/>
          <w:color w:val="auto"/>
        </w:rPr>
        <w:t>Parent Adjustment Amount</w:t>
      </w:r>
      <w:r>
        <w:rPr>
          <w:rFonts w:ascii="Times New Roman" w:cs="Times New Roman" w:eastAsia="Times New Roman" w:hAnsi="Times New Roman"/>
          <w:sz w:val="16"/>
          <w:szCs w:val="16"/>
          <w:color w:val="auto"/>
        </w:rPr>
        <w:t xml:space="preserve"> ”) in accordance with this </w:t>
      </w:r>
      <w:r>
        <w:rPr>
          <w:rFonts w:ascii="Times New Roman" w:cs="Times New Roman" w:eastAsia="Times New Roman" w:hAnsi="Times New Roman"/>
          <w:sz w:val="16"/>
          <w:szCs w:val="16"/>
          <w:b w:val="1"/>
          <w:bCs w:val="1"/>
          <w:color w:val="auto"/>
        </w:rPr>
        <w:t>Section 2.9</w:t>
      </w:r>
      <w:r>
        <w:rPr>
          <w:rFonts w:ascii="Times New Roman" w:cs="Times New Roman" w:eastAsia="Times New Roman" w:hAnsi="Times New Roman"/>
          <w:sz w:val="16"/>
          <w:szCs w:val="16"/>
          <w:color w:val="auto"/>
        </w:rPr>
        <w:t xml:space="preserve">, (x) Parent and the Shareholders’ Agent shall deliver joint written instructions to the Escrow Agent instructing it to disburse to Parent from the Adjustment Escrow Amount in the Escrow Fund, cash equal to the absolute value of the Shareholder Percentage of the Parent Adjustment Amount and (y) Parent, the [***], and [***] shall deliver joint written instructions to the Escrow Agent instructing it to disburse to Parent from the [***] in the [***], cash equal to the absolute value of the [***] of the Parent Adjustment Amount. If the Adjustment Amount is a positive number or a negative number that (expressed as a positive number) is less than the sum of (x) the Adjustment Escrow Amount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(y) the [***], (A) within [***] Business Days following the final determination of the positive Adjustment Amount or payment to Parent of the Parent Adjustment Amount, as applicable, the Shareholders’ Agent shall deliver or cause to be delivered to Parent an updated version of the Adjustment Amount Payment Spreadsheet (the “</w:t>
      </w:r>
      <w:r>
        <w:rPr>
          <w:rFonts w:ascii="Times New Roman" w:cs="Times New Roman" w:eastAsia="Times New Roman" w:hAnsi="Times New Roman"/>
          <w:sz w:val="16"/>
          <w:szCs w:val="16"/>
          <w:b w:val="1"/>
          <w:bCs w:val="1"/>
          <w:i w:val="1"/>
          <w:iCs w:val="1"/>
          <w:color w:val="auto"/>
        </w:rPr>
        <w:t>Escrow Amount Payment Spreadsheet</w:t>
      </w:r>
      <w:r>
        <w:rPr>
          <w:rFonts w:ascii="Times New Roman" w:cs="Times New Roman" w:eastAsia="Times New Roman" w:hAnsi="Times New Roman"/>
          <w:sz w:val="16"/>
          <w:szCs w:val="16"/>
          <w:color w:val="auto"/>
        </w:rPr>
        <w:t xml:space="preserve">”) setting forth, in addition to the items required to be included in the Adjustment Amount Payment Spreadsheet, (1) with respect to each Non-Dissenting Shareholder, the portion of any Adjustment Escrow Amount remaining in the Escrow Fund due to the Non-Dissenting Shareholders (which shall be determined by </w:t>
      </w:r>
      <w:r>
        <w:rPr>
          <w:rFonts w:ascii="Times New Roman" w:cs="Times New Roman" w:eastAsia="Times New Roman" w:hAnsi="Times New Roman"/>
          <w:sz w:val="16"/>
          <w:szCs w:val="16"/>
          <w:i w:val="1"/>
          <w:iCs w:val="1"/>
          <w:color w:val="auto"/>
        </w:rPr>
        <w:t>multiplying</w:t>
      </w:r>
      <w:r>
        <w:rPr>
          <w:rFonts w:ascii="Times New Roman" w:cs="Times New Roman" w:eastAsia="Times New Roman" w:hAnsi="Times New Roman"/>
          <w:sz w:val="16"/>
          <w:szCs w:val="16"/>
          <w:color w:val="auto"/>
        </w:rPr>
        <w:t xml:space="preserve"> the amount remaining of the Adjustment Escrow Amount in the Escrow Fund by such Non-Dissenting Shareholder’s Allocation Percentage), and (2) the portion of any [***] remaining in the [***] to be paid to the Qualified Grantees in accordance with the [***]; and (B) immediately following Parent’s receipt of the Escrow Amount Payment Spreadsheet, (x) Parent and the Shareholders’ Agent shall deliver joint written instructions to the Escrow Agent instructing the Escrow Agent to, within [***] Business Days after Parent’s receipt of the Escrow Amount Payment Spreadsheet, release the portion of any Adjustment Escrow Amount remaining in the Escrow Fund due to the Non-Dissenting Shareholders to the Paying Agent for distribution to such Non-Dissenting Shareholders in accordance with the Escrow Amount Payment Spreadsheet and (y) Parent, the [***], and [***] shall deliver joint written instructions to the Escrow Agent instructing it to, within [***] Business Days after Parent’s receipt of the Escrow Amount Payment Spreadsheet, release the portion of any [***] remaining in the [***] to the [***] to be further distributed to the Qualified Grantees in accordance with the [***].</w:t>
      </w:r>
    </w:p>
    <w:p>
      <w:pPr>
        <w:spacing w:after="0" w:line="114" w:lineRule="exact"/>
        <w:rPr>
          <w:rFonts w:ascii="Times New Roman" w:cs="Times New Roman" w:eastAsia="Times New Roman" w:hAnsi="Times New Roman"/>
          <w:sz w:val="16"/>
          <w:szCs w:val="16"/>
          <w:color w:val="auto"/>
        </w:rPr>
      </w:pPr>
    </w:p>
    <w:p>
      <w:pPr>
        <w:jc w:val="both"/>
        <w:ind w:left="9" w:firstLine="961"/>
        <w:spacing w:after="0" w:line="221" w:lineRule="auto"/>
        <w:tabs>
          <w:tab w:leader="none" w:pos="1465"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Merger Sub, the Surviving Corporation and each of their respective Affiliates shall be entitled to rely conclusively on the Payment Spreadsheets as to the information set forth therein (including the Closing Consideration Amount, the Escrow Amount and the Estimated [***] Amount) for the purposes of making payments under this Agreement and shall not be responsible for the accuracy or completeness of the information set forth therein. In furtherance of the foregoing, the parties hereto agree that none of Parent, Merger Sub or the Surviving Corporation or any of their Affiliates shall have any Liability to any Shareholder or Qualified Grantee in respect of the amounts payable thereto in accordance with the Payment Spreadsheets following deposit and payment by, or on behalf of, Parent to the Paying Agent or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31</w:t>
      </w:r>
    </w:p>
    <w:p>
      <w:pPr>
        <w:sectPr>
          <w:pgSz w:w="11900" w:h="16840" w:orient="portrait"/>
          <w:cols w:equalWidth="0" w:num="1">
            <w:col w:w="10609"/>
          </w:cols>
          <w:pgMar w:left="651" w:top="1440" w:right="640" w:bottom="1440" w:gutter="0" w:footer="0" w:header="0"/>
        </w:sectPr>
      </w:pPr>
    </w:p>
    <w:bookmarkStart w:id="310" w:name="page311"/>
    <w:bookmarkEnd w:id="310"/>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Escrow Agent of the amounts payable to such persons hereunder in accordance with the Payment Spreadsheets, as applicable.</w:t>
      </w:r>
    </w:p>
    <w:p>
      <w:pPr>
        <w:spacing w:after="0" w:line="135" w:lineRule="exact"/>
        <w:rPr>
          <w:sz w:val="20"/>
          <w:szCs w:val="20"/>
          <w:color w:val="auto"/>
        </w:rPr>
      </w:pPr>
    </w:p>
    <w:p>
      <w:pPr>
        <w:ind w:left="1440" w:hanging="479"/>
        <w:spacing w:after="0"/>
        <w:tabs>
          <w:tab w:leader="none" w:pos="144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Adjustment Amount</w:t>
      </w:r>
      <w:r>
        <w:rPr>
          <w:rFonts w:ascii="Times New Roman" w:cs="Times New Roman" w:eastAsia="Times New Roman" w:hAnsi="Times New Roman"/>
          <w:sz w:val="16"/>
          <w:szCs w:val="16"/>
          <w:color w:val="auto"/>
        </w:rPr>
        <w:t xml:space="preserve">” means the net amount (if disputed, as finally determined in accordance with </w:t>
      </w:r>
      <w:r>
        <w:rPr>
          <w:rFonts w:ascii="Times New Roman" w:cs="Times New Roman" w:eastAsia="Times New Roman" w:hAnsi="Times New Roman"/>
          <w:sz w:val="16"/>
          <w:szCs w:val="16"/>
          <w:b w:val="1"/>
          <w:bCs w:val="1"/>
          <w:color w:val="auto"/>
        </w:rPr>
        <w:t>Section 2.9(c)</w:t>
      </w:r>
      <w:r>
        <w:rPr>
          <w:rFonts w:ascii="Times New Roman" w:cs="Times New Roman" w:eastAsia="Times New Roman" w:hAnsi="Times New Roman"/>
          <w:sz w:val="16"/>
          <w:szCs w:val="16"/>
          <w:color w:val="auto"/>
        </w:rPr>
        <w:t>), which may be positive</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 negative, equal to:</w:t>
      </w:r>
    </w:p>
    <w:p>
      <w:pPr>
        <w:spacing w:after="0" w:line="12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p>
    <w:p>
      <w:pPr>
        <w:spacing w:after="0" w:line="137" w:lineRule="exact"/>
        <w:rPr>
          <w:sz w:val="20"/>
          <w:szCs w:val="20"/>
          <w:color w:val="auto"/>
        </w:rPr>
      </w:pPr>
    </w:p>
    <w:p>
      <w:pPr>
        <w:ind w:left="1440" w:hanging="479"/>
        <w:spacing w:after="0"/>
        <w:tabs>
          <w:tab w:leader="none" w:pos="144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calculations to be performed under this </w:t>
      </w:r>
      <w:r>
        <w:rPr>
          <w:rFonts w:ascii="Times New Roman" w:cs="Times New Roman" w:eastAsia="Times New Roman" w:hAnsi="Times New Roman"/>
          <w:sz w:val="16"/>
          <w:szCs w:val="16"/>
          <w:b w:val="1"/>
          <w:bCs w:val="1"/>
          <w:color w:val="auto"/>
        </w:rPr>
        <w:t>Section 2.9</w:t>
      </w:r>
      <w:r>
        <w:rPr>
          <w:rFonts w:ascii="Times New Roman" w:cs="Times New Roman" w:eastAsia="Times New Roman" w:hAnsi="Times New Roman"/>
          <w:sz w:val="16"/>
          <w:szCs w:val="16"/>
          <w:color w:val="auto"/>
        </w:rPr>
        <w:t xml:space="preserve"> shall be prepared in accordance with the Transaction Accounting Principles.</w:t>
      </w:r>
    </w:p>
    <w:p>
      <w:pPr>
        <w:spacing w:after="0" w:line="139"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2.10</w:t>
      </w:r>
      <w:r>
        <w:rPr>
          <w:rFonts w:ascii="Times New Roman" w:cs="Times New Roman" w:eastAsia="Times New Roman" w:hAnsi="Times New Roman"/>
          <w:sz w:val="16"/>
          <w:szCs w:val="16"/>
          <w:b w:val="1"/>
          <w:bCs w:val="1"/>
          <w:color w:val="auto"/>
        </w:rPr>
        <w:tab/>
        <w:t>Escrow Contributions; [***] Expense Fund Contribution; Other Payments</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jc w:val="both"/>
        <w:ind w:firstLine="961"/>
        <w:spacing w:after="0" w:line="232" w:lineRule="auto"/>
        <w:tabs>
          <w:tab w:leader="none" w:pos="1456"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Closing Date, Parent shall cause to be delivered to the Escrow Agent in cash as a contribution to the Escrow Fund, an amount equal to the Escrow Amount. The Escrow Fund: (x) shall be held by the Escrow Agent in accordance with the terms of this Agreement and the terms of the Escrow Agreement; and (y) shall be held and disbursed solely for the purposes and in accordance with the terms hereof and the terms of the Escrow Agreement.</w:t>
      </w:r>
    </w:p>
    <w:p>
      <w:pPr>
        <w:spacing w:after="0" w:line="113" w:lineRule="exact"/>
        <w:rPr>
          <w:rFonts w:ascii="Times New Roman" w:cs="Times New Roman" w:eastAsia="Times New Roman" w:hAnsi="Times New Roman"/>
          <w:sz w:val="16"/>
          <w:szCs w:val="16"/>
          <w:color w:val="auto"/>
        </w:rPr>
      </w:pPr>
    </w:p>
    <w:p>
      <w:pPr>
        <w:ind w:left="1440" w:hanging="479"/>
        <w:spacing w:after="0"/>
        <w:tabs>
          <w:tab w:leader="none" w:pos="144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39" w:lineRule="exact"/>
        <w:rPr>
          <w:rFonts w:ascii="Times New Roman" w:cs="Times New Roman" w:eastAsia="Times New Roman" w:hAnsi="Times New Roman"/>
          <w:sz w:val="16"/>
          <w:szCs w:val="16"/>
          <w:color w:val="auto"/>
        </w:rPr>
      </w:pPr>
    </w:p>
    <w:p>
      <w:pPr>
        <w:ind w:left="1440" w:hanging="479"/>
        <w:spacing w:after="0"/>
        <w:tabs>
          <w:tab w:leader="none" w:pos="144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39" w:lineRule="exact"/>
        <w:rPr>
          <w:rFonts w:ascii="Times New Roman" w:cs="Times New Roman" w:eastAsia="Times New Roman" w:hAnsi="Times New Roman"/>
          <w:sz w:val="16"/>
          <w:szCs w:val="16"/>
          <w:color w:val="auto"/>
        </w:rPr>
      </w:pPr>
    </w:p>
    <w:p>
      <w:pPr>
        <w:ind w:left="1440" w:hanging="479"/>
        <w:spacing w:after="0"/>
        <w:tabs>
          <w:tab w:leader="none" w:pos="144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39" w:lineRule="exact"/>
        <w:rPr>
          <w:rFonts w:ascii="Times New Roman" w:cs="Times New Roman" w:eastAsia="Times New Roman" w:hAnsi="Times New Roman"/>
          <w:sz w:val="16"/>
          <w:szCs w:val="16"/>
          <w:color w:val="auto"/>
        </w:rPr>
      </w:pPr>
    </w:p>
    <w:p>
      <w:pPr>
        <w:ind w:left="1440" w:hanging="479"/>
        <w:spacing w:after="0"/>
        <w:tabs>
          <w:tab w:leader="none" w:pos="144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39" w:lineRule="exact"/>
        <w:rPr>
          <w:rFonts w:ascii="Times New Roman" w:cs="Times New Roman" w:eastAsia="Times New Roman" w:hAnsi="Times New Roman"/>
          <w:sz w:val="16"/>
          <w:szCs w:val="16"/>
          <w:color w:val="auto"/>
        </w:rPr>
      </w:pPr>
    </w:p>
    <w:p>
      <w:pPr>
        <w:ind w:right="20" w:firstLine="961"/>
        <w:spacing w:after="0" w:line="245" w:lineRule="auto"/>
        <w:tabs>
          <w:tab w:leader="none" w:pos="1456"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Closing Date, Parent shall cause to be delivered to the Shareholders’ Agent in cash as a contribution to the Expense Fund an amount equal to the Expense Fund Amount.</w:t>
      </w:r>
    </w:p>
    <w:p>
      <w:pPr>
        <w:spacing w:after="0" w:line="109" w:lineRule="exact"/>
        <w:rPr>
          <w:rFonts w:ascii="Times New Roman" w:cs="Times New Roman" w:eastAsia="Times New Roman" w:hAnsi="Times New Roman"/>
          <w:sz w:val="16"/>
          <w:szCs w:val="16"/>
          <w:color w:val="auto"/>
        </w:rPr>
      </w:pPr>
    </w:p>
    <w:p>
      <w:pPr>
        <w:jc w:val="both"/>
        <w:ind w:firstLine="961"/>
        <w:spacing w:after="0" w:line="232" w:lineRule="auto"/>
        <w:tabs>
          <w:tab w:leader="none" w:pos="1456"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Non-Dissenting Shareholder shall be deemed to have contributed to the Escrow Fund and the Expense Fund in accordance with its Allocation Percentage. Each Qualified Grantee shall be deemed to have contributed to the [***] and the Expense Fund in accordance with its respective proportion set out in the [***].</w:t>
      </w:r>
    </w:p>
    <w:p>
      <w:pPr>
        <w:spacing w:after="0" w:line="113" w:lineRule="exact"/>
        <w:rPr>
          <w:rFonts w:ascii="Times New Roman" w:cs="Times New Roman" w:eastAsia="Times New Roman" w:hAnsi="Times New Roman"/>
          <w:sz w:val="16"/>
          <w:szCs w:val="16"/>
          <w:color w:val="auto"/>
        </w:rPr>
      </w:pPr>
    </w:p>
    <w:p>
      <w:pPr>
        <w:ind w:left="1440" w:hanging="479"/>
        <w:spacing w:after="0"/>
        <w:tabs>
          <w:tab w:leader="none" w:pos="144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Qualified Grantees will each be deemed to have forfeited their entitlement to the Company Ordinary Shares held by the [***].</w:t>
      </w:r>
    </w:p>
    <w:p>
      <w:pPr>
        <w:spacing w:after="0" w:line="135" w:lineRule="exact"/>
        <w:rPr>
          <w:rFonts w:ascii="Times New Roman" w:cs="Times New Roman" w:eastAsia="Times New Roman" w:hAnsi="Times New Roman"/>
          <w:sz w:val="16"/>
          <w:szCs w:val="16"/>
          <w:color w:val="auto"/>
        </w:rPr>
      </w:pPr>
    </w:p>
    <w:p>
      <w:pPr>
        <w:jc w:val="both"/>
        <w:ind w:firstLine="961"/>
        <w:spacing w:after="0" w:line="222" w:lineRule="auto"/>
        <w:tabs>
          <w:tab w:leader="none" w:pos="1446"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obtain, prior to the Closing, payoff letters or invoices, in form and substance reasonably satisfactory to Parent (the “</w:t>
      </w:r>
      <w:r>
        <w:rPr>
          <w:rFonts w:ascii="Times New Roman" w:cs="Times New Roman" w:eastAsia="Times New Roman" w:hAnsi="Times New Roman"/>
          <w:sz w:val="16"/>
          <w:szCs w:val="16"/>
          <w:b w:val="1"/>
          <w:bCs w:val="1"/>
          <w:i w:val="1"/>
          <w:iCs w:val="1"/>
          <w:color w:val="auto"/>
        </w:rPr>
        <w:t>Debt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Payoff Letters</w:t>
      </w:r>
      <w:r>
        <w:rPr>
          <w:rFonts w:ascii="Times New Roman" w:cs="Times New Roman" w:eastAsia="Times New Roman" w:hAnsi="Times New Roman"/>
          <w:sz w:val="16"/>
          <w:szCs w:val="16"/>
          <w:color w:val="auto"/>
        </w:rPr>
        <w:t>”) for the Closing Indebtedness Amounts with respect to any Indebtedness described in clause (a) of the definition thereof, in each case, where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lenders thereof have not agreed to keep such Indebtedness in place after the Closing. Each Debt Payoff Letter shall provide the dollar amount of all such Closing Indebtedness Amounts required to be paid in order to fully pay off such Closing Indebtedness Amounts as of the Closing. On the Closing Date, the Company shall deliver to Parent a copy of each Debt Payoff Letter and Parent shall cause to be delivered to the account designated in each Debt Payoff Letter, the amount identified therein for the payoff of the applicable Closing Indebtedness Amount.</w:t>
      </w:r>
    </w:p>
    <w:p>
      <w:pPr>
        <w:spacing w:after="0" w:line="114" w:lineRule="exact"/>
        <w:rPr>
          <w:rFonts w:ascii="Times New Roman" w:cs="Times New Roman" w:eastAsia="Times New Roman" w:hAnsi="Times New Roman"/>
          <w:sz w:val="16"/>
          <w:szCs w:val="16"/>
          <w:color w:val="auto"/>
        </w:rPr>
      </w:pPr>
    </w:p>
    <w:p>
      <w:pPr>
        <w:ind w:firstLine="961"/>
        <w:spacing w:after="0" w:line="245" w:lineRule="auto"/>
        <w:tabs>
          <w:tab w:leader="none" w:pos="1446"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obtain and, not less than [***] Business Days prior to the anticipated Closing Date, deliver to Parent payoff letters or invoices, in form and substance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1900" w:h="16840" w:orient="portrait"/>
          <w:cols w:equalWidth="0" w:num="1">
            <w:col w:w="10580"/>
          </w:cols>
          <w:pgMar w:left="660" w:top="1440" w:right="660" w:bottom="1440" w:gutter="0" w:footer="0" w:header="0"/>
        </w:sectPr>
      </w:pPr>
    </w:p>
    <w:bookmarkStart w:id="311" w:name="page312"/>
    <w:bookmarkEnd w:id="311"/>
    <w:p>
      <w:pPr>
        <w:spacing w:after="0" w:line="76" w:lineRule="exact"/>
        <w:rPr>
          <w:sz w:val="20"/>
          <w:szCs w:val="20"/>
          <w:color w:val="auto"/>
        </w:rPr>
      </w:pPr>
    </w:p>
    <w:p>
      <w:pPr>
        <w:jc w:val="both"/>
        <w:ind w:left="9"/>
        <w:spacing w:after="0" w:line="228" w:lineRule="auto"/>
        <w:rPr>
          <w:sz w:val="20"/>
          <w:szCs w:val="20"/>
          <w:color w:val="auto"/>
        </w:rPr>
      </w:pPr>
      <w:r>
        <w:rPr>
          <w:rFonts w:ascii="Times New Roman" w:cs="Times New Roman" w:eastAsia="Times New Roman" w:hAnsi="Times New Roman"/>
          <w:sz w:val="16"/>
          <w:szCs w:val="16"/>
          <w:color w:val="auto"/>
        </w:rPr>
        <w:t>reasonably satisfactory to Parent (the “</w:t>
      </w:r>
      <w:r>
        <w:rPr>
          <w:rFonts w:ascii="Times New Roman" w:cs="Times New Roman" w:eastAsia="Times New Roman" w:hAnsi="Times New Roman"/>
          <w:sz w:val="16"/>
          <w:szCs w:val="16"/>
          <w:b w:val="1"/>
          <w:bCs w:val="1"/>
          <w:i w:val="1"/>
          <w:iCs w:val="1"/>
          <w:color w:val="auto"/>
        </w:rPr>
        <w:t>Transaction Expense Payoff Letters</w:t>
      </w:r>
      <w:r>
        <w:rPr>
          <w:rFonts w:ascii="Times New Roman" w:cs="Times New Roman" w:eastAsia="Times New Roman" w:hAnsi="Times New Roman"/>
          <w:sz w:val="16"/>
          <w:szCs w:val="16"/>
          <w:color w:val="auto"/>
        </w:rPr>
        <w:t>”) from each advisor or other third party service provider to any Acquired Company who is owed any Closing Transaction Expenses, which shall provide the dollar amount of all Closing Transaction Expenses due and payable to such advisor or service provider. On the Closing Date, Parent shall cause to be delivered to the account designated in each Transaction Expense Payoff Letter, the amount identified therein for the payoff of the applicable Closing Transaction Expenses.</w:t>
      </w:r>
    </w:p>
    <w:p>
      <w:pPr>
        <w:spacing w:after="0" w:line="112" w:lineRule="exact"/>
        <w:rPr>
          <w:sz w:val="20"/>
          <w:szCs w:val="20"/>
          <w:color w:val="auto"/>
        </w:rPr>
      </w:pPr>
    </w:p>
    <w:p>
      <w:pPr>
        <w:ind w:left="489"/>
        <w:spacing w:after="0"/>
        <w:tabs>
          <w:tab w:leader="none" w:pos="1429" w:val="left"/>
        </w:tabs>
        <w:rPr>
          <w:sz w:val="20"/>
          <w:szCs w:val="20"/>
          <w:color w:val="auto"/>
        </w:rPr>
      </w:pPr>
      <w:r>
        <w:rPr>
          <w:rFonts w:ascii="Times New Roman" w:cs="Times New Roman" w:eastAsia="Times New Roman" w:hAnsi="Times New Roman"/>
          <w:sz w:val="16"/>
          <w:szCs w:val="16"/>
          <w:b w:val="1"/>
          <w:bCs w:val="1"/>
          <w:color w:val="010000"/>
        </w:rPr>
        <w:t>Section 2.11</w:t>
      </w:r>
      <w:r>
        <w:rPr>
          <w:rFonts w:ascii="Times New Roman" w:cs="Times New Roman" w:eastAsia="Times New Roman" w:hAnsi="Times New Roman"/>
          <w:sz w:val="16"/>
          <w:szCs w:val="16"/>
          <w:b w:val="1"/>
          <w:bCs w:val="1"/>
          <w:color w:val="auto"/>
        </w:rPr>
        <w:tab/>
        <w:t>Escrow Fund and [***] Releases</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jc w:val="both"/>
        <w:ind w:left="9" w:firstLine="961"/>
        <w:spacing w:after="0" w:line="218" w:lineRule="auto"/>
        <w:tabs>
          <w:tab w:leader="none" w:pos="1465"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the [***] following the Covered Matters Expiration Date, (i) the Shareholders’ Agent and Parent shall jointly direct the Escrow Agent to pay any portion of the Indemnity Escrow Amount remaining in the Escrow Fund as of such date to the Paying Agent for distribution by it to the Non-Dissenting Shareholders and (ii) the [***], [***] and Parent shall jointly direct the Escrow Agent to release any portion of the [***] Escrow Amount remaining in the [***] as of such date to be further distributed to the Qualified Grantees in accordance with the [***], in each case, in accordance with the Escrow Agreement and the [***] Agreement, as applicable;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to the extent there are any pending and unresolved claims for indemnification under </w:t>
      </w:r>
      <w:r>
        <w:rPr>
          <w:rFonts w:ascii="Times New Roman" w:cs="Times New Roman" w:eastAsia="Times New Roman" w:hAnsi="Times New Roman"/>
          <w:sz w:val="16"/>
          <w:szCs w:val="16"/>
          <w:b w:val="1"/>
          <w:bCs w:val="1"/>
          <w:color w:val="auto"/>
        </w:rPr>
        <w:t>Section 8.2(a)</w:t>
      </w:r>
      <w:r>
        <w:rPr>
          <w:rFonts w:ascii="Times New Roman" w:cs="Times New Roman" w:eastAsia="Times New Roman" w:hAnsi="Times New Roman"/>
          <w:sz w:val="16"/>
          <w:szCs w:val="16"/>
          <w:color w:val="auto"/>
        </w:rPr>
        <w:t xml:space="preserve"> for which notice has been timely provided prior to the Covered Matters Expiration Date, an amount equal to the dollar amount of such pending and unresolved claims shall be retained in the Escrow Fund and the [***] in accordance with the Escrow Agreement and the [***] Agreement, and shall be released in accordance with the procedures set forth in this Agreement, the Escrow Agreement and the [***] Agreement following resolution of each such claim.</w:t>
      </w:r>
    </w:p>
    <w:p>
      <w:pPr>
        <w:spacing w:after="0" w:line="118" w:lineRule="exact"/>
        <w:rPr>
          <w:rFonts w:ascii="Times New Roman" w:cs="Times New Roman" w:eastAsia="Times New Roman" w:hAnsi="Times New Roman"/>
          <w:sz w:val="16"/>
          <w:szCs w:val="16"/>
          <w:color w:val="auto"/>
        </w:rPr>
      </w:pPr>
    </w:p>
    <w:p>
      <w:pPr>
        <w:jc w:val="both"/>
        <w:ind w:left="9" w:firstLine="961"/>
        <w:spacing w:after="0" w:line="214" w:lineRule="auto"/>
        <w:tabs>
          <w:tab w:leader="none" w:pos="1465"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 following the “Retention Dropdown Date” (as such term is defined in the R&amp;W Insurance Policy, but, in any event, no later than the [***] month anniversary of Closing Date), (i) the Shareholders’ Agent and Parent shall jointly direct the Escrow Agent to pay [***]% of the portion, if any, of the RWI Retention Escrow Amount remaining in the Escrow Fund as of such date to the Paying Agent for distribution by it to the Non-Dissenting Shareholders and (ii) the [***], [***] and Parent shall jointly direct the Escrow Agent to distribute [***]% of the portion, if any, of the [***] Retention Escrow Amount remaining in the [***] as of such date to be further distributed to the Qualified Grantees in accordance with the [***], in each case, in accordance with the Escrow Agreement and the [***] Agreement, as applicable. On the [***] following the earlier of (x) the date that the R&amp;W Insurance Policy expires, or (y) the</w:t>
      </w:r>
    </w:p>
    <w:p>
      <w:pPr>
        <w:spacing w:after="0" w:line="4" w:lineRule="exact"/>
        <w:rPr>
          <w:rFonts w:ascii="Times New Roman" w:cs="Times New Roman" w:eastAsia="Times New Roman" w:hAnsi="Times New Roman"/>
          <w:sz w:val="16"/>
          <w:szCs w:val="16"/>
          <w:color w:val="auto"/>
        </w:rPr>
      </w:pPr>
    </w:p>
    <w:p>
      <w:pPr>
        <w:jc w:val="both"/>
        <w:ind w:left="9" w:right="20" w:hanging="9"/>
        <w:spacing w:after="0" w:line="210" w:lineRule="auto"/>
        <w:tabs>
          <w:tab w:leader="none" w:pos="403"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anniversary of the Closing Date (i) the Shareholders’ Agent and Parent shall jointly direct the Escrow Agent to pay the portion, if any, of the RWI Retention Escrow Amount remaining in the Escrow Fund as of such date to the Paying Agent for distribution by it to the Non-Dissenting Shareholders and (ii) the [***],</w:t>
      </w:r>
    </w:p>
    <w:p>
      <w:pPr>
        <w:spacing w:after="0" w:line="1" w:lineRule="exact"/>
        <w:rPr>
          <w:rFonts w:ascii="Times New Roman" w:cs="Times New Roman" w:eastAsia="Times New Roman" w:hAnsi="Times New Roman"/>
          <w:sz w:val="16"/>
          <w:szCs w:val="16"/>
          <w:color w:val="auto"/>
        </w:rPr>
      </w:pPr>
    </w:p>
    <w:p>
      <w:pPr>
        <w:jc w:val="both"/>
        <w:ind w:left="9" w:hanging="9"/>
        <w:spacing w:after="0" w:line="216" w:lineRule="auto"/>
        <w:tabs>
          <w:tab w:leader="none" w:pos="411"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and Parent shall jointly direct the Escrow Agent to distribute the portion, if any, of the [***] Retention Escrow Amount remaining in the [***] as of such date to be further distributed to the Qualified Grantees in accordance with the [***], in each case, in accordance with the Escrow Agreement and the [***] Agreement, as applicable;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to the extent there are any pending and unresolved claims for indemnification under the R&amp;W Insurance Policy for which notice has been timely provided prior to the date of any such release, the portion of the RWI Retention Escrow Amount remaining in the Escrow Fund as of such date that is up to the dollar amount of such pending and unresolved claims shall be retained in the Escrow Fund and the [***] in accordance with the Escrow Agreement and the [***] Agreement, and shall be released in accordance with the procedures set forth in this Agreement, the Escrow Agreement and the [***] Agreement following resolution of each such claim.</w:t>
      </w:r>
    </w:p>
    <w:p>
      <w:pPr>
        <w:spacing w:after="0" w:line="115" w:lineRule="exact"/>
        <w:rPr>
          <w:sz w:val="20"/>
          <w:szCs w:val="20"/>
          <w:color w:val="auto"/>
        </w:rPr>
      </w:pPr>
    </w:p>
    <w:p>
      <w:pPr>
        <w:ind w:left="489"/>
        <w:spacing w:after="0"/>
        <w:tabs>
          <w:tab w:leader="none" w:pos="1429" w:val="left"/>
        </w:tabs>
        <w:rPr>
          <w:sz w:val="20"/>
          <w:szCs w:val="20"/>
          <w:color w:val="auto"/>
        </w:rPr>
      </w:pPr>
      <w:r>
        <w:rPr>
          <w:rFonts w:ascii="Times New Roman" w:cs="Times New Roman" w:eastAsia="Times New Roman" w:hAnsi="Times New Roman"/>
          <w:sz w:val="16"/>
          <w:szCs w:val="16"/>
          <w:b w:val="1"/>
          <w:bCs w:val="1"/>
          <w:color w:val="010000"/>
        </w:rPr>
        <w:t>Section 2.12</w:t>
      </w:r>
      <w:r>
        <w:rPr>
          <w:rFonts w:ascii="Times New Roman" w:cs="Times New Roman" w:eastAsia="Times New Roman" w:hAnsi="Times New Roman"/>
          <w:sz w:val="16"/>
          <w:szCs w:val="16"/>
          <w:b w:val="1"/>
          <w:bCs w:val="1"/>
          <w:color w:val="auto"/>
        </w:rPr>
        <w:tab/>
        <w:t>Contingent Payments</w:t>
      </w:r>
      <w:r>
        <w:rPr>
          <w:rFonts w:ascii="Times New Roman" w:cs="Times New Roman" w:eastAsia="Times New Roman" w:hAnsi="Times New Roman"/>
          <w:sz w:val="16"/>
          <w:szCs w:val="16"/>
          <w:color w:val="auto"/>
        </w:rPr>
        <w:t>.</w:t>
      </w:r>
    </w:p>
    <w:p>
      <w:pPr>
        <w:spacing w:after="0" w:line="137" w:lineRule="exact"/>
        <w:rPr>
          <w:sz w:val="20"/>
          <w:szCs w:val="20"/>
          <w:color w:val="auto"/>
        </w:rPr>
      </w:pPr>
    </w:p>
    <w:p>
      <w:pPr>
        <w:ind w:left="1449" w:hanging="479"/>
        <w:spacing w:after="0"/>
        <w:tabs>
          <w:tab w:leader="none" w:pos="1449"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of (i) the Non-Dissenting Shareholders, in addition to the Closing Consideration Amount payable to them pursuant to </w:t>
      </w:r>
      <w:r>
        <w:rPr>
          <w:rFonts w:ascii="Times New Roman" w:cs="Times New Roman" w:eastAsia="Times New Roman" w:hAnsi="Times New Roman"/>
          <w:sz w:val="16"/>
          <w:szCs w:val="16"/>
          <w:b w:val="1"/>
          <w:bCs w:val="1"/>
          <w:color w:val="auto"/>
        </w:rPr>
        <w:t>Section 2.6</w:t>
      </w:r>
      <w:r>
        <w:rPr>
          <w:rFonts w:ascii="Times New Roman" w:cs="Times New Roman" w:eastAsia="Times New Roman" w:hAnsi="Times New Roman"/>
          <w:sz w:val="16"/>
          <w:szCs w:val="16"/>
          <w:color w:val="auto"/>
        </w:rPr>
        <w:t>, and</w:t>
      </w:r>
    </w:p>
    <w:p>
      <w:pPr>
        <w:ind w:left="229" w:hanging="229"/>
        <w:spacing w:after="0"/>
        <w:tabs>
          <w:tab w:leader="none" w:pos="229"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Surviving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6"/>
          <w:szCs w:val="16"/>
          <w:color w:val="auto"/>
        </w:rPr>
        <w:t>33</w:t>
      </w:r>
    </w:p>
    <w:p>
      <w:pPr>
        <w:sectPr>
          <w:pgSz w:w="11900" w:h="16840" w:orient="portrait"/>
          <w:cols w:equalWidth="0" w:num="1">
            <w:col w:w="10589"/>
          </w:cols>
          <w:pgMar w:left="651" w:top="1440" w:right="660" w:bottom="1440" w:gutter="0" w:footer="0" w:header="0"/>
        </w:sectPr>
      </w:pPr>
    </w:p>
    <w:bookmarkStart w:id="312" w:name="page313"/>
    <w:bookmarkEnd w:id="312"/>
    <w:p>
      <w:pPr>
        <w:spacing w:after="0" w:line="80" w:lineRule="exact"/>
        <w:rPr>
          <w:sz w:val="20"/>
          <w:szCs w:val="20"/>
          <w:color w:val="auto"/>
        </w:rPr>
      </w:pPr>
    </w:p>
    <w:p>
      <w:pPr>
        <w:jc w:val="both"/>
        <w:ind w:left="9" w:right="20"/>
        <w:spacing w:after="0" w:line="232" w:lineRule="auto"/>
        <w:rPr>
          <w:sz w:val="20"/>
          <w:szCs w:val="20"/>
          <w:color w:val="auto"/>
        </w:rPr>
      </w:pPr>
      <w:r>
        <w:rPr>
          <w:rFonts w:ascii="Times New Roman" w:cs="Times New Roman" w:eastAsia="Times New Roman" w:hAnsi="Times New Roman"/>
          <w:sz w:val="16"/>
          <w:szCs w:val="16"/>
          <w:color w:val="auto"/>
        </w:rPr>
        <w:t xml:space="preserve">Corporation or an Acquired Company, for further payment to the Qualified Grantees in accordance with the [***], shall be entitled to certain additional, one-time contingent payments from Parent after the Closing as and to the extent set forth in this </w:t>
      </w:r>
      <w:r>
        <w:rPr>
          <w:rFonts w:ascii="Times New Roman" w:cs="Times New Roman" w:eastAsia="Times New Roman" w:hAnsi="Times New Roman"/>
          <w:sz w:val="16"/>
          <w:szCs w:val="16"/>
          <w:b w:val="1"/>
          <w:bCs w:val="1"/>
          <w:color w:val="auto"/>
        </w:rPr>
        <w:t>Section 2.12</w:t>
      </w:r>
      <w:r>
        <w:rPr>
          <w:rFonts w:ascii="Times New Roman" w:cs="Times New Roman" w:eastAsia="Times New Roman" w:hAnsi="Times New Roman"/>
          <w:sz w:val="16"/>
          <w:szCs w:val="16"/>
          <w:color w:val="auto"/>
        </w:rPr>
        <w:t xml:space="preserve"> (each such additional payment, a “</w:t>
      </w:r>
      <w:r>
        <w:rPr>
          <w:rFonts w:ascii="Times New Roman" w:cs="Times New Roman" w:eastAsia="Times New Roman" w:hAnsi="Times New Roman"/>
          <w:sz w:val="16"/>
          <w:szCs w:val="16"/>
          <w:b w:val="1"/>
          <w:bCs w:val="1"/>
          <w:i w:val="1"/>
          <w:iCs w:val="1"/>
          <w:color w:val="auto"/>
        </w:rPr>
        <w:t>Contingent Payment</w:t>
      </w:r>
      <w:r>
        <w:rPr>
          <w:rFonts w:ascii="Times New Roman" w:cs="Times New Roman" w:eastAsia="Times New Roman" w:hAnsi="Times New Roman"/>
          <w:sz w:val="16"/>
          <w:szCs w:val="16"/>
          <w:color w:val="auto"/>
        </w:rPr>
        <w:t xml:space="preserve">”), subject to all the terms and conditions of this </w:t>
      </w:r>
      <w:r>
        <w:rPr>
          <w:rFonts w:ascii="Times New Roman" w:cs="Times New Roman" w:eastAsia="Times New Roman" w:hAnsi="Times New Roman"/>
          <w:sz w:val="16"/>
          <w:szCs w:val="16"/>
          <w:b w:val="1"/>
          <w:bCs w:val="1"/>
          <w:color w:val="auto"/>
        </w:rPr>
        <w:t>Section 2.12</w:t>
      </w:r>
      <w:r>
        <w:rPr>
          <w:rFonts w:ascii="Times New Roman" w:cs="Times New Roman" w:eastAsia="Times New Roman" w:hAnsi="Times New Roman"/>
          <w:sz w:val="16"/>
          <w:szCs w:val="16"/>
          <w:color w:val="auto"/>
        </w:rPr>
        <w:t>.</w:t>
      </w:r>
    </w:p>
    <w:p>
      <w:pPr>
        <w:spacing w:after="0" w:line="111" w:lineRule="exact"/>
        <w:rPr>
          <w:sz w:val="20"/>
          <w:szCs w:val="20"/>
          <w:color w:val="auto"/>
        </w:rPr>
      </w:pPr>
    </w:p>
    <w:p>
      <w:pPr>
        <w:jc w:val="both"/>
        <w:ind w:left="9" w:right="20" w:firstLine="961"/>
        <w:spacing w:after="0" w:line="232" w:lineRule="auto"/>
        <w:tabs>
          <w:tab w:leader="none" w:pos="1465"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set-off rights of Parent pursuant to </w:t>
      </w:r>
      <w:r>
        <w:rPr>
          <w:rFonts w:ascii="Times New Roman" w:cs="Times New Roman" w:eastAsia="Times New Roman" w:hAnsi="Times New Roman"/>
          <w:sz w:val="16"/>
          <w:szCs w:val="16"/>
          <w:b w:val="1"/>
          <w:bCs w:val="1"/>
          <w:color w:val="auto"/>
        </w:rPr>
        <w:t>Section 2.12(h)</w:t>
      </w:r>
      <w:r>
        <w:rPr>
          <w:rFonts w:ascii="Times New Roman" w:cs="Times New Roman" w:eastAsia="Times New Roman" w:hAnsi="Times New Roman"/>
          <w:sz w:val="16"/>
          <w:szCs w:val="16"/>
          <w:color w:val="auto"/>
        </w:rPr>
        <w:t xml:space="preserve"> below, Parent shall make the Contingent Payments described in Table 1 below following the first achievement or occurrence by or on behalf of Parent or its Subsidiaries or [***] of the corresponding event with respect to [***] (each a “</w:t>
      </w:r>
      <w:r>
        <w:rPr>
          <w:rFonts w:ascii="Times New Roman" w:cs="Times New Roman" w:eastAsia="Times New Roman" w:hAnsi="Times New Roman"/>
          <w:sz w:val="16"/>
          <w:szCs w:val="16"/>
          <w:b w:val="1"/>
          <w:bCs w:val="1"/>
          <w:i w:val="1"/>
          <w:iCs w:val="1"/>
          <w:color w:val="auto"/>
        </w:rPr>
        <w:t>Development Milestone Event</w:t>
      </w:r>
      <w:r>
        <w:rPr>
          <w:rFonts w:ascii="Times New Roman" w:cs="Times New Roman" w:eastAsia="Times New Roman" w:hAnsi="Times New Roman"/>
          <w:sz w:val="16"/>
          <w:szCs w:val="16"/>
          <w:color w:val="auto"/>
        </w:rPr>
        <w:t>”). In no event shall more than one Contingent Payment be due for either of the two Development Milestone Events.</w:t>
      </w:r>
    </w:p>
    <w:p>
      <w:pPr>
        <w:spacing w:after="0" w:line="104" w:lineRule="exact"/>
        <w:rPr>
          <w:sz w:val="20"/>
          <w:szCs w:val="20"/>
          <w:color w:val="auto"/>
        </w:rPr>
      </w:pPr>
    </w:p>
    <w:tbl>
      <w:tblPr>
        <w:tblLayout w:type="fixed"/>
        <w:tblInd w:w="9"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Table 1</w:t>
            </w:r>
          </w:p>
        </w:tc>
        <w:tc>
          <w:tcPr>
            <w:tcW w:w="144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374"/>
        </w:trPr>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No.</w:t>
            </w:r>
          </w:p>
        </w:tc>
        <w:tc>
          <w:tcPr>
            <w:tcW w:w="6540" w:type="dxa"/>
            <w:vAlign w:val="bottom"/>
            <w:gridSpan w:val="3"/>
          </w:tcPr>
          <w:p>
            <w:pPr>
              <w:ind w:left="2700"/>
              <w:spacing w:after="0"/>
              <w:rPr>
                <w:sz w:val="20"/>
                <w:szCs w:val="20"/>
                <w:color w:val="auto"/>
              </w:rPr>
            </w:pPr>
            <w:r>
              <w:rPr>
                <w:rFonts w:ascii="Times New Roman" w:cs="Times New Roman" w:eastAsia="Times New Roman" w:hAnsi="Times New Roman"/>
                <w:sz w:val="16"/>
                <w:szCs w:val="16"/>
                <w:color w:val="auto"/>
              </w:rPr>
              <w:t>Development Milestone Event</w:t>
            </w:r>
          </w:p>
        </w:tc>
        <w:tc>
          <w:tcPr>
            <w:tcW w:w="2780" w:type="dxa"/>
            <w:vAlign w:val="bottom"/>
          </w:tcPr>
          <w:p>
            <w:pPr>
              <w:jc w:val="center"/>
              <w:ind w:left="1359"/>
              <w:spacing w:after="0"/>
              <w:rPr>
                <w:sz w:val="20"/>
                <w:szCs w:val="20"/>
                <w:color w:val="auto"/>
              </w:rPr>
            </w:pPr>
            <w:r>
              <w:rPr>
                <w:rFonts w:ascii="Times New Roman" w:cs="Times New Roman" w:eastAsia="Times New Roman" w:hAnsi="Times New Roman"/>
                <w:sz w:val="16"/>
                <w:szCs w:val="16"/>
                <w:color w:val="auto"/>
              </w:rPr>
              <w:t>Contingent Payment</w:t>
            </w:r>
          </w:p>
        </w:tc>
      </w:tr>
      <w:tr>
        <w:trPr>
          <w:trHeight w:val="202"/>
        </w:trPr>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4600" w:type="dxa"/>
            <w:vAlign w:val="bottom"/>
          </w:tcPr>
          <w:p>
            <w:pPr>
              <w:jc w:val="right"/>
              <w:ind w:right="395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780" w:type="dxa"/>
            <w:vAlign w:val="bottom"/>
          </w:tcPr>
          <w:p>
            <w:pPr>
              <w:jc w:val="center"/>
              <w:ind w:left="1359"/>
              <w:spacing w:after="0"/>
              <w:rPr>
                <w:sz w:val="20"/>
                <w:szCs w:val="20"/>
                <w:color w:val="auto"/>
              </w:rPr>
            </w:pPr>
            <w:r>
              <w:rPr>
                <w:rFonts w:ascii="Times New Roman" w:cs="Times New Roman" w:eastAsia="Times New Roman" w:hAnsi="Times New Roman"/>
                <w:sz w:val="16"/>
                <w:szCs w:val="16"/>
                <w:color w:val="auto"/>
                <w:w w:val="98"/>
              </w:rPr>
              <w:t>$[***]</w:t>
            </w:r>
          </w:p>
        </w:tc>
      </w:tr>
      <w:tr>
        <w:trPr>
          <w:trHeight w:val="210"/>
        </w:trPr>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2</w:t>
            </w:r>
          </w:p>
        </w:tc>
        <w:tc>
          <w:tcPr>
            <w:tcW w:w="4600" w:type="dxa"/>
            <w:vAlign w:val="bottom"/>
          </w:tcPr>
          <w:p>
            <w:pPr>
              <w:jc w:val="right"/>
              <w:ind w:right="395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780" w:type="dxa"/>
            <w:vAlign w:val="bottom"/>
          </w:tcPr>
          <w:p>
            <w:pPr>
              <w:jc w:val="center"/>
              <w:ind w:left="1359"/>
              <w:spacing w:after="0"/>
              <w:rPr>
                <w:sz w:val="20"/>
                <w:szCs w:val="20"/>
                <w:color w:val="auto"/>
              </w:rPr>
            </w:pPr>
            <w:r>
              <w:rPr>
                <w:rFonts w:ascii="Times New Roman" w:cs="Times New Roman" w:eastAsia="Times New Roman" w:hAnsi="Times New Roman"/>
                <w:sz w:val="16"/>
                <w:szCs w:val="16"/>
                <w:color w:val="auto"/>
                <w:w w:val="98"/>
              </w:rPr>
              <w:t>$[***]</w:t>
            </w:r>
          </w:p>
        </w:tc>
      </w:tr>
    </w:tbl>
    <w:p>
      <w:pPr>
        <w:spacing w:after="0" w:line="204" w:lineRule="exact"/>
        <w:rPr>
          <w:sz w:val="20"/>
          <w:szCs w:val="20"/>
          <w:color w:val="auto"/>
        </w:rPr>
      </w:pPr>
    </w:p>
    <w:p>
      <w:pPr>
        <w:jc w:val="both"/>
        <w:ind w:left="9" w:firstLine="961"/>
        <w:spacing w:after="0" w:line="258" w:lineRule="auto"/>
        <w:tabs>
          <w:tab w:leader="none" w:pos="1465"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shall deliver written notice to the Shareholders’ Agent of the achievement of any Development Milestone Event no later than [***] Business Days after the occurrence thereof, and, within [***] Business Days of such notice, Parent shall (A) pay the Contingent Payment Allocation Percentage of such Contingent Payment due to each Non-Dissenting Shareholder to the Paying Agent for distribution to such Non-Dissenting Shareholders, and (B) deposit in the</w:t>
      </w:r>
    </w:p>
    <w:p>
      <w:pPr>
        <w:ind w:left="9" w:right="40" w:hanging="9"/>
        <w:spacing w:after="0" w:line="261" w:lineRule="auto"/>
        <w:tabs>
          <w:tab w:leader="none" w:pos="405"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Contingent Payment Allocation Percentage of such Contingent Payment due to the [***] for further distribution to the Qualified Grantees in accordance with the [***], subject to the retention of any [***] Retained Amount in accordance with </w:t>
      </w:r>
      <w:r>
        <w:rPr>
          <w:rFonts w:ascii="Times New Roman" w:cs="Times New Roman" w:eastAsia="Times New Roman" w:hAnsi="Times New Roman"/>
          <w:sz w:val="16"/>
          <w:szCs w:val="16"/>
          <w:b w:val="1"/>
          <w:bCs w:val="1"/>
          <w:color w:val="auto"/>
        </w:rPr>
        <w:t>Section 5.28</w:t>
      </w:r>
      <w:r>
        <w:rPr>
          <w:rFonts w:ascii="Times New Roman" w:cs="Times New Roman" w:eastAsia="Times New Roman" w:hAnsi="Times New Roman"/>
          <w:sz w:val="16"/>
          <w:szCs w:val="16"/>
          <w:color w:val="auto"/>
        </w:rPr>
        <w:t>.</w:t>
      </w:r>
    </w:p>
    <w:p>
      <w:pPr>
        <w:spacing w:after="0" w:line="117" w:lineRule="exact"/>
        <w:rPr>
          <w:rFonts w:ascii="Times New Roman" w:cs="Times New Roman" w:eastAsia="Times New Roman" w:hAnsi="Times New Roman"/>
          <w:sz w:val="16"/>
          <w:szCs w:val="16"/>
          <w:color w:val="auto"/>
        </w:rPr>
      </w:pPr>
    </w:p>
    <w:p>
      <w:pPr>
        <w:ind w:left="1449" w:hanging="479"/>
        <w:spacing w:after="0"/>
        <w:tabs>
          <w:tab w:leader="none" w:pos="1449"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39" w:lineRule="exact"/>
        <w:rPr>
          <w:rFonts w:ascii="Times New Roman" w:cs="Times New Roman" w:eastAsia="Times New Roman" w:hAnsi="Times New Roman"/>
          <w:sz w:val="16"/>
          <w:szCs w:val="16"/>
          <w:color w:val="auto"/>
        </w:rPr>
      </w:pPr>
    </w:p>
    <w:p>
      <w:pPr>
        <w:ind w:left="1449" w:hanging="479"/>
        <w:spacing w:after="0"/>
        <w:tabs>
          <w:tab w:leader="none" w:pos="1449"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39" w:lineRule="exact"/>
        <w:rPr>
          <w:rFonts w:ascii="Times New Roman" w:cs="Times New Roman" w:eastAsia="Times New Roman" w:hAnsi="Times New Roman"/>
          <w:sz w:val="16"/>
          <w:szCs w:val="16"/>
          <w:color w:val="auto"/>
        </w:rPr>
      </w:pPr>
    </w:p>
    <w:p>
      <w:pPr>
        <w:ind w:left="1449" w:hanging="479"/>
        <w:spacing w:after="0"/>
        <w:tabs>
          <w:tab w:leader="none" w:pos="1449"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39" w:lineRule="exact"/>
        <w:rPr>
          <w:rFonts w:ascii="Times New Roman" w:cs="Times New Roman" w:eastAsia="Times New Roman" w:hAnsi="Times New Roman"/>
          <w:sz w:val="16"/>
          <w:szCs w:val="16"/>
          <w:color w:val="auto"/>
        </w:rPr>
      </w:pPr>
    </w:p>
    <w:p>
      <w:pPr>
        <w:jc w:val="both"/>
        <w:ind w:left="9" w:right="20" w:firstLine="961"/>
        <w:spacing w:after="0" w:line="218" w:lineRule="auto"/>
        <w:tabs>
          <w:tab w:leader="none" w:pos="1465"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After the Closing, no Non-Dissenting Shareholder may sell, exchange, transfer or otherwise dispose of his, her or its right to receive any portion of any Contingent Payment, other than (i) upon death by will or intestacy; (ii) by instrument to an </w:t>
      </w:r>
      <w:r>
        <w:rPr>
          <w:rFonts w:ascii="Times New Roman" w:cs="Times New Roman" w:eastAsia="Times New Roman" w:hAnsi="Times New Roman"/>
          <w:sz w:val="16"/>
          <w:szCs w:val="16"/>
          <w:i w:val="1"/>
          <w:iCs w:val="1"/>
          <w:color w:val="auto"/>
        </w:rPr>
        <w:t>inter vivos</w:t>
      </w:r>
      <w:r>
        <w:rPr>
          <w:rFonts w:ascii="Times New Roman" w:cs="Times New Roman" w:eastAsia="Times New Roman" w:hAnsi="Times New Roman"/>
          <w:sz w:val="16"/>
          <w:szCs w:val="16"/>
          <w:color w:val="auto"/>
        </w:rPr>
        <w:t xml:space="preserve"> or testamentary trust in which the right to receive the Contingent Payment or portion thereof is to be passed to beneficiaries upon the death of such Non-Dissenting Shareholder; (iii) pursuant to a court order; (iv) by operation of law (including a consolidation or merger) or without consideration in connection with the dissolution, liquidation or termination of any corporation, limited liability company, partnership or other entity that was such Non-Dissenting Shareholder; (v) in the case of any Shareholder that is a partnership, corporation, limited liability company, trustee or similar entity, (x) to one or more partners, shareholders, members, beneficiaries or similar owners of or investors in such Shareholder or (y) a successor entity upon the sale or transfer of a substantial part of the assets of such Shareholder; or (vi) to any Person, with Parent’s consent. For the avoidance of doubt, any Contingent Payment made to any permitted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34</w:t>
      </w:r>
    </w:p>
    <w:p>
      <w:pPr>
        <w:sectPr>
          <w:pgSz w:w="11900" w:h="16840" w:orient="portrait"/>
          <w:cols w:equalWidth="0" w:num="1">
            <w:col w:w="10609"/>
          </w:cols>
          <w:pgMar w:left="651" w:top="1440" w:right="640" w:bottom="1440" w:gutter="0" w:footer="0" w:header="0"/>
        </w:sectPr>
      </w:pPr>
    </w:p>
    <w:bookmarkStart w:id="313" w:name="page314"/>
    <w:bookmarkEnd w:id="313"/>
    <w:p>
      <w:pPr>
        <w:spacing w:after="0" w:line="7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 xml:space="preserve">transferee pursuant to this </w:t>
      </w:r>
      <w:r>
        <w:rPr>
          <w:rFonts w:ascii="Times New Roman" w:cs="Times New Roman" w:eastAsia="Times New Roman" w:hAnsi="Times New Roman"/>
          <w:sz w:val="16"/>
          <w:szCs w:val="16"/>
          <w:b w:val="1"/>
          <w:bCs w:val="1"/>
          <w:color w:val="auto"/>
        </w:rPr>
        <w:t>Section 2.12(g)</w:t>
      </w:r>
      <w:r>
        <w:rPr>
          <w:rFonts w:ascii="Times New Roman" w:cs="Times New Roman" w:eastAsia="Times New Roman" w:hAnsi="Times New Roman"/>
          <w:sz w:val="16"/>
          <w:szCs w:val="16"/>
          <w:color w:val="auto"/>
        </w:rPr>
        <w:t xml:space="preserve"> shall be delivered to the Paying Agent for further disbursement to such transferee in accordance with the terms of this Agreement. Any transfer in violation of this </w:t>
      </w:r>
      <w:r>
        <w:rPr>
          <w:rFonts w:ascii="Times New Roman" w:cs="Times New Roman" w:eastAsia="Times New Roman" w:hAnsi="Times New Roman"/>
          <w:sz w:val="16"/>
          <w:szCs w:val="16"/>
          <w:b w:val="1"/>
          <w:bCs w:val="1"/>
          <w:color w:val="auto"/>
        </w:rPr>
        <w:t>Section 2.12(g)</w:t>
      </w:r>
      <w:r>
        <w:rPr>
          <w:rFonts w:ascii="Times New Roman" w:cs="Times New Roman" w:eastAsia="Times New Roman" w:hAnsi="Times New Roman"/>
          <w:sz w:val="16"/>
          <w:szCs w:val="16"/>
          <w:color w:val="auto"/>
        </w:rPr>
        <w:t xml:space="preserve"> shall be null and void and shall not be recognized by Parent or the Surviving Corporation.</w:t>
      </w:r>
    </w:p>
    <w:p>
      <w:pPr>
        <w:spacing w:after="0" w:line="108" w:lineRule="exact"/>
        <w:rPr>
          <w:sz w:val="20"/>
          <w:szCs w:val="20"/>
          <w:color w:val="auto"/>
        </w:rPr>
      </w:pPr>
    </w:p>
    <w:p>
      <w:pPr>
        <w:jc w:val="both"/>
        <w:ind w:firstLine="961"/>
        <w:spacing w:after="0" w:line="215" w:lineRule="auto"/>
        <w:tabs>
          <w:tab w:leader="none" w:pos="1456"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this Agreement, the obligation of Parent to make any Contingent Payment pursuant to this </w:t>
      </w:r>
      <w:r>
        <w:rPr>
          <w:rFonts w:ascii="Times New Roman" w:cs="Times New Roman" w:eastAsia="Times New Roman" w:hAnsi="Times New Roman"/>
          <w:sz w:val="16"/>
          <w:szCs w:val="16"/>
          <w:b w:val="1"/>
          <w:bCs w:val="1"/>
          <w:color w:val="auto"/>
        </w:rPr>
        <w:t xml:space="preserve">Section 2.12 </w:t>
      </w:r>
      <w:r>
        <w:rPr>
          <w:rFonts w:ascii="Times New Roman" w:cs="Times New Roman" w:eastAsia="Times New Roman" w:hAnsi="Times New Roman"/>
          <w:sz w:val="16"/>
          <w:szCs w:val="16"/>
          <w:color w:val="auto"/>
        </w:rPr>
        <w:t>shall be qualified in its entirety by the right of Parent and the Surviving Corporation to reduce the amount of such Contingent Payment, to the extent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Parent or the Surviving Corporation has previously made a good faith claim for indemnification under </w:t>
      </w:r>
      <w:r>
        <w:rPr>
          <w:rFonts w:ascii="Times New Roman" w:cs="Times New Roman" w:eastAsia="Times New Roman" w:hAnsi="Times New Roman"/>
          <w:sz w:val="16"/>
          <w:szCs w:val="16"/>
          <w:b w:val="1"/>
          <w:bCs w:val="1"/>
          <w:color w:val="auto"/>
        </w:rPr>
        <w:t>Section 8.2</w:t>
      </w:r>
      <w:r>
        <w:rPr>
          <w:rFonts w:ascii="Times New Roman" w:cs="Times New Roman" w:eastAsia="Times New Roman" w:hAnsi="Times New Roman"/>
          <w:sz w:val="16"/>
          <w:szCs w:val="16"/>
          <w:color w:val="auto"/>
        </w:rPr>
        <w:t xml:space="preserve">, by (x) with respect to the portion of the relevant Contingent Payment due to the Non-Dissenting Shareholders, the Shareholder Percentage of the amount of any such Losses and (y) with respect to the portion of the relevant Contingent Payment to be paid to the Qualified Grantees in accordance with the [***], the [***] of the amount of any such Losses. In the event that Parent is entitled to set off some portion of a Contingent Payment for an indemnification claim that has not been finally resolved, such set-off amount may be retained by Parent until such time as the underlying claim if finally resolved. In the event that the aggregate amount retained from the Contingent Payment payable pursuant to this </w:t>
      </w:r>
      <w:r>
        <w:rPr>
          <w:rFonts w:ascii="Times New Roman" w:cs="Times New Roman" w:eastAsia="Times New Roman" w:hAnsi="Times New Roman"/>
          <w:sz w:val="16"/>
          <w:szCs w:val="16"/>
          <w:b w:val="1"/>
          <w:bCs w:val="1"/>
          <w:color w:val="auto"/>
        </w:rPr>
        <w:t>Section 2.12(h)</w:t>
      </w:r>
      <w:r>
        <w:rPr>
          <w:rFonts w:ascii="Times New Roman" w:cs="Times New Roman" w:eastAsia="Times New Roman" w:hAnsi="Times New Roman"/>
          <w:sz w:val="16"/>
          <w:szCs w:val="16"/>
          <w:color w:val="auto"/>
        </w:rPr>
        <w:t xml:space="preserve"> with respect to any indemnification claim is greater than the aggregate amount finally determined (after exhausting all available appeals or other forums for reconsideration) to be payable with respect thereto under the terms of this Agreement, Parent and the Surviving Corporation shall, within [***] days after such final determination, release the amount of such excess, without interest, to (x) the Non-Dissenting Shareholders and (y) to the [***] for further distribution to the Qualified Grantees, in each case, in cash and in accordance with this </w:t>
      </w:r>
      <w:r>
        <w:rPr>
          <w:rFonts w:ascii="Times New Roman" w:cs="Times New Roman" w:eastAsia="Times New Roman" w:hAnsi="Times New Roman"/>
          <w:sz w:val="16"/>
          <w:szCs w:val="16"/>
          <w:b w:val="1"/>
          <w:bCs w:val="1"/>
          <w:color w:val="auto"/>
        </w:rPr>
        <w:t>Section 2.12</w:t>
      </w:r>
      <w:r>
        <w:rPr>
          <w:rFonts w:ascii="Times New Roman" w:cs="Times New Roman" w:eastAsia="Times New Roman" w:hAnsi="Times New Roman"/>
          <w:sz w:val="16"/>
          <w:szCs w:val="16"/>
          <w:color w:val="auto"/>
        </w:rPr>
        <w:t xml:space="preserve"> in the respective amounts they would have been entitled to receive had such amount not been retained or set-off by Parent. Notwithstanding anything to the contrary in this </w:t>
      </w:r>
      <w:r>
        <w:rPr>
          <w:rFonts w:ascii="Times New Roman" w:cs="Times New Roman" w:eastAsia="Times New Roman" w:hAnsi="Times New Roman"/>
          <w:sz w:val="16"/>
          <w:szCs w:val="16"/>
          <w:b w:val="1"/>
          <w:bCs w:val="1"/>
          <w:color w:val="auto"/>
        </w:rPr>
        <w:t>Section 2.12(h)</w:t>
      </w:r>
      <w:r>
        <w:rPr>
          <w:rFonts w:ascii="Times New Roman" w:cs="Times New Roman" w:eastAsia="Times New Roman" w:hAnsi="Times New Roman"/>
          <w:sz w:val="16"/>
          <w:szCs w:val="16"/>
          <w:color w:val="auto"/>
        </w:rPr>
        <w:t>, Parent shall have the right to set-off a portion of a Contingent Payment only to the extent the amounts in the Escrow Fund and the [***] are not sufficient to cover the underlying amount of an indemnification claim that has not been finally resolved.</w:t>
      </w:r>
    </w:p>
    <w:p>
      <w:pPr>
        <w:spacing w:after="0" w:line="116" w:lineRule="exact"/>
        <w:rPr>
          <w:sz w:val="20"/>
          <w:szCs w:val="20"/>
          <w:color w:val="auto"/>
        </w:rPr>
      </w:pPr>
    </w:p>
    <w:p>
      <w:pPr>
        <w:jc w:val="both"/>
        <w:ind w:firstLine="485"/>
        <w:spacing w:after="0" w:line="215" w:lineRule="auto"/>
        <w:rPr>
          <w:sz w:val="20"/>
          <w:szCs w:val="20"/>
          <w:color w:val="auto"/>
        </w:rPr>
      </w:pPr>
      <w:r>
        <w:rPr>
          <w:rFonts w:ascii="Times New Roman" w:cs="Times New Roman" w:eastAsia="Times New Roman" w:hAnsi="Times New Roman"/>
          <w:sz w:val="16"/>
          <w:szCs w:val="16"/>
          <w:b w:val="1"/>
          <w:bCs w:val="1"/>
          <w:color w:val="010000"/>
        </w:rPr>
        <w:t xml:space="preserve">Section 2.13 </w:t>
      </w:r>
      <w:r>
        <w:rPr>
          <w:rFonts w:ascii="Times New Roman" w:cs="Times New Roman" w:eastAsia="Times New Roman" w:hAnsi="Times New Roman"/>
          <w:sz w:val="16"/>
          <w:szCs w:val="16"/>
          <w:b w:val="1"/>
          <w:bCs w:val="1"/>
          <w:color w:val="000000"/>
        </w:rPr>
        <w:t>Founder ADS Consideration</w:t>
      </w:r>
      <w:r>
        <w:rPr>
          <w:rFonts w:ascii="Times New Roman" w:cs="Times New Roman" w:eastAsia="Times New Roman" w:hAnsi="Times New Roman"/>
          <w:sz w:val="16"/>
          <w:szCs w:val="16"/>
          <w:color w:val="000000"/>
        </w:rPr>
        <w:t>. Notwithstanding any provision to the contrary in this Agreement, on the Closing Date, (a) Parent shall</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xml:space="preserve">withhold (i) [***] percent of the portion of the Closing Consideration Amount otherwise directly or indirectly payable to Biotheus Holding Ltd (the “ </w:t>
      </w:r>
      <w:r>
        <w:rPr>
          <w:rFonts w:ascii="Times New Roman" w:cs="Times New Roman" w:eastAsia="Times New Roman" w:hAnsi="Times New Roman"/>
          <w:sz w:val="16"/>
          <w:szCs w:val="16"/>
          <w:b w:val="1"/>
          <w:bCs w:val="1"/>
          <w:i w:val="1"/>
          <w:iCs w:val="1"/>
          <w:color w:val="000000"/>
        </w:rPr>
        <w:t>[***]</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b w:val="1"/>
          <w:bCs w:val="1"/>
          <w:i w:val="1"/>
          <w:iCs w:val="1"/>
          <w:color w:val="000000"/>
        </w:rPr>
        <w:t xml:space="preserve">Withheld Amount </w:t>
      </w:r>
      <w:r>
        <w:rPr>
          <w:rFonts w:ascii="Times New Roman" w:cs="Times New Roman" w:eastAsia="Times New Roman" w:hAnsi="Times New Roman"/>
          <w:sz w:val="16"/>
          <w:szCs w:val="16"/>
          <w:color w:val="000000"/>
        </w:rPr>
        <w:t>”), (ii) [***] percent of the portion of the Closing Consideration Amount otherwise directly or indirectly payable to Biotheus Partner Ltd (the</w:t>
      </w:r>
      <w:r>
        <w:rPr>
          <w:rFonts w:ascii="Times New Roman" w:cs="Times New Roman" w:eastAsia="Times New Roman" w:hAnsi="Times New Roman"/>
          <w:sz w:val="16"/>
          <w:szCs w:val="16"/>
          <w:b w:val="1"/>
          <w:bCs w:val="1"/>
          <w:i w:val="1"/>
          <w:iCs w:val="1"/>
          <w:color w:val="000000"/>
        </w:rPr>
        <w:t xml:space="preserve"> </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b w:val="1"/>
          <w:bCs w:val="1"/>
          <w:i w:val="1"/>
          <w:iCs w:val="1"/>
          <w:color w:val="000000"/>
        </w:rPr>
        <w:t>[***] Withheld Amount</w:t>
      </w:r>
      <w:r>
        <w:rPr>
          <w:rFonts w:ascii="Times New Roman" w:cs="Times New Roman" w:eastAsia="Times New Roman" w:hAnsi="Times New Roman"/>
          <w:sz w:val="16"/>
          <w:szCs w:val="16"/>
          <w:color w:val="000000"/>
        </w:rPr>
        <w:t xml:space="preserve">”), and (iii) [***] percent of the portion of the Closing Consideration Amount otherwise payable to Biotheus Partner Ltd (the “ </w:t>
      </w:r>
      <w:r>
        <w:rPr>
          <w:rFonts w:ascii="Times New Roman" w:cs="Times New Roman" w:eastAsia="Times New Roman" w:hAnsi="Times New Roman"/>
          <w:sz w:val="16"/>
          <w:szCs w:val="16"/>
          <w:b w:val="1"/>
          <w:bCs w:val="1"/>
          <w:i w:val="1"/>
          <w:iCs w:val="1"/>
          <w:color w:val="000000"/>
        </w:rPr>
        <w:t>[***]</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b w:val="1"/>
          <w:bCs w:val="1"/>
          <w:i w:val="1"/>
          <w:iCs w:val="1"/>
          <w:color w:val="000000"/>
        </w:rPr>
        <w:t xml:space="preserve">Withheld Amount </w:t>
      </w:r>
      <w:r>
        <w:rPr>
          <w:rFonts w:ascii="Times New Roman" w:cs="Times New Roman" w:eastAsia="Times New Roman" w:hAnsi="Times New Roman"/>
          <w:sz w:val="16"/>
          <w:szCs w:val="16"/>
          <w:color w:val="000000"/>
        </w:rPr>
        <w:t>”) and (b) pursuant to each ADS Agreement, the form of which is attached hereto as</w:t>
      </w:r>
      <w:r>
        <w:rPr>
          <w:rFonts w:ascii="Times New Roman" w:cs="Times New Roman" w:eastAsia="Times New Roman" w:hAnsi="Times New Roman"/>
          <w:sz w:val="16"/>
          <w:szCs w:val="16"/>
          <w:b w:val="1"/>
          <w:bCs w:val="1"/>
          <w:i w:val="1"/>
          <w:iCs w:val="1"/>
          <w:color w:val="000000"/>
        </w:rPr>
        <w:t xml:space="preserve"> </w:t>
      </w:r>
      <w:r>
        <w:rPr>
          <w:rFonts w:ascii="Times New Roman" w:cs="Times New Roman" w:eastAsia="Times New Roman" w:hAnsi="Times New Roman"/>
          <w:sz w:val="16"/>
          <w:szCs w:val="16"/>
          <w:b w:val="1"/>
          <w:bCs w:val="1"/>
          <w:color w:val="000000"/>
        </w:rPr>
        <w:t>Exhibit E</w:t>
      </w:r>
      <w:r>
        <w:rPr>
          <w:rFonts w:ascii="Times New Roman" w:cs="Times New Roman" w:eastAsia="Times New Roman" w:hAnsi="Times New Roman"/>
          <w:sz w:val="16"/>
          <w:szCs w:val="16"/>
          <w:b w:val="1"/>
          <w:bCs w:val="1"/>
          <w:i w:val="1"/>
          <w:iCs w:val="1"/>
          <w:color w:val="000000"/>
        </w:rPr>
        <w:t xml:space="preserve"> </w:t>
      </w:r>
      <w:r>
        <w:rPr>
          <w:rFonts w:ascii="Times New Roman" w:cs="Times New Roman" w:eastAsia="Times New Roman" w:hAnsi="Times New Roman"/>
          <w:sz w:val="16"/>
          <w:szCs w:val="16"/>
          <w:color w:val="000000"/>
        </w:rPr>
        <w:t>(each, an “</w:t>
      </w:r>
      <w:r>
        <w:rPr>
          <w:rFonts w:ascii="Times New Roman" w:cs="Times New Roman" w:eastAsia="Times New Roman" w:hAnsi="Times New Roman"/>
          <w:sz w:val="16"/>
          <w:szCs w:val="16"/>
          <w:b w:val="1"/>
          <w:bCs w:val="1"/>
          <w:i w:val="1"/>
          <w:iCs w:val="1"/>
          <w:color w:val="000000"/>
        </w:rPr>
        <w:t>ADS Agreement</w:t>
      </w:r>
      <w:r>
        <w:rPr>
          <w:rFonts w:ascii="Times New Roman" w:cs="Times New Roman" w:eastAsia="Times New Roman" w:hAnsi="Times New Roman"/>
          <w:sz w:val="16"/>
          <w:szCs w:val="16"/>
          <w:color w:val="000000"/>
        </w:rPr>
        <w:t>”), the Issuer shall</w:t>
      </w:r>
      <w:r>
        <w:rPr>
          <w:rFonts w:ascii="Times New Roman" w:cs="Times New Roman" w:eastAsia="Times New Roman" w:hAnsi="Times New Roman"/>
          <w:sz w:val="16"/>
          <w:szCs w:val="16"/>
          <w:b w:val="1"/>
          <w:bCs w:val="1"/>
          <w:i w:val="1"/>
          <w:iCs w:val="1"/>
          <w:color w:val="000000"/>
        </w:rPr>
        <w:t xml:space="preserve"> </w:t>
      </w:r>
      <w:r>
        <w:rPr>
          <w:rFonts w:ascii="Times New Roman" w:cs="Times New Roman" w:eastAsia="Times New Roman" w:hAnsi="Times New Roman"/>
          <w:sz w:val="16"/>
          <w:szCs w:val="16"/>
          <w:color w:val="000000"/>
        </w:rPr>
        <w:t xml:space="preserve">issue (i) to Biotheus Holding Ltd a number of Issuer ADSs equal to the quotient obtained by </w:t>
      </w:r>
      <w:r>
        <w:rPr>
          <w:rFonts w:ascii="Times New Roman" w:cs="Times New Roman" w:eastAsia="Times New Roman" w:hAnsi="Times New Roman"/>
          <w:sz w:val="16"/>
          <w:szCs w:val="16"/>
          <w:i w:val="1"/>
          <w:iCs w:val="1"/>
          <w:color w:val="000000"/>
        </w:rPr>
        <w:t>dividing</w:t>
      </w:r>
      <w:r>
        <w:rPr>
          <w:rFonts w:ascii="Times New Roman" w:cs="Times New Roman" w:eastAsia="Times New Roman" w:hAnsi="Times New Roman"/>
          <w:sz w:val="16"/>
          <w:szCs w:val="16"/>
          <w:color w:val="000000"/>
        </w:rPr>
        <w:t xml:space="preserve"> (x) the [***] Withheld Amount by (y) the Closing Issuer ADS VWAP (the “ </w:t>
      </w:r>
      <w:r>
        <w:rPr>
          <w:rFonts w:ascii="Times New Roman" w:cs="Times New Roman" w:eastAsia="Times New Roman" w:hAnsi="Times New Roman"/>
          <w:sz w:val="16"/>
          <w:szCs w:val="16"/>
          <w:b w:val="1"/>
          <w:bCs w:val="1"/>
          <w:i w:val="1"/>
          <w:iCs w:val="1"/>
          <w:color w:val="000000"/>
        </w:rPr>
        <w:t>[***] Issuer ADSs</w:t>
      </w:r>
      <w:r>
        <w:rPr>
          <w:rFonts w:ascii="Times New Roman" w:cs="Times New Roman" w:eastAsia="Times New Roman" w:hAnsi="Times New Roman"/>
          <w:sz w:val="16"/>
          <w:szCs w:val="16"/>
          <w:color w:val="000000"/>
        </w:rPr>
        <w:t xml:space="preserve">”), (ii) to Biotheus Partner Ltd a number of Issuer ADSs equal to the quotient obtained by </w:t>
      </w:r>
      <w:r>
        <w:rPr>
          <w:rFonts w:ascii="Times New Roman" w:cs="Times New Roman" w:eastAsia="Times New Roman" w:hAnsi="Times New Roman"/>
          <w:sz w:val="16"/>
          <w:szCs w:val="16"/>
          <w:i w:val="1"/>
          <w:iCs w:val="1"/>
          <w:color w:val="000000"/>
        </w:rPr>
        <w:t>dividing</w:t>
      </w:r>
      <w:r>
        <w:rPr>
          <w:rFonts w:ascii="Times New Roman" w:cs="Times New Roman" w:eastAsia="Times New Roman" w:hAnsi="Times New Roman"/>
          <w:sz w:val="16"/>
          <w:szCs w:val="16"/>
          <w:color w:val="000000"/>
        </w:rPr>
        <w:t xml:space="preserve"> (x) the [***] Withheld Amount by (y) the Closing Issuer ADS VWAP (the “ </w:t>
      </w:r>
      <w:r>
        <w:rPr>
          <w:rFonts w:ascii="Times New Roman" w:cs="Times New Roman" w:eastAsia="Times New Roman" w:hAnsi="Times New Roman"/>
          <w:sz w:val="16"/>
          <w:szCs w:val="16"/>
          <w:b w:val="1"/>
          <w:bCs w:val="1"/>
          <w:i w:val="1"/>
          <w:iCs w:val="1"/>
          <w:color w:val="000000"/>
        </w:rPr>
        <w:t>[***] Issuer ADSs</w:t>
      </w:r>
      <w:r>
        <w:rPr>
          <w:rFonts w:ascii="Times New Roman" w:cs="Times New Roman" w:eastAsia="Times New Roman" w:hAnsi="Times New Roman"/>
          <w:sz w:val="16"/>
          <w:szCs w:val="16"/>
          <w:color w:val="000000"/>
        </w:rPr>
        <w:t xml:space="preserve"> ”), and (iii) to [***] a number of Issuer ADSs equal to the quotient obtained by </w:t>
      </w:r>
      <w:r>
        <w:rPr>
          <w:rFonts w:ascii="Times New Roman" w:cs="Times New Roman" w:eastAsia="Times New Roman" w:hAnsi="Times New Roman"/>
          <w:sz w:val="16"/>
          <w:szCs w:val="16"/>
          <w:i w:val="1"/>
          <w:iCs w:val="1"/>
          <w:color w:val="000000"/>
        </w:rPr>
        <w:t>dividing</w:t>
      </w:r>
      <w:r>
        <w:rPr>
          <w:rFonts w:ascii="Times New Roman" w:cs="Times New Roman" w:eastAsia="Times New Roman" w:hAnsi="Times New Roman"/>
          <w:sz w:val="16"/>
          <w:szCs w:val="16"/>
          <w:color w:val="000000"/>
        </w:rPr>
        <w:t xml:space="preserve"> (x) the [***] Withheld Amount by (y) the Closing Issuer ADS VWAP (the “ </w:t>
      </w:r>
      <w:r>
        <w:rPr>
          <w:rFonts w:ascii="Times New Roman" w:cs="Times New Roman" w:eastAsia="Times New Roman" w:hAnsi="Times New Roman"/>
          <w:sz w:val="16"/>
          <w:szCs w:val="16"/>
          <w:b w:val="1"/>
          <w:bCs w:val="1"/>
          <w:i w:val="1"/>
          <w:iCs w:val="1"/>
          <w:color w:val="000000"/>
        </w:rPr>
        <w:t>[***] Issuer ADSs</w:t>
      </w:r>
      <w:r>
        <w:rPr>
          <w:rFonts w:ascii="Times New Roman" w:cs="Times New Roman" w:eastAsia="Times New Roman" w:hAnsi="Times New Roman"/>
          <w:sz w:val="16"/>
          <w:szCs w:val="16"/>
          <w:color w:val="000000"/>
        </w:rPr>
        <w:t xml:space="preserve"> ”) (each such resulting number of Issuer ADSs, to be rounded down to the nearest whole number, the “</w:t>
      </w:r>
      <w:r>
        <w:rPr>
          <w:rFonts w:ascii="Times New Roman" w:cs="Times New Roman" w:eastAsia="Times New Roman" w:hAnsi="Times New Roman"/>
          <w:sz w:val="16"/>
          <w:szCs w:val="16"/>
          <w:b w:val="1"/>
          <w:bCs w:val="1"/>
          <w:i w:val="1"/>
          <w:iCs w:val="1"/>
          <w:color w:val="000000"/>
        </w:rPr>
        <w:t>Founder Issuer ADSs</w:t>
      </w:r>
      <w:r>
        <w:rPr>
          <w:rFonts w:ascii="Times New Roman" w:cs="Times New Roman" w:eastAsia="Times New Roman" w:hAnsi="Times New Roman"/>
          <w:sz w:val="16"/>
          <w:szCs w:val="16"/>
          <w:color w:val="000000"/>
        </w:rPr>
        <w:t xml:space="preserve"> ”) . Unless otherwise agreed between the Issuer and the applicable Founder or Founder SPV, the ADS Agreement in respect of the [***] Issuer ADSs will be entered into by the Issuer, Biotheus Holding Ltd and [***], the ADS Agreement in respect of the [***] Issuer ADSs will be entered into by the Issuer, Biotheus Partner Ltd and [***], and the ADS Agreement in respect of the [***] Issuer ADSs will be entered into by the Issuer and [***]. Notwithstanding anything to the contrary herein, the [***] Issuer ADSs and the [***] Issuer ADSs shall be issued directly to [***] and [***], respectively, unless (x) Biotheus Holding Ltd and Biotheus Partner Ltd, as applicable, confirm that [***] and [***] each hold 100% of the equity in their respective Founder SPV, and (y) each such Founder SPV has successfully satisfied all applicable “know</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900" w:h="16840" w:orient="portrait"/>
          <w:cols w:equalWidth="0" w:num="1">
            <w:col w:w="10580"/>
          </w:cols>
          <w:pgMar w:left="660" w:top="1440" w:right="660" w:bottom="1440" w:gutter="0" w:footer="0" w:header="0"/>
        </w:sectPr>
      </w:pPr>
    </w:p>
    <w:bookmarkStart w:id="314" w:name="page315"/>
    <w:bookmarkEnd w:id="314"/>
    <w:p>
      <w:pPr>
        <w:spacing w:after="0" w:line="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your customer” and anti-money laundering requirements of the Issuer, its depositary bank, or any of their respective Representatives and (z) each such Founder SPV has removed any reference to “Biotheus” in its name.</w:t>
      </w:r>
    </w:p>
    <w:p>
      <w:pPr>
        <w:spacing w:after="0" w:line="108" w:lineRule="exact"/>
        <w:rPr>
          <w:sz w:val="20"/>
          <w:szCs w:val="20"/>
          <w:color w:val="auto"/>
        </w:rPr>
      </w:pPr>
    </w:p>
    <w:p>
      <w:pPr>
        <w:jc w:val="both"/>
        <w:ind w:firstLine="485"/>
        <w:spacing w:after="0" w:line="219" w:lineRule="auto"/>
        <w:rPr>
          <w:sz w:val="20"/>
          <w:szCs w:val="20"/>
          <w:color w:val="auto"/>
        </w:rPr>
      </w:pPr>
      <w:r>
        <w:rPr>
          <w:rFonts w:ascii="Times New Roman" w:cs="Times New Roman" w:eastAsia="Times New Roman" w:hAnsi="Times New Roman"/>
          <w:sz w:val="16"/>
          <w:szCs w:val="16"/>
          <w:b w:val="1"/>
          <w:bCs w:val="1"/>
          <w:color w:val="010000"/>
        </w:rPr>
        <w:t xml:space="preserve">Section 2.14 </w:t>
      </w:r>
      <w:r>
        <w:rPr>
          <w:rFonts w:ascii="Times New Roman" w:cs="Times New Roman" w:eastAsia="Times New Roman" w:hAnsi="Times New Roman"/>
          <w:sz w:val="16"/>
          <w:szCs w:val="16"/>
          <w:b w:val="1"/>
          <w:bCs w:val="1"/>
          <w:color w:val="000000"/>
        </w:rPr>
        <w:t>Withholding Rights</w:t>
      </w:r>
      <w:r>
        <w:rPr>
          <w:rFonts w:ascii="Times New Roman" w:cs="Times New Roman" w:eastAsia="Times New Roman" w:hAnsi="Times New Roman"/>
          <w:sz w:val="16"/>
          <w:szCs w:val="16"/>
          <w:color w:val="000000"/>
        </w:rPr>
        <w:t>. Subject to</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b w:val="1"/>
          <w:bCs w:val="1"/>
          <w:color w:val="000000"/>
        </w:rPr>
        <w:t>Section 5.14</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and</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b w:val="1"/>
          <w:bCs w:val="1"/>
          <w:color w:val="000000"/>
        </w:rPr>
        <w:t>Section 5.28</w:t>
      </w:r>
      <w:r>
        <w:rPr>
          <w:rFonts w:ascii="Times New Roman" w:cs="Times New Roman" w:eastAsia="Times New Roman" w:hAnsi="Times New Roman"/>
          <w:sz w:val="16"/>
          <w:szCs w:val="16"/>
          <w:color w:val="000000"/>
        </w:rPr>
        <w:t>, each of Parent, the Surviving Corporation and the Paying Agent shall be</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entitled to deduct and withhold from any amount otherwise payable to any Person pursuant to or otherwise contemplated by this Agreement such amounts as it is required to deduct and withhold or cause to be deducted and withheld under any provision of Law related to Taxes. Parent shall use reasonable best efforts to provide written notice to the Company of its determination that any such deduction or withholding (other than PN7 Taxes or Taxes imposed with respect to payments properly treated as compensation for Tax purposes) is required, at least [***] days before the making of the payment to which such deduction or withholding would apply. To the extent that such amounts are so deducted and withheld, such amounts shall be timely and properly remitted to the appropriate Governmental Authority, and such amounts so remitted shall be treated for all purposes under this Agreement as having been paid to the Person to whom such amounts would otherwise have been paid.</w:t>
      </w:r>
    </w:p>
    <w:p>
      <w:pPr>
        <w:spacing w:after="0" w:line="11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b w:val="1"/>
          <w:bCs w:val="1"/>
          <w:color w:val="010000"/>
        </w:rPr>
        <w:t>Article III</w:t>
      </w: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COMPANY</w:t>
      </w:r>
    </w:p>
    <w:p>
      <w:pPr>
        <w:spacing w:after="0" w:line="132" w:lineRule="exact"/>
        <w:rPr>
          <w:sz w:val="20"/>
          <w:szCs w:val="20"/>
          <w:color w:val="auto"/>
        </w:rPr>
      </w:pPr>
    </w:p>
    <w:p>
      <w:pPr>
        <w:jc w:val="both"/>
        <w:ind w:firstLine="485"/>
        <w:spacing w:after="0" w:line="267" w:lineRule="auto"/>
        <w:rPr>
          <w:sz w:val="20"/>
          <w:szCs w:val="20"/>
          <w:color w:val="auto"/>
        </w:rPr>
      </w:pPr>
      <w:r>
        <w:rPr>
          <w:rFonts w:ascii="Times New Roman" w:cs="Times New Roman" w:eastAsia="Times New Roman" w:hAnsi="Times New Roman"/>
          <w:sz w:val="16"/>
          <w:szCs w:val="16"/>
          <w:color w:val="auto"/>
        </w:rPr>
        <w:t>Except as set forth in the corresponding sections or subsections of the Disclosure Schedules attached hereto (or any other sections or subsections of the Disclosure Schedules only to the extent that the relevance of that disclosure as an exception to such other representations and warranties is reasonably apparent on the face of such disclosure) (collectively, the “</w:t>
      </w:r>
      <w:r>
        <w:rPr>
          <w:rFonts w:ascii="Times New Roman" w:cs="Times New Roman" w:eastAsia="Times New Roman" w:hAnsi="Times New Roman"/>
          <w:sz w:val="16"/>
          <w:szCs w:val="16"/>
          <w:b w:val="1"/>
          <w:bCs w:val="1"/>
          <w:i w:val="1"/>
          <w:iCs w:val="1"/>
          <w:color w:val="auto"/>
        </w:rPr>
        <w:t>Disclosure Schedules</w:t>
      </w:r>
      <w:r>
        <w:rPr>
          <w:rFonts w:ascii="Times New Roman" w:cs="Times New Roman" w:eastAsia="Times New Roman" w:hAnsi="Times New Roman"/>
          <w:sz w:val="16"/>
          <w:szCs w:val="16"/>
          <w:color w:val="auto"/>
        </w:rPr>
        <w:t>”), the Company hereby represents and warrants to Parent and Merger Sub as follows:</w:t>
      </w:r>
    </w:p>
    <w:p>
      <w:pPr>
        <w:spacing w:after="0" w:line="112"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3.1</w:t>
      </w:r>
      <w:r>
        <w:rPr>
          <w:rFonts w:ascii="Times New Roman" w:cs="Times New Roman" w:eastAsia="Times New Roman" w:hAnsi="Times New Roman"/>
          <w:sz w:val="16"/>
          <w:szCs w:val="16"/>
          <w:b w:val="1"/>
          <w:bCs w:val="1"/>
          <w:color w:val="auto"/>
        </w:rPr>
        <w:tab/>
        <w:t>Incorporation and Qualification; Subsidiaries</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jc w:val="both"/>
        <w:ind w:firstLine="961"/>
        <w:spacing w:after="0" w:line="232" w:lineRule="auto"/>
        <w:tabs>
          <w:tab w:leader="none" w:pos="1456"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 is an exempted company, duly incorporated, validly existing and in good standing under the Laws of the Cayman Islands and (ii) has all necessary corporate power and authority to own, lease and operate all of its properties and assets and to conduct its business in the manner in which its business is currently being conducted.</w:t>
      </w:r>
    </w:p>
    <w:p>
      <w:pPr>
        <w:spacing w:after="0" w:line="113" w:lineRule="exact"/>
        <w:rPr>
          <w:rFonts w:ascii="Times New Roman" w:cs="Times New Roman" w:eastAsia="Times New Roman" w:hAnsi="Times New Roman"/>
          <w:sz w:val="16"/>
          <w:szCs w:val="16"/>
          <w:color w:val="auto"/>
        </w:rPr>
      </w:pPr>
    </w:p>
    <w:p>
      <w:pPr>
        <w:jc w:val="both"/>
        <w:ind w:firstLine="961"/>
        <w:spacing w:after="0" w:line="232" w:lineRule="auto"/>
        <w:tabs>
          <w:tab w:leader="none" w:pos="1456"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qualified to do business, and is in good standing, under the Laws of the jurisdictions where the nature of its business, or the ownership, leasing or operation of its properties or assets, requires such qualification, except where the failure to be so qualified or in such good standing has not had a Material Adverse Effect.</w:t>
      </w:r>
    </w:p>
    <w:p>
      <w:pPr>
        <w:spacing w:after="0" w:line="111" w:lineRule="exact"/>
        <w:rPr>
          <w:rFonts w:ascii="Times New Roman" w:cs="Times New Roman" w:eastAsia="Times New Roman" w:hAnsi="Times New Roman"/>
          <w:sz w:val="16"/>
          <w:szCs w:val="16"/>
          <w:color w:val="auto"/>
        </w:rPr>
      </w:pPr>
    </w:p>
    <w:p>
      <w:pPr>
        <w:jc w:val="both"/>
        <w:ind w:firstLine="961"/>
        <w:spacing w:after="0" w:line="220" w:lineRule="auto"/>
        <w:tabs>
          <w:tab w:leader="none" w:pos="1456"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Section 3.1(c) </w:t>
      </w:r>
      <w:r>
        <w:rPr>
          <w:rFonts w:ascii="Times New Roman" w:cs="Times New Roman" w:eastAsia="Times New Roman" w:hAnsi="Times New Roman"/>
          <w:sz w:val="16"/>
          <w:szCs w:val="16"/>
          <w:color w:val="auto"/>
        </w:rPr>
        <w:t>of the Disclosure Schedules sets forth a true and complete list of each of the Company’s Subsidiaries, together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jurisdiction of incorporation or organization of each such Subsidiary and the percentage of the outstanding shares, share capital or other Equity Interests of each such Subsidiary owned by the Company and each other Subsidiary of the Company. Except as set forth on </w:t>
      </w:r>
      <w:r>
        <w:rPr>
          <w:rFonts w:ascii="Times New Roman" w:cs="Times New Roman" w:eastAsia="Times New Roman" w:hAnsi="Times New Roman"/>
          <w:sz w:val="16"/>
          <w:szCs w:val="16"/>
          <w:b w:val="1"/>
          <w:bCs w:val="1"/>
          <w:color w:val="auto"/>
        </w:rPr>
        <w:t>Section 3.1(c)</w:t>
      </w:r>
      <w:r>
        <w:rPr>
          <w:rFonts w:ascii="Times New Roman" w:cs="Times New Roman" w:eastAsia="Times New Roman" w:hAnsi="Times New Roman"/>
          <w:sz w:val="16"/>
          <w:szCs w:val="16"/>
          <w:color w:val="auto"/>
        </w:rPr>
        <w:t xml:space="preserve"> of the Disclosure Schedules, there are no Equity Interests of any of the Company’s Subsidiaries issued and outstanding. Each of the Company’s Subsidiaries (i) is an entity duly incorporated, validly existing and in good standing (with respect to jurisdictions that recognize that concept) under the Laws of its jurisdiction of incorporation and (ii) has all necessary corporate or similar power and authority to own, lease and operate all of its properties and assets and to conduct its business in the manner in which its business is currently being conducted.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1900" w:h="16840" w:orient="portrait"/>
          <w:cols w:equalWidth="0" w:num="1">
            <w:col w:w="10580"/>
          </w:cols>
          <w:pgMar w:left="660" w:top="1440" w:right="660" w:bottom="1440" w:gutter="0" w:footer="0" w:header="0"/>
        </w:sectPr>
      </w:pPr>
    </w:p>
    <w:bookmarkStart w:id="315" w:name="page316"/>
    <w:bookmarkEnd w:id="315"/>
    <w:p>
      <w:pPr>
        <w:spacing w:after="0" w:line="78" w:lineRule="exact"/>
        <w:rPr>
          <w:sz w:val="20"/>
          <w:szCs w:val="20"/>
          <w:color w:val="auto"/>
        </w:rPr>
      </w:pPr>
    </w:p>
    <w:p>
      <w:pPr>
        <w:ind w:right="20" w:firstLine="961"/>
        <w:spacing w:after="0" w:line="247" w:lineRule="auto"/>
        <w:tabs>
          <w:tab w:leader="none" w:pos="1456"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Section 3.1(d) </w:t>
      </w:r>
      <w:r>
        <w:rPr>
          <w:rFonts w:ascii="Times New Roman" w:cs="Times New Roman" w:eastAsia="Times New Roman" w:hAnsi="Times New Roman"/>
          <w:sz w:val="16"/>
          <w:szCs w:val="16"/>
          <w:color w:val="auto"/>
        </w:rPr>
        <w:t>of the Disclosure Schedules sets forth a true and complete list of each of the Company’s Subsidiaries that are dormant as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date hereof (the “</w:t>
      </w:r>
      <w:r>
        <w:rPr>
          <w:rFonts w:ascii="Times New Roman" w:cs="Times New Roman" w:eastAsia="Times New Roman" w:hAnsi="Times New Roman"/>
          <w:sz w:val="16"/>
          <w:szCs w:val="16"/>
          <w:b w:val="1"/>
          <w:bCs w:val="1"/>
          <w:i w:val="1"/>
          <w:iCs w:val="1"/>
          <w:color w:val="auto"/>
        </w:rPr>
        <w:t>Dormant Subsidiaries</w:t>
      </w:r>
      <w:r>
        <w:rPr>
          <w:rFonts w:ascii="Times New Roman" w:cs="Times New Roman" w:eastAsia="Times New Roman" w:hAnsi="Times New Roman"/>
          <w:sz w:val="16"/>
          <w:szCs w:val="16"/>
          <w:color w:val="auto"/>
        </w:rPr>
        <w:t>”). None of the Dormant Subsidiaries has ever had any assets, properties, Liabilities or operations of any kind.</w:t>
      </w:r>
    </w:p>
    <w:p>
      <w:pPr>
        <w:spacing w:after="0" w:line="108" w:lineRule="exact"/>
        <w:rPr>
          <w:rFonts w:ascii="Times New Roman" w:cs="Times New Roman" w:eastAsia="Times New Roman" w:hAnsi="Times New Roman"/>
          <w:sz w:val="16"/>
          <w:szCs w:val="16"/>
          <w:color w:val="auto"/>
        </w:rPr>
      </w:pPr>
    </w:p>
    <w:p>
      <w:pPr>
        <w:jc w:val="both"/>
        <w:ind w:right="20" w:firstLine="961"/>
        <w:spacing w:after="0" w:line="232" w:lineRule="auto"/>
        <w:tabs>
          <w:tab w:leader="none" w:pos="1456"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Company’s Subsidiaries is qualified to do business, and is in good standing, under the Laws of the jurisdictions where the nature of its business, or the ownership, leasing or operation of its properties or assets, requires such qualification, except where the failure to be so qualified or in such good standing has not had a Material Adverse Effect.</w:t>
      </w:r>
    </w:p>
    <w:p>
      <w:pPr>
        <w:spacing w:after="0" w:line="113" w:lineRule="exact"/>
        <w:rPr>
          <w:rFonts w:ascii="Times New Roman" w:cs="Times New Roman" w:eastAsia="Times New Roman" w:hAnsi="Times New Roman"/>
          <w:sz w:val="16"/>
          <w:szCs w:val="16"/>
          <w:color w:val="auto"/>
        </w:rPr>
      </w:pPr>
    </w:p>
    <w:p>
      <w:pPr>
        <w:jc w:val="both"/>
        <w:ind w:right="40" w:firstLine="961"/>
        <w:spacing w:after="0" w:line="232" w:lineRule="auto"/>
        <w:tabs>
          <w:tab w:leader="none" w:pos="1456"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Company’s Subsidiaries located in the PRC has, in accordance with applicable PRC Law, duly registered with the relevant PRC Governmental Authority, obtained and maintained the validity of all business licenses and complied in all material respects with all requirements imposed by such Governmental Authorities regarding business registration.</w:t>
      </w:r>
    </w:p>
    <w:p>
      <w:pPr>
        <w:spacing w:after="0" w:line="113" w:lineRule="exact"/>
        <w:rPr>
          <w:rFonts w:ascii="Times New Roman" w:cs="Times New Roman" w:eastAsia="Times New Roman" w:hAnsi="Times New Roman"/>
          <w:sz w:val="16"/>
          <w:szCs w:val="16"/>
          <w:color w:val="auto"/>
        </w:rPr>
      </w:pPr>
    </w:p>
    <w:p>
      <w:pPr>
        <w:jc w:val="both"/>
        <w:ind w:right="20" w:firstLine="961"/>
        <w:spacing w:after="0" w:line="232" w:lineRule="auto"/>
        <w:tabs>
          <w:tab w:leader="none" w:pos="1456"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delivered or made available to Parent true and complete copies of the memorandum of association and articles of association or equivalent constitutional or organizational documents, including all amendments thereto, of each Acquired Company, each of which is in full force and effect, and the Acquired Companies are not in violation of any of the provisions thereof in any material respects.</w:t>
      </w:r>
    </w:p>
    <w:p>
      <w:pPr>
        <w:spacing w:after="0" w:line="113" w:lineRule="exact"/>
        <w:rPr>
          <w:rFonts w:ascii="Times New Roman" w:cs="Times New Roman" w:eastAsia="Times New Roman" w:hAnsi="Times New Roman"/>
          <w:sz w:val="16"/>
          <w:szCs w:val="16"/>
          <w:color w:val="auto"/>
        </w:rPr>
      </w:pPr>
    </w:p>
    <w:p>
      <w:pPr>
        <w:ind w:left="1440" w:hanging="479"/>
        <w:spacing w:after="0"/>
        <w:tabs>
          <w:tab w:leader="none" w:pos="144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Acquired Company has paid all registration and filing fees which are due to be paid by it to any Governmental Authority.</w:t>
      </w:r>
    </w:p>
    <w:p>
      <w:pPr>
        <w:spacing w:after="0" w:line="139" w:lineRule="exact"/>
        <w:rPr>
          <w:rFonts w:ascii="Times New Roman" w:cs="Times New Roman" w:eastAsia="Times New Roman" w:hAnsi="Times New Roman"/>
          <w:sz w:val="16"/>
          <w:szCs w:val="16"/>
          <w:color w:val="auto"/>
        </w:rPr>
      </w:pPr>
    </w:p>
    <w:p>
      <w:pPr>
        <w:ind w:left="1440" w:hanging="479"/>
        <w:spacing w:after="0"/>
        <w:tabs>
          <w:tab w:leader="none" w:pos="144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liable to pay any fine under the Companies Act of the Cayman Islands (as amended).</w:t>
      </w:r>
    </w:p>
    <w:p>
      <w:pPr>
        <w:spacing w:after="0" w:line="139" w:lineRule="exact"/>
        <w:rPr>
          <w:rFonts w:ascii="Times New Roman" w:cs="Times New Roman" w:eastAsia="Times New Roman" w:hAnsi="Times New Roman"/>
          <w:sz w:val="16"/>
          <w:szCs w:val="16"/>
          <w:color w:val="auto"/>
        </w:rPr>
      </w:pPr>
    </w:p>
    <w:p>
      <w:pPr>
        <w:jc w:val="both"/>
        <w:ind w:right="20" w:firstLine="961"/>
        <w:spacing w:after="0" w:line="226" w:lineRule="auto"/>
        <w:tabs>
          <w:tab w:leader="none" w:pos="1446"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returns, filings, publications, particulars, resolutions, notices and other documents (including the memorandum and articles of association and filings and returns relating to any applicable beneficial ownership frameworks) which the Company and any Acquired Company has been required to file with or deliver to the Registrar of Companies in the Cayman Islands or any Governmental Authority have been correctly made and duly and timely filed and delivered and were correct when filed and delivered.</w:t>
      </w:r>
    </w:p>
    <w:p>
      <w:pPr>
        <w:spacing w:after="0" w:line="114"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3.2</w:t>
      </w:r>
      <w:r>
        <w:rPr>
          <w:rFonts w:ascii="Times New Roman" w:cs="Times New Roman" w:eastAsia="Times New Roman" w:hAnsi="Times New Roman"/>
          <w:sz w:val="16"/>
          <w:szCs w:val="16"/>
          <w:b w:val="1"/>
          <w:bCs w:val="1"/>
          <w:color w:val="auto"/>
        </w:rPr>
        <w:tab/>
        <w:t>Authority</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jc w:val="both"/>
        <w:ind w:firstLine="961"/>
        <w:spacing w:after="0" w:line="217" w:lineRule="auto"/>
        <w:tabs>
          <w:tab w:leader="none" w:pos="1456"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all necessary corporate power and authority to execute and deliver this Agreement and each Ancillary Agreement to which it is a party, and, subject in the case of the Merger to obtaining a Required Shareholder Vote, to perform its obligations hereunder and thereunder and to consummate the transactions contemplated hereby and thereby, and to adopt the Twelfth Amended and Restated Articles of Association of the Company (reflecting the Memorandum and Articles Amendment). The adoption of the Twelfth Amended and Restated Articles of Association of the Company (reflecting the Memorandum and Articles Amendment), the execution, delivery and performance by the Company of this Agreement and each Ancillary Agreement to which it is a party, the Plan of Merger and the consummation by the Company of the transactions contemplated hereby and thereby have been duly and validly authorized by the Company Board. Upon receipt of a Required Shareholder Vote, no other corporate actions or proceedings on the part of the Company are necessary to authorize the Shareholder Matters. This Agreement has been (and each Ancillary Agreement to which the Company is a party, when executed and delivered, shall have been) duly and validly executed and delivered by the Company and, assuming due and valid execution and delivery by each of the other parties hereto, this Agreement constitutes (and each Ancillary Agreement to which the Company is a party will constitute) the legal, valid and binding obligations of the Company,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37</w:t>
      </w:r>
    </w:p>
    <w:p>
      <w:pPr>
        <w:sectPr>
          <w:pgSz w:w="11900" w:h="16840" w:orient="portrait"/>
          <w:cols w:equalWidth="0" w:num="1">
            <w:col w:w="10600"/>
          </w:cols>
          <w:pgMar w:left="660" w:top="1440" w:right="640" w:bottom="1440" w:gutter="0" w:footer="0" w:header="0"/>
        </w:sectPr>
      </w:pPr>
    </w:p>
    <w:bookmarkStart w:id="316" w:name="page317"/>
    <w:bookmarkEnd w:id="316"/>
    <w:p>
      <w:pPr>
        <w:spacing w:after="0" w:line="80"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6"/>
          <w:szCs w:val="16"/>
          <w:color w:val="auto"/>
        </w:rPr>
        <w:t>enforceable against the Company in accordance with its terms, except as enforcement may be limited by (i) applicable bankruptcy, insolvency, reorganization, moratorium or similar Laws affecting creditors’ rights generally and (ii) by general principles of equity (regardless of whether considered in a proceeding in equity or at Law) (together, the “</w:t>
      </w:r>
      <w:r>
        <w:rPr>
          <w:rFonts w:ascii="Times New Roman" w:cs="Times New Roman" w:eastAsia="Times New Roman" w:hAnsi="Times New Roman"/>
          <w:sz w:val="16"/>
          <w:szCs w:val="16"/>
          <w:b w:val="1"/>
          <w:bCs w:val="1"/>
          <w:i w:val="1"/>
          <w:iCs w:val="1"/>
          <w:color w:val="auto"/>
        </w:rPr>
        <w:t>Bankruptcy and Equity Exception</w:t>
      </w:r>
      <w:r>
        <w:rPr>
          <w:rFonts w:ascii="Times New Roman" w:cs="Times New Roman" w:eastAsia="Times New Roman" w:hAnsi="Times New Roman"/>
          <w:sz w:val="16"/>
          <w:szCs w:val="16"/>
          <w:color w:val="auto"/>
        </w:rPr>
        <w:t>”).</w:t>
      </w:r>
    </w:p>
    <w:p>
      <w:pPr>
        <w:spacing w:after="0" w:line="113" w:lineRule="exact"/>
        <w:rPr>
          <w:sz w:val="20"/>
          <w:szCs w:val="20"/>
          <w:color w:val="auto"/>
        </w:rPr>
      </w:pPr>
    </w:p>
    <w:p>
      <w:pPr>
        <w:ind w:right="20" w:firstLine="961"/>
        <w:spacing w:after="0" w:line="219" w:lineRule="auto"/>
        <w:tabs>
          <w:tab w:leader="none" w:pos="1456"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 meeting duly called and held (or by written resolution) prior to the execution and delivery of this Agreement, the Company Board duly adopted unanimous resolutions (i) determining that it is in the best interests of the Company, and declared it advisable, to enter into this Agreement, (ii) approving the execution, delivery and performance by the Company of this Agreement and the Ancillary Agreements to which the Company is a party, the adoption of the Twelfth Amended and Restated Articles of Association of the Company (reflecting the Memorandum and Articles Amendment), the Plan of Merger, and the consummation of the transactions contemplated hereby and thereby upon the terms and subject to the conditions set forth herein, and (iii) resolving to submit to the Shareholders, and to recommend their approval of, the Shareholder Matters. None of the aforesaid actions by the Company Board have been amended, rescinded or modified.</w:t>
      </w:r>
    </w:p>
    <w:p>
      <w:pPr>
        <w:spacing w:after="0" w:line="117"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3.3</w:t>
      </w:r>
      <w:r>
        <w:rPr>
          <w:rFonts w:ascii="Times New Roman" w:cs="Times New Roman" w:eastAsia="Times New Roman" w:hAnsi="Times New Roman"/>
          <w:sz w:val="16"/>
          <w:szCs w:val="16"/>
          <w:b w:val="1"/>
          <w:bCs w:val="1"/>
          <w:color w:val="auto"/>
        </w:rPr>
        <w:tab/>
        <w:t>No Conflict; Required Filings and Consents</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jc w:val="both"/>
        <w:ind w:right="40" w:firstLine="961"/>
        <w:spacing w:after="0" w:line="232" w:lineRule="auto"/>
        <w:tabs>
          <w:tab w:leader="none" w:pos="1456"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clauses (ii) and (iii) only, except for any such conflict, violation, breach, default or other occurrence which would not have a Material Adverse Effect, the execution, delivery and performance by the Company of this Agreement and each Ancillary Agreement to which it is a party, and the consummation of the transactions contemplated hereby and thereby, do not and will not:</w:t>
      </w:r>
    </w:p>
    <w:p>
      <w:pPr>
        <w:spacing w:after="0" w:line="113" w:lineRule="exact"/>
        <w:rPr>
          <w:rFonts w:ascii="Times New Roman" w:cs="Times New Roman" w:eastAsia="Times New Roman" w:hAnsi="Times New Roman"/>
          <w:sz w:val="16"/>
          <w:szCs w:val="16"/>
          <w:color w:val="auto"/>
        </w:rPr>
      </w:pPr>
    </w:p>
    <w:p>
      <w:pPr>
        <w:ind w:right="20" w:firstLine="1446"/>
        <w:spacing w:after="0" w:line="245" w:lineRule="auto"/>
        <w:tabs>
          <w:tab w:leader="none" w:pos="1931" w:val="left"/>
        </w:tabs>
        <w:numPr>
          <w:ilvl w:val="1"/>
          <w:numId w:val="13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conflict with or violate the Company Articles or the memorandum of association or articles of association or equivalent constitutional or organizational documents of any other Acquired Company;</w:t>
      </w:r>
    </w:p>
    <w:p>
      <w:pPr>
        <w:spacing w:after="0" w:line="107" w:lineRule="exact"/>
        <w:rPr>
          <w:rFonts w:ascii="Times New Roman" w:cs="Times New Roman" w:eastAsia="Times New Roman" w:hAnsi="Times New Roman"/>
          <w:sz w:val="16"/>
          <w:szCs w:val="16"/>
          <w:color w:val="010000"/>
        </w:rPr>
      </w:pPr>
    </w:p>
    <w:p>
      <w:pPr>
        <w:ind w:right="20" w:firstLine="1446"/>
        <w:spacing w:after="0" w:line="247" w:lineRule="auto"/>
        <w:tabs>
          <w:tab w:leader="none" w:pos="1941" w:val="left"/>
        </w:tabs>
        <w:numPr>
          <w:ilvl w:val="1"/>
          <w:numId w:val="13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assuming compliance with the Laws set forth in </w:t>
      </w:r>
      <w:r>
        <w:rPr>
          <w:rFonts w:ascii="Times New Roman" w:cs="Times New Roman" w:eastAsia="Times New Roman" w:hAnsi="Times New Roman"/>
          <w:sz w:val="16"/>
          <w:szCs w:val="16"/>
          <w:b w:val="1"/>
          <w:bCs w:val="1"/>
          <w:color w:val="auto"/>
        </w:rPr>
        <w:t>Section 3.3(b)</w:t>
      </w:r>
      <w:r>
        <w:rPr>
          <w:rFonts w:ascii="Times New Roman" w:cs="Times New Roman" w:eastAsia="Times New Roman" w:hAnsi="Times New Roman"/>
          <w:sz w:val="16"/>
          <w:szCs w:val="16"/>
          <w:color w:val="auto"/>
        </w:rPr>
        <w:t>, conflict with, violate or result in a loss of rights or trigger new obligations under any Order or any Law applicable to any Acquired Company or by or to which any of their properties or assets are bound or subject; or</w:t>
      </w:r>
    </w:p>
    <w:p>
      <w:pPr>
        <w:spacing w:after="0" w:line="108" w:lineRule="exact"/>
        <w:rPr>
          <w:rFonts w:ascii="Times New Roman" w:cs="Times New Roman" w:eastAsia="Times New Roman" w:hAnsi="Times New Roman"/>
          <w:sz w:val="16"/>
          <w:szCs w:val="16"/>
          <w:color w:val="010000"/>
        </w:rPr>
      </w:pPr>
    </w:p>
    <w:p>
      <w:pPr>
        <w:jc w:val="both"/>
        <w:ind w:right="20" w:firstLine="1446"/>
        <w:spacing w:after="0" w:line="223" w:lineRule="auto"/>
        <w:tabs>
          <w:tab w:leader="none" w:pos="1941" w:val="left"/>
        </w:tabs>
        <w:numPr>
          <w:ilvl w:val="1"/>
          <w:numId w:val="13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result in any breach of, constitute a default (or an event that, with or without notice or lapse of time or both, would become a default or breach) under, require any consent of any Person pursuant to, give to others any right of rescission, withdrawal, revocation, termination, amendment, acceleration or cancellation of, or result in the loss of any benefit under, or the creation of any Encumbrance (other than Permitted Encumbrances) on any property or asset of an Acquired Company pursuant to any Contract to which any Acquired Company is a party or by which any Acquired Company or any property or asset of any Acquired Company is bound or affected.</w:t>
      </w:r>
    </w:p>
    <w:p>
      <w:pPr>
        <w:spacing w:after="0" w:line="115" w:lineRule="exact"/>
        <w:rPr>
          <w:rFonts w:ascii="Times New Roman" w:cs="Times New Roman" w:eastAsia="Times New Roman" w:hAnsi="Times New Roman"/>
          <w:sz w:val="16"/>
          <w:szCs w:val="16"/>
          <w:color w:val="010000"/>
        </w:rPr>
      </w:pPr>
    </w:p>
    <w:p>
      <w:pPr>
        <w:jc w:val="both"/>
        <w:ind w:firstLine="961"/>
        <w:spacing w:after="0" w:line="221" w:lineRule="auto"/>
        <w:tabs>
          <w:tab w:leader="none" w:pos="1456"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required to file, seek or obtain any notice, authorization, approval, order, permit, waiver, variance, designation, ratification or consent of or with, or to make any filing or registration with or notification to any Governmental Authority in connection with the execution, delivery and performance by the Company of this Agreement or any Ancillary Agreement to which it is a party or the consummation of the transactions contemplated hereby or thereby or in order to prevent the termination of any right, privilege, license or qualification of the Company, except for (i) any filings required to be made under, and compliance with, the HSR Act, (ii) the filing of the Plan of Merger and other documents required under the Cayman Companies Law to effect the Merger with the Registrar of Companies of the Cayman Islands and publication of the notice of Merger in the Gazette of the Cayman Islands,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38</w:t>
      </w:r>
    </w:p>
    <w:p>
      <w:pPr>
        <w:sectPr>
          <w:pgSz w:w="11900" w:h="16840" w:orient="portrait"/>
          <w:cols w:equalWidth="0" w:num="1">
            <w:col w:w="10600"/>
          </w:cols>
          <w:pgMar w:left="660" w:top="1440" w:right="640" w:bottom="1440" w:gutter="0" w:footer="0" w:header="0"/>
        </w:sectPr>
      </w:pPr>
    </w:p>
    <w:bookmarkStart w:id="317" w:name="page318"/>
    <w:bookmarkEnd w:id="317"/>
    <w:p>
      <w:pPr>
        <w:spacing w:after="0" w:line="80" w:lineRule="exact"/>
        <w:rPr>
          <w:sz w:val="20"/>
          <w:szCs w:val="20"/>
          <w:color w:val="auto"/>
        </w:rPr>
      </w:pPr>
    </w:p>
    <w:p>
      <w:pPr>
        <w:jc w:val="both"/>
        <w:ind w:left="9" w:hanging="9"/>
        <w:spacing w:after="0" w:line="232" w:lineRule="auto"/>
        <w:tabs>
          <w:tab w:leader="none" w:pos="307"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filings as may be required by any applicable federal or state securities or “blue sky” laws, and (iv) any notice, authorization, approval, order, permit, waiver, variance, designation, ratification or consent the failure of which to make or obtain would not be reasonably expected to be material to the Acquired Companies, taken as a whole.</w:t>
      </w:r>
    </w:p>
    <w:p>
      <w:pPr>
        <w:spacing w:after="0" w:line="111" w:lineRule="exact"/>
        <w:rPr>
          <w:sz w:val="20"/>
          <w:szCs w:val="20"/>
          <w:color w:val="auto"/>
        </w:rPr>
      </w:pPr>
    </w:p>
    <w:p>
      <w:pPr>
        <w:ind w:left="489"/>
        <w:spacing w:after="0"/>
        <w:tabs>
          <w:tab w:leader="none" w:pos="1429" w:val="left"/>
        </w:tabs>
        <w:rPr>
          <w:sz w:val="20"/>
          <w:szCs w:val="20"/>
          <w:color w:val="auto"/>
        </w:rPr>
      </w:pPr>
      <w:r>
        <w:rPr>
          <w:rFonts w:ascii="Times New Roman" w:cs="Times New Roman" w:eastAsia="Times New Roman" w:hAnsi="Times New Roman"/>
          <w:sz w:val="16"/>
          <w:szCs w:val="16"/>
          <w:b w:val="1"/>
          <w:bCs w:val="1"/>
          <w:color w:val="010000"/>
        </w:rPr>
        <w:t>Section 3.4</w:t>
      </w:r>
      <w:r>
        <w:rPr>
          <w:rFonts w:ascii="Times New Roman" w:cs="Times New Roman" w:eastAsia="Times New Roman" w:hAnsi="Times New Roman"/>
          <w:sz w:val="16"/>
          <w:szCs w:val="16"/>
          <w:b w:val="1"/>
          <w:bCs w:val="1"/>
          <w:color w:val="auto"/>
        </w:rPr>
        <w:tab/>
        <w:t>Capitalization</w:t>
      </w:r>
      <w:r>
        <w:rPr>
          <w:rFonts w:ascii="Times New Roman" w:cs="Times New Roman" w:eastAsia="Times New Roman" w:hAnsi="Times New Roman"/>
          <w:sz w:val="16"/>
          <w:szCs w:val="16"/>
          <w:color w:val="auto"/>
        </w:rPr>
        <w:t>.</w:t>
      </w:r>
    </w:p>
    <w:p>
      <w:pPr>
        <w:spacing w:after="0" w:line="137" w:lineRule="exact"/>
        <w:rPr>
          <w:sz w:val="20"/>
          <w:szCs w:val="20"/>
          <w:color w:val="auto"/>
        </w:rPr>
      </w:pPr>
    </w:p>
    <w:p>
      <w:pPr>
        <w:ind w:left="1449" w:hanging="479"/>
        <w:spacing w:after="0"/>
        <w:tabs>
          <w:tab w:leader="none" w:pos="1449"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of this Agreement, the authorized share capital of the Company consists of (i) [***] Company Ordinary Shares, of which</w:t>
      </w:r>
    </w:p>
    <w:p>
      <w:pPr>
        <w:jc w:val="both"/>
        <w:ind w:left="9" w:hanging="9"/>
        <w:spacing w:after="0" w:line="224" w:lineRule="auto"/>
        <w:tabs>
          <w:tab w:leader="none" w:pos="405"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issued and outstanding, (ii) [***] Series A Preferred Shares, all of which are issued and outstanding; (iii) [***] Series A+ Preferred Shares, all of which are issued and outstanding; (iv) [***] Series B Preferred Shares, all of which are issued and outstanding; (v) [***] Series B+ Preferred Shares, all of which are issued and outstanding; and (vi) [***] Series B3 Preferred Shares, all of which are issued and outstanding.</w:t>
      </w:r>
    </w:p>
    <w:p>
      <w:pPr>
        <w:spacing w:after="0" w:line="111" w:lineRule="exact"/>
        <w:rPr>
          <w:rFonts w:ascii="Times New Roman" w:cs="Times New Roman" w:eastAsia="Times New Roman" w:hAnsi="Times New Roman"/>
          <w:sz w:val="16"/>
          <w:szCs w:val="16"/>
          <w:color w:val="auto"/>
        </w:rPr>
      </w:pPr>
    </w:p>
    <w:p>
      <w:pPr>
        <w:jc w:val="both"/>
        <w:ind w:left="9" w:firstLine="961"/>
        <w:spacing w:after="0" w:line="227" w:lineRule="auto"/>
        <w:tabs>
          <w:tab w:leader="none" w:pos="1465"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Section 3.4(b) </w:t>
      </w:r>
      <w:r>
        <w:rPr>
          <w:rFonts w:ascii="Times New Roman" w:cs="Times New Roman" w:eastAsia="Times New Roman" w:hAnsi="Times New Roman"/>
          <w:sz w:val="16"/>
          <w:szCs w:val="16"/>
          <w:color w:val="auto"/>
        </w:rPr>
        <w:t>of the Disclosure Schedules sets forth a true and complete list of all record holders of the issued and outstanding share capital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of the Company as of the date of this Agreement (as set out in the register of members of the Company), indicating the respective number and type of Shares held and their registered mailing address. Except as set forth in </w:t>
      </w:r>
      <w:r>
        <w:rPr>
          <w:rFonts w:ascii="Times New Roman" w:cs="Times New Roman" w:eastAsia="Times New Roman" w:hAnsi="Times New Roman"/>
          <w:sz w:val="16"/>
          <w:szCs w:val="16"/>
          <w:b w:val="1"/>
          <w:bCs w:val="1"/>
          <w:color w:val="auto"/>
        </w:rPr>
        <w:t>Section 3.4(b)</w:t>
      </w:r>
      <w:r>
        <w:rPr>
          <w:rFonts w:ascii="Times New Roman" w:cs="Times New Roman" w:eastAsia="Times New Roman" w:hAnsi="Times New Roman"/>
          <w:sz w:val="16"/>
          <w:szCs w:val="16"/>
          <w:color w:val="auto"/>
        </w:rPr>
        <w:t xml:space="preserve"> of the Disclosure Schedules, there are no other Equity Interests in any Acquired Company. No dividends have been declared or paid in respect of any Shares since their respective issue.</w:t>
      </w:r>
    </w:p>
    <w:p>
      <w:pPr>
        <w:spacing w:after="0" w:line="114" w:lineRule="exact"/>
        <w:rPr>
          <w:rFonts w:ascii="Times New Roman" w:cs="Times New Roman" w:eastAsia="Times New Roman" w:hAnsi="Times New Roman"/>
          <w:sz w:val="16"/>
          <w:szCs w:val="16"/>
          <w:color w:val="auto"/>
        </w:rPr>
      </w:pPr>
    </w:p>
    <w:p>
      <w:pPr>
        <w:jc w:val="both"/>
        <w:ind w:left="9" w:firstLine="961"/>
        <w:spacing w:after="0" w:line="223" w:lineRule="auto"/>
        <w:tabs>
          <w:tab w:leader="none" w:pos="1465"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Closing Payment Spreadsheet, when provided to Parent pursuant to the terms of this Agreement, will be accurate and complete in all respects (after giving effect to the transactions contemplated by the Share Surrender Agreement). As of immediately prior to the Closing, an accurate and complete list of all holders of Shares (as recorded in the register of members of the Company), including the number and class of Shares held by each Shareholder, will be set forth on the Closing Payment Spreadsheet. The amount of the Closing Consideration Amount payable to each Shareholder in the Closing Payment Spreadsheet will be consistent with and in accordance with the Company Articles and the Investor Rights Agreement.</w:t>
      </w:r>
    </w:p>
    <w:p>
      <w:pPr>
        <w:spacing w:after="0" w:line="113" w:lineRule="exact"/>
        <w:rPr>
          <w:rFonts w:ascii="Times New Roman" w:cs="Times New Roman" w:eastAsia="Times New Roman" w:hAnsi="Times New Roman"/>
          <w:sz w:val="16"/>
          <w:szCs w:val="16"/>
          <w:color w:val="auto"/>
        </w:rPr>
      </w:pPr>
    </w:p>
    <w:p>
      <w:pPr>
        <w:jc w:val="both"/>
        <w:ind w:left="9" w:firstLine="961"/>
        <w:spacing w:after="0" w:line="216" w:lineRule="auto"/>
        <w:tabs>
          <w:tab w:leader="none" w:pos="1465"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for the Shares and except as set forth in </w:t>
      </w:r>
      <w:r>
        <w:rPr>
          <w:rFonts w:ascii="Times New Roman" w:cs="Times New Roman" w:eastAsia="Times New Roman" w:hAnsi="Times New Roman"/>
          <w:sz w:val="16"/>
          <w:szCs w:val="16"/>
          <w:b w:val="1"/>
          <w:bCs w:val="1"/>
          <w:color w:val="auto"/>
        </w:rPr>
        <w:t>Section 3.4(b)</w:t>
      </w:r>
      <w:r>
        <w:rPr>
          <w:rFonts w:ascii="Times New Roman" w:cs="Times New Roman" w:eastAsia="Times New Roman" w:hAnsi="Times New Roman"/>
          <w:sz w:val="16"/>
          <w:szCs w:val="16"/>
          <w:color w:val="auto"/>
        </w:rPr>
        <w:t xml:space="preserve"> of the Disclosure Schedules, the Company has not, as of the date of this Agreement, issued or agreed to issue any: (i) share capital or other equity or ownership interest; (ii) option, warrant or interest convertible into or exchangeable or exercisable for the purchase of share capital or other equity or ownership interests; (iii) share appreciation right, phantom share, interest in the ownership or earnings of the Company or other equity equivalent or equity-based award or right; or (iv) bond, debenture or other indebtedness having the right to vote or convertible or exchangeable for securities having the right to vote. All outstanding Shares are duly authorized, validly issued, fully paid and non-assessable, have not been issued in violation of any preemptive or similar rights and were issued in compliance in all material respects with (i) applicable Laws or exemptions therefrom and (ii) the Company Articles and the Investor Rights Agreement, as in effect at the time of issuance. All of the aforesaid Shares have been offered, sold and delivered by the Company in compliance with all applicable securities Laws. Except for rights granted to Parent and Merger Sub under this Agreement or pursuant to the Share Surrender Agreement, there are no outstanding obligations of any Acquired Company to issue, sell or transfer or repurchase, redeem or otherwise acquire, or Contracts to which an Acquired Company is a party that relate to the holding, voting or disposition of, or that restrict the transfer of, its issued or unissued share capital or other Equity Interests, or to provide funds to or make any investment (in the form of a loan, capital contribution or otherwise) in any Acquired Company. No share capital or other Equity Interests of any Acquired Company has been issued in material violation of any rights, agreements, arrangements or commitments under any provision of applicable Law, memorandum of association or articles of association or equivalent constitutional or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6"/>
          <w:szCs w:val="16"/>
          <w:color w:val="auto"/>
        </w:rPr>
        <w:t>39</w:t>
      </w:r>
    </w:p>
    <w:p>
      <w:pPr>
        <w:sectPr>
          <w:pgSz w:w="11900" w:h="16840" w:orient="portrait"/>
          <w:cols w:equalWidth="0" w:num="1">
            <w:col w:w="10589"/>
          </w:cols>
          <w:pgMar w:left="651" w:top="1440" w:right="660" w:bottom="1440" w:gutter="0" w:footer="0" w:header="0"/>
        </w:sectPr>
      </w:pPr>
    </w:p>
    <w:bookmarkStart w:id="318" w:name="page319"/>
    <w:bookmarkEnd w:id="318"/>
    <w:p>
      <w:pPr>
        <w:spacing w:after="0" w:line="8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organizational documents of the Acquired Companies or any Contract to which an Acquired Company is a party. Other than pursuant to the Company Articles and the Investor Rights Agreement, no Acquired Company is a party to any shareholders’ agreement, voting trust agreement or registration rights agreement relating to any Equity Interests or any other Contract relating to disposition, voting or dividends with respect to any Equity Interests.</w:t>
      </w:r>
    </w:p>
    <w:p>
      <w:pPr>
        <w:spacing w:after="0" w:line="109"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3.5</w:t>
      </w:r>
      <w:r>
        <w:rPr>
          <w:rFonts w:ascii="Times New Roman" w:cs="Times New Roman" w:eastAsia="Times New Roman" w:hAnsi="Times New Roman"/>
          <w:sz w:val="16"/>
          <w:szCs w:val="16"/>
          <w:b w:val="1"/>
          <w:bCs w:val="1"/>
          <w:color w:val="auto"/>
        </w:rPr>
        <w:tab/>
        <w:t>Equity Interests</w:t>
      </w:r>
      <w:r>
        <w:rPr>
          <w:rFonts w:ascii="Times New Roman" w:cs="Times New Roman" w:eastAsia="Times New Roman" w:hAnsi="Times New Roman"/>
          <w:sz w:val="16"/>
          <w:szCs w:val="16"/>
          <w:color w:val="auto"/>
        </w:rPr>
        <w:t>. Other than their Subsidiaries, the Acquired Companies do not directly or indirectly own any Equity Interests in any other</w:t>
      </w:r>
    </w:p>
    <w:p>
      <w:pPr>
        <w:spacing w:after="0"/>
        <w:rPr>
          <w:sz w:val="20"/>
          <w:szCs w:val="20"/>
          <w:color w:val="auto"/>
        </w:rPr>
      </w:pPr>
      <w:r>
        <w:rPr>
          <w:rFonts w:ascii="Times New Roman" w:cs="Times New Roman" w:eastAsia="Times New Roman" w:hAnsi="Times New Roman"/>
          <w:sz w:val="16"/>
          <w:szCs w:val="16"/>
          <w:color w:val="auto"/>
        </w:rPr>
        <w:t>Person.</w:t>
      </w:r>
    </w:p>
    <w:p>
      <w:pPr>
        <w:spacing w:after="0" w:line="119"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3.6</w:t>
      </w:r>
      <w:r>
        <w:rPr>
          <w:rFonts w:ascii="Times New Roman" w:cs="Times New Roman" w:eastAsia="Times New Roman" w:hAnsi="Times New Roman"/>
          <w:sz w:val="16"/>
          <w:szCs w:val="16"/>
          <w:b w:val="1"/>
          <w:bCs w:val="1"/>
          <w:color w:val="auto"/>
        </w:rPr>
        <w:tab/>
        <w:t>Financial Statements; Books and Records</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jc w:val="both"/>
        <w:ind w:firstLine="961"/>
        <w:spacing w:after="0" w:line="233" w:lineRule="auto"/>
        <w:tabs>
          <w:tab w:leader="none" w:pos="1456"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True and complete copies of (i) the audited standalone statements of financial position of Biotheus (HongKong) Limited, Cabt-Bio (HongKong) Limited, Biotheus Inc., Biotheus (Suzhou) Co., Ltd., and Biotheus (Nantong) Co., Ltd., in each case, as of [***], and, in each case, the related audited standalone statements of profit or loss and other comprehensive income, changes in equity and cash flows, together with all related notes and schedules thereto, accompanied by the report thereon of the Company’s independent auditor (collectively referred to as the “</w:t>
      </w:r>
      <w:r>
        <w:rPr>
          <w:rFonts w:ascii="Times New Roman" w:cs="Times New Roman" w:eastAsia="Times New Roman" w:hAnsi="Times New Roman"/>
          <w:sz w:val="16"/>
          <w:szCs w:val="16"/>
          <w:b w:val="1"/>
          <w:bCs w:val="1"/>
          <w:i w:val="1"/>
          <w:iCs w:val="1"/>
          <w:color w:val="auto"/>
        </w:rPr>
        <w:t>[***] Audited Financial Statements</w:t>
      </w:r>
      <w:r>
        <w:rPr>
          <w:rFonts w:ascii="Times New Roman" w:cs="Times New Roman" w:eastAsia="Times New Roman" w:hAnsi="Times New Roman"/>
          <w:sz w:val="16"/>
          <w:szCs w:val="16"/>
          <w:color w:val="auto"/>
        </w:rPr>
        <w:t xml:space="preserve"> ”) and (ii) the unaudited set of management accounts of the Company, Biotheus (HongKong) Limited, Cabt-Bio (HongKong) Limited, Biotheus Inc., Biotheus (Suzhou) Co., Ltd., and Biotheus (Nantong) Co., Ltd., and Biotheus (Australia) Pty Ltd, in each case as of [***] (collectively, the “</w:t>
      </w:r>
      <w:r>
        <w:rPr>
          <w:rFonts w:ascii="Times New Roman" w:cs="Times New Roman" w:eastAsia="Times New Roman" w:hAnsi="Times New Roman"/>
          <w:sz w:val="16"/>
          <w:szCs w:val="16"/>
          <w:b w:val="1"/>
          <w:bCs w:val="1"/>
          <w:i w:val="1"/>
          <w:iCs w:val="1"/>
          <w:color w:val="auto"/>
        </w:rPr>
        <w:t>Interim Management Accounts</w:t>
      </w:r>
      <w:r>
        <w:rPr>
          <w:rFonts w:ascii="Times New Roman" w:cs="Times New Roman" w:eastAsia="Times New Roman" w:hAnsi="Times New Roman"/>
          <w:sz w:val="16"/>
          <w:szCs w:val="16"/>
          <w:color w:val="auto"/>
        </w:rPr>
        <w:t xml:space="preserve">”) are attached hereto as </w:t>
      </w:r>
      <w:r>
        <w:rPr>
          <w:rFonts w:ascii="Times New Roman" w:cs="Times New Roman" w:eastAsia="Times New Roman" w:hAnsi="Times New Roman"/>
          <w:sz w:val="16"/>
          <w:szCs w:val="16"/>
          <w:b w:val="1"/>
          <w:bCs w:val="1"/>
          <w:color w:val="auto"/>
        </w:rPr>
        <w:t>Section 3.6(a)</w:t>
      </w:r>
      <w:r>
        <w:rPr>
          <w:rFonts w:ascii="Times New Roman" w:cs="Times New Roman" w:eastAsia="Times New Roman" w:hAnsi="Times New Roman"/>
          <w:sz w:val="16"/>
          <w:szCs w:val="16"/>
          <w:color w:val="auto"/>
        </w:rPr>
        <w:t xml:space="preserve"> of the Disclosure Schedules. The [***] Audited Financial Statements and the Interim Management Accounts (A) were derived from the books and records of the Acquired Companies, (B) were (except for the Interim Management Accounts) prepared in accordance with the applicable Accounting Principle applied on a consistent basis throughout the periods covered (except as may be indicated in the notes thereto) and (C) give a true and fair view of the financial position, results of operations, shareholders’ equity and cash flows of the Acquired Companies as of the respective dates thereof and for the respective periods covered thereby except that these [***] Audited Financial Statements and the Interim Management Accounts have not reflected the classification of redeemable convertible preferred shares as financial liabilities measuring at fair value through profit or loss nor the accounting for share based payment arrangements.</w:t>
      </w:r>
    </w:p>
    <w:p>
      <w:pPr>
        <w:spacing w:after="0" w:line="120" w:lineRule="exact"/>
        <w:rPr>
          <w:rFonts w:ascii="Times New Roman" w:cs="Times New Roman" w:eastAsia="Times New Roman" w:hAnsi="Times New Roman"/>
          <w:sz w:val="16"/>
          <w:szCs w:val="16"/>
          <w:color w:val="auto"/>
        </w:rPr>
      </w:pPr>
    </w:p>
    <w:p>
      <w:pPr>
        <w:jc w:val="both"/>
        <w:ind w:firstLine="961"/>
        <w:spacing w:after="0" w:line="221" w:lineRule="auto"/>
        <w:tabs>
          <w:tab w:leader="none" w:pos="1456"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preparation of the [***] Audited Financial Statements, no Acquired Company nor, to the Knowledge of the Company, any independent auditor of the Company has identified or been made aware of (i) any significant deficiency or material weakness, in each case, as interpreted pursuant to the applicable Accounting Principle, in the internal accounting controls utilized by an Acquired Company, (ii) any fraud, whether or not material, that involves the Acquired Companies’ management or any other current or former employee, consultant, contractor or director of an Acquired Company who has a role in the preparation of financial statements or the internal accounting controls utilized by an Acquired Company, or (iii) any claim or allegation regarding any of the foregoing.</w:t>
      </w:r>
    </w:p>
    <w:p>
      <w:pPr>
        <w:spacing w:after="0" w:line="115" w:lineRule="exact"/>
        <w:rPr>
          <w:rFonts w:ascii="Times New Roman" w:cs="Times New Roman" w:eastAsia="Times New Roman" w:hAnsi="Times New Roman"/>
          <w:sz w:val="16"/>
          <w:szCs w:val="16"/>
          <w:color w:val="auto"/>
        </w:rPr>
      </w:pPr>
    </w:p>
    <w:p>
      <w:pPr>
        <w:jc w:val="both"/>
        <w:ind w:firstLine="961"/>
        <w:spacing w:after="0" w:line="232" w:lineRule="auto"/>
        <w:tabs>
          <w:tab w:leader="none" w:pos="1456"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 there has been no material change in any accounting policies, principles, methods or practices or management judgement, including any change with respect to reserves (whether for bad debts, contingent liabilities or otherwise), of the Company. No audit firm has ever declined or indicated its inability to issue an opinion with respect to any financial statements of any of the Acquired Companies.</w:t>
      </w:r>
    </w:p>
    <w:p>
      <w:pPr>
        <w:spacing w:after="0" w:line="113" w:lineRule="exact"/>
        <w:rPr>
          <w:rFonts w:ascii="Times New Roman" w:cs="Times New Roman" w:eastAsia="Times New Roman" w:hAnsi="Times New Roman"/>
          <w:sz w:val="16"/>
          <w:szCs w:val="16"/>
          <w:color w:val="auto"/>
        </w:rPr>
      </w:pPr>
    </w:p>
    <w:p>
      <w:pPr>
        <w:ind w:firstLine="961"/>
        <w:spacing w:after="0" w:line="245" w:lineRule="auto"/>
        <w:tabs>
          <w:tab w:leader="none" w:pos="1456"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 of members, register of directors and other statutory books of the Company have been properly kept in accordance with the Cayman Companies Law and contain a true, accurate and complete record of all matters required to be entered therein.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ectPr>
          <w:pgSz w:w="11900" w:h="16840" w:orient="portrait"/>
          <w:cols w:equalWidth="0" w:num="1">
            <w:col w:w="10580"/>
          </w:cols>
          <w:pgMar w:left="660" w:top="1440" w:right="660" w:bottom="1440" w:gutter="0" w:footer="0" w:header="0"/>
        </w:sectPr>
      </w:pPr>
    </w:p>
    <w:bookmarkStart w:id="319" w:name="page320"/>
    <w:bookmarkEnd w:id="319"/>
    <w:p>
      <w:pPr>
        <w:spacing w:after="0" w:line="78" w:lineRule="exact"/>
        <w:rPr>
          <w:sz w:val="20"/>
          <w:szCs w:val="20"/>
          <w:color w:val="auto"/>
        </w:rPr>
      </w:pPr>
    </w:p>
    <w:p>
      <w:pPr>
        <w:jc w:val="both"/>
        <w:ind w:right="40" w:firstLine="485"/>
        <w:spacing w:after="0" w:line="221" w:lineRule="auto"/>
        <w:rPr>
          <w:sz w:val="20"/>
          <w:szCs w:val="20"/>
          <w:color w:val="auto"/>
        </w:rPr>
      </w:pPr>
      <w:r>
        <w:rPr>
          <w:rFonts w:ascii="Times New Roman" w:cs="Times New Roman" w:eastAsia="Times New Roman" w:hAnsi="Times New Roman"/>
          <w:sz w:val="16"/>
          <w:szCs w:val="16"/>
          <w:b w:val="1"/>
          <w:bCs w:val="1"/>
          <w:color w:val="010000"/>
        </w:rPr>
        <w:t xml:space="preserve">Section 3.7 </w:t>
      </w:r>
      <w:r>
        <w:rPr>
          <w:rFonts w:ascii="Times New Roman" w:cs="Times New Roman" w:eastAsia="Times New Roman" w:hAnsi="Times New Roman"/>
          <w:sz w:val="16"/>
          <w:szCs w:val="16"/>
          <w:b w:val="1"/>
          <w:bCs w:val="1"/>
          <w:color w:val="000000"/>
        </w:rPr>
        <w:t>Liabilities</w:t>
      </w:r>
      <w:r>
        <w:rPr>
          <w:rFonts w:ascii="Times New Roman" w:cs="Times New Roman" w:eastAsia="Times New Roman" w:hAnsi="Times New Roman"/>
          <w:sz w:val="16"/>
          <w:szCs w:val="16"/>
          <w:color w:val="000000"/>
        </w:rPr>
        <w:t>. No Acquired Company is subject to any Liabilities or obligations (whether or not required to be reflected on a consolidated</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statement of financial position of the Acquired Companies prepared in accordance with the applicable Accounting Principle), including any off -balance sheet obligations or any “variable interest entities” (within the meaning Accounting Standards Codification 810), except for Liabilities (a) set forth or adequately provided and expressly reserved for in line items on the Interim Management Accounts or reflected in the notes thereto, (b) incurred pursuant to or in connection with the execution, delivery or performance of this Agreement or (c) that are not material to the Acquired Companies, individually or taken as a whole and, in the case of the foregoing clause (b), not arising from any default, breach of Contract or warranty.</w:t>
      </w:r>
    </w:p>
    <w:p>
      <w:pPr>
        <w:spacing w:after="0" w:line="116"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3.8</w:t>
      </w:r>
      <w:r>
        <w:rPr>
          <w:rFonts w:ascii="Times New Roman" w:cs="Times New Roman" w:eastAsia="Times New Roman" w:hAnsi="Times New Roman"/>
          <w:sz w:val="16"/>
          <w:szCs w:val="16"/>
          <w:b w:val="1"/>
          <w:bCs w:val="1"/>
          <w:color w:val="auto"/>
        </w:rPr>
        <w:tab/>
        <w:t>Absence of Certain Changes or Events</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ind w:left="1440" w:hanging="479"/>
        <w:spacing w:after="0"/>
        <w:tabs>
          <w:tab w:leader="none" w:pos="144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date of the Interim Management Accounts through the date of this Agreement, there has not been a Material Adverse Effect.</w:t>
      </w:r>
    </w:p>
    <w:p>
      <w:pPr>
        <w:spacing w:after="0" w:line="139" w:lineRule="exact"/>
        <w:rPr>
          <w:rFonts w:ascii="Times New Roman" w:cs="Times New Roman" w:eastAsia="Times New Roman" w:hAnsi="Times New Roman"/>
          <w:sz w:val="16"/>
          <w:szCs w:val="16"/>
          <w:color w:val="auto"/>
        </w:rPr>
      </w:pPr>
    </w:p>
    <w:p>
      <w:pPr>
        <w:jc w:val="both"/>
        <w:ind w:right="60" w:firstLine="961"/>
        <w:spacing w:after="0" w:line="226" w:lineRule="auto"/>
        <w:tabs>
          <w:tab w:leader="none" w:pos="1456"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Since the date of the Interim Management Accounts through the date of this Agreement, other than in connection with the negotiation, preparation or execution of this Agreement or, if any, the Ancillary Agreements to which the Company is a party: (i) each Acquired Company has conducted its business in the ordinary course of business; and (ii) no Acquired Company has taken any action that, if taken after the date of this Agreement, would require the consent of Parent pursuant to </w:t>
      </w:r>
      <w:r>
        <w:rPr>
          <w:rFonts w:ascii="Times New Roman" w:cs="Times New Roman" w:eastAsia="Times New Roman" w:hAnsi="Times New Roman"/>
          <w:sz w:val="16"/>
          <w:szCs w:val="16"/>
          <w:b w:val="1"/>
          <w:bCs w:val="1"/>
          <w:color w:val="auto"/>
        </w:rPr>
        <w:t>Section 5.1</w:t>
      </w:r>
      <w:r>
        <w:rPr>
          <w:rFonts w:ascii="Times New Roman" w:cs="Times New Roman" w:eastAsia="Times New Roman" w:hAnsi="Times New Roman"/>
          <w:sz w:val="16"/>
          <w:szCs w:val="16"/>
          <w:color w:val="auto"/>
        </w:rPr>
        <w:t xml:space="preserve"> (excluding </w:t>
      </w:r>
      <w:r>
        <w:rPr>
          <w:rFonts w:ascii="Times New Roman" w:cs="Times New Roman" w:eastAsia="Times New Roman" w:hAnsi="Times New Roman"/>
          <w:sz w:val="16"/>
          <w:szCs w:val="16"/>
          <w:b w:val="1"/>
          <w:bCs w:val="1"/>
          <w:color w:val="auto"/>
        </w:rPr>
        <w:t>Section 5.1(b)(xv)</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Section 5.1(b)(xvi)</w:t>
      </w:r>
      <w:r>
        <w:rPr>
          <w:rFonts w:ascii="Times New Roman" w:cs="Times New Roman" w:eastAsia="Times New Roman" w:hAnsi="Times New Roman"/>
          <w:sz w:val="16"/>
          <w:szCs w:val="16"/>
          <w:color w:val="auto"/>
        </w:rPr>
        <w:t>).</w:t>
      </w:r>
    </w:p>
    <w:p>
      <w:pPr>
        <w:spacing w:after="0" w:line="114"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3.9</w:t>
      </w:r>
      <w:r>
        <w:rPr>
          <w:rFonts w:ascii="Times New Roman" w:cs="Times New Roman" w:eastAsia="Times New Roman" w:hAnsi="Times New Roman"/>
          <w:sz w:val="16"/>
          <w:szCs w:val="16"/>
          <w:b w:val="1"/>
          <w:bCs w:val="1"/>
          <w:color w:val="auto"/>
        </w:rPr>
        <w:tab/>
        <w:t>Compliance with Law; Permits</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ind w:firstLine="961"/>
        <w:spacing w:after="0" w:line="215" w:lineRule="auto"/>
        <w:tabs>
          <w:tab w:leader="none" w:pos="1456"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Acquired Companies are and, for the past [***] years, have been in compliance in all material respects with all, and no Acquired Company has violated in any material respect any, Laws applicable to them. None of the Acquired Companies or any of their officers (in their capacities as such) have received during the past [***] years, any written notice, order, complaint or other written communication from any Governmental Authority or any other Person that an Acquired Company or officer of any Acquired Company (in their capacity as such) is not in compliance in any material respect with any Law applicable to it or by which any of its properties or assets are bound. Except as would not reasonably be expected to be material to the Acquired Companies, taken as a whole, no investigation by any Governmental Authority with respect to any Acquired Company or any officer of an Acquired Company (in their capacities as such) is, to the Knowledge of the Company, pending or threatened in writing, nor has any Governmental Authority indicated in writing an intention to conduct the same. Except as would not reasonably be expected to be material to the Acquired Companies, taken as a whole, no Acquired Company is or has been, and, to the Knowledge of the Company, none of their respective employees, directors or officers is or has been, suspended or debarred from doing business by any Governmental Authority or declared ineligible for government contracting, and no such suspension or debarment action has been commenced. To the Knowledge of the Company, no independent contractor that provides services to any Acquired Company is or has been, suspended or debarred from doing business by any Governmental Authority or declared non-responsible or ineligible for government contracting, and no such suspension or debarment action has been commenced, in each case, except as would not reasonably be expected to be material to the Acquired Companies, taken as a whole.</w:t>
      </w:r>
    </w:p>
    <w:p>
      <w:pPr>
        <w:spacing w:after="0" w:line="121" w:lineRule="exact"/>
        <w:rPr>
          <w:rFonts w:ascii="Times New Roman" w:cs="Times New Roman" w:eastAsia="Times New Roman" w:hAnsi="Times New Roman"/>
          <w:sz w:val="16"/>
          <w:szCs w:val="16"/>
          <w:color w:val="auto"/>
        </w:rPr>
      </w:pPr>
    </w:p>
    <w:p>
      <w:pPr>
        <w:jc w:val="both"/>
        <w:ind w:right="40" w:firstLine="961"/>
        <w:spacing w:after="0" w:line="232" w:lineRule="auto"/>
        <w:tabs>
          <w:tab w:leader="none" w:pos="1456"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Acquired Company is in possession of all permits, licenses, franchises, approvals, accreditations, certificates, easements, consents, waivers, concessions, variances, clearances, exemptions, orders, registrations, notices or other authorizations of any Governmental Authority applicable to it and necessary for it to own, lease, license, sublease, use, occupy and operate its properties and assets and to carry on its business as currently conducted or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41</w:t>
      </w:r>
    </w:p>
    <w:p>
      <w:pPr>
        <w:sectPr>
          <w:pgSz w:w="11900" w:h="16840" w:orient="portrait"/>
          <w:cols w:equalWidth="0" w:num="1">
            <w:col w:w="10620"/>
          </w:cols>
          <w:pgMar w:left="660" w:top="1440" w:right="620" w:bottom="1440" w:gutter="0" w:footer="0" w:header="0"/>
        </w:sectPr>
      </w:pPr>
    </w:p>
    <w:bookmarkStart w:id="320" w:name="page321"/>
    <w:bookmarkEnd w:id="320"/>
    <w:p>
      <w:pPr>
        <w:spacing w:after="0" w:line="80" w:lineRule="exact"/>
        <w:rPr>
          <w:sz w:val="20"/>
          <w:szCs w:val="20"/>
          <w:color w:val="auto"/>
        </w:rPr>
      </w:pPr>
    </w:p>
    <w:p>
      <w:pPr>
        <w:ind w:left="9" w:right="40"/>
        <w:spacing w:after="0" w:line="222" w:lineRule="auto"/>
        <w:rPr>
          <w:sz w:val="20"/>
          <w:szCs w:val="20"/>
          <w:color w:val="auto"/>
        </w:rPr>
      </w:pPr>
      <w:r>
        <w:rPr>
          <w:rFonts w:ascii="Times New Roman" w:cs="Times New Roman" w:eastAsia="Times New Roman" w:hAnsi="Times New Roman"/>
          <w:sz w:val="16"/>
          <w:szCs w:val="16"/>
          <w:color w:val="auto"/>
        </w:rPr>
        <w:t>otherwise required by applicable Law, except where the failure to possess such Permits would not be material to the Acquired Companies, taken as a whole (the “</w:t>
      </w:r>
      <w:r>
        <w:rPr>
          <w:rFonts w:ascii="Times New Roman" w:cs="Times New Roman" w:eastAsia="Times New Roman" w:hAnsi="Times New Roman"/>
          <w:sz w:val="16"/>
          <w:szCs w:val="16"/>
          <w:b w:val="1"/>
          <w:bCs w:val="1"/>
          <w:i w:val="1"/>
          <w:iCs w:val="1"/>
          <w:color w:val="auto"/>
        </w:rPr>
        <w:t>Permits</w:t>
      </w:r>
      <w:r>
        <w:rPr>
          <w:rFonts w:ascii="Times New Roman" w:cs="Times New Roman" w:eastAsia="Times New Roman" w:hAnsi="Times New Roman"/>
          <w:sz w:val="16"/>
          <w:szCs w:val="16"/>
          <w:color w:val="auto"/>
        </w:rPr>
        <w:t>”). Such Permits are in full force and effect and not subject to any material conditions or limitations. The Acquired Companies are, and during the past</w:t>
      </w:r>
    </w:p>
    <w:p>
      <w:pPr>
        <w:spacing w:after="0" w:line="1" w:lineRule="exact"/>
        <w:rPr>
          <w:sz w:val="20"/>
          <w:szCs w:val="20"/>
          <w:color w:val="auto"/>
        </w:rPr>
      </w:pPr>
    </w:p>
    <w:p>
      <w:pPr>
        <w:jc w:val="both"/>
        <w:ind w:left="9" w:hanging="9"/>
        <w:spacing w:after="0" w:line="216" w:lineRule="auto"/>
        <w:tabs>
          <w:tab w:leader="none" w:pos="40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years have been, in compliance in all material respects with all such Permits and, as of the date of this Agreement, have not received any written notice from a Governmental Authority alleging any material non-compliance with, or a failure to hold, any Permits or threatening or announcing the revocation or suspension of any Permits. Except as would not reasonably be expected to be material to the Acquired Companies, taken as a whole, each Acquired Company has timely submitted all renewal applications, reports, forms, registrations and documents required to be filed and paid all fees and assessments in connection with the Permits and, to the Knowledge of the Company, no event has occurred which allows, or after notice or lapse of time would allow, revocation or termination of any Permit. As of the date of this Agreement, no suspension, cancellation, modification, revocation or nonrenewal of any Permit is, to the Knowledge of the Company, pending or threatened in writing. No Permit is held in the name of any employee, officer, director, shareholder, agent or otherwise on behalf of an Acquired Company.</w:t>
      </w:r>
    </w:p>
    <w:p>
      <w:pPr>
        <w:spacing w:after="0" w:line="116" w:lineRule="exact"/>
        <w:rPr>
          <w:rFonts w:ascii="Times New Roman" w:cs="Times New Roman" w:eastAsia="Times New Roman" w:hAnsi="Times New Roman"/>
          <w:sz w:val="16"/>
          <w:szCs w:val="16"/>
          <w:color w:val="auto"/>
        </w:rPr>
      </w:pPr>
    </w:p>
    <w:p>
      <w:pPr>
        <w:jc w:val="both"/>
        <w:ind w:left="9" w:right="60" w:firstLine="961"/>
        <w:spacing w:after="0" w:line="226" w:lineRule="auto"/>
        <w:tabs>
          <w:tab w:leader="none" w:pos="1465"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Acquired Company has in all respects complied with the requirements of any applicable economic substance framework (including the Cayman Islands International Tax Co-operation (Economic Substance) Act (2021 Revision) (as amended), the British Virgin Islands Economic Substance (Companies and Limited Partnerships) Act (as amended) and Beneficial Ownership Secure Search System Act (as amended) and all rules, regulations and guidance made thereunder), and has completed all such filings and made such reports as are required by such legislation and regulations.</w:t>
      </w:r>
    </w:p>
    <w:p>
      <w:pPr>
        <w:spacing w:after="0" w:line="114" w:lineRule="exact"/>
        <w:rPr>
          <w:sz w:val="20"/>
          <w:szCs w:val="20"/>
          <w:color w:val="auto"/>
        </w:rPr>
      </w:pPr>
    </w:p>
    <w:p>
      <w:pPr>
        <w:ind w:left="489"/>
        <w:spacing w:after="0"/>
        <w:tabs>
          <w:tab w:leader="none" w:pos="1429" w:val="left"/>
        </w:tabs>
        <w:rPr>
          <w:sz w:val="20"/>
          <w:szCs w:val="20"/>
          <w:color w:val="auto"/>
        </w:rPr>
      </w:pPr>
      <w:r>
        <w:rPr>
          <w:rFonts w:ascii="Times New Roman" w:cs="Times New Roman" w:eastAsia="Times New Roman" w:hAnsi="Times New Roman"/>
          <w:sz w:val="16"/>
          <w:szCs w:val="16"/>
          <w:b w:val="1"/>
          <w:bCs w:val="1"/>
          <w:color w:val="010000"/>
        </w:rPr>
        <w:t>Section 3.10</w:t>
      </w:r>
      <w:r>
        <w:rPr>
          <w:rFonts w:ascii="Times New Roman" w:cs="Times New Roman" w:eastAsia="Times New Roman" w:hAnsi="Times New Roman"/>
          <w:sz w:val="16"/>
          <w:szCs w:val="16"/>
          <w:b w:val="1"/>
          <w:bCs w:val="1"/>
          <w:color w:val="auto"/>
        </w:rPr>
        <w:tab/>
        <w:t>Regulatory Matters</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ind w:left="9" w:right="60" w:firstLine="961"/>
        <w:spacing w:after="0" w:line="245" w:lineRule="auto"/>
        <w:tabs>
          <w:tab w:leader="none" w:pos="1465"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Acquired Companies are registered with, licensed by, or otherwise subject to the regulatory oversight of a Governmental Authority responsible for regulation and/or oversight of financial services in any jurisdiction.</w:t>
      </w:r>
    </w:p>
    <w:p>
      <w:pPr>
        <w:spacing w:after="0" w:line="109" w:lineRule="exact"/>
        <w:rPr>
          <w:rFonts w:ascii="Times New Roman" w:cs="Times New Roman" w:eastAsia="Times New Roman" w:hAnsi="Times New Roman"/>
          <w:sz w:val="16"/>
          <w:szCs w:val="16"/>
          <w:color w:val="auto"/>
        </w:rPr>
      </w:pPr>
    </w:p>
    <w:p>
      <w:pPr>
        <w:jc w:val="both"/>
        <w:ind w:left="9" w:right="40" w:firstLine="961"/>
        <w:spacing w:after="0" w:line="223" w:lineRule="auto"/>
        <w:tabs>
          <w:tab w:leader="none" w:pos="1465"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be material to the business of the Acquired Companies, taken as a whole, (i) the Acquired Companies have filed, maintained or furnished to the FDA or other applicable Governmental Authorities all required filings, declarations, listings, registrations, submissions, amendments, modifications, notices and responses to notices, applications and supplemental applications, reports (including all safety and adverse event/experience reports) and (ii) all such submissions were complete and accurate and in compliance in all material respects with applicable Healthcare Laws when filed (or were corrected or completed in a subsequent filing).</w:t>
      </w:r>
    </w:p>
    <w:p>
      <w:pPr>
        <w:spacing w:after="0" w:line="115" w:lineRule="exact"/>
        <w:rPr>
          <w:rFonts w:ascii="Times New Roman" w:cs="Times New Roman" w:eastAsia="Times New Roman" w:hAnsi="Times New Roman"/>
          <w:sz w:val="16"/>
          <w:szCs w:val="16"/>
          <w:color w:val="auto"/>
        </w:rPr>
      </w:pPr>
    </w:p>
    <w:p>
      <w:pPr>
        <w:jc w:val="both"/>
        <w:ind w:left="9" w:right="40" w:firstLine="961"/>
        <w:spacing w:after="0" w:line="232" w:lineRule="auto"/>
        <w:tabs>
          <w:tab w:leader="none" w:pos="1465"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Acquired Companies have never marketed, sold, distributed, promoted or advertised any pharmaceutical products (including the Company Products), except in compliance with all applicable Healthcare Laws, except where the failure to comply would not adversely affect the ability of the Acquired Companies, taken as a whole, to conduct their business in any material respect.</w:t>
      </w:r>
    </w:p>
    <w:p>
      <w:pPr>
        <w:spacing w:after="0" w:line="113" w:lineRule="exact"/>
        <w:rPr>
          <w:rFonts w:ascii="Times New Roman" w:cs="Times New Roman" w:eastAsia="Times New Roman" w:hAnsi="Times New Roman"/>
          <w:sz w:val="16"/>
          <w:szCs w:val="16"/>
          <w:color w:val="auto"/>
        </w:rPr>
      </w:pPr>
    </w:p>
    <w:p>
      <w:pPr>
        <w:jc w:val="both"/>
        <w:ind w:left="9" w:right="40" w:firstLine="961"/>
        <w:spacing w:after="0" w:line="232" w:lineRule="auto"/>
        <w:tabs>
          <w:tab w:leader="none" w:pos="1465"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Acquired Companies have, in the last [***] years, received any Form FDA-483, notice of adverse findings, warning letters, written notice of violations, untitled letters, notice of FDA action for import detentions or refusals, or any other written correspondence from the FDA or other Governmental Authority alleging material noncompliance with any applicable Healthcare Laws.</w:t>
      </w:r>
    </w:p>
    <w:p>
      <w:pPr>
        <w:spacing w:after="0" w:line="113" w:lineRule="exact"/>
        <w:rPr>
          <w:rFonts w:ascii="Times New Roman" w:cs="Times New Roman" w:eastAsia="Times New Roman" w:hAnsi="Times New Roman"/>
          <w:sz w:val="16"/>
          <w:szCs w:val="16"/>
          <w:color w:val="auto"/>
        </w:rPr>
      </w:pPr>
    </w:p>
    <w:p>
      <w:pPr>
        <w:ind w:left="9" w:right="40" w:firstLine="961"/>
        <w:spacing w:after="0" w:line="245" w:lineRule="auto"/>
        <w:tabs>
          <w:tab w:leader="none" w:pos="1465"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preclinical and clinical studies or tests sponsored or conducted by or on behalf of an Acquired Company have been and are being conducted in all material respects in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6"/>
          <w:szCs w:val="16"/>
          <w:color w:val="auto"/>
        </w:rPr>
        <w:t>42</w:t>
      </w:r>
    </w:p>
    <w:p>
      <w:pPr>
        <w:sectPr>
          <w:pgSz w:w="11900" w:h="16840" w:orient="portrait"/>
          <w:cols w:equalWidth="0" w:num="1">
            <w:col w:w="10629"/>
          </w:cols>
          <w:pgMar w:left="651" w:top="1440" w:right="620" w:bottom="1440" w:gutter="0" w:footer="0" w:header="0"/>
        </w:sectPr>
      </w:pPr>
    </w:p>
    <w:bookmarkStart w:id="321" w:name="page322"/>
    <w:bookmarkEnd w:id="321"/>
    <w:p>
      <w:pPr>
        <w:spacing w:after="0" w:line="80"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6"/>
          <w:szCs w:val="16"/>
          <w:color w:val="auto"/>
        </w:rPr>
        <w:t>compliance with all applicable Laws, including those relating to Good Clinical Practices, Good Manufacturing Practices and applicable research protocols and applicable Laws restricting the use and disclosure of individually identifiable health information. No Acquired Company has received any written notices or other correspondence from the FDA or any other Regulatory Authority with respect to any ongoing or planned preclinical or clinical studies or tests conducted, or to be conducted, by or on behalf of any Acquired Company (including by clinical research organizations) requiring the termination, suspension (whether temporary or permanent) or material modification of such studies or tests. The Company has made available to Parent true, correct and complete copies of any and all material documents and correspondence, including all material clinical, preclinical and nonclinical data in the possession of the Acquired Companies and all material written correspondence that exists as of the date of this Agreement between any Acquired Company, on the one hand, and the FDA or any other Regulatory Authority, on the other hand. No action has been taken by any Governmental Authority or, to the Knowledge of the Company, is in the process of being taken that would materially slow, halt or enjoin the operation of the business of the Acquired Companies or subject the Company Products or any Acquired Company to regulatory enforcement action. No Acquired Company is a party to any corporate integrity agreements, monitoring agreements, consent decrees, deferred prosecution agreements, settlement orders or similar agreements with or imposed by any Governmental Authority.</w:t>
      </w:r>
    </w:p>
    <w:p>
      <w:pPr>
        <w:spacing w:after="0" w:line="119" w:lineRule="exact"/>
        <w:rPr>
          <w:sz w:val="20"/>
          <w:szCs w:val="20"/>
          <w:color w:val="auto"/>
        </w:rPr>
      </w:pPr>
    </w:p>
    <w:p>
      <w:pPr>
        <w:jc w:val="both"/>
        <w:ind w:right="20" w:firstLine="961"/>
        <w:spacing w:after="0" w:line="215" w:lineRule="auto"/>
        <w:tabs>
          <w:tab w:leader="none" w:pos="1456"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Acquired Company nor, to the Knowledge of the Company, any officer, employee, contractor or agent of a member of any Acquired Company has (i) made an untrue statement of a material fact or fraudulent statement to the FDA or any Governmental Authority or on, or omissions from, any modifications, applications, approvals, reports or other submissions to any Governmental Authority relating to any Company Product or has voluntarily disclosed any violations of Laws related to any Company Product, (ii) failed to disclose a material fact required to be disclosed to the FDA or any Governmental Authority relating to any Company Product or (iii) committed any other act, made any material statement or failed to make any material statement, that (in any such case) establishes a reasonable basis for the FDA to invoke its Fraud, Untrue Statements of Material Facts, Bribery, and Illegal Gratuities Final Policy or other similar Governmental Authority to invoke a similar policy. No Acquired Company nor, to the Knowledge of the Company, any officer, employee, contractor or agent of a member of any Acquired Company is the subject of any pending or, to the Company’s Knowledge, threatened Action by any Governmental Authority concerning allegations of a violation by any Acquired Company or any officers, employees, contractors or agents of any Acquired Company of any Healthcare Laws. No Acquired Company nor, to the Company’s Knowledge, any officers, employees, agents or clinical investigators of an Acquired Company has been or is currently engaged in any conduct that would reasonably be expected to lead to being suspended, disqualified, debarred, convicted or excluded from participating in, or bidding on contracts with, any Governmental Authority or private third party health care program, pursuant to any similar Governmental Authority and, to the Knowledge of the Company, no such suspension, disqualification, debarment or exclusion has been initiated or threatened in writing.</w:t>
      </w:r>
    </w:p>
    <w:p>
      <w:pPr>
        <w:spacing w:after="0" w:line="121" w:lineRule="exact"/>
        <w:rPr>
          <w:rFonts w:ascii="Times New Roman" w:cs="Times New Roman" w:eastAsia="Times New Roman" w:hAnsi="Times New Roman"/>
          <w:sz w:val="16"/>
          <w:szCs w:val="16"/>
          <w:color w:val="auto"/>
        </w:rPr>
      </w:pPr>
    </w:p>
    <w:p>
      <w:pPr>
        <w:jc w:val="both"/>
        <w:ind w:right="20" w:firstLine="961"/>
        <w:spacing w:after="0" w:line="232" w:lineRule="auto"/>
        <w:tabs>
          <w:tab w:leader="none" w:pos="1456"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Acquired Companies are, and during the past [***] years have been, in compliance in all material respects with all Healthcare Laws to the extent applicable. No Acquired Company is subject to any enforcement, regulatory or administrative proceedings against or affecting an Acquired Company relating to or arising under any applicable Healthcare Law. No such enforcement, regulatory or administrative proceeding has been threatened in writing.</w:t>
      </w:r>
    </w:p>
    <w:p>
      <w:pPr>
        <w:spacing w:after="0" w:line="113" w:lineRule="exact"/>
        <w:rPr>
          <w:rFonts w:ascii="Times New Roman" w:cs="Times New Roman" w:eastAsia="Times New Roman" w:hAnsi="Times New Roman"/>
          <w:sz w:val="16"/>
          <w:szCs w:val="16"/>
          <w:color w:val="auto"/>
        </w:rPr>
      </w:pPr>
    </w:p>
    <w:p>
      <w:pPr>
        <w:jc w:val="both"/>
        <w:ind w:right="20" w:firstLine="961"/>
        <w:spacing w:after="0" w:line="232" w:lineRule="auto"/>
        <w:tabs>
          <w:tab w:leader="none" w:pos="1456"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last [***] years, no preclinical studies sponsored or conducted by or on behalf of any Acquired Company for the purpose of supporting a regulatory filing have had any material adverse safety findings that the Acquired Companies would reasonably expect to have a material adverse impact on clinical studies, and all material preclinical reports or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43</w:t>
      </w:r>
    </w:p>
    <w:p>
      <w:pPr>
        <w:sectPr>
          <w:pgSz w:w="11900" w:h="16840" w:orient="portrait"/>
          <w:cols w:equalWidth="0" w:num="1">
            <w:col w:w="10600"/>
          </w:cols>
          <w:pgMar w:left="660" w:top="1440" w:right="640" w:bottom="1440" w:gutter="0" w:footer="0" w:header="0"/>
        </w:sectPr>
      </w:pPr>
    </w:p>
    <w:bookmarkStart w:id="322" w:name="page323"/>
    <w:bookmarkEnd w:id="322"/>
    <w:p>
      <w:pPr>
        <w:spacing w:after="0" w:line="80"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6"/>
          <w:szCs w:val="16"/>
          <w:color w:val="auto"/>
        </w:rPr>
        <w:t>preclinical studies conducted by or on behalf of any Acquired Company for the purpose of supporting a regulatory filing have been disclosed to all applicable Governmental Authorities to the extent required by applicable Healthcare Laws. All preclinical and nonclinical tests performed in connection with or as the basis for any regulatory approval or clearance required for a Company Product either: (i)have been conducted in accordance with applicable Good Laboratory Practices, including the requirements contained in 21 C.F.R. Part58; or (ii)involved experimental research techniques that could not be performed by a registered Good Laboratory Practices testing laboratory (with appropriate notice being given to the FDA, NMPA or any other applicable Governmental Authority) and have employed the procedures and controls generally used by qualified experts in preclinical and nonclinical study of products comparable to those being developed by or on behalf of an Acquired Company, except, in each case of clauses (i)and (ii), as has not had and would not reasonably be expected be material to the Acquired Companies, taken as a whole.</w:t>
      </w:r>
    </w:p>
    <w:p>
      <w:pPr>
        <w:spacing w:after="0" w:line="119" w:lineRule="exact"/>
        <w:rPr>
          <w:sz w:val="20"/>
          <w:szCs w:val="20"/>
          <w:color w:val="auto"/>
        </w:rPr>
      </w:pPr>
    </w:p>
    <w:p>
      <w:pPr>
        <w:jc w:val="both"/>
        <w:ind w:right="20" w:firstLine="961"/>
        <w:spacing w:after="0" w:line="221" w:lineRule="auto"/>
        <w:tabs>
          <w:tab w:leader="none" w:pos="1446"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manufacturing operations conducted by or on behalf of any of the Acquired Companies with respect to any Company Product being used in human clinical trials have been conducted in compliance with all applicable Healthcare Laws and Good Manufacturing Practices, in all material respects, except where the failures to so comply would not reasonably be expected to be material to the Acquired Companies, taken as a whole. No manufacturing site that has conducted or is conducting manufacturing operations of Company Products by or on behalf of any Acquired Company is or has been, with respect to such Company Products manufactured for use in human clinical trials, subject to a shutdown or import or export prohibition imposed or requested by FDA, NMPA or another Governmental Authority, except as would not reasonably be expected to be material to the Acquired Companies, taken as a whole.</w:t>
      </w:r>
    </w:p>
    <w:p>
      <w:pPr>
        <w:spacing w:after="0" w:line="115" w:lineRule="exact"/>
        <w:rPr>
          <w:rFonts w:ascii="Times New Roman" w:cs="Times New Roman" w:eastAsia="Times New Roman" w:hAnsi="Times New Roman"/>
          <w:sz w:val="16"/>
          <w:szCs w:val="16"/>
          <w:color w:val="auto"/>
        </w:rPr>
      </w:pPr>
    </w:p>
    <w:p>
      <w:pPr>
        <w:jc w:val="both"/>
        <w:ind w:right="20" w:firstLine="961"/>
        <w:spacing w:after="0" w:line="226" w:lineRule="auto"/>
        <w:tabs>
          <w:tab w:leader="none" w:pos="1446"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Acquired Companies have adopted and maintain a compliance program that is appropriately tailored for the scope of the Acquired Companies’ operations and that is designed to assist the Acquired Companies to be in material compliance with applicable Laws including all Healthcare Laws. No Acquired Company nor, to the Knowledge of the Company, any of their respective officers, directors, employees, contractors or agents has materially violated the requirements of any such compliance program.</w:t>
      </w:r>
    </w:p>
    <w:p>
      <w:pPr>
        <w:spacing w:after="0" w:line="114"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3.11</w:t>
      </w:r>
      <w:r>
        <w:rPr>
          <w:rFonts w:ascii="Times New Roman" w:cs="Times New Roman" w:eastAsia="Times New Roman" w:hAnsi="Times New Roman"/>
          <w:sz w:val="16"/>
          <w:szCs w:val="16"/>
          <w:b w:val="1"/>
          <w:bCs w:val="1"/>
          <w:color w:val="auto"/>
        </w:rPr>
        <w:tab/>
        <w:t>Export Control Laws; Sanctions; Anti-Corruption</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jc w:val="both"/>
        <w:ind w:firstLine="961"/>
        <w:spacing w:after="0" w:line="216" w:lineRule="auto"/>
        <w:tabs>
          <w:tab w:leader="none" w:pos="1456"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Acquired Companies, nor any director, officer, or employee of any of the Acquired Companies, nor, to the Knowledge of the Company, any agent or other third party representative acting on behalf of any of the Acquired Companies (i) is or, in the last [***] years, has been (A) a Sanctioned Person; (B) engaged in any dealings with, on behalf of, or for the benefit of any Sanctioned Person or in any Sanctioned Country; (C) otherwise in violation of applicable Anti-Corruption Laws or Trade Control Laws; or (ii) has in the last [***] years made, offered, promised, received, or authorized any unlawful payment or gift of any money or anything of value, directly or indirectly to, from, or for the benefit of any “foreign official” (as such term is defined in the Foreign Corrupt Practices Act of 1977, as amended), foreign political party or official thereof, candidate for foreign political office, political campaign, public international organization, or any other Person in violation of applicable Anti-Corruption Laws. For the past [***] years, no Acquired Company has, in connection with or relating to the business of the Acquired Companies, received from any Person any notice, inquiry, or internal or external allegation, made any voluntary or involuntary disclosure to a Governmental Authority, or conducted any internal investigation or audit concerning any actual or potential violation of any Anti-Corruption Laws or Trade Control Laws. There are no pending or, to the Knowledge of the Company, threatened claims against the Acquired Companies with respect to Anti-Corruption Laws or Trade Control Laws.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44</w:t>
      </w:r>
    </w:p>
    <w:p>
      <w:pPr>
        <w:sectPr>
          <w:pgSz w:w="11900" w:h="16840" w:orient="portrait"/>
          <w:cols w:equalWidth="0" w:num="1">
            <w:col w:w="10600"/>
          </w:cols>
          <w:pgMar w:left="660" w:top="1440" w:right="640" w:bottom="1440" w:gutter="0" w:footer="0" w:header="0"/>
        </w:sectPr>
      </w:pPr>
    </w:p>
    <w:bookmarkStart w:id="323" w:name="page324"/>
    <w:bookmarkEnd w:id="323"/>
    <w:p>
      <w:pPr>
        <w:spacing w:after="0" w:line="80" w:lineRule="exact"/>
        <w:rPr>
          <w:sz w:val="20"/>
          <w:szCs w:val="20"/>
          <w:color w:val="auto"/>
        </w:rPr>
      </w:pPr>
    </w:p>
    <w:p>
      <w:pPr>
        <w:jc w:val="both"/>
        <w:ind w:right="20" w:firstLine="961"/>
        <w:spacing w:after="0" w:line="223" w:lineRule="auto"/>
        <w:tabs>
          <w:tab w:leader="none" w:pos="1456"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Acquired Companies is a “U.S. business” within the meaning of the Defense Production Act of 1950, including all implementing regulations thereof (the “</w:t>
      </w:r>
      <w:r>
        <w:rPr>
          <w:rFonts w:ascii="Times New Roman" w:cs="Times New Roman" w:eastAsia="Times New Roman" w:hAnsi="Times New Roman"/>
          <w:sz w:val="16"/>
          <w:szCs w:val="16"/>
          <w:b w:val="1"/>
          <w:bCs w:val="1"/>
          <w:i w:val="1"/>
          <w:iCs w:val="1"/>
          <w:color w:val="auto"/>
        </w:rPr>
        <w:t>DPA</w:t>
      </w:r>
      <w:r>
        <w:rPr>
          <w:rFonts w:ascii="Times New Roman" w:cs="Times New Roman" w:eastAsia="Times New Roman" w:hAnsi="Times New Roman"/>
          <w:sz w:val="16"/>
          <w:szCs w:val="16"/>
          <w:color w:val="auto"/>
        </w:rPr>
        <w:t>”), that engages in (i) the design, fabrication, development, testing, production or manufacture of one or more “critical technologies” within the meaning of the DPA; (ii) the ownership, operation, maintenance, supply, manufacture, or servicing of “covered investment critical infrastructure” within the meaning of the DPA (where such activities are covered by column 2 of Appendix A to 31 C.F.R. Part 800); or (iii) the maintenance or collection, directly or indirectly, of “sensitive personal data” of U.S. citizens within the meaning of the DPA.</w:t>
      </w:r>
    </w:p>
    <w:p>
      <w:pPr>
        <w:spacing w:after="0" w:line="114" w:lineRule="exact"/>
        <w:rPr>
          <w:sz w:val="20"/>
          <w:szCs w:val="20"/>
          <w:color w:val="auto"/>
        </w:rPr>
      </w:pPr>
    </w:p>
    <w:p>
      <w:pPr>
        <w:jc w:val="both"/>
        <w:ind w:right="20" w:firstLine="485"/>
        <w:spacing w:after="0" w:line="217" w:lineRule="auto"/>
        <w:rPr>
          <w:sz w:val="20"/>
          <w:szCs w:val="20"/>
          <w:color w:val="auto"/>
        </w:rPr>
      </w:pPr>
      <w:r>
        <w:rPr>
          <w:rFonts w:ascii="Times New Roman" w:cs="Times New Roman" w:eastAsia="Times New Roman" w:hAnsi="Times New Roman"/>
          <w:sz w:val="16"/>
          <w:szCs w:val="16"/>
          <w:b w:val="1"/>
          <w:bCs w:val="1"/>
          <w:color w:val="010000"/>
        </w:rPr>
        <w:t xml:space="preserve">Section 3.12 </w:t>
      </w:r>
      <w:r>
        <w:rPr>
          <w:rFonts w:ascii="Times New Roman" w:cs="Times New Roman" w:eastAsia="Times New Roman" w:hAnsi="Times New Roman"/>
          <w:sz w:val="16"/>
          <w:szCs w:val="16"/>
          <w:b w:val="1"/>
          <w:bCs w:val="1"/>
          <w:color w:val="000000"/>
        </w:rPr>
        <w:t>Litigation</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Except as set forth on</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b w:val="1"/>
          <w:bCs w:val="1"/>
          <w:color w:val="000000"/>
        </w:rPr>
        <w:t>Section 3.12</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of the Disclosure Schedules, there is, and for the past [***] years there has been, no Action</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pending or, to the Knowledge of the Company, threatened in writing against any Acquired Company, or any property or asset of an Acquired Company, or, to the Knowledge of the Company, any of the directors, officers or employees of any Acquired Company in their capacity as such which involves an amount in controversy that is material to the Acquired Companies, taken as a whole. As of the date of this Agreement, there is no Action pending or, to the Knowledge of the Company, threatened in writing against an Acquired Company seeking to prevent, materially delay or challenge the transactions contemplated by this Agreement. There is no outstanding order, writ, judgment, injunction, ruling, assessment, decree, determination, award or arbitration award (“</w:t>
      </w:r>
      <w:r>
        <w:rPr>
          <w:rFonts w:ascii="Times New Roman" w:cs="Times New Roman" w:eastAsia="Times New Roman" w:hAnsi="Times New Roman"/>
          <w:sz w:val="16"/>
          <w:szCs w:val="16"/>
          <w:b w:val="1"/>
          <w:bCs w:val="1"/>
          <w:i w:val="1"/>
          <w:iCs w:val="1"/>
          <w:color w:val="000000"/>
        </w:rPr>
        <w:t>Orders</w:t>
      </w:r>
      <w:r>
        <w:rPr>
          <w:rFonts w:ascii="Times New Roman" w:cs="Times New Roman" w:eastAsia="Times New Roman" w:hAnsi="Times New Roman"/>
          <w:sz w:val="16"/>
          <w:szCs w:val="16"/>
          <w:color w:val="000000"/>
        </w:rPr>
        <w:t>”) of, or pending or, to the Knowledge of the Company, threatened investigation by, any Governmental Authority or arbitrator relating to an Acquired Company, any of their properties or assets, any of their officers or directors (in their capacity as such), or the transactions contemplated by this Agreement. There is no material Action by an Acquired Company pending, or which an Acquired Company has commenced preparations to initiate, against any other Person which involves an amount in controversy that is material to the Acquired Companies, taken as a whole.</w:t>
      </w:r>
    </w:p>
    <w:p>
      <w:pPr>
        <w:spacing w:after="0" w:line="115" w:lineRule="exact"/>
        <w:rPr>
          <w:sz w:val="20"/>
          <w:szCs w:val="20"/>
          <w:color w:val="auto"/>
        </w:rPr>
      </w:pPr>
    </w:p>
    <w:p>
      <w:pPr>
        <w:jc w:val="both"/>
        <w:ind w:right="20" w:firstLine="485"/>
        <w:spacing w:after="0" w:line="227" w:lineRule="auto"/>
        <w:rPr>
          <w:sz w:val="20"/>
          <w:szCs w:val="20"/>
          <w:color w:val="auto"/>
        </w:rPr>
      </w:pPr>
      <w:r>
        <w:rPr>
          <w:rFonts w:ascii="Times New Roman" w:cs="Times New Roman" w:eastAsia="Times New Roman" w:hAnsi="Times New Roman"/>
          <w:sz w:val="16"/>
          <w:szCs w:val="16"/>
          <w:b w:val="1"/>
          <w:bCs w:val="1"/>
          <w:color w:val="010000"/>
        </w:rPr>
        <w:t xml:space="preserve">Section 3.13 </w:t>
      </w:r>
      <w:r>
        <w:rPr>
          <w:rFonts w:ascii="Times New Roman" w:cs="Times New Roman" w:eastAsia="Times New Roman" w:hAnsi="Times New Roman"/>
          <w:sz w:val="16"/>
          <w:szCs w:val="16"/>
          <w:b w:val="1"/>
          <w:bCs w:val="1"/>
          <w:color w:val="000000"/>
        </w:rPr>
        <w:t>Insolvency</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No Insolvency Event has occurred, and neither the Company nor any other Acquired Company has taken any action nor have</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any steps been taken or legal proceedings been started or threatened in writing against the Company and/or any other Acquired Company for: (a) winding up, liquidation, dissolution, reconstruction or reorganisation (or similar event or process); or (b) the appointment of a liquidator, receiver, administrative receiver, administrator, trustee or similar officer of it or of any or all of its assets.</w:t>
      </w:r>
    </w:p>
    <w:p>
      <w:pPr>
        <w:spacing w:after="0" w:line="113"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3.14</w:t>
      </w:r>
      <w:r>
        <w:rPr>
          <w:rFonts w:ascii="Times New Roman" w:cs="Times New Roman" w:eastAsia="Times New Roman" w:hAnsi="Times New Roman"/>
          <w:sz w:val="16"/>
          <w:szCs w:val="16"/>
          <w:b w:val="1"/>
          <w:bCs w:val="1"/>
          <w:color w:val="auto"/>
        </w:rPr>
        <w:tab/>
        <w:t>Employee Benefit Plans and Labor and Employment Matters</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firstLine="961"/>
        <w:spacing w:after="0" w:line="219" w:lineRule="auto"/>
        <w:tabs>
          <w:tab w:leader="none" w:pos="1456"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Section 3.14(a) </w:t>
      </w:r>
      <w:r>
        <w:rPr>
          <w:rFonts w:ascii="Times New Roman" w:cs="Times New Roman" w:eastAsia="Times New Roman" w:hAnsi="Times New Roman"/>
          <w:sz w:val="16"/>
          <w:szCs w:val="16"/>
          <w:color w:val="auto"/>
        </w:rPr>
        <w:t>of the Disclosure Schedules sets forth a true and complete list of all Company Plans (other than any Company Plan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provides for de minimis payments and benefits in the aggregate). With respect to each such Company Plan set forth on </w:t>
      </w:r>
      <w:r>
        <w:rPr>
          <w:rFonts w:ascii="Times New Roman" w:cs="Times New Roman" w:eastAsia="Times New Roman" w:hAnsi="Times New Roman"/>
          <w:sz w:val="16"/>
          <w:szCs w:val="16"/>
          <w:b w:val="1"/>
          <w:bCs w:val="1"/>
          <w:color w:val="auto"/>
        </w:rPr>
        <w:t>Section 3.14(a)</w:t>
      </w:r>
      <w:r>
        <w:rPr>
          <w:rFonts w:ascii="Times New Roman" w:cs="Times New Roman" w:eastAsia="Times New Roman" w:hAnsi="Times New Roman"/>
          <w:sz w:val="16"/>
          <w:szCs w:val="16"/>
          <w:color w:val="auto"/>
        </w:rPr>
        <w:t xml:space="preserve"> of the Disclosure Schedules, the Company has made available to Parent true and complete copies of, as applicable: (i) the plan document (including all amendments thereto) (or, if not written, a written summary of the material terms thereof) or, if the Company Plan is an individual agreement that is substantially similar to a form, a form thereof; (ii) the most recent summary plan description and any summaries of material modifications thereto; (iii) any trust or other funding agreements or arrangements (including insurance policies); (iv) the most recent financial statement and any accompanying actuarial or other valuation reports prepared with respect thereto; (v) the most recent annual report with accompanying schedules required to be filed with any Governmental Authority with respect thereto; and (vi) all material non-routine correspondence to or from any Governmental Authority relating to any such Company Plan in the past [***] years.</w:t>
      </w:r>
    </w:p>
    <w:p>
      <w:pPr>
        <w:spacing w:after="0" w:line="114" w:lineRule="exact"/>
        <w:rPr>
          <w:rFonts w:ascii="Times New Roman" w:cs="Times New Roman" w:eastAsia="Times New Roman" w:hAnsi="Times New Roman"/>
          <w:sz w:val="16"/>
          <w:szCs w:val="16"/>
          <w:color w:val="auto"/>
        </w:rPr>
      </w:pPr>
    </w:p>
    <w:p>
      <w:pPr>
        <w:ind w:right="20" w:firstLine="961"/>
        <w:spacing w:after="0" w:line="245" w:lineRule="auto"/>
        <w:tabs>
          <w:tab w:leader="none" w:pos="1456"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Plan has been established, operated, administered and maintained in all material respects in accordance with its terms and in compliance with all applicable Laws. All contributions, premiums and expenses due to or in respect of any Company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45</w:t>
      </w:r>
    </w:p>
    <w:p>
      <w:pPr>
        <w:sectPr>
          <w:pgSz w:w="11900" w:h="16840" w:orient="portrait"/>
          <w:cols w:equalWidth="0" w:num="1">
            <w:col w:w="10600"/>
          </w:cols>
          <w:pgMar w:left="660" w:top="1440" w:right="640" w:bottom="1440" w:gutter="0" w:footer="0" w:header="0"/>
        </w:sectPr>
      </w:pPr>
    </w:p>
    <w:bookmarkStart w:id="324" w:name="page325"/>
    <w:bookmarkEnd w:id="324"/>
    <w:p>
      <w:pPr>
        <w:spacing w:after="0" w:line="80"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6"/>
          <w:szCs w:val="16"/>
          <w:color w:val="auto"/>
        </w:rPr>
        <w:t>Plan have been timely paid or accrued in full. As of the date of this Agreement, there are no Actions (other than the payment of routine claims for benefits) pending, or, to the Company’s Knowledge, threatened, in each case, against any Company Plan or against the assets of any Company Plan. As of the date of this Agreement, there are no audits, inquiries or proceedings pending or, to the Company’s Knowledge, threatened by any Governmental Authority with respect to or otherwise involving any Company Plan. With respect to each Company Plan, no event has occurred and, to the Company’s Knowledge, there exists no condition or set of circumstances, in connection with which any Acquired Company could be subject to any material liability under the terms of such Company Plan or under applicable Law.</w:t>
      </w:r>
    </w:p>
    <w:p>
      <w:pPr>
        <w:spacing w:after="0" w:line="114" w:lineRule="exact"/>
        <w:rPr>
          <w:sz w:val="20"/>
          <w:szCs w:val="20"/>
          <w:color w:val="auto"/>
        </w:rPr>
      </w:pPr>
    </w:p>
    <w:p>
      <w:pPr>
        <w:jc w:val="both"/>
        <w:ind w:firstLine="961"/>
        <w:spacing w:after="0" w:line="218" w:lineRule="auto"/>
        <w:tabs>
          <w:tab w:leader="none" w:pos="1456"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b w:val="1"/>
          <w:bCs w:val="1"/>
          <w:color w:val="auto"/>
        </w:rPr>
        <w:t>Section 3.14(c)</w:t>
      </w:r>
      <w:r>
        <w:rPr>
          <w:rFonts w:ascii="Times New Roman" w:cs="Times New Roman" w:eastAsia="Times New Roman" w:hAnsi="Times New Roman"/>
          <w:sz w:val="16"/>
          <w:szCs w:val="16"/>
          <w:color w:val="auto"/>
        </w:rPr>
        <w:t xml:space="preserve"> of the Disclosure Schedules, neither the execution and delivery or performance of this Agreement nor the consummation of the Merger or other transactions contemplated hereby (whether alone or together with any other event(s)) will: (i) entitle any current or former employee or other individual service provider of an Acquired Company to any payment of separation, severance, termination or equivalent benefits, (ii) limit or restrict the right of the Company or any Subsidiary of the Company or, after the consummation of the transactions contemplated by this Agreement, Parent, to merge, amend or terminate any of the Company Plans, (iii) result in the forgiveness in whole or in part of, or accelerate the repayment date of, any outstanding loans that exist under or as part of any Company Plan, or (iv) other than as specifically contemplated by this Agreement with respect to the ESOP and share capital of the Company, (A) obligate an Acquired Company to make any payment to such person or provide or increase the amount of compensation or benefits payable to such person, in each case under any Company Plan, or (B) result in any acceleration of the time of payment or vesting, forgiveness of indebtedness or triggering of any funding of any compensation or benefits payable to such person under any Company Plan or otherwise.</w:t>
      </w:r>
    </w:p>
    <w:p>
      <w:pPr>
        <w:spacing w:after="0" w:line="115" w:lineRule="exact"/>
        <w:rPr>
          <w:rFonts w:ascii="Times New Roman" w:cs="Times New Roman" w:eastAsia="Times New Roman" w:hAnsi="Times New Roman"/>
          <w:sz w:val="16"/>
          <w:szCs w:val="16"/>
          <w:color w:val="auto"/>
        </w:rPr>
      </w:pPr>
    </w:p>
    <w:p>
      <w:pPr>
        <w:ind w:left="1440" w:hanging="479"/>
        <w:spacing w:after="0"/>
        <w:tabs>
          <w:tab w:leader="none" w:pos="144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of this Agreement, no Key Employee has given, or has been given, notice of termination of employment.</w:t>
      </w:r>
    </w:p>
    <w:p>
      <w:pPr>
        <w:spacing w:after="0" w:line="139" w:lineRule="exact"/>
        <w:rPr>
          <w:rFonts w:ascii="Times New Roman" w:cs="Times New Roman" w:eastAsia="Times New Roman" w:hAnsi="Times New Roman"/>
          <w:sz w:val="16"/>
          <w:szCs w:val="16"/>
          <w:color w:val="auto"/>
        </w:rPr>
      </w:pPr>
    </w:p>
    <w:p>
      <w:pPr>
        <w:jc w:val="both"/>
        <w:ind w:firstLine="961"/>
        <w:spacing w:after="0" w:line="217" w:lineRule="auto"/>
        <w:tabs>
          <w:tab w:leader="none" w:pos="1456"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Acquired Companies are in compliance in all material respects with all applicable Laws relating to labor, employment and employment practices, including all Laws respecting terms and conditions of employment, labor dispatch, health and safety, wages and hours (including overtime pay requirements and the proper classification and treatment of individuals as non-employee contractors or consultants), tax withholding and remittance, social security payments and housing fund contribution, mandatory provident fund or other statutory pension contribution, immigration, discrimination, harassment, retaliation, disability rights and benefits, restrictive covenants, plant closures and layoffs, workers’ compensation and workplace injury insurance, labor relations, employee leave and holiday requirements, and unemployment insurance. The Acquired Companies have fully and timely paid all wages, salaries, wage premiums, commissions, bonuses, severance and termination payments, fees, and other compensation that have come due and payable to their employees under applicable Laws and Contracts. There is no charge of discrimination in employment or employment practices, for any reason, including age, gender, race, family status, disability, religion or other legally protected category, which has been asserted or is now pending or threatened in writing against any Acquired Company before any Governmental Authority in any jurisdiction in which any Acquired Company has employed or currently employs any person.</w:t>
      </w:r>
    </w:p>
    <w:p>
      <w:pPr>
        <w:spacing w:after="0" w:line="115" w:lineRule="exact"/>
        <w:rPr>
          <w:rFonts w:ascii="Times New Roman" w:cs="Times New Roman" w:eastAsia="Times New Roman" w:hAnsi="Times New Roman"/>
          <w:sz w:val="16"/>
          <w:szCs w:val="16"/>
          <w:color w:val="auto"/>
        </w:rPr>
      </w:pPr>
    </w:p>
    <w:p>
      <w:pPr>
        <w:jc w:val="both"/>
        <w:ind w:firstLine="961"/>
        <w:spacing w:after="0" w:line="223" w:lineRule="auto"/>
        <w:tabs>
          <w:tab w:leader="none" w:pos="1456"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Acquired Company is a party to or otherwise bound by any collective bargaining agreement, contract or other agreement with a labor union, works council, or other labor organization, nor is any such contract or agreement presently being negotiated. There are no strikes, work stoppages, slowdowns, lockouts, picketing, handbilling, labor grievances, labor arbitrations, or other labor disputes pending or, to the Knowledge of the Company, threatened in writing against or materially affecting the Acquired Companies. There are no (i) claims or allegations of unfair labor practices pending or, to the Knowledge of the Company, threatened in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ectPr>
          <w:pgSz w:w="11900" w:h="16840" w:orient="portrait"/>
          <w:cols w:equalWidth="0" w:num="1">
            <w:col w:w="10580"/>
          </w:cols>
          <w:pgMar w:left="660" w:top="1440" w:right="660" w:bottom="1440" w:gutter="0" w:footer="0" w:header="0"/>
        </w:sectPr>
      </w:pPr>
    </w:p>
    <w:bookmarkStart w:id="325" w:name="page326"/>
    <w:bookmarkEnd w:id="325"/>
    <w:p>
      <w:pPr>
        <w:spacing w:after="0" w:line="8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writing against the Acquired Companies before any labor relations tribunal or authority or (ii) to the Knowledge of the Company, union organizing efforts by or involving any current employees of the Acquired Companies. There are no representation or certification proceedings presently pending or, to the Knowledge of the Company, threatened in writing to be brought or filed with any labor relations tribunal or authority.</w:t>
      </w:r>
    </w:p>
    <w:p>
      <w:pPr>
        <w:spacing w:after="0" w:line="113" w:lineRule="exact"/>
        <w:rPr>
          <w:sz w:val="20"/>
          <w:szCs w:val="20"/>
          <w:color w:val="auto"/>
        </w:rPr>
      </w:pPr>
    </w:p>
    <w:p>
      <w:pPr>
        <w:jc w:val="both"/>
        <w:ind w:right="20" w:firstLine="961"/>
        <w:spacing w:after="0" w:line="226" w:lineRule="auto"/>
        <w:tabs>
          <w:tab w:leader="none" w:pos="1456"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Acquired Company is or will be required to notify, consult with, grant rights to, or seek authorization, approval, order, permit, waiver, variance, designation, ratification or consent from, any labor union, works council or other employee representative in connection with the execution, delivery and performance by the Company of this Agreement or any Ancillary Agreement to which it is a party or the consummation of the transactions contemplated hereby or thereby.</w:t>
      </w:r>
    </w:p>
    <w:p>
      <w:pPr>
        <w:spacing w:after="0" w:line="115" w:lineRule="exact"/>
        <w:rPr>
          <w:rFonts w:ascii="Times New Roman" w:cs="Times New Roman" w:eastAsia="Times New Roman" w:hAnsi="Times New Roman"/>
          <w:sz w:val="16"/>
          <w:szCs w:val="16"/>
          <w:color w:val="auto"/>
        </w:rPr>
      </w:pPr>
    </w:p>
    <w:p>
      <w:pPr>
        <w:jc w:val="both"/>
        <w:ind w:right="20" w:firstLine="961"/>
        <w:spacing w:after="0" w:line="232" w:lineRule="auto"/>
        <w:tabs>
          <w:tab w:leader="none" w:pos="1456"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of this Agreement, there are no Actions pending or, to the Knowledge of the Company, threatened in writing to be brought or filed, by or with any Governmental Authority or arbitrator, against an Acquired Company in connection with the employment or engagement of any current or former employee, contractor, consultant or individual service provider of an Acquired Company.</w:t>
      </w:r>
    </w:p>
    <w:p>
      <w:pPr>
        <w:spacing w:after="0" w:line="111" w:lineRule="exact"/>
        <w:rPr>
          <w:sz w:val="20"/>
          <w:szCs w:val="20"/>
          <w:color w:val="auto"/>
        </w:rPr>
      </w:pPr>
    </w:p>
    <w:p>
      <w:pPr>
        <w:jc w:val="both"/>
        <w:ind w:firstLine="485"/>
        <w:spacing w:after="0"/>
        <w:rPr>
          <w:sz w:val="20"/>
          <w:szCs w:val="20"/>
          <w:color w:val="auto"/>
        </w:rPr>
      </w:pPr>
      <w:r>
        <w:rPr>
          <w:rFonts w:ascii="Times New Roman" w:cs="Times New Roman" w:eastAsia="Times New Roman" w:hAnsi="Times New Roman"/>
          <w:sz w:val="16"/>
          <w:szCs w:val="16"/>
          <w:b w:val="1"/>
          <w:bCs w:val="1"/>
          <w:color w:val="010000"/>
        </w:rPr>
        <w:t xml:space="preserve">Section 3.15 </w:t>
      </w:r>
      <w:r>
        <w:rPr>
          <w:rFonts w:ascii="Times New Roman" w:cs="Times New Roman" w:eastAsia="Times New Roman" w:hAnsi="Times New Roman"/>
          <w:sz w:val="16"/>
          <w:szCs w:val="16"/>
          <w:b w:val="1"/>
          <w:bCs w:val="1"/>
          <w:color w:val="000000"/>
        </w:rPr>
        <w:t>Title to Tangible Assets</w:t>
      </w:r>
      <w:r>
        <w:rPr>
          <w:rFonts w:ascii="Times New Roman" w:cs="Times New Roman" w:eastAsia="Times New Roman" w:hAnsi="Times New Roman"/>
          <w:sz w:val="16"/>
          <w:szCs w:val="16"/>
          <w:color w:val="000000"/>
        </w:rPr>
        <w:t>. The Acquired Companies have good and valid title to all tangible assets owned by them as of the date of this</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Agreement. All of such tangible assets are owned by the Company, directly or indirectly, free and clear of any Encumbrances (other than Permitted Encumbrances).</w:t>
      </w:r>
    </w:p>
    <w:p>
      <w:pPr>
        <w:spacing w:after="0" w:line="279"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3.16</w:t>
      </w:r>
      <w:r>
        <w:rPr>
          <w:rFonts w:ascii="Times New Roman" w:cs="Times New Roman" w:eastAsia="Times New Roman" w:hAnsi="Times New Roman"/>
          <w:sz w:val="16"/>
          <w:szCs w:val="16"/>
          <w:b w:val="1"/>
          <w:bCs w:val="1"/>
          <w:color w:val="auto"/>
        </w:rPr>
        <w:tab/>
        <w:t>Real Property</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firstLine="961"/>
        <w:spacing w:after="0" w:line="216" w:lineRule="auto"/>
        <w:tabs>
          <w:tab w:leader="none" w:pos="1456"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Section 3.16(a) </w:t>
      </w:r>
      <w:r>
        <w:rPr>
          <w:rFonts w:ascii="Times New Roman" w:cs="Times New Roman" w:eastAsia="Times New Roman" w:hAnsi="Times New Roman"/>
          <w:sz w:val="16"/>
          <w:szCs w:val="16"/>
          <w:color w:val="auto"/>
        </w:rPr>
        <w:t>of the Disclosure Schedules sets forth a true and complete list of all real property owned by any Acquired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(together with all buildings, structures, improvements and fixtures located thereon, and all easements and other rights and interests appurtenant thereto, the “</w:t>
      </w:r>
      <w:r>
        <w:rPr>
          <w:rFonts w:ascii="Times New Roman" w:cs="Times New Roman" w:eastAsia="Times New Roman" w:hAnsi="Times New Roman"/>
          <w:sz w:val="16"/>
          <w:szCs w:val="16"/>
          <w:b w:val="1"/>
          <w:bCs w:val="1"/>
          <w:i w:val="1"/>
          <w:iCs w:val="1"/>
          <w:color w:val="auto"/>
        </w:rPr>
        <w:t>Owned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Real Property</w:t>
      </w:r>
      <w:r>
        <w:rPr>
          <w:rFonts w:ascii="Times New Roman" w:cs="Times New Roman" w:eastAsia="Times New Roman" w:hAnsi="Times New Roman"/>
          <w:sz w:val="16"/>
          <w:szCs w:val="16"/>
          <w:color w:val="auto"/>
        </w:rPr>
        <w:t>”), including, with respect to each Owned Real Property, (i) the fee owner and (ii) physical address. The applicable Acquired Company has good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valid fee title to the applicable Owned Real Property, in each case, free and clear of all Encumbrances except Permitted Encumbrances. The Company has made available to Parent true, correct and complete copies of all deeds, title insurance policies (or if none for the applicable property, title insurance commitments or title insurance reports for such property), surveys, and zoning reports within the possession and control of the Company for each Owned Real Property. Other than as set forth on </w:t>
      </w:r>
      <w:r>
        <w:rPr>
          <w:rFonts w:ascii="Times New Roman" w:cs="Times New Roman" w:eastAsia="Times New Roman" w:hAnsi="Times New Roman"/>
          <w:sz w:val="16"/>
          <w:szCs w:val="16"/>
          <w:b w:val="1"/>
          <w:bCs w:val="1"/>
          <w:color w:val="auto"/>
        </w:rPr>
        <w:t>Section 3.16(a)</w:t>
      </w:r>
      <w:r>
        <w:rPr>
          <w:rFonts w:ascii="Times New Roman" w:cs="Times New Roman" w:eastAsia="Times New Roman" w:hAnsi="Times New Roman"/>
          <w:sz w:val="16"/>
          <w:szCs w:val="16"/>
          <w:color w:val="auto"/>
        </w:rPr>
        <w:t xml:space="preserve"> of the Disclosure Schedules or in any real property leases, licenses or other occupancy agreements relating to the Owned Real Property made available to Parent, (A) other than an Acquired Company, there are no parties who have a right to possess or are in possession of the Owned Real Property and (B) no Acquired Company is a party to any Contract granting, or has otherwise granted to, another party any outstanding Encumbrance, option, right of first offer or first negotiation or right of first refusal or other similar right to purchase or lease the Owned Real Property or any portion thereof (each an “</w:t>
      </w:r>
      <w:r>
        <w:rPr>
          <w:rFonts w:ascii="Times New Roman" w:cs="Times New Roman" w:eastAsia="Times New Roman" w:hAnsi="Times New Roman"/>
          <w:sz w:val="16"/>
          <w:szCs w:val="16"/>
          <w:b w:val="1"/>
          <w:bCs w:val="1"/>
          <w:i w:val="1"/>
          <w:iCs w:val="1"/>
          <w:color w:val="auto"/>
        </w:rPr>
        <w:t>Option</w:t>
      </w:r>
      <w:r>
        <w:rPr>
          <w:rFonts w:ascii="Times New Roman" w:cs="Times New Roman" w:eastAsia="Times New Roman" w:hAnsi="Times New Roman"/>
          <w:sz w:val="16"/>
          <w:szCs w:val="16"/>
          <w:color w:val="auto"/>
        </w:rPr>
        <w:t>” and collectively, “</w:t>
      </w:r>
      <w:r>
        <w:rPr>
          <w:rFonts w:ascii="Times New Roman" w:cs="Times New Roman" w:eastAsia="Times New Roman" w:hAnsi="Times New Roman"/>
          <w:sz w:val="16"/>
          <w:szCs w:val="16"/>
          <w:b w:val="1"/>
          <w:bCs w:val="1"/>
          <w:i w:val="1"/>
          <w:iCs w:val="1"/>
          <w:color w:val="auto"/>
        </w:rPr>
        <w:t>Options</w:t>
      </w:r>
      <w:r>
        <w:rPr>
          <w:rFonts w:ascii="Times New Roman" w:cs="Times New Roman" w:eastAsia="Times New Roman" w:hAnsi="Times New Roman"/>
          <w:sz w:val="16"/>
          <w:szCs w:val="16"/>
          <w:color w:val="auto"/>
        </w:rPr>
        <w:t>”) and to the Company’s Knowledge, no Owned Real Property is subject to any such Options.</w:t>
      </w:r>
    </w:p>
    <w:p>
      <w:pPr>
        <w:spacing w:after="0" w:line="119" w:lineRule="exact"/>
        <w:rPr>
          <w:rFonts w:ascii="Times New Roman" w:cs="Times New Roman" w:eastAsia="Times New Roman" w:hAnsi="Times New Roman"/>
          <w:sz w:val="16"/>
          <w:szCs w:val="16"/>
          <w:color w:val="auto"/>
        </w:rPr>
      </w:pPr>
    </w:p>
    <w:p>
      <w:pPr>
        <w:jc w:val="both"/>
        <w:ind w:firstLine="961"/>
        <w:spacing w:after="0" w:line="224" w:lineRule="auto"/>
        <w:tabs>
          <w:tab w:leader="none" w:pos="1456"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Section 3.16(b) </w:t>
      </w:r>
      <w:r>
        <w:rPr>
          <w:rFonts w:ascii="Times New Roman" w:cs="Times New Roman" w:eastAsia="Times New Roman" w:hAnsi="Times New Roman"/>
          <w:sz w:val="16"/>
          <w:szCs w:val="16"/>
          <w:color w:val="auto"/>
        </w:rPr>
        <w:t>of the Disclosure Schedules sets forth a true and complete list of all leases, licenses and subleases to which an Acquired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is party as a lessee, licensee or sublessee (any such lease, license or sublease, individually, and together with all material amendments, modifications, extensions, renewals, guaranties and other agreements with respect thereto, a “</w:t>
      </w:r>
      <w:r>
        <w:rPr>
          <w:rFonts w:ascii="Times New Roman" w:cs="Times New Roman" w:eastAsia="Times New Roman" w:hAnsi="Times New Roman"/>
          <w:sz w:val="16"/>
          <w:szCs w:val="16"/>
          <w:b w:val="1"/>
          <w:bCs w:val="1"/>
          <w:i w:val="1"/>
          <w:iCs w:val="1"/>
          <w:color w:val="auto"/>
        </w:rPr>
        <w:t>Real Property Lease</w:t>
      </w:r>
      <w:r>
        <w:rPr>
          <w:rFonts w:ascii="Times New Roman" w:cs="Times New Roman" w:eastAsia="Times New Roman" w:hAnsi="Times New Roman"/>
          <w:sz w:val="16"/>
          <w:szCs w:val="16"/>
          <w:color w:val="auto"/>
        </w:rPr>
        <w:t xml:space="preserve">” and collectively, the “ </w:t>
      </w:r>
      <w:r>
        <w:rPr>
          <w:rFonts w:ascii="Times New Roman" w:cs="Times New Roman" w:eastAsia="Times New Roman" w:hAnsi="Times New Roman"/>
          <w:sz w:val="16"/>
          <w:szCs w:val="16"/>
          <w:b w:val="1"/>
          <w:bCs w:val="1"/>
          <w:i w:val="1"/>
          <w:iCs w:val="1"/>
          <w:color w:val="auto"/>
        </w:rPr>
        <w:t>Real Property Leases</w:t>
      </w:r>
      <w:r>
        <w:rPr>
          <w:rFonts w:ascii="Times New Roman" w:cs="Times New Roman" w:eastAsia="Times New Roman" w:hAnsi="Times New Roman"/>
          <w:sz w:val="16"/>
          <w:szCs w:val="16"/>
          <w:color w:val="auto"/>
        </w:rPr>
        <w:t>”), including with respect to each such Leased Real Property, (i) the landlord, sublandlord, licensor, sublicensor or grantor, (ii) the tenant, subtenant, licensee, sublicensee, grantee or occupant, and (iii) to the extent specified in the applicable Real Property Lease, the address. Each Real</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ectPr>
          <w:pgSz w:w="11900" w:h="16840" w:orient="portrait"/>
          <w:cols w:equalWidth="0" w:num="1">
            <w:col w:w="10580"/>
          </w:cols>
          <w:pgMar w:left="660" w:top="1440" w:right="660" w:bottom="1440" w:gutter="0" w:footer="0" w:header="0"/>
        </w:sectPr>
      </w:pPr>
    </w:p>
    <w:bookmarkStart w:id="326" w:name="page327"/>
    <w:bookmarkEnd w:id="326"/>
    <w:p>
      <w:pPr>
        <w:spacing w:after="0" w:line="80"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6"/>
          <w:szCs w:val="16"/>
          <w:color w:val="auto"/>
        </w:rPr>
        <w:t>Property Lease is a valid and binding obligation of the Acquired Company party thereto, subject to the Bankruptcy and Equity Exception. The Company has made available to Parent copies of the Real Property Leases as in effect as of the date of this Agreement which are accurate and complete in all material respects. Each of the applicable Acquired Companies has a valid and enforceable leasehold, license or subleasehold (as applicable) interest under each of the Real Property Leases to which it is a party, free and clear of all Encumbrances (other than Permitted Encumbrances).</w:t>
      </w:r>
    </w:p>
    <w:p>
      <w:pPr>
        <w:spacing w:after="0" w:line="116" w:lineRule="exact"/>
        <w:rPr>
          <w:sz w:val="20"/>
          <w:szCs w:val="20"/>
          <w:color w:val="auto"/>
        </w:rPr>
      </w:pPr>
    </w:p>
    <w:p>
      <w:pPr>
        <w:jc w:val="both"/>
        <w:ind w:right="20" w:firstLine="961"/>
        <w:spacing w:after="0" w:line="218" w:lineRule="auto"/>
        <w:tabs>
          <w:tab w:leader="none" w:pos="1456"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Company or any of its Affiliates has received any written notice of any default or event that, with or without notice, lapse of time or both, would constitute a material default by such Acquired Company under any of the Real Property Leases. No Acquired Company has received written notice from the landlord of any material default or breach (after the expiration of any notice or cure period) by an Acquired Company under any Real Property Lease, and no such material default or breach (after the expiration of any notice or cure period) exists. No Acquired Company is in material default or breach (after the expiration of any notice or cure period) under any Real Property Lease. To the Company’s Knowledge, there are no existing defaults or breaches (after the expiration of any notice or cure period) by the lessor under any Real Property Lease. To the Company’s Knowledge, no condition exists which, but for the giving of notice or the passage of time, would constitute a material breach or default by any Acquired Company (or to the Company’s Knowledge, any other party thereto), or permit termination or modification by any party thereto or acceleration of rent by the landlord, sublessor or licensor of any Real Property Lease.</w:t>
      </w:r>
    </w:p>
    <w:p>
      <w:pPr>
        <w:spacing w:after="0" w:line="118" w:lineRule="exact"/>
        <w:rPr>
          <w:rFonts w:ascii="Times New Roman" w:cs="Times New Roman" w:eastAsia="Times New Roman" w:hAnsi="Times New Roman"/>
          <w:sz w:val="16"/>
          <w:szCs w:val="16"/>
          <w:color w:val="auto"/>
        </w:rPr>
      </w:pPr>
    </w:p>
    <w:p>
      <w:pPr>
        <w:jc w:val="both"/>
        <w:ind w:right="20" w:firstLine="961"/>
        <w:spacing w:after="0"/>
        <w:tabs>
          <w:tab w:leader="none" w:pos="1456"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pending, and to the Company’s Knowledge, there is no threatened in writing appropriation, condemnation, eminent domain or like proceedings relating to the Real Property. Neither the whole nor any portion of the Real Property has been materially damaged or destroyed by fire or other casualty and not restored to a condition reasonably sufficient for the operation thereof for its current use. Subject to Permitted Encumbrances, no improvements constituting a part of the Owned Real Property encroach, in any material respect, on real property owned by any Person other than the Acquired Companies or the owner of such Owned Real Property. Subject to Permitted Encumbrances, no Acquired Company has received written notice from a lender of a default which remains uncured after the expiration of any notice or cure period, nor is there any such default (after the expiration of any notice or cure period) under any mortgage or similar instrument encumbering any Owned Real Property. No Acquired Company’s leasehold interests in the Leased Real Property is encumbered by a mortgage.</w:t>
      </w:r>
    </w:p>
    <w:p>
      <w:pPr>
        <w:spacing w:after="0" w:line="167" w:lineRule="exact"/>
        <w:rPr>
          <w:rFonts w:ascii="Times New Roman" w:cs="Times New Roman" w:eastAsia="Times New Roman" w:hAnsi="Times New Roman"/>
          <w:sz w:val="16"/>
          <w:szCs w:val="16"/>
          <w:color w:val="auto"/>
        </w:rPr>
      </w:pPr>
    </w:p>
    <w:p>
      <w:pPr>
        <w:jc w:val="both"/>
        <w:ind w:firstLine="961"/>
        <w:spacing w:after="0" w:line="218" w:lineRule="auto"/>
        <w:tabs>
          <w:tab w:leader="none" w:pos="1456"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Real Property, and all material improvements and key process and production equipment, as well as key technical building infrastructure (including fire and life safety protection systems, sprinkler systems, electrical systems, plumbing systems, heat, ventilation and air condition systems (HVAC), upstream and downstream manufacturing equipment, clean utilities, building and production management systems) thereon are in all material respects in adequate working condition and repair for the conduct of the business thereon. Except as would not, individually or in the aggregate, reasonably be expected to be material to the Acquired Companies, taken as a whole, there are no structural or other physical defects or deficiencies in the condition of the Owned Real Property or the key process and production equipment. Other than as set forth in any documents relating to the Owned Real Property made available to Parent, none of the Company or any of its Affiliates has received any written notice of, and there are no material special Taxes, levies or assessments, pending, certified or, to the Company’s Knowledge, contemplated, with respect to any of the Owned Real Property, in each case, subject to Permitted Encumbrances.</w:t>
      </w:r>
    </w:p>
    <w:p>
      <w:pPr>
        <w:spacing w:after="0" w:line="118" w:lineRule="exact"/>
        <w:rPr>
          <w:rFonts w:ascii="Times New Roman" w:cs="Times New Roman" w:eastAsia="Times New Roman" w:hAnsi="Times New Roman"/>
          <w:sz w:val="16"/>
          <w:szCs w:val="16"/>
          <w:color w:val="auto"/>
        </w:rPr>
      </w:pPr>
    </w:p>
    <w:p>
      <w:pPr>
        <w:ind w:right="40" w:firstLine="961"/>
        <w:spacing w:after="0" w:line="245" w:lineRule="auto"/>
        <w:tabs>
          <w:tab w:leader="none" w:pos="1456"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provided all material permits, certificates of occupancy, licenses, authorizations and approvals within the Company’s possession and control relating to the use and occupancy of the Owned Real Property by the Acquired Companies.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48</w:t>
      </w:r>
    </w:p>
    <w:p>
      <w:pPr>
        <w:sectPr>
          <w:pgSz w:w="11900" w:h="16840" w:orient="portrait"/>
          <w:cols w:equalWidth="0" w:num="1">
            <w:col w:w="10600"/>
          </w:cols>
          <w:pgMar w:left="660" w:top="1440" w:right="640" w:bottom="1440" w:gutter="0" w:footer="0" w:header="0"/>
        </w:sectPr>
      </w:pPr>
    </w:p>
    <w:bookmarkStart w:id="327" w:name="page328"/>
    <w:bookmarkEnd w:id="327"/>
    <w:p>
      <w:pPr>
        <w:spacing w:after="0" w:line="78" w:lineRule="exact"/>
        <w:rPr>
          <w:sz w:val="20"/>
          <w:szCs w:val="20"/>
          <w:color w:val="auto"/>
        </w:rPr>
      </w:pPr>
    </w:p>
    <w:p>
      <w:pPr>
        <w:ind w:left="489"/>
        <w:spacing w:after="0"/>
        <w:tabs>
          <w:tab w:leader="none" w:pos="1429" w:val="left"/>
        </w:tabs>
        <w:rPr>
          <w:sz w:val="20"/>
          <w:szCs w:val="20"/>
          <w:color w:val="auto"/>
        </w:rPr>
      </w:pPr>
      <w:r>
        <w:rPr>
          <w:rFonts w:ascii="Times New Roman" w:cs="Times New Roman" w:eastAsia="Times New Roman" w:hAnsi="Times New Roman"/>
          <w:sz w:val="16"/>
          <w:szCs w:val="16"/>
          <w:b w:val="1"/>
          <w:bCs w:val="1"/>
          <w:color w:val="010000"/>
        </w:rPr>
        <w:t>Section 3.17</w:t>
      </w:r>
      <w:r>
        <w:rPr>
          <w:rFonts w:ascii="Times New Roman" w:cs="Times New Roman" w:eastAsia="Times New Roman" w:hAnsi="Times New Roman"/>
          <w:sz w:val="16"/>
          <w:szCs w:val="16"/>
          <w:b w:val="1"/>
          <w:bCs w:val="1"/>
          <w:color w:val="auto"/>
        </w:rPr>
        <w:tab/>
        <w:t>Intellectual Property</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9" w:firstLine="961"/>
        <w:spacing w:after="0" w:line="217" w:lineRule="auto"/>
        <w:tabs>
          <w:tab w:leader="none" w:pos="1465" w:val="left"/>
        </w:tabs>
        <w:numPr>
          <w:ilvl w:val="1"/>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Section 3.17(a) </w:t>
      </w:r>
      <w:r>
        <w:rPr>
          <w:rFonts w:ascii="Times New Roman" w:cs="Times New Roman" w:eastAsia="Times New Roman" w:hAnsi="Times New Roman"/>
          <w:sz w:val="16"/>
          <w:szCs w:val="16"/>
          <w:color w:val="auto"/>
        </w:rPr>
        <w:t>of the Disclosure Schedules sets forth a true and complete list of all (i) Patents, (ii) registered Marks, (iii) registered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Copyrights; (iv) registered Designs and (v) Internet domain name registrations, including any pending applications to register any of the foregoing, in each case, owned (in whole or in part) by an Acquired Company (“</w:t>
      </w:r>
      <w:r>
        <w:rPr>
          <w:rFonts w:ascii="Times New Roman" w:cs="Times New Roman" w:eastAsia="Times New Roman" w:hAnsi="Times New Roman"/>
          <w:sz w:val="16"/>
          <w:szCs w:val="16"/>
          <w:b w:val="1"/>
          <w:bCs w:val="1"/>
          <w:i w:val="1"/>
          <w:iCs w:val="1"/>
          <w:color w:val="auto"/>
        </w:rPr>
        <w:t>Company Registered IP</w:t>
      </w:r>
      <w:r>
        <w:rPr>
          <w:rFonts w:ascii="Times New Roman" w:cs="Times New Roman" w:eastAsia="Times New Roman" w:hAnsi="Times New Roman"/>
          <w:sz w:val="16"/>
          <w:szCs w:val="16"/>
          <w:color w:val="auto"/>
        </w:rPr>
        <w:t>”) or included in the Licensed Intellectual Property that is exclusively licensed to an Acquired Company. To the Company’s Knowledge, all Owned Intellectual Property and registered Licensed Intellectual Property that is exclusively licensed to an Acquired Company (a) is subsisting; and (b) has not been adjudged unenforceable or invalid by a court or equivalent Intellectual Property tribunal or Governmental Authority. No Company Registered IP has lapsed or been cancelled or is the subject of any pending or threatened proceedings or administrative action (including opposition, revocation and invalidity actions). All application and renewal fees due and payable for the Company Registered IP have been paid, and all required steps have been taken for the registration, renewal and maintenance of the Company Registered IP. No Acquired Company has taken any action or failed to take any action that could reasonably be expected to result in the abandonment or cancellation, or to the Company’s Knowledge, invalidation of any of the Company Registered IP.</w:t>
      </w:r>
    </w:p>
    <w:p>
      <w:pPr>
        <w:spacing w:after="0" w:line="117" w:lineRule="exact"/>
        <w:rPr>
          <w:rFonts w:ascii="Times New Roman" w:cs="Times New Roman" w:eastAsia="Times New Roman" w:hAnsi="Times New Roman"/>
          <w:sz w:val="16"/>
          <w:szCs w:val="16"/>
          <w:color w:val="auto"/>
        </w:rPr>
      </w:pPr>
    </w:p>
    <w:p>
      <w:pPr>
        <w:jc w:val="both"/>
        <w:ind w:left="9" w:firstLine="961"/>
        <w:spacing w:after="0" w:line="223" w:lineRule="auto"/>
        <w:tabs>
          <w:tab w:leader="none" w:pos="1465" w:val="left"/>
        </w:tabs>
        <w:numPr>
          <w:ilvl w:val="1"/>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Outbound Licenses and Excepted Contracts, an Acquired Company is the sole, and with respect to the Company Registered IP, properly executed and duly recorded, legal and beneficial owner of all right, title and interest in (free and clear of all Encumbrances other than Permitted Encumbrances) the Owned Intellectual Property, and possesses license rights that are, to the Company’s Knowledge, valid, to each other item of Company Intellectual Property in the manner currently being used by the Acquired Companies. For clarity, nothing in this </w:t>
      </w:r>
      <w:r>
        <w:rPr>
          <w:rFonts w:ascii="Times New Roman" w:cs="Times New Roman" w:eastAsia="Times New Roman" w:hAnsi="Times New Roman"/>
          <w:sz w:val="16"/>
          <w:szCs w:val="16"/>
          <w:b w:val="1"/>
          <w:bCs w:val="1"/>
          <w:color w:val="auto"/>
        </w:rPr>
        <w:t>Section 3.17(b)</w:t>
      </w:r>
      <w:r>
        <w:rPr>
          <w:rFonts w:ascii="Times New Roman" w:cs="Times New Roman" w:eastAsia="Times New Roman" w:hAnsi="Times New Roman"/>
          <w:sz w:val="16"/>
          <w:szCs w:val="16"/>
          <w:color w:val="auto"/>
        </w:rPr>
        <w:t xml:space="preserve"> shall be deemed a representation or warranty with respect to infringement, dilution, misappropriation, misuse or otherwise violation of any Intellectual Property rights of any third party.</w:t>
      </w:r>
    </w:p>
    <w:p>
      <w:pPr>
        <w:spacing w:after="0" w:line="115" w:lineRule="exact"/>
        <w:rPr>
          <w:rFonts w:ascii="Times New Roman" w:cs="Times New Roman" w:eastAsia="Times New Roman" w:hAnsi="Times New Roman"/>
          <w:sz w:val="16"/>
          <w:szCs w:val="16"/>
          <w:color w:val="auto"/>
        </w:rPr>
      </w:pPr>
    </w:p>
    <w:p>
      <w:pPr>
        <w:jc w:val="both"/>
        <w:ind w:left="9" w:firstLine="961"/>
        <w:spacing w:after="0" w:line="222" w:lineRule="auto"/>
        <w:tabs>
          <w:tab w:leader="none" w:pos="1465" w:val="left"/>
        </w:tabs>
        <w:numPr>
          <w:ilvl w:val="1"/>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the use of the Company Intellectual Property in the conduct of the businesses of the Acquired Companies as currently conducted, is not infringing, diluting, misappropriating, misusing or otherwise violating any Intellectual Property rights of others, and has not in the past</w:t>
      </w:r>
    </w:p>
    <w:p>
      <w:pPr>
        <w:spacing w:after="0" w:line="1" w:lineRule="exact"/>
        <w:rPr>
          <w:rFonts w:ascii="Times New Roman" w:cs="Times New Roman" w:eastAsia="Times New Roman" w:hAnsi="Times New Roman"/>
          <w:sz w:val="16"/>
          <w:szCs w:val="16"/>
          <w:color w:val="auto"/>
        </w:rPr>
      </w:pPr>
    </w:p>
    <w:p>
      <w:pPr>
        <w:ind w:left="9" w:hanging="9"/>
        <w:spacing w:after="0" w:line="214" w:lineRule="auto"/>
        <w:tabs>
          <w:tab w:leader="none" w:pos="414"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years infringed, diluted, misappropriated, misused or otherwise violated any Intellectual Property rights of others. There is no pending Action against any Acquired Company or any officer of any Acquired Company (in their capacity as such) in which an Acquired Company or such officer is alleged to have infringed the Intellectual Property rights of another Person, and during the past [***] years, no Acquired Company and, to the Company’s Knowledge, no officer of any Acquired Company (in their capacity as such) has received any written notices, requests for indemnification or threats from any Person related to the foregoing. No Acquired Company nor, to the Company’s Knowledge, any officer of any Acquired Company (in their capacity as such) is subject to any Action or Order, and no Actions are pending or, to the Company’s Knowledge, threatened in writing against any Acquired Company or such officer based upon or challenging or seeking to deny or restrict in any manner the use by any Acquired Company or officer of any Acquired Company of any Company Intellectual Property or, with respect to Owned Intellectual Property, the ownership, registrability, validity, patentability, scope, enforceability, use, transfer, assignment or licensing of any Company Intellectual Property. For clarity, the terms set forth in this </w:t>
      </w:r>
      <w:r>
        <w:rPr>
          <w:rFonts w:ascii="Times New Roman" w:cs="Times New Roman" w:eastAsia="Times New Roman" w:hAnsi="Times New Roman"/>
          <w:sz w:val="16"/>
          <w:szCs w:val="16"/>
          <w:b w:val="1"/>
          <w:bCs w:val="1"/>
          <w:color w:val="auto"/>
        </w:rPr>
        <w:t>Section 3.17(c)</w:t>
      </w:r>
      <w:r>
        <w:rPr>
          <w:rFonts w:ascii="Times New Roman" w:cs="Times New Roman" w:eastAsia="Times New Roman" w:hAnsi="Times New Roman"/>
          <w:sz w:val="16"/>
          <w:szCs w:val="16"/>
          <w:color w:val="auto"/>
        </w:rPr>
        <w:t xml:space="preserve"> shall be the only representations and warranties with respect to infringement, dilution, misappropriation, misuse or otherwise violation of any Intellectual Property rights of any third party by any Acquired Company.</w:t>
      </w:r>
    </w:p>
    <w:p>
      <w:pPr>
        <w:spacing w:after="0" w:line="120" w:lineRule="exact"/>
        <w:rPr>
          <w:rFonts w:ascii="Times New Roman" w:cs="Times New Roman" w:eastAsia="Times New Roman" w:hAnsi="Times New Roman"/>
          <w:sz w:val="16"/>
          <w:szCs w:val="16"/>
          <w:color w:val="auto"/>
        </w:rPr>
      </w:pPr>
    </w:p>
    <w:p>
      <w:pPr>
        <w:ind w:left="9" w:right="20" w:firstLine="961"/>
        <w:spacing w:after="0" w:line="245" w:lineRule="auto"/>
        <w:tabs>
          <w:tab w:leader="none" w:pos="1465"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no Person is currently infringing, diluting, misappropriating, misusing or otherwise violating any Owned Intellectual Property or Licensed Intellectual Property exclusively licensed to an Acquired Company, or has in the past [***] years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6"/>
          <w:szCs w:val="16"/>
          <w:color w:val="auto"/>
        </w:rPr>
        <w:t>49</w:t>
      </w:r>
    </w:p>
    <w:p>
      <w:pPr>
        <w:sectPr>
          <w:pgSz w:w="11900" w:h="16840" w:orient="portrait"/>
          <w:cols w:equalWidth="0" w:num="1">
            <w:col w:w="10589"/>
          </w:cols>
          <w:pgMar w:left="651" w:top="1440" w:right="660" w:bottom="1440" w:gutter="0" w:footer="0" w:header="0"/>
        </w:sectPr>
      </w:pPr>
    </w:p>
    <w:bookmarkStart w:id="328" w:name="page329"/>
    <w:bookmarkEnd w:id="328"/>
    <w:p>
      <w:pPr>
        <w:spacing w:after="0" w:line="8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infringed, diluted, misappropriated, misused or otherwise violated the foregoing. During the past [***] years, no Acquired Company has filed any claims related to, or given written notice to any other Person of, any of the foregoing.</w:t>
      </w:r>
    </w:p>
    <w:p>
      <w:pPr>
        <w:spacing w:after="0" w:line="108" w:lineRule="exact"/>
        <w:rPr>
          <w:sz w:val="20"/>
          <w:szCs w:val="20"/>
          <w:color w:val="auto"/>
        </w:rPr>
      </w:pPr>
    </w:p>
    <w:p>
      <w:pPr>
        <w:ind w:right="20" w:firstLine="961"/>
        <w:spacing w:after="0" w:line="247" w:lineRule="auto"/>
        <w:tabs>
          <w:tab w:leader="none" w:pos="1456"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Section 3.17(e) </w:t>
      </w:r>
      <w:r>
        <w:rPr>
          <w:rFonts w:ascii="Times New Roman" w:cs="Times New Roman" w:eastAsia="Times New Roman" w:hAnsi="Times New Roman"/>
          <w:sz w:val="16"/>
          <w:szCs w:val="16"/>
          <w:color w:val="auto"/>
        </w:rPr>
        <w:t>of the Disclosure Schedules identifies each Contract (other than Excepted Contracts) in effect pursuant to which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Intellectual Property is licensed, sold, assigned, or otherwise conveyed by a third party to an Acquired Company (“</w:t>
      </w:r>
      <w:r>
        <w:rPr>
          <w:rFonts w:ascii="Times New Roman" w:cs="Times New Roman" w:eastAsia="Times New Roman" w:hAnsi="Times New Roman"/>
          <w:sz w:val="16"/>
          <w:szCs w:val="16"/>
          <w:b w:val="1"/>
          <w:bCs w:val="1"/>
          <w:i w:val="1"/>
          <w:iCs w:val="1"/>
          <w:color w:val="auto"/>
        </w:rPr>
        <w:t>Inbound Licenses</w:t>
      </w:r>
      <w:r>
        <w:rPr>
          <w:rFonts w:ascii="Times New Roman" w:cs="Times New Roman" w:eastAsia="Times New Roman" w:hAnsi="Times New Roman"/>
          <w:sz w:val="16"/>
          <w:szCs w:val="16"/>
          <w:color w:val="auto"/>
        </w:rPr>
        <w:t>”).</w:t>
      </w:r>
    </w:p>
    <w:p>
      <w:pPr>
        <w:spacing w:after="0" w:line="106" w:lineRule="exact"/>
        <w:rPr>
          <w:rFonts w:ascii="Times New Roman" w:cs="Times New Roman" w:eastAsia="Times New Roman" w:hAnsi="Times New Roman"/>
          <w:sz w:val="16"/>
          <w:szCs w:val="16"/>
          <w:color w:val="auto"/>
        </w:rPr>
      </w:pPr>
    </w:p>
    <w:p>
      <w:pPr>
        <w:ind w:right="20" w:firstLine="961"/>
        <w:spacing w:after="0" w:line="247" w:lineRule="auto"/>
        <w:tabs>
          <w:tab w:leader="none" w:pos="1456"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Section 3.17(f) </w:t>
      </w:r>
      <w:r>
        <w:rPr>
          <w:rFonts w:ascii="Times New Roman" w:cs="Times New Roman" w:eastAsia="Times New Roman" w:hAnsi="Times New Roman"/>
          <w:sz w:val="16"/>
          <w:szCs w:val="16"/>
          <w:color w:val="auto"/>
        </w:rPr>
        <w:t>of the Disclosure Schedules identifies each Contract (other than Excepted Contracts) pursuant to which any Owned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Intellectual Property is licensed, sold, assigned, or otherwise conveyed by an Acquired Company to a third party (“</w:t>
      </w:r>
      <w:r>
        <w:rPr>
          <w:rFonts w:ascii="Times New Roman" w:cs="Times New Roman" w:eastAsia="Times New Roman" w:hAnsi="Times New Roman"/>
          <w:sz w:val="16"/>
          <w:szCs w:val="16"/>
          <w:b w:val="1"/>
          <w:bCs w:val="1"/>
          <w:i w:val="1"/>
          <w:iCs w:val="1"/>
          <w:color w:val="auto"/>
        </w:rPr>
        <w:t>Outbound Licenses</w:t>
      </w:r>
      <w:r>
        <w:rPr>
          <w:rFonts w:ascii="Times New Roman" w:cs="Times New Roman" w:eastAsia="Times New Roman" w:hAnsi="Times New Roman"/>
          <w:sz w:val="16"/>
          <w:szCs w:val="16"/>
          <w:color w:val="auto"/>
        </w:rPr>
        <w:t>”).</w:t>
      </w:r>
    </w:p>
    <w:p>
      <w:pPr>
        <w:spacing w:after="0" w:line="108" w:lineRule="exact"/>
        <w:rPr>
          <w:rFonts w:ascii="Times New Roman" w:cs="Times New Roman" w:eastAsia="Times New Roman" w:hAnsi="Times New Roman"/>
          <w:sz w:val="16"/>
          <w:szCs w:val="16"/>
          <w:color w:val="auto"/>
        </w:rPr>
      </w:pPr>
    </w:p>
    <w:p>
      <w:pPr>
        <w:jc w:val="both"/>
        <w:ind w:firstLine="961"/>
        <w:spacing w:after="0" w:line="221" w:lineRule="auto"/>
        <w:tabs>
          <w:tab w:leader="none" w:pos="1456"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Acquired Companies have taken commercially reasonable security measures, in accordance with standard industry practice, to protect (i) against unauthorized disclosure, and (ii) the secrecy and confidentiality of Know-How material to the business of the Acquired Companies included in the Company Intellectual Property or which a third party has provided to an Acquired Company under an obligation of confidentiality, including requiring each Person with access to such Know-How, to execute a binding, written confidentiality agreement to the extent such Persons are not otherwise bound by substantially similar confidentiality obligations by virtue of their role or status. To the Company’s Knowledge, there has been no unauthorized use, disclosure or misappropriation of any such Know-How included in the Company Intellectual Property by any Person.</w:t>
      </w:r>
    </w:p>
    <w:p>
      <w:pPr>
        <w:spacing w:after="0" w:line="115" w:lineRule="exact"/>
        <w:rPr>
          <w:rFonts w:ascii="Times New Roman" w:cs="Times New Roman" w:eastAsia="Times New Roman" w:hAnsi="Times New Roman"/>
          <w:sz w:val="16"/>
          <w:szCs w:val="16"/>
          <w:color w:val="auto"/>
        </w:rPr>
      </w:pPr>
    </w:p>
    <w:p>
      <w:pPr>
        <w:jc w:val="both"/>
        <w:ind w:right="20" w:firstLine="961"/>
        <w:spacing w:after="0" w:line="215" w:lineRule="auto"/>
        <w:tabs>
          <w:tab w:leader="none" w:pos="1456"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current and former officers, employees, contractors, and consultants of any Acquired Company who have made contributions to the creation or the development of material Owned Intellectual Property for or on behalf of any Acquired Company or, with respect to employees, relating to the businesses of the Acquired Companies (each such current and former officer, employee, contractor, consultant, or Person a “</w:t>
      </w:r>
      <w:r>
        <w:rPr>
          <w:rFonts w:ascii="Times New Roman" w:cs="Times New Roman" w:eastAsia="Times New Roman" w:hAnsi="Times New Roman"/>
          <w:sz w:val="16"/>
          <w:szCs w:val="16"/>
          <w:b w:val="1"/>
          <w:bCs w:val="1"/>
          <w:i w:val="1"/>
          <w:iCs w:val="1"/>
          <w:color w:val="auto"/>
        </w:rPr>
        <w:t>Contributor</w:t>
      </w:r>
      <w:r>
        <w:rPr>
          <w:rFonts w:ascii="Times New Roman" w:cs="Times New Roman" w:eastAsia="Times New Roman" w:hAnsi="Times New Roman"/>
          <w:sz w:val="16"/>
          <w:szCs w:val="16"/>
          <w:color w:val="auto"/>
        </w:rPr>
        <w:t>”) either (i) are a party to a written agreement with an Acquired Company with respect to such Intellectual Property pursuant to which all right, title and interest in such Intellectual Property created or developed by such Contributor is or was assigned to an Acquired Company or (ii) have executed written agreements containing a present assignment of all right, title and interest in all inventions and Intellectual Property rights in Intellectual Property created or developed for or on behalf of any Acquired Company or, with respect to employees, created or developed by such employees in the course of such employees’ employment and relating to the businesses of the Acquired Companies to an Acquired Company (each such agreement under (i) or (ii) an “</w:t>
      </w:r>
      <w:r>
        <w:rPr>
          <w:rFonts w:ascii="Times New Roman" w:cs="Times New Roman" w:eastAsia="Times New Roman" w:hAnsi="Times New Roman"/>
          <w:sz w:val="16"/>
          <w:szCs w:val="16"/>
          <w:b w:val="1"/>
          <w:bCs w:val="1"/>
          <w:i w:val="1"/>
          <w:iCs w:val="1"/>
          <w:color w:val="auto"/>
        </w:rPr>
        <w:t>IP Agreement</w:t>
      </w:r>
      <w:r>
        <w:rPr>
          <w:rFonts w:ascii="Times New Roman" w:cs="Times New Roman" w:eastAsia="Times New Roman" w:hAnsi="Times New Roman"/>
          <w:sz w:val="16"/>
          <w:szCs w:val="16"/>
          <w:color w:val="auto"/>
        </w:rPr>
        <w:t>”). To the Company’s Knowledge, no Contributor is in violation of any IP Agreement. Except for ongoing payment obligations for services under Contracts or applicable Laws in consideration for, or recognition of, ownership of the applicable Owned Intellectual Property, no Acquired Company is obligated to provide any consideration or remuneration (whether financial or otherwise, or whether ongoing, outstanding or contingent), or account to any Contributor or third party, with respect to any exercise of rights by any Acquired Company, or any successor thereto, in any Owned Intellectual Property. No Acquired Company has received a claim for compensation by or on behalf of one of its current or former Contributors in respect of any Owned Intellectual Property, including invention in relation to any patent or utility model owned by an Acquired Company.</w:t>
      </w:r>
    </w:p>
    <w:p>
      <w:pPr>
        <w:spacing w:after="0" w:line="121" w:lineRule="exact"/>
        <w:rPr>
          <w:rFonts w:ascii="Times New Roman" w:cs="Times New Roman" w:eastAsia="Times New Roman" w:hAnsi="Times New Roman"/>
          <w:sz w:val="16"/>
          <w:szCs w:val="16"/>
          <w:color w:val="auto"/>
        </w:rPr>
      </w:pPr>
    </w:p>
    <w:p>
      <w:pPr>
        <w:jc w:val="both"/>
        <w:ind w:right="20" w:firstLine="961"/>
        <w:spacing w:after="0" w:line="232" w:lineRule="auto"/>
        <w:tabs>
          <w:tab w:leader="none" w:pos="1446"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Acquired Company uses or has used any artificial intelligence, advanced machine learning or other similar generative models in the businesses of the Acquired Companies in any material respects. No artificial intelligence or similar generative models have been used to create any Owned Intellectual Property material to the business of the Acquired Companies.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50</w:t>
      </w:r>
    </w:p>
    <w:p>
      <w:pPr>
        <w:sectPr>
          <w:pgSz w:w="11900" w:h="16840" w:orient="portrait"/>
          <w:cols w:equalWidth="0" w:num="1">
            <w:col w:w="10600"/>
          </w:cols>
          <w:pgMar w:left="660" w:top="1440" w:right="640" w:bottom="1440" w:gutter="0" w:footer="0" w:header="0"/>
        </w:sectPr>
      </w:pPr>
    </w:p>
    <w:bookmarkStart w:id="329" w:name="page330"/>
    <w:bookmarkEnd w:id="329"/>
    <w:p>
      <w:pPr>
        <w:spacing w:after="0" w:line="80" w:lineRule="exact"/>
        <w:rPr>
          <w:sz w:val="20"/>
          <w:szCs w:val="20"/>
          <w:color w:val="auto"/>
        </w:rPr>
      </w:pPr>
    </w:p>
    <w:p>
      <w:pPr>
        <w:jc w:val="both"/>
        <w:ind w:right="20" w:firstLine="961"/>
        <w:spacing w:after="0" w:line="217" w:lineRule="auto"/>
        <w:tabs>
          <w:tab w:leader="none" w:pos="1446"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Acquired Companies (i) take commercially reasonable measures designed to protect the confidentiality, privacy and security of their confidential information and (ii) comply, and have complied in the past [***] years, with all applicable Privacy Laws. The Systems are reasonably maintained and in sufficiently good working condition and performance sufficient for the conduct of the businesses of the Acquired Companies as currently conducted and as currently contemplated to be conducted. There has been no material failure, malfunction, breakdown, performance reduction, or other material adverse event affecting any Systems, and to the Company’s Knowledge there has been no unauthorized access, use, intrusion, or breach of security affecting any Systems. Each Acquired Company maintains commercially reasonable backup and data recovery, disaster recovery, and business continuity plans, procedures, and facilities, and acts in material compliance with all of the Acquired Companies’ policies related to the foregoing. To the Company’s Knowledge, the Systems are free from any disabling codes or instructions, spyware, Trojan horses, worms, viruses or other software routines that are designed to permit or cause, or are intended to permit or cause, unauthorized access to, or disruption, impairment, disablement, or destruction of any Systems or software used or held for use by an Acquired Company.</w:t>
      </w:r>
    </w:p>
    <w:p>
      <w:pPr>
        <w:spacing w:after="0" w:line="120" w:lineRule="exact"/>
        <w:rPr>
          <w:rFonts w:ascii="Times New Roman" w:cs="Times New Roman" w:eastAsia="Times New Roman" w:hAnsi="Times New Roman"/>
          <w:sz w:val="16"/>
          <w:szCs w:val="16"/>
          <w:color w:val="auto"/>
        </w:rPr>
      </w:pPr>
    </w:p>
    <w:p>
      <w:pPr>
        <w:ind w:right="20" w:firstLine="961"/>
        <w:spacing w:after="0" w:line="217" w:lineRule="auto"/>
        <w:tabs>
          <w:tab w:leader="none" w:pos="1456"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Acquired Companies nor, to the Company’s Knowledge, any other Person (including any officers or employees of any Acquired Company) acting on their behalf has disclosed, delivered or licensed to any Person, agreed to disclose, deliver or license to any Person, is under an obligation to disclose, deliver or license to any Person or permitted the disclosure or delivery to any escrow agent or other Person of, any source code for any software owned by an Acquired Company, except (x) as would not be reasonably expected to be, individually or in the aggregate, material to the Acquired Companies taken as a whole, (y) for disclosures to employees or contractors under binding written agreements that prohibit use or disclosure except in the performance of services to an Acquired Company. No Acquired Company has used any Open Source in a manner that could have a “copyleft” effect or other adverse effect on, or obligate any Acquired Company to disclose, contribute, distribute, license or otherwise make available to any third party (including the Open Source community), any software owned by an Acquired Company or any other Company Intellectual Property. With respect to any Open Source that an Acquired Company uses, each Acquired Company has complied with all applicable licenses with respect thereto.</w:t>
      </w:r>
    </w:p>
    <w:p>
      <w:pPr>
        <w:spacing w:after="0" w:line="120" w:lineRule="exact"/>
        <w:rPr>
          <w:rFonts w:ascii="Times New Roman" w:cs="Times New Roman" w:eastAsia="Times New Roman" w:hAnsi="Times New Roman"/>
          <w:sz w:val="16"/>
          <w:szCs w:val="16"/>
          <w:color w:val="auto"/>
        </w:rPr>
      </w:pPr>
    </w:p>
    <w:p>
      <w:pPr>
        <w:jc w:val="both"/>
        <w:ind w:firstLine="961"/>
        <w:spacing w:after="0" w:line="218" w:lineRule="auto"/>
        <w:tabs>
          <w:tab w:leader="none" w:pos="1446"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Acquired Companies maintain commercially reasonable safeguards to protect Personal Data collected, maintained, processed or stored in connection with the business of any Acquired Company to the extent required by applicable Privacy Laws. To the Company’s Knowledge, during the past [***] years, there has been no unauthorized acquisition of, access to, disclosure or loss of Personal Data collected, maintained, processed, or stored in connection with the business of any Acquired Company (a “</w:t>
      </w:r>
      <w:r>
        <w:rPr>
          <w:rFonts w:ascii="Times New Roman" w:cs="Times New Roman" w:eastAsia="Times New Roman" w:hAnsi="Times New Roman"/>
          <w:sz w:val="16"/>
          <w:szCs w:val="16"/>
          <w:b w:val="1"/>
          <w:bCs w:val="1"/>
          <w:i w:val="1"/>
          <w:iCs w:val="1"/>
          <w:color w:val="auto"/>
        </w:rPr>
        <w:t>Security Breach</w:t>
      </w:r>
      <w:r>
        <w:rPr>
          <w:rFonts w:ascii="Times New Roman" w:cs="Times New Roman" w:eastAsia="Times New Roman" w:hAnsi="Times New Roman"/>
          <w:sz w:val="16"/>
          <w:szCs w:val="16"/>
          <w:color w:val="auto"/>
        </w:rPr>
        <w:t>”). During the past [***] years, no Acquired Company has been notified in writing by any Person of any Security Breach. During the past [***] years, no Acquired Company has received any written notice of any claims, threats, complaints, audits, investigations (including investigations by a Governmental Authority) or allegations of, or otherwise been subject to any of the foregoing concerning, any material violations of applicable Privacy Laws with respect to Personal Data collected, used, stored, altered, combination destructed, disclosed, transmitted, disseminated or otherwise made available by an Acquired Company.</w:t>
      </w:r>
    </w:p>
    <w:p>
      <w:pPr>
        <w:spacing w:after="0" w:line="117"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3.18</w:t>
      </w:r>
      <w:r>
        <w:rPr>
          <w:rFonts w:ascii="Times New Roman" w:cs="Times New Roman" w:eastAsia="Times New Roman" w:hAnsi="Times New Roman"/>
          <w:sz w:val="16"/>
          <w:szCs w:val="16"/>
          <w:b w:val="1"/>
          <w:bCs w:val="1"/>
          <w:color w:val="auto"/>
        </w:rPr>
        <w:tab/>
        <w:t>Grants</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right="20" w:firstLine="961"/>
        <w:spacing w:after="0" w:line="247" w:lineRule="auto"/>
        <w:tabs>
          <w:tab w:leader="none" w:pos="1456"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Section 3.18(a) </w:t>
      </w:r>
      <w:r>
        <w:rPr>
          <w:rFonts w:ascii="Times New Roman" w:cs="Times New Roman" w:eastAsia="Times New Roman" w:hAnsi="Times New Roman"/>
          <w:sz w:val="16"/>
          <w:szCs w:val="16"/>
          <w:color w:val="auto"/>
        </w:rPr>
        <w:t>of the Disclosure Schedules lists each Company Grant that any Acquired Company has received and is outstanding. Except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for those Company Grants listed in </w:t>
      </w:r>
      <w:r>
        <w:rPr>
          <w:rFonts w:ascii="Times New Roman" w:cs="Times New Roman" w:eastAsia="Times New Roman" w:hAnsi="Times New Roman"/>
          <w:sz w:val="16"/>
          <w:szCs w:val="16"/>
          <w:b w:val="1"/>
          <w:bCs w:val="1"/>
          <w:color w:val="auto"/>
        </w:rPr>
        <w:t>Section 3.18(a)</w:t>
      </w:r>
      <w:r>
        <w:rPr>
          <w:rFonts w:ascii="Times New Roman" w:cs="Times New Roman" w:eastAsia="Times New Roman" w:hAnsi="Times New Roman"/>
          <w:sz w:val="16"/>
          <w:szCs w:val="16"/>
          <w:color w:val="auto"/>
        </w:rPr>
        <w:t xml:space="preserve"> of the Disclosure Schedules, none of the Acquired Companies has any Company Grant.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51</w:t>
      </w:r>
    </w:p>
    <w:p>
      <w:pPr>
        <w:sectPr>
          <w:pgSz w:w="11900" w:h="16840" w:orient="portrait"/>
          <w:cols w:equalWidth="0" w:num="1">
            <w:col w:w="10600"/>
          </w:cols>
          <w:pgMar w:left="660" w:top="1440" w:right="640" w:bottom="1440" w:gutter="0" w:footer="0" w:header="0"/>
        </w:sectPr>
      </w:pPr>
    </w:p>
    <w:bookmarkStart w:id="330" w:name="page331"/>
    <w:bookmarkEnd w:id="330"/>
    <w:p>
      <w:pPr>
        <w:spacing w:after="0" w:line="80" w:lineRule="exact"/>
        <w:rPr>
          <w:sz w:val="20"/>
          <w:szCs w:val="20"/>
          <w:color w:val="auto"/>
        </w:rPr>
      </w:pPr>
    </w:p>
    <w:p>
      <w:pPr>
        <w:jc w:val="both"/>
        <w:ind w:left="9" w:firstLine="961"/>
        <w:spacing w:after="0" w:line="218" w:lineRule="auto"/>
        <w:tabs>
          <w:tab w:leader="none" w:pos="1465"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be material to the Acquired Companies, taken as a whole (i) no Governmental Authority or academic or medical institution or consortium has any claim of right to, ownership of or other Encumbrance (other than Permitted Encumbrance) on, any Company Intellectual Property (excluding any Licensed Intellectual Property that is non-exclusively licensed to an Acquired Company under an Excepted Contract); and</w:t>
      </w:r>
    </w:p>
    <w:p>
      <w:pPr>
        <w:spacing w:after="0" w:line="1" w:lineRule="exact"/>
        <w:rPr>
          <w:rFonts w:ascii="Times New Roman" w:cs="Times New Roman" w:eastAsia="Times New Roman" w:hAnsi="Times New Roman"/>
          <w:sz w:val="16"/>
          <w:szCs w:val="16"/>
          <w:color w:val="auto"/>
        </w:rPr>
      </w:pPr>
    </w:p>
    <w:p>
      <w:pPr>
        <w:jc w:val="both"/>
        <w:ind w:left="9" w:hanging="9"/>
        <w:spacing w:after="0" w:line="220" w:lineRule="auto"/>
        <w:tabs>
          <w:tab w:leader="none" w:pos="248"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prohibition or restriction by any Governmental Authority (including no assignment, grant back, license, “march-in” or other rights) on the use of any Company Intellectual Property (excluding any Licensed Intellectual Property that is non-exclusively licensed to an Acquired Company), or on the conduct of the business by any Acquired Company as currently conducted or as currently contemplated to be conducted, in any jurisdiction, or on the export or import of any Company Intellectual Property (excluding any Licensed Intellectual Property that is non-exclusively licensed to an Acquired Company) from or to any jurisdiction.</w:t>
      </w:r>
    </w:p>
    <w:p>
      <w:pPr>
        <w:spacing w:after="0" w:line="114" w:lineRule="exact"/>
        <w:rPr>
          <w:sz w:val="20"/>
          <w:szCs w:val="20"/>
          <w:color w:val="auto"/>
        </w:rPr>
      </w:pPr>
    </w:p>
    <w:p>
      <w:pPr>
        <w:ind w:left="489"/>
        <w:spacing w:after="0"/>
        <w:tabs>
          <w:tab w:leader="none" w:pos="1429" w:val="left"/>
        </w:tabs>
        <w:rPr>
          <w:sz w:val="20"/>
          <w:szCs w:val="20"/>
          <w:color w:val="auto"/>
        </w:rPr>
      </w:pPr>
      <w:r>
        <w:rPr>
          <w:rFonts w:ascii="Times New Roman" w:cs="Times New Roman" w:eastAsia="Times New Roman" w:hAnsi="Times New Roman"/>
          <w:sz w:val="16"/>
          <w:szCs w:val="16"/>
          <w:b w:val="1"/>
          <w:bCs w:val="1"/>
          <w:color w:val="010000"/>
        </w:rPr>
        <w:t>Section 3.19</w:t>
      </w:r>
      <w:r>
        <w:rPr>
          <w:rFonts w:ascii="Times New Roman" w:cs="Times New Roman" w:eastAsia="Times New Roman" w:hAnsi="Times New Roman"/>
          <w:sz w:val="16"/>
          <w:szCs w:val="16"/>
          <w:b w:val="1"/>
          <w:bCs w:val="1"/>
          <w:color w:val="auto"/>
        </w:rPr>
        <w:tab/>
        <w:t>Taxes</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ind w:left="969"/>
        <w:spacing w:after="0"/>
        <w:rPr>
          <w:sz w:val="20"/>
          <w:szCs w:val="20"/>
          <w:color w:val="auto"/>
        </w:rPr>
      </w:pPr>
      <w:r>
        <w:rPr>
          <w:rFonts w:ascii="Times New Roman" w:cs="Times New Roman" w:eastAsia="Times New Roman" w:hAnsi="Times New Roman"/>
          <w:sz w:val="16"/>
          <w:szCs w:val="16"/>
          <w:color w:val="auto"/>
        </w:rPr>
        <w:t>[***]</w:t>
      </w:r>
    </w:p>
    <w:p>
      <w:pPr>
        <w:spacing w:after="0" w:line="137" w:lineRule="exact"/>
        <w:rPr>
          <w:sz w:val="20"/>
          <w:szCs w:val="20"/>
          <w:color w:val="auto"/>
        </w:rPr>
      </w:pPr>
    </w:p>
    <w:p>
      <w:pPr>
        <w:ind w:left="489"/>
        <w:spacing w:after="0"/>
        <w:tabs>
          <w:tab w:leader="none" w:pos="1429" w:val="left"/>
        </w:tabs>
        <w:rPr>
          <w:sz w:val="20"/>
          <w:szCs w:val="20"/>
          <w:color w:val="auto"/>
        </w:rPr>
      </w:pPr>
      <w:r>
        <w:rPr>
          <w:rFonts w:ascii="Times New Roman" w:cs="Times New Roman" w:eastAsia="Times New Roman" w:hAnsi="Times New Roman"/>
          <w:sz w:val="16"/>
          <w:szCs w:val="16"/>
          <w:b w:val="1"/>
          <w:bCs w:val="1"/>
          <w:color w:val="010000"/>
        </w:rPr>
        <w:t>Section 3.20</w:t>
      </w:r>
      <w:r>
        <w:rPr>
          <w:rFonts w:ascii="Times New Roman" w:cs="Times New Roman" w:eastAsia="Times New Roman" w:hAnsi="Times New Roman"/>
          <w:sz w:val="16"/>
          <w:szCs w:val="16"/>
          <w:b w:val="1"/>
          <w:bCs w:val="1"/>
          <w:color w:val="auto"/>
        </w:rPr>
        <w:tab/>
        <w:t>Environmental Matters</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ind w:left="1449" w:hanging="479"/>
        <w:spacing w:after="0"/>
        <w:tabs>
          <w:tab w:leader="none" w:pos="1449"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have a Material Adverse Effect:</w:t>
      </w:r>
    </w:p>
    <w:p>
      <w:pPr>
        <w:spacing w:after="0" w:line="139" w:lineRule="exact"/>
        <w:rPr>
          <w:rFonts w:ascii="Times New Roman" w:cs="Times New Roman" w:eastAsia="Times New Roman" w:hAnsi="Times New Roman"/>
          <w:sz w:val="16"/>
          <w:szCs w:val="16"/>
          <w:color w:val="auto"/>
        </w:rPr>
      </w:pPr>
    </w:p>
    <w:p>
      <w:pPr>
        <w:jc w:val="both"/>
        <w:ind w:left="9" w:firstLine="1446"/>
        <w:spacing w:after="0" w:line="221" w:lineRule="auto"/>
        <w:tabs>
          <w:tab w:leader="none" w:pos="1940" w:val="left"/>
        </w:tabs>
        <w:numPr>
          <w:ilvl w:val="1"/>
          <w:numId w:val="16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during the [***] years preceding the date hereof, the Acquired Companies have been, and they currently are, in compliance with all applicable Environmental Laws; the Acquired Companies hold, and during the [***] years preceding the date hereof have been, and they currently are, in compliance with all permits, licenses, registrations, approvals and other authorizations required under applicable Environmental Laws; no Acquired Company has received any written notices, claims, demand letters or requests for information from any Governmental Authority or other Person alleging or indicating that an Acquired Company is or may be in violation of, or be liable under, any Environmental Law; and no Acquired Company is subject to any pending or, to the Company’s Knowledge, threatened in writing Action under or relating to any Environmental Law; and</w:t>
      </w:r>
    </w:p>
    <w:p>
      <w:pPr>
        <w:spacing w:after="0" w:line="115" w:lineRule="exact"/>
        <w:rPr>
          <w:rFonts w:ascii="Times New Roman" w:cs="Times New Roman" w:eastAsia="Times New Roman" w:hAnsi="Times New Roman"/>
          <w:sz w:val="16"/>
          <w:szCs w:val="16"/>
          <w:color w:val="010000"/>
        </w:rPr>
      </w:pPr>
    </w:p>
    <w:p>
      <w:pPr>
        <w:jc w:val="both"/>
        <w:ind w:left="9" w:firstLine="1446"/>
        <w:spacing w:after="0" w:line="232" w:lineRule="auto"/>
        <w:tabs>
          <w:tab w:leader="none" w:pos="1950" w:val="left"/>
        </w:tabs>
        <w:numPr>
          <w:ilvl w:val="1"/>
          <w:numId w:val="16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Acquired Companies have not disposed of, handled, generated, manufactured, distributed, exposed any Person to, or released any Hazardous Substances, and, to the Knowledge of the Company, no third party has caused a release of Hazardous Substances, at, in, on, under or from any Leased Real Property or any other property or facility currently or previously owned, leased, operated or used by an Acquired Company.</w:t>
      </w:r>
    </w:p>
    <w:p>
      <w:pPr>
        <w:spacing w:after="0" w:line="113" w:lineRule="exact"/>
        <w:rPr>
          <w:rFonts w:ascii="Times New Roman" w:cs="Times New Roman" w:eastAsia="Times New Roman" w:hAnsi="Times New Roman"/>
          <w:sz w:val="16"/>
          <w:szCs w:val="16"/>
          <w:color w:val="010000"/>
        </w:rPr>
      </w:pPr>
    </w:p>
    <w:p>
      <w:pPr>
        <w:ind w:left="1449" w:hanging="479"/>
        <w:spacing w:after="0"/>
        <w:tabs>
          <w:tab w:leader="none" w:pos="1449"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w:t>
      </w:r>
    </w:p>
    <w:p>
      <w:pPr>
        <w:spacing w:after="0" w:line="135" w:lineRule="exact"/>
        <w:rPr>
          <w:rFonts w:ascii="Times New Roman" w:cs="Times New Roman" w:eastAsia="Times New Roman" w:hAnsi="Times New Roman"/>
          <w:sz w:val="16"/>
          <w:szCs w:val="16"/>
          <w:color w:val="auto"/>
        </w:rPr>
      </w:pPr>
    </w:p>
    <w:p>
      <w:pPr>
        <w:jc w:val="both"/>
        <w:ind w:left="9" w:firstLine="1446"/>
        <w:spacing w:after="0" w:line="233" w:lineRule="auto"/>
        <w:tabs>
          <w:tab w:leader="none" w:pos="1940" w:val="left"/>
        </w:tabs>
        <w:numPr>
          <w:ilvl w:val="1"/>
          <w:numId w:val="16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Environmental Laws</w:t>
      </w:r>
      <w:r>
        <w:rPr>
          <w:rFonts w:ascii="Times New Roman" w:cs="Times New Roman" w:eastAsia="Times New Roman" w:hAnsi="Times New Roman"/>
          <w:sz w:val="16"/>
          <w:szCs w:val="16"/>
          <w:color w:val="auto"/>
        </w:rPr>
        <w:t>” means: any Laws relating to (A) releases or threatened releases of Hazardous Substances or materials containing Hazardous Substances; (B) the manufacture, handling, transport, use, treatment, storage or disposal of, or exposure to, Hazardous Substances or materials containing Hazardous Substances; or (C) pollution or protection of the environment, health, safety or natural resources.</w:t>
      </w:r>
    </w:p>
    <w:p>
      <w:pPr>
        <w:spacing w:after="0" w:line="111" w:lineRule="exact"/>
        <w:rPr>
          <w:rFonts w:ascii="Times New Roman" w:cs="Times New Roman" w:eastAsia="Times New Roman" w:hAnsi="Times New Roman"/>
          <w:sz w:val="16"/>
          <w:szCs w:val="16"/>
          <w:color w:val="010000"/>
        </w:rPr>
      </w:pPr>
    </w:p>
    <w:p>
      <w:pPr>
        <w:jc w:val="both"/>
        <w:ind w:left="9" w:firstLine="1446"/>
        <w:spacing w:after="0" w:line="233" w:lineRule="auto"/>
        <w:tabs>
          <w:tab w:leader="none" w:pos="1950" w:val="left"/>
        </w:tabs>
        <w:numPr>
          <w:ilvl w:val="1"/>
          <w:numId w:val="16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Hazardous Substances</w:t>
      </w:r>
      <w:r>
        <w:rPr>
          <w:rFonts w:ascii="Times New Roman" w:cs="Times New Roman" w:eastAsia="Times New Roman" w:hAnsi="Times New Roman"/>
          <w:sz w:val="16"/>
          <w:szCs w:val="16"/>
          <w:color w:val="auto"/>
        </w:rPr>
        <w:t>” means any chemical, substance, material or waste regulated by any Governmental Authority pursuant to any Environmental Law, or with respect to which liability may be imposed pursuant to Environmental Law, including petroleum and petroleum byproducts and breakdown products, asbestos, per- and polyfluoroalkyl substances, polyfluorinated biphenyls and toxic mold.</w:t>
      </w:r>
    </w:p>
    <w:p>
      <w:pPr>
        <w:spacing w:after="0" w:line="113" w:lineRule="exact"/>
        <w:rPr>
          <w:sz w:val="20"/>
          <w:szCs w:val="20"/>
          <w:color w:val="auto"/>
        </w:rPr>
      </w:pPr>
    </w:p>
    <w:p>
      <w:pPr>
        <w:ind w:left="489"/>
        <w:spacing w:after="0"/>
        <w:tabs>
          <w:tab w:leader="none" w:pos="1429" w:val="left"/>
        </w:tabs>
        <w:rPr>
          <w:sz w:val="20"/>
          <w:szCs w:val="20"/>
          <w:color w:val="auto"/>
        </w:rPr>
      </w:pPr>
      <w:r>
        <w:rPr>
          <w:rFonts w:ascii="Times New Roman" w:cs="Times New Roman" w:eastAsia="Times New Roman" w:hAnsi="Times New Roman"/>
          <w:sz w:val="16"/>
          <w:szCs w:val="16"/>
          <w:b w:val="1"/>
          <w:bCs w:val="1"/>
          <w:color w:val="010000"/>
        </w:rPr>
        <w:t>Section 3.21</w:t>
      </w:r>
      <w:r>
        <w:rPr>
          <w:rFonts w:ascii="Times New Roman" w:cs="Times New Roman" w:eastAsia="Times New Roman" w:hAnsi="Times New Roman"/>
          <w:sz w:val="16"/>
          <w:szCs w:val="16"/>
          <w:b w:val="1"/>
          <w:bCs w:val="1"/>
          <w:color w:val="auto"/>
        </w:rPr>
        <w:tab/>
        <w:t>Material Contracts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6"/>
          <w:szCs w:val="16"/>
          <w:color w:val="auto"/>
        </w:rPr>
        <w:t>52</w:t>
      </w:r>
    </w:p>
    <w:p>
      <w:pPr>
        <w:sectPr>
          <w:pgSz w:w="11900" w:h="16840" w:orient="portrait"/>
          <w:cols w:equalWidth="0" w:num="1">
            <w:col w:w="10589"/>
          </w:cols>
          <w:pgMar w:left="651" w:top="1440" w:right="660" w:bottom="1440" w:gutter="0" w:footer="0" w:header="0"/>
        </w:sectPr>
      </w:pPr>
    </w:p>
    <w:bookmarkStart w:id="331" w:name="page332"/>
    <w:bookmarkEnd w:id="331"/>
    <w:p>
      <w:pPr>
        <w:spacing w:after="0" w:line="78" w:lineRule="exact"/>
        <w:rPr>
          <w:sz w:val="20"/>
          <w:szCs w:val="20"/>
          <w:color w:val="auto"/>
        </w:rPr>
      </w:pPr>
    </w:p>
    <w:p>
      <w:pPr>
        <w:jc w:val="both"/>
        <w:ind w:firstLine="961"/>
        <w:spacing w:after="0" w:line="227" w:lineRule="auto"/>
        <w:tabs>
          <w:tab w:leader="none" w:pos="1456"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Section 3.21(a) </w:t>
      </w:r>
      <w:r>
        <w:rPr>
          <w:rFonts w:ascii="Times New Roman" w:cs="Times New Roman" w:eastAsia="Times New Roman" w:hAnsi="Times New Roman"/>
          <w:sz w:val="16"/>
          <w:szCs w:val="16"/>
          <w:color w:val="auto"/>
        </w:rPr>
        <w:t>of the Disclosure Schedules sets forth a true and complete list of each Contract, including all amendments, supplements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modifications, other than any Company Plans, in effect as of the date of this Agreement to which an Acquired Company is a party or by which an Acquired Company is bound in the following categories (such Contracts as are required to be set forth in </w:t>
      </w:r>
      <w:r>
        <w:rPr>
          <w:rFonts w:ascii="Times New Roman" w:cs="Times New Roman" w:eastAsia="Times New Roman" w:hAnsi="Times New Roman"/>
          <w:sz w:val="16"/>
          <w:szCs w:val="16"/>
          <w:b w:val="1"/>
          <w:bCs w:val="1"/>
          <w:color w:val="auto"/>
        </w:rPr>
        <w:t>Section 3.21(a)</w:t>
      </w:r>
      <w:r>
        <w:rPr>
          <w:rFonts w:ascii="Times New Roman" w:cs="Times New Roman" w:eastAsia="Times New Roman" w:hAnsi="Times New Roman"/>
          <w:sz w:val="16"/>
          <w:szCs w:val="16"/>
          <w:color w:val="auto"/>
        </w:rPr>
        <w:t xml:space="preserve"> of the Disclosure Schedules being “</w:t>
      </w:r>
      <w:r>
        <w:rPr>
          <w:rFonts w:ascii="Times New Roman" w:cs="Times New Roman" w:eastAsia="Times New Roman" w:hAnsi="Times New Roman"/>
          <w:sz w:val="16"/>
          <w:szCs w:val="16"/>
          <w:b w:val="1"/>
          <w:bCs w:val="1"/>
          <w:i w:val="1"/>
          <w:iCs w:val="1"/>
          <w:color w:val="auto"/>
        </w:rPr>
        <w:t>Material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Contracts</w:t>
      </w:r>
      <w:r>
        <w:rPr>
          <w:rFonts w:ascii="Times New Roman" w:cs="Times New Roman" w:eastAsia="Times New Roman" w:hAnsi="Times New Roman"/>
          <w:sz w:val="16"/>
          <w:szCs w:val="16"/>
          <w:color w:val="auto"/>
        </w:rPr>
        <w:t>”):</w:t>
      </w:r>
    </w:p>
    <w:p>
      <w:pPr>
        <w:spacing w:after="0" w:line="114" w:lineRule="exact"/>
        <w:rPr>
          <w:rFonts w:ascii="Times New Roman" w:cs="Times New Roman" w:eastAsia="Times New Roman" w:hAnsi="Times New Roman"/>
          <w:sz w:val="16"/>
          <w:szCs w:val="16"/>
          <w:color w:val="auto"/>
        </w:rPr>
      </w:pPr>
    </w:p>
    <w:p>
      <w:pPr>
        <w:jc w:val="both"/>
        <w:ind w:firstLine="1446"/>
        <w:spacing w:after="0" w:line="232" w:lineRule="auto"/>
        <w:tabs>
          <w:tab w:leader="none" w:pos="1931" w:val="left"/>
        </w:tabs>
        <w:numPr>
          <w:ilvl w:val="1"/>
          <w:numId w:val="16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any Contract (or group of related Contracts), other than any Contract with any current Acquired Company employee, that (A) involves payments to an Acquired Company, individually or in the aggregate, in excess of $[***] in the most recent [***] months immediately preceding the date of this Agreement or (B) requires future payments, individually or in the aggregate, by or to an Acquired Company in excess of $[***] in any calendar year;</w:t>
      </w:r>
    </w:p>
    <w:p>
      <w:pPr>
        <w:spacing w:after="0" w:line="113" w:lineRule="exact"/>
        <w:rPr>
          <w:rFonts w:ascii="Times New Roman" w:cs="Times New Roman" w:eastAsia="Times New Roman" w:hAnsi="Times New Roman"/>
          <w:sz w:val="16"/>
          <w:szCs w:val="16"/>
          <w:color w:val="010000"/>
        </w:rPr>
      </w:pPr>
    </w:p>
    <w:p>
      <w:pPr>
        <w:jc w:val="both"/>
        <w:ind w:firstLine="1446"/>
        <w:spacing w:after="0" w:line="223" w:lineRule="auto"/>
        <w:tabs>
          <w:tab w:leader="none" w:pos="1941" w:val="left"/>
        </w:tabs>
        <w:numPr>
          <w:ilvl w:val="1"/>
          <w:numId w:val="16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any Contract (A) related to the disposition by an Acquired Company of any business, material assets or Equity Interests of any Acquired Company (1) after the date of this Agreement or (2) prior to the date of this Agreement that contains any material ongoing obligations (including indemnification, “earn-outs,” milestone payments or other similar contingent payments by or to any Acquired Company for the deferred purchase price of property or services where such contingent payments remain to be paid) or (B) the primary purposes of which is indemnification obligations by an Acquired Company with respect to infringements of material Intellectual Property rights;</w:t>
      </w:r>
    </w:p>
    <w:p>
      <w:pPr>
        <w:spacing w:after="0" w:line="115" w:lineRule="exact"/>
        <w:rPr>
          <w:rFonts w:ascii="Times New Roman" w:cs="Times New Roman" w:eastAsia="Times New Roman" w:hAnsi="Times New Roman"/>
          <w:sz w:val="16"/>
          <w:szCs w:val="16"/>
          <w:color w:val="010000"/>
        </w:rPr>
      </w:pPr>
    </w:p>
    <w:p>
      <w:pPr>
        <w:jc w:val="both"/>
        <w:ind w:firstLine="1446"/>
        <w:spacing w:after="0" w:line="232" w:lineRule="auto"/>
        <w:tabs>
          <w:tab w:leader="none" w:pos="1941" w:val="left"/>
        </w:tabs>
        <w:numPr>
          <w:ilvl w:val="1"/>
          <w:numId w:val="16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 any guaranty relating to indebtedness for borrowed money by an Acquired Company; (B) any Contract evidencing indebtedness of an Acquired Company; and (C) any Contract relating to any loan or advance by an Acquired Company to any Person which is outstanding as of the date of the Agreement (other than ordinary advances made in the ordinary course of business);</w:t>
      </w:r>
    </w:p>
    <w:p>
      <w:pPr>
        <w:spacing w:after="0" w:line="113" w:lineRule="exact"/>
        <w:rPr>
          <w:rFonts w:ascii="Times New Roman" w:cs="Times New Roman" w:eastAsia="Times New Roman" w:hAnsi="Times New Roman"/>
          <w:sz w:val="16"/>
          <w:szCs w:val="16"/>
          <w:color w:val="010000"/>
        </w:rPr>
      </w:pPr>
    </w:p>
    <w:p>
      <w:pPr>
        <w:ind w:left="1920" w:hanging="474"/>
        <w:spacing w:after="0"/>
        <w:tabs>
          <w:tab w:leader="none" w:pos="1920" w:val="left"/>
        </w:tabs>
        <w:numPr>
          <w:ilvl w:val="1"/>
          <w:numId w:val="16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any Inbound License and any Outbound License;</w:t>
      </w:r>
    </w:p>
    <w:p>
      <w:pPr>
        <w:spacing w:after="0" w:line="139" w:lineRule="exact"/>
        <w:rPr>
          <w:rFonts w:ascii="Times New Roman" w:cs="Times New Roman" w:eastAsia="Times New Roman" w:hAnsi="Times New Roman"/>
          <w:sz w:val="16"/>
          <w:szCs w:val="16"/>
          <w:color w:val="010000"/>
        </w:rPr>
      </w:pPr>
    </w:p>
    <w:p>
      <w:pPr>
        <w:ind w:right="20" w:firstLine="1446"/>
        <w:spacing w:after="0" w:line="245" w:lineRule="auto"/>
        <w:tabs>
          <w:tab w:leader="none" w:pos="1941" w:val="left"/>
        </w:tabs>
        <w:numPr>
          <w:ilvl w:val="1"/>
          <w:numId w:val="16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any Contract with any academic institution, research center, hospital, clinical trial site or Governmental Authority that provides for (or is reasonably likely to require) research and development activities involving the creation of any Intellectual Property material to the Acquired Companies;</w:t>
      </w:r>
    </w:p>
    <w:p>
      <w:pPr>
        <w:spacing w:after="0" w:line="107" w:lineRule="exact"/>
        <w:rPr>
          <w:rFonts w:ascii="Times New Roman" w:cs="Times New Roman" w:eastAsia="Times New Roman" w:hAnsi="Times New Roman"/>
          <w:sz w:val="16"/>
          <w:szCs w:val="16"/>
          <w:color w:val="010000"/>
        </w:rPr>
      </w:pPr>
    </w:p>
    <w:p>
      <w:pPr>
        <w:ind w:left="1920" w:hanging="474"/>
        <w:spacing w:after="0"/>
        <w:tabs>
          <w:tab w:leader="none" w:pos="1920" w:val="left"/>
        </w:tabs>
        <w:numPr>
          <w:ilvl w:val="1"/>
          <w:numId w:val="16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any Contracts set forth on </w:t>
      </w:r>
      <w:r>
        <w:rPr>
          <w:rFonts w:ascii="Times New Roman" w:cs="Times New Roman" w:eastAsia="Times New Roman" w:hAnsi="Times New Roman"/>
          <w:sz w:val="16"/>
          <w:szCs w:val="16"/>
          <w:b w:val="1"/>
          <w:bCs w:val="1"/>
          <w:color w:val="auto"/>
        </w:rPr>
        <w:t>Section 3.22</w:t>
      </w:r>
      <w:r>
        <w:rPr>
          <w:rFonts w:ascii="Times New Roman" w:cs="Times New Roman" w:eastAsia="Times New Roman" w:hAnsi="Times New Roman"/>
          <w:sz w:val="16"/>
          <w:szCs w:val="16"/>
          <w:color w:val="auto"/>
        </w:rPr>
        <w:t xml:space="preserve"> of the Disclosure Schedules;</w:t>
      </w:r>
    </w:p>
    <w:p>
      <w:pPr>
        <w:spacing w:after="0" w:line="141" w:lineRule="exact"/>
        <w:rPr>
          <w:rFonts w:ascii="Times New Roman" w:cs="Times New Roman" w:eastAsia="Times New Roman" w:hAnsi="Times New Roman"/>
          <w:sz w:val="16"/>
          <w:szCs w:val="16"/>
          <w:color w:val="010000"/>
        </w:rPr>
      </w:pPr>
    </w:p>
    <w:p>
      <w:pPr>
        <w:jc w:val="both"/>
        <w:ind w:firstLine="1446"/>
        <w:spacing w:after="0" w:line="232" w:lineRule="auto"/>
        <w:tabs>
          <w:tab w:leader="none" w:pos="1941" w:val="left"/>
        </w:tabs>
        <w:numPr>
          <w:ilvl w:val="1"/>
          <w:numId w:val="16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any Contract for the purchase of materials, supplies, goods, services, equipment or other assets where annual payments made by an Acquired Company [***], exceeded or are expected to exceed $[***] and is not cancelable without penalty or further payment and without more than [***] days’ notice;</w:t>
      </w:r>
    </w:p>
    <w:p>
      <w:pPr>
        <w:spacing w:after="0" w:line="113" w:lineRule="exact"/>
        <w:rPr>
          <w:rFonts w:ascii="Times New Roman" w:cs="Times New Roman" w:eastAsia="Times New Roman" w:hAnsi="Times New Roman"/>
          <w:sz w:val="16"/>
          <w:szCs w:val="16"/>
          <w:color w:val="010000"/>
        </w:rPr>
      </w:pPr>
    </w:p>
    <w:p>
      <w:pPr>
        <w:jc w:val="both"/>
        <w:ind w:firstLine="1446"/>
        <w:spacing w:after="0" w:line="226" w:lineRule="auto"/>
        <w:tabs>
          <w:tab w:leader="none" w:pos="1941" w:val="left"/>
        </w:tabs>
        <w:numPr>
          <w:ilvl w:val="1"/>
          <w:numId w:val="16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any Contract (A) that relates to any Research Program (including the generation or collection of data from any material Research Program), or any research, development, distribution, sale, supply, license, importation, exportation, marketing, co-promotion or manufacturing activities that are material to the business of Acquired Companies as currently conducted or as currently contemplated to be conducted or (B) under which clinical, pre-clinical or non-clinical data is or may be generated, for use in connection with or relating to any Company Product or Research Program;</w:t>
      </w:r>
    </w:p>
    <w:p>
      <w:pPr>
        <w:spacing w:after="0" w:line="115" w:lineRule="exact"/>
        <w:rPr>
          <w:rFonts w:ascii="Times New Roman" w:cs="Times New Roman" w:eastAsia="Times New Roman" w:hAnsi="Times New Roman"/>
          <w:sz w:val="16"/>
          <w:szCs w:val="16"/>
          <w:color w:val="010000"/>
        </w:rPr>
      </w:pPr>
    </w:p>
    <w:p>
      <w:pPr>
        <w:ind w:firstLine="1446"/>
        <w:spacing w:after="0" w:line="245" w:lineRule="auto"/>
        <w:tabs>
          <w:tab w:leader="none" w:pos="1931" w:val="left"/>
        </w:tabs>
        <w:numPr>
          <w:ilvl w:val="1"/>
          <w:numId w:val="16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any Contract containing any non-compete, right of first offer or negotiation, or right of first refusal provision or any similarly restrictive provision with respect to</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ectPr>
          <w:pgSz w:w="11900" w:h="16840" w:orient="portrait"/>
          <w:cols w:equalWidth="0" w:num="1">
            <w:col w:w="10580"/>
          </w:cols>
          <w:pgMar w:left="660" w:top="1440" w:right="660" w:bottom="1440" w:gutter="0" w:footer="0" w:header="0"/>
        </w:sectPr>
      </w:pPr>
    </w:p>
    <w:bookmarkStart w:id="332" w:name="page333"/>
    <w:bookmarkEnd w:id="332"/>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line of business, Person, property or geographic area that limits the business of any Acquired Company;</w:t>
      </w:r>
    </w:p>
    <w:p>
      <w:pPr>
        <w:spacing w:after="0" w:line="139" w:lineRule="exact"/>
        <w:rPr>
          <w:sz w:val="20"/>
          <w:szCs w:val="20"/>
          <w:color w:val="auto"/>
        </w:rPr>
      </w:pPr>
    </w:p>
    <w:p>
      <w:pPr>
        <w:jc w:val="both"/>
        <w:ind w:firstLine="1446"/>
        <w:spacing w:after="0" w:line="226" w:lineRule="auto"/>
        <w:tabs>
          <w:tab w:leader="none" w:pos="1941" w:val="left"/>
        </w:tabs>
        <w:numPr>
          <w:ilvl w:val="0"/>
          <w:numId w:val="16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any Contract (A) obligating any Acquired Company to purchase or otherwise obtain any product or service exclusively from a single party or sell any product or service exclusively to a single party, containing any “take or pay” or similar provision, or granting any Person “most favored nation” or similar status with respect to any of the Company Products or (B) under which any Person has been granted the right to develop, manufacture, sell, market or distribute any Company Product on an exclusive or co-exclusive basis to any Person or group of Persons or in any geographical area;</w:t>
      </w:r>
    </w:p>
    <w:p>
      <w:pPr>
        <w:spacing w:after="0" w:line="115" w:lineRule="exact"/>
        <w:rPr>
          <w:rFonts w:ascii="Times New Roman" w:cs="Times New Roman" w:eastAsia="Times New Roman" w:hAnsi="Times New Roman"/>
          <w:sz w:val="16"/>
          <w:szCs w:val="16"/>
          <w:color w:val="010000"/>
        </w:rPr>
      </w:pPr>
    </w:p>
    <w:p>
      <w:pPr>
        <w:jc w:val="both"/>
        <w:ind w:firstLine="1446"/>
        <w:spacing w:after="0" w:line="226" w:lineRule="auto"/>
        <w:tabs>
          <w:tab w:leader="none" w:pos="1931" w:val="left"/>
        </w:tabs>
        <w:numPr>
          <w:ilvl w:val="0"/>
          <w:numId w:val="16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any Contract relating to the acquisition by any Acquired Company of a material amount of assets or Equity Interests of another Person (A) after the date of this Agreement, or (B) prior to the date of this Agreement, that contains any material ongoing obligations (including indemnification, “earn-outs,” milestone payments or other similar contingent payments by or to any Acquired Company for the deferred purchase price of property or services where such contingent payments remain to be paid);</w:t>
      </w:r>
    </w:p>
    <w:p>
      <w:pPr>
        <w:spacing w:after="0" w:line="115" w:lineRule="exact"/>
        <w:rPr>
          <w:rFonts w:ascii="Times New Roman" w:cs="Times New Roman" w:eastAsia="Times New Roman" w:hAnsi="Times New Roman"/>
          <w:sz w:val="16"/>
          <w:szCs w:val="16"/>
          <w:color w:val="010000"/>
        </w:rPr>
      </w:pPr>
    </w:p>
    <w:p>
      <w:pPr>
        <w:ind w:firstLine="1446"/>
        <w:spacing w:after="0" w:line="245" w:lineRule="auto"/>
        <w:tabs>
          <w:tab w:leader="none" w:pos="1941" w:val="left"/>
        </w:tabs>
        <w:numPr>
          <w:ilvl w:val="0"/>
          <w:numId w:val="16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 all joint venture and partnership Contracts or (B) all Contracts that provide for, relate to or involve any royalty payments, sharing of revenues, profits or losses with one or more Persons;</w:t>
      </w:r>
    </w:p>
    <w:p>
      <w:pPr>
        <w:spacing w:after="0" w:line="109" w:lineRule="exact"/>
        <w:rPr>
          <w:rFonts w:ascii="Times New Roman" w:cs="Times New Roman" w:eastAsia="Times New Roman" w:hAnsi="Times New Roman"/>
          <w:sz w:val="16"/>
          <w:szCs w:val="16"/>
          <w:color w:val="010000"/>
        </w:rPr>
      </w:pPr>
    </w:p>
    <w:p>
      <w:pPr>
        <w:ind w:left="1940" w:hanging="494"/>
        <w:spacing w:after="0"/>
        <w:tabs>
          <w:tab w:leader="none" w:pos="1940" w:val="left"/>
        </w:tabs>
        <w:numPr>
          <w:ilvl w:val="0"/>
          <w:numId w:val="16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each settlement agreement entered into in the last [***] years;</w:t>
      </w:r>
    </w:p>
    <w:p>
      <w:pPr>
        <w:spacing w:after="0" w:line="139" w:lineRule="exact"/>
        <w:rPr>
          <w:rFonts w:ascii="Times New Roman" w:cs="Times New Roman" w:eastAsia="Times New Roman" w:hAnsi="Times New Roman"/>
          <w:sz w:val="16"/>
          <w:szCs w:val="16"/>
          <w:color w:val="010000"/>
        </w:rPr>
      </w:pPr>
    </w:p>
    <w:p>
      <w:pPr>
        <w:ind w:left="1920" w:hanging="474"/>
        <w:spacing w:after="0"/>
        <w:tabs>
          <w:tab w:leader="none" w:pos="1920" w:val="left"/>
        </w:tabs>
        <w:numPr>
          <w:ilvl w:val="0"/>
          <w:numId w:val="16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all Contracts to which any Acquired Company is a party relating to any Hedging Transaction;</w:t>
      </w:r>
    </w:p>
    <w:p>
      <w:pPr>
        <w:spacing w:after="0" w:line="135" w:lineRule="exact"/>
        <w:rPr>
          <w:rFonts w:ascii="Times New Roman" w:cs="Times New Roman" w:eastAsia="Times New Roman" w:hAnsi="Times New Roman"/>
          <w:sz w:val="16"/>
          <w:szCs w:val="16"/>
          <w:color w:val="010000"/>
        </w:rPr>
      </w:pPr>
    </w:p>
    <w:p>
      <w:pPr>
        <w:ind w:left="1940" w:hanging="494"/>
        <w:spacing w:after="0"/>
        <w:tabs>
          <w:tab w:leader="none" w:pos="1940" w:val="left"/>
        </w:tabs>
        <w:numPr>
          <w:ilvl w:val="0"/>
          <w:numId w:val="16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any  Contracts  relating  to  indebtedness  for  borrowed  money  (except  for  any  intercompany  indebtedness  among Acquired</w:t>
      </w:r>
    </w:p>
    <w:p>
      <w:pPr>
        <w:spacing w:after="0"/>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Companies);</w:t>
      </w:r>
    </w:p>
    <w:p>
      <w:pPr>
        <w:spacing w:after="0" w:line="121" w:lineRule="exact"/>
        <w:rPr>
          <w:rFonts w:ascii="Times New Roman" w:cs="Times New Roman" w:eastAsia="Times New Roman" w:hAnsi="Times New Roman"/>
          <w:sz w:val="16"/>
          <w:szCs w:val="16"/>
          <w:color w:val="010000"/>
        </w:rPr>
      </w:pPr>
    </w:p>
    <w:p>
      <w:pPr>
        <w:ind w:left="1920" w:hanging="474"/>
        <w:spacing w:after="0"/>
        <w:tabs>
          <w:tab w:leader="none" w:pos="1920" w:val="left"/>
        </w:tabs>
        <w:numPr>
          <w:ilvl w:val="0"/>
          <w:numId w:val="16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any Contract with any Governmental Authority under which any Governmental Authority has any rights; and</w:t>
      </w:r>
    </w:p>
    <w:p>
      <w:pPr>
        <w:spacing w:after="0" w:line="139" w:lineRule="exact"/>
        <w:rPr>
          <w:rFonts w:ascii="Times New Roman" w:cs="Times New Roman" w:eastAsia="Times New Roman" w:hAnsi="Times New Roman"/>
          <w:sz w:val="16"/>
          <w:szCs w:val="16"/>
          <w:color w:val="010000"/>
        </w:rPr>
      </w:pPr>
    </w:p>
    <w:p>
      <w:pPr>
        <w:ind w:left="1940" w:hanging="494"/>
        <w:spacing w:after="0"/>
        <w:tabs>
          <w:tab w:leader="none" w:pos="1940" w:val="left"/>
        </w:tabs>
        <w:numPr>
          <w:ilvl w:val="0"/>
          <w:numId w:val="16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Steam Supply Agreement;</w:t>
      </w:r>
    </w:p>
    <w:p>
      <w:pPr>
        <w:spacing w:after="0" w:line="1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but excluding, in the case of each of the foregoing clauses, any Excepted Contracts.</w:t>
      </w:r>
    </w:p>
    <w:p>
      <w:pPr>
        <w:spacing w:after="0" w:line="160" w:lineRule="exact"/>
        <w:rPr>
          <w:sz w:val="20"/>
          <w:szCs w:val="20"/>
          <w:color w:val="auto"/>
        </w:rPr>
      </w:pPr>
    </w:p>
    <w:p>
      <w:pPr>
        <w:jc w:val="both"/>
        <w:ind w:firstLine="961"/>
        <w:spacing w:after="0" w:line="217" w:lineRule="auto"/>
        <w:tabs>
          <w:tab w:leader="none" w:pos="1456"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Material Contract is, with respect to the applicable Acquired Company, and, to the Knowledge of the Company, each other party, a legal, valid, binding and enforceable Contract and is in full force and effect, except as enforcement may be limited by the Bankruptcy and Equity Exception. No Acquired Company is in material breach or violation of, or (with or without notice or lapse of time or both) default under, any Material Contract, nor, as of the date of this Agreement, has an Acquired Company received any claim of any such material breach, violation or default or any other dispute, cancellation or termination notice with respect thereto. To the Knowledge of the Company, (i) no counterparty to any Material Contract is in material breach or violation of, or (with or without notice or lapse of time or both) material default under, and there has not occurred any event that would, or would reasonably be expected to, give to others any right of rescission, withdrawal, revocation, termination, amendment, acceleration or cancellation of, or result in the creation of an Encumbrance (other than a Permitted Encumbrance) upon any Material Contract, (ii) none of the Acquired Companies has received written notice of any material disagreements or disputes under any Material Contract from another Person party thereto, and (iii) no Acquired Company has received, in the [***]-</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ectPr>
          <w:pgSz w:w="11900" w:h="16840" w:orient="portrait"/>
          <w:cols w:equalWidth="0" w:num="1">
            <w:col w:w="10580"/>
          </w:cols>
          <w:pgMar w:left="660" w:top="1440" w:right="660" w:bottom="1440" w:gutter="0" w:footer="0" w:header="0"/>
        </w:sectPr>
      </w:pPr>
    </w:p>
    <w:bookmarkStart w:id="333" w:name="page334"/>
    <w:bookmarkEnd w:id="333"/>
    <w:p>
      <w:pPr>
        <w:spacing w:after="0" w:line="8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month period prior to the date of this Agreement, any written notice from any Person that such Person intends to terminate or not renew any Material Contract. The Company has delivered or made available to Parent true and complete copies of all Material Contracts, including any amendments, supplements or modifications thereto.</w:t>
      </w:r>
    </w:p>
    <w:p>
      <w:pPr>
        <w:spacing w:after="0" w:line="111" w:lineRule="exact"/>
        <w:rPr>
          <w:sz w:val="20"/>
          <w:szCs w:val="20"/>
          <w:color w:val="auto"/>
        </w:rPr>
      </w:pPr>
    </w:p>
    <w:p>
      <w:pPr>
        <w:jc w:val="both"/>
        <w:ind w:firstLine="485"/>
        <w:spacing w:after="0" w:line="232" w:lineRule="auto"/>
        <w:rPr>
          <w:sz w:val="20"/>
          <w:szCs w:val="20"/>
          <w:color w:val="auto"/>
        </w:rPr>
      </w:pPr>
      <w:r>
        <w:rPr>
          <w:rFonts w:ascii="Times New Roman" w:cs="Times New Roman" w:eastAsia="Times New Roman" w:hAnsi="Times New Roman"/>
          <w:sz w:val="16"/>
          <w:szCs w:val="16"/>
          <w:b w:val="1"/>
          <w:bCs w:val="1"/>
          <w:color w:val="010000"/>
        </w:rPr>
        <w:t xml:space="preserve">Section 3.22 </w:t>
      </w:r>
      <w:r>
        <w:rPr>
          <w:rFonts w:ascii="Times New Roman" w:cs="Times New Roman" w:eastAsia="Times New Roman" w:hAnsi="Times New Roman"/>
          <w:sz w:val="16"/>
          <w:szCs w:val="16"/>
          <w:b w:val="1"/>
          <w:bCs w:val="1"/>
          <w:color w:val="000000"/>
        </w:rPr>
        <w:t>Affiliate Interests and Transactions</w:t>
      </w:r>
      <w:r>
        <w:rPr>
          <w:rFonts w:ascii="Times New Roman" w:cs="Times New Roman" w:eastAsia="Times New Roman" w:hAnsi="Times New Roman"/>
          <w:sz w:val="16"/>
          <w:szCs w:val="16"/>
          <w:color w:val="000000"/>
        </w:rPr>
        <w:t>. Except as set forth on Section 3.22 of the Disclosure Schedules, there are no Related Party</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Agreements. To the Knowledge of the Company, except as set forth on Section 3.22 of the Disclosure Schedules, no Related Party of an Acquired Company has a direct or indirect interest in any Material Contract.</w:t>
      </w:r>
    </w:p>
    <w:p>
      <w:pPr>
        <w:spacing w:after="0" w:line="113" w:lineRule="exact"/>
        <w:rPr>
          <w:sz w:val="20"/>
          <w:szCs w:val="20"/>
          <w:color w:val="auto"/>
        </w:rPr>
      </w:pPr>
    </w:p>
    <w:p>
      <w:pPr>
        <w:jc w:val="both"/>
        <w:ind w:firstLine="485"/>
        <w:spacing w:after="0"/>
        <w:rPr>
          <w:sz w:val="20"/>
          <w:szCs w:val="20"/>
          <w:color w:val="auto"/>
        </w:rPr>
      </w:pPr>
      <w:r>
        <w:rPr>
          <w:rFonts w:ascii="Times New Roman" w:cs="Times New Roman" w:eastAsia="Times New Roman" w:hAnsi="Times New Roman"/>
          <w:sz w:val="16"/>
          <w:szCs w:val="16"/>
          <w:b w:val="1"/>
          <w:bCs w:val="1"/>
          <w:color w:val="010000"/>
        </w:rPr>
        <w:t xml:space="preserve">Section 3.23 </w:t>
      </w:r>
      <w:r>
        <w:rPr>
          <w:rFonts w:ascii="Times New Roman" w:cs="Times New Roman" w:eastAsia="Times New Roman" w:hAnsi="Times New Roman"/>
          <w:sz w:val="16"/>
          <w:szCs w:val="16"/>
          <w:b w:val="1"/>
          <w:bCs w:val="1"/>
          <w:color w:val="000000"/>
        </w:rPr>
        <w:t>Takeover Laws</w:t>
      </w:r>
      <w:r>
        <w:rPr>
          <w:rFonts w:ascii="Times New Roman" w:cs="Times New Roman" w:eastAsia="Times New Roman" w:hAnsi="Times New Roman"/>
          <w:sz w:val="16"/>
          <w:szCs w:val="16"/>
          <w:color w:val="000000"/>
        </w:rPr>
        <w:t>. As of the date of this Agreement, no “fair price”, “moratorium”, “control share acquisition”, “interested stockholder” or</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other anti-takeover Law (other than the Cayman Companies Law), or any comparable anti-takeover provisions of the Company Articles, would reasonably be expected to restrict or prohibit the execution of this Agreement, each party performing its obligations hereunder or the consummation of the transactions contemplated hereby.</w:t>
      </w:r>
    </w:p>
    <w:p>
      <w:pPr>
        <w:spacing w:after="0" w:line="257" w:lineRule="exact"/>
        <w:rPr>
          <w:sz w:val="20"/>
          <w:szCs w:val="20"/>
          <w:color w:val="auto"/>
        </w:rPr>
      </w:pPr>
    </w:p>
    <w:p>
      <w:pPr>
        <w:jc w:val="both"/>
        <w:ind w:firstLine="485"/>
        <w:spacing w:after="0" w:line="215" w:lineRule="auto"/>
        <w:rPr>
          <w:sz w:val="20"/>
          <w:szCs w:val="20"/>
          <w:color w:val="auto"/>
        </w:rPr>
      </w:pPr>
      <w:r>
        <w:rPr>
          <w:rFonts w:ascii="Times New Roman" w:cs="Times New Roman" w:eastAsia="Times New Roman" w:hAnsi="Times New Roman"/>
          <w:sz w:val="16"/>
          <w:szCs w:val="16"/>
          <w:b w:val="1"/>
          <w:bCs w:val="1"/>
          <w:color w:val="010000"/>
        </w:rPr>
        <w:t xml:space="preserve">Section 3.24 </w:t>
      </w:r>
      <w:r>
        <w:rPr>
          <w:rFonts w:ascii="Times New Roman" w:cs="Times New Roman" w:eastAsia="Times New Roman" w:hAnsi="Times New Roman"/>
          <w:sz w:val="16"/>
          <w:szCs w:val="16"/>
          <w:b w:val="1"/>
          <w:bCs w:val="1"/>
          <w:color w:val="000000"/>
        </w:rPr>
        <w:t>Insurance</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b w:val="1"/>
          <w:bCs w:val="1"/>
          <w:color w:val="000000"/>
        </w:rPr>
        <w:t>Section 3.24</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of the Disclosure Schedules sets forth, as of the date of this Agreement, a complete and accurate list of each</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xml:space="preserve">insurance policy (including clinical trial policies) currently held by an Acquired Company. All such insurance policies are legal, valid, binding and in full force and effect, except for policies that have expired under their terms in the ordinary course and no application therefor included a material misstatement or omission. All premiums with respect thereto have been paid to the extent due. The Acquired Companies maintain insurance coverage in such amounts and covering such risks as are in accordance in all material respects with normal industry practice for biotech companies of similar size and stage of development. As of the date of this Agreement, no Acquired Company has received notice of, nor to the Knowledge of the Company is there threatened, any cancellation, termination, reduction of coverage or material premium increases with respect to any such policy. Except as set forth on </w:t>
      </w:r>
      <w:r>
        <w:rPr>
          <w:rFonts w:ascii="Times New Roman" w:cs="Times New Roman" w:eastAsia="Times New Roman" w:hAnsi="Times New Roman"/>
          <w:sz w:val="16"/>
          <w:szCs w:val="16"/>
          <w:b w:val="1"/>
          <w:bCs w:val="1"/>
          <w:color w:val="000000"/>
        </w:rPr>
        <w:t>Section 3.24</w:t>
      </w:r>
      <w:r>
        <w:rPr>
          <w:rFonts w:ascii="Times New Roman" w:cs="Times New Roman" w:eastAsia="Times New Roman" w:hAnsi="Times New Roman"/>
          <w:sz w:val="16"/>
          <w:szCs w:val="16"/>
          <w:color w:val="000000"/>
        </w:rPr>
        <w:t xml:space="preserve"> of the Disclosure Schedules, (i) no claim currently is pending under any such policy; (ii) as of the date of this Agreement, there is no material claim pending under any of the Acquired Companies’ insurance policies as to which coverage has been questioned, denied or disputed by the underwriters of such policies. During the last [***] years through the date of this Agreement, (a) there have been no material claims pending under any of the Acquired Company’s insurance policies and, to the Knowledge of the Company, no event has occurred that is reasonably expected to give rise to a material insurance claim, and (b) there was no claim under any of the Acquired Company’s insurance policies as to which coverage was denied by the underwriters of such policies, except as would not be material to the Acquired Companies, taken as a whole. No Acquired Company is in material breach or material default under any such policy, and, to the Knowledge of the Company, no event has occurred which, with notice or the lapse of time or both, would constitute such a material breach or material default, or permit termination or material modification, under such policy, and no written notice of cancellation or termination has been received with respect to any such policy.</w:t>
      </w:r>
    </w:p>
    <w:p>
      <w:pPr>
        <w:spacing w:after="0" w:line="115" w:lineRule="exact"/>
        <w:rPr>
          <w:sz w:val="20"/>
          <w:szCs w:val="20"/>
          <w:color w:val="auto"/>
        </w:rPr>
      </w:pPr>
    </w:p>
    <w:p>
      <w:pPr>
        <w:jc w:val="both"/>
        <w:ind w:firstLine="485"/>
        <w:spacing w:after="0" w:line="232" w:lineRule="auto"/>
        <w:rPr>
          <w:sz w:val="20"/>
          <w:szCs w:val="20"/>
          <w:color w:val="auto"/>
        </w:rPr>
      </w:pPr>
      <w:r>
        <w:rPr>
          <w:rFonts w:ascii="Times New Roman" w:cs="Times New Roman" w:eastAsia="Times New Roman" w:hAnsi="Times New Roman"/>
          <w:sz w:val="16"/>
          <w:szCs w:val="16"/>
          <w:b w:val="1"/>
          <w:bCs w:val="1"/>
          <w:color w:val="010000"/>
        </w:rPr>
        <w:t xml:space="preserve">Section 3.25 </w:t>
      </w:r>
      <w:r>
        <w:rPr>
          <w:rFonts w:ascii="Times New Roman" w:cs="Times New Roman" w:eastAsia="Times New Roman" w:hAnsi="Times New Roman"/>
          <w:sz w:val="16"/>
          <w:szCs w:val="16"/>
          <w:b w:val="1"/>
          <w:bCs w:val="1"/>
          <w:color w:val="000000"/>
        </w:rPr>
        <w:t>Brokers</w:t>
      </w:r>
      <w:r>
        <w:rPr>
          <w:rFonts w:ascii="Times New Roman" w:cs="Times New Roman" w:eastAsia="Times New Roman" w:hAnsi="Times New Roman"/>
          <w:sz w:val="16"/>
          <w:szCs w:val="16"/>
          <w:color w:val="000000"/>
        </w:rPr>
        <w:t>. Except as set forth in</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b w:val="1"/>
          <w:bCs w:val="1"/>
          <w:color w:val="000000"/>
        </w:rPr>
        <w:t>Section 3.25</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of the Disclosure Schedules, the fees and expenses of which will be paid at Closing in an</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xml:space="preserve">amount set forth in </w:t>
      </w:r>
      <w:r>
        <w:rPr>
          <w:rFonts w:ascii="Times New Roman" w:cs="Times New Roman" w:eastAsia="Times New Roman" w:hAnsi="Times New Roman"/>
          <w:sz w:val="16"/>
          <w:szCs w:val="16"/>
          <w:b w:val="1"/>
          <w:bCs w:val="1"/>
          <w:color w:val="000000"/>
        </w:rPr>
        <w:t>Section 3.25</w:t>
      </w:r>
      <w:r>
        <w:rPr>
          <w:rFonts w:ascii="Times New Roman" w:cs="Times New Roman" w:eastAsia="Times New Roman" w:hAnsi="Times New Roman"/>
          <w:sz w:val="16"/>
          <w:szCs w:val="16"/>
          <w:color w:val="000000"/>
        </w:rPr>
        <w:t xml:space="preserve"> of the Disclosure Schedules, no broker, finder or investment banker is or will become entitled to any brokerage, finder’s or other fee or commission in connection with the transactions contemplated hereby based upon arrangements made by or on behalf of an Acquired Company.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ectPr>
          <w:pgSz w:w="11900" w:h="16840" w:orient="portrait"/>
          <w:cols w:equalWidth="0" w:num="1">
            <w:col w:w="10580"/>
          </w:cols>
          <w:pgMar w:left="660" w:top="1440" w:right="660" w:bottom="1440" w:gutter="0" w:footer="0" w:header="0"/>
        </w:sectPr>
      </w:pPr>
    </w:p>
    <w:bookmarkStart w:id="334" w:name="page335"/>
    <w:bookmarkEnd w:id="334"/>
    <w:p>
      <w:pPr>
        <w:spacing w:after="0" w:line="23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b w:val="1"/>
          <w:bCs w:val="1"/>
          <w:color w:val="010000"/>
        </w:rPr>
        <w:t>Article IV</w:t>
      </w:r>
    </w:p>
    <w:p>
      <w:pPr>
        <w:ind w:left="480" w:right="2480" w:firstLine="2001"/>
        <w:spacing w:after="0" w:line="428" w:lineRule="auto"/>
        <w:rPr>
          <w:sz w:val="20"/>
          <w:szCs w:val="20"/>
          <w:color w:val="auto"/>
        </w:rPr>
      </w:pPr>
      <w:r>
        <w:rPr>
          <w:rFonts w:ascii="Times New Roman" w:cs="Times New Roman" w:eastAsia="Times New Roman" w:hAnsi="Times New Roman"/>
          <w:sz w:val="16"/>
          <w:szCs w:val="16"/>
          <w:b w:val="1"/>
          <w:bCs w:val="1"/>
          <w:color w:val="auto"/>
        </w:rPr>
        <w:t xml:space="preserve">REPRESENTATIONS AND WARRANTIES OF PARENT AND MERGER SUB </w:t>
      </w:r>
      <w:r>
        <w:rPr>
          <w:rFonts w:ascii="Times New Roman" w:cs="Times New Roman" w:eastAsia="Times New Roman" w:hAnsi="Times New Roman"/>
          <w:sz w:val="16"/>
          <w:szCs w:val="16"/>
          <w:color w:val="auto"/>
        </w:rPr>
        <w:t>Parent and Merger Sub hereby represent and warrant to the Company as follows:</w:t>
      </w:r>
    </w:p>
    <w:p>
      <w:pPr>
        <w:spacing w:after="0" w:line="1" w:lineRule="exact"/>
        <w:rPr>
          <w:sz w:val="20"/>
          <w:szCs w:val="20"/>
          <w:color w:val="auto"/>
        </w:rPr>
      </w:pPr>
    </w:p>
    <w:p>
      <w:pPr>
        <w:jc w:val="both"/>
        <w:ind w:firstLine="485"/>
        <w:spacing w:after="0" w:line="232" w:lineRule="auto"/>
        <w:rPr>
          <w:sz w:val="20"/>
          <w:szCs w:val="20"/>
          <w:color w:val="auto"/>
        </w:rPr>
      </w:pPr>
      <w:r>
        <w:rPr>
          <w:rFonts w:ascii="Times New Roman" w:cs="Times New Roman" w:eastAsia="Times New Roman" w:hAnsi="Times New Roman"/>
          <w:sz w:val="16"/>
          <w:szCs w:val="16"/>
          <w:b w:val="1"/>
          <w:bCs w:val="1"/>
          <w:color w:val="010000"/>
        </w:rPr>
        <w:t xml:space="preserve">Section 4.1 </w:t>
      </w:r>
      <w:r>
        <w:rPr>
          <w:rFonts w:ascii="Times New Roman" w:cs="Times New Roman" w:eastAsia="Times New Roman" w:hAnsi="Times New Roman"/>
          <w:sz w:val="16"/>
          <w:szCs w:val="16"/>
          <w:b w:val="1"/>
          <w:bCs w:val="1"/>
          <w:color w:val="000000"/>
        </w:rPr>
        <w:t>Incorporation or Organization</w:t>
      </w:r>
      <w:r>
        <w:rPr>
          <w:rFonts w:ascii="Times New Roman" w:cs="Times New Roman" w:eastAsia="Times New Roman" w:hAnsi="Times New Roman"/>
          <w:sz w:val="16"/>
          <w:szCs w:val="16"/>
          <w:color w:val="000000"/>
        </w:rPr>
        <w:t>. Each of Parent and Merger Sub is an entity duly incorporated or organized (as applicable), validly existing</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and in good standing under the Laws of its jurisdiction of incorporation and has full corporate power and authority to own, lease and operate its properties and to carry on its business as it is now being conducted.</w:t>
      </w:r>
    </w:p>
    <w:p>
      <w:pPr>
        <w:spacing w:after="0" w:line="113" w:lineRule="exact"/>
        <w:rPr>
          <w:sz w:val="20"/>
          <w:szCs w:val="20"/>
          <w:color w:val="auto"/>
        </w:rPr>
      </w:pPr>
    </w:p>
    <w:p>
      <w:pPr>
        <w:jc w:val="both"/>
        <w:ind w:firstLine="485"/>
        <w:spacing w:after="0" w:line="216" w:lineRule="auto"/>
        <w:rPr>
          <w:sz w:val="20"/>
          <w:szCs w:val="20"/>
          <w:color w:val="auto"/>
        </w:rPr>
      </w:pPr>
      <w:r>
        <w:rPr>
          <w:rFonts w:ascii="Times New Roman" w:cs="Times New Roman" w:eastAsia="Times New Roman" w:hAnsi="Times New Roman"/>
          <w:sz w:val="16"/>
          <w:szCs w:val="16"/>
          <w:b w:val="1"/>
          <w:bCs w:val="1"/>
          <w:color w:val="010000"/>
        </w:rPr>
        <w:t xml:space="preserve">Section 4.2 </w:t>
      </w:r>
      <w:r>
        <w:rPr>
          <w:rFonts w:ascii="Times New Roman" w:cs="Times New Roman" w:eastAsia="Times New Roman" w:hAnsi="Times New Roman"/>
          <w:sz w:val="16"/>
          <w:szCs w:val="16"/>
          <w:b w:val="1"/>
          <w:bCs w:val="1"/>
          <w:color w:val="000000"/>
        </w:rPr>
        <w:t>Authority</w:t>
      </w:r>
      <w:r>
        <w:rPr>
          <w:rFonts w:ascii="Times New Roman" w:cs="Times New Roman" w:eastAsia="Times New Roman" w:hAnsi="Times New Roman"/>
          <w:sz w:val="16"/>
          <w:szCs w:val="16"/>
          <w:color w:val="000000"/>
        </w:rPr>
        <w:t>. Each of Parent and Merger Sub has all necessary corporate power and authority to execute and deliver this Agreement, to</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perform its obligations hereunder and to consummate the transactions contemplated hereby. The execution, delivery and performance by Parent and Merger Sub of this Agreement and each Ancillary Agreement to which Parent or Merger Sub is a party, the Plan of Merger and the consummation by Parent and Merger Sub of the transactions contemplated hereby and thereby have been duly and validly authorized by the board of directors of Parent and Merger Sub (in the case of Merger Sub, by way of written board resolution). Parent will, promptly following the execution and delivery of this Agreement by all of the parties, take all necessary action to cause Merger Sub’s sole shareholder to approve this Agreement and the Plan of Merger. No other corporate actions or proceedings on the part of Parent or Merger Sub are necessary to authorize this Agreement or each Ancillary Agreement to which Parent or Merger Sub is a party or to consummate the transactions contemplated hereby or thereby (subject, in the case of the Merger, to the approval of this Agreement and the Plan of Merger by the sole shareholder of Merger Sub (by way of written shareholder resolution) and the filing of appropriate merger documents as required by the Cayman Companies Law). This Agreement has been duly and validly executed and delivered by Parent and Merger Sub, as applicable, and, assuming due and valid execution and delivery by each of the other parties hereto, this Agreement constitutes the legal, valid and binding obligations of Parent and Merger Sub, as applicable, enforceable against Parent and Merger Sub, as applicable, in accordance with their respective terms, except as enforcement may be limited by the Bankruptcy and Equity Exception.</w:t>
      </w:r>
    </w:p>
    <w:p>
      <w:pPr>
        <w:spacing w:after="0" w:line="115"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4.3</w:t>
      </w:r>
      <w:r>
        <w:rPr>
          <w:rFonts w:ascii="Times New Roman" w:cs="Times New Roman" w:eastAsia="Times New Roman" w:hAnsi="Times New Roman"/>
          <w:sz w:val="16"/>
          <w:szCs w:val="16"/>
          <w:b w:val="1"/>
          <w:bCs w:val="1"/>
          <w:color w:val="auto"/>
        </w:rPr>
        <w:tab/>
        <w:t>No Conflict; Required Filings and Consents</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ind w:right="40" w:firstLine="961"/>
        <w:spacing w:after="0" w:line="245" w:lineRule="auto"/>
        <w:tabs>
          <w:tab w:leader="none" w:pos="1456"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delivery and performance by each of Parent and Merger Sub of this Agreement and each Ancillary Agreement to which Parent or Merger Sub is a party, and the consummation of the transactions contemplated hereby and thereby, do not and will not:</w:t>
      </w:r>
    </w:p>
    <w:p>
      <w:pPr>
        <w:spacing w:after="0" w:line="109" w:lineRule="exact"/>
        <w:rPr>
          <w:rFonts w:ascii="Times New Roman" w:cs="Times New Roman" w:eastAsia="Times New Roman" w:hAnsi="Times New Roman"/>
          <w:sz w:val="16"/>
          <w:szCs w:val="16"/>
          <w:color w:val="auto"/>
        </w:rPr>
      </w:pPr>
    </w:p>
    <w:p>
      <w:pPr>
        <w:ind w:firstLine="1446"/>
        <w:spacing w:after="0" w:line="245" w:lineRule="auto"/>
        <w:tabs>
          <w:tab w:leader="none" w:pos="1931" w:val="left"/>
        </w:tabs>
        <w:numPr>
          <w:ilvl w:val="1"/>
          <w:numId w:val="165"/>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conflict with or violate the memorandum of association or articles of association or equivalent constitutional or organizational documents of Parent or Merger Sub;</w:t>
      </w:r>
    </w:p>
    <w:p>
      <w:pPr>
        <w:spacing w:after="0" w:line="105" w:lineRule="exact"/>
        <w:rPr>
          <w:rFonts w:ascii="Times New Roman" w:cs="Times New Roman" w:eastAsia="Times New Roman" w:hAnsi="Times New Roman"/>
          <w:sz w:val="16"/>
          <w:szCs w:val="16"/>
          <w:color w:val="010000"/>
        </w:rPr>
      </w:pPr>
    </w:p>
    <w:p>
      <w:pPr>
        <w:ind w:left="1940" w:hanging="494"/>
        <w:spacing w:after="0"/>
        <w:tabs>
          <w:tab w:leader="none" w:pos="1940" w:val="left"/>
        </w:tabs>
        <w:numPr>
          <w:ilvl w:val="1"/>
          <w:numId w:val="165"/>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assuming compliance with the required filings and Laws set forth in </w:t>
      </w:r>
      <w:r>
        <w:rPr>
          <w:rFonts w:ascii="Times New Roman" w:cs="Times New Roman" w:eastAsia="Times New Roman" w:hAnsi="Times New Roman"/>
          <w:sz w:val="16"/>
          <w:szCs w:val="16"/>
          <w:b w:val="1"/>
          <w:bCs w:val="1"/>
          <w:color w:val="auto"/>
        </w:rPr>
        <w:t>Section 4.3(b)</w:t>
      </w:r>
      <w:r>
        <w:rPr>
          <w:rFonts w:ascii="Times New Roman" w:cs="Times New Roman" w:eastAsia="Times New Roman" w:hAnsi="Times New Roman"/>
          <w:sz w:val="16"/>
          <w:szCs w:val="16"/>
          <w:color w:val="auto"/>
        </w:rPr>
        <w:t>, conflict with or violate any Law applicable to</w:t>
      </w:r>
    </w:p>
    <w:p>
      <w:pPr>
        <w:spacing w:after="0"/>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Parent or Merger Sub; or</w:t>
      </w:r>
    </w:p>
    <w:p>
      <w:pPr>
        <w:spacing w:after="0" w:line="121" w:lineRule="exact"/>
        <w:rPr>
          <w:rFonts w:ascii="Times New Roman" w:cs="Times New Roman" w:eastAsia="Times New Roman" w:hAnsi="Times New Roman"/>
          <w:sz w:val="16"/>
          <w:szCs w:val="16"/>
          <w:color w:val="010000"/>
        </w:rPr>
      </w:pPr>
    </w:p>
    <w:p>
      <w:pPr>
        <w:jc w:val="both"/>
        <w:ind w:firstLine="1446"/>
        <w:spacing w:after="0" w:line="226" w:lineRule="auto"/>
        <w:tabs>
          <w:tab w:leader="none" w:pos="1941" w:val="left"/>
        </w:tabs>
        <w:numPr>
          <w:ilvl w:val="1"/>
          <w:numId w:val="165"/>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result in any breach of, constitute a default (or an event that, with notice or lapse of time or both, would become a default) under or require any consent of any Person pursuant to, any note, bond, mortgage, indenture, agreement, lease, license, permit, franchise, instrument, obligation or other Contract to which Parent or Merger Sub is a party; except, in the case of this clause (iii) for any breaches, defaults, consents or other occurrences that do not, individually or in the aggregate, materially impair the ability of Parent or Merger Sub to consummate, or prevent or materially delay, the Merger.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ectPr>
          <w:pgSz w:w="11900" w:h="16840" w:orient="portrait"/>
          <w:cols w:equalWidth="0" w:num="1">
            <w:col w:w="10580"/>
          </w:cols>
          <w:pgMar w:left="660" w:top="1440" w:right="660" w:bottom="1440" w:gutter="0" w:footer="0" w:header="0"/>
        </w:sectPr>
      </w:pPr>
    </w:p>
    <w:bookmarkStart w:id="335" w:name="page336"/>
    <w:bookmarkEnd w:id="335"/>
    <w:p>
      <w:pPr>
        <w:spacing w:after="0" w:line="80" w:lineRule="exact"/>
        <w:rPr>
          <w:sz w:val="20"/>
          <w:szCs w:val="20"/>
          <w:color w:val="auto"/>
        </w:rPr>
      </w:pPr>
    </w:p>
    <w:p>
      <w:pPr>
        <w:jc w:val="both"/>
        <w:ind w:right="20" w:firstLine="961"/>
        <w:spacing w:after="0" w:line="219" w:lineRule="auto"/>
        <w:tabs>
          <w:tab w:leader="none" w:pos="1456"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Parent nor Merger Sub is required to file, seek or obtain any notice, authorization, approval, order, permit or consent of or with any Governmental Authority in connection with the execution, delivery and performance by Parent and Merger Sub of this Agreement and each of the Ancillary Agreements to which Parent or Merger Sub is a party or the consummation of the transactions contemplated hereby or thereby, except for (i) any filings required to be made under, and compliance with, the HSR Act and the German GWB, (ii) the filing of the Plan of Merger and other documents required under the Cayman Companies Law to effect the Merger with the Registrar of Companies of the Cayman Islands, (iii) such filings as may be required by any applicable federal or state securities or “blue sky” Laws and (iv) any notice, authorization, approval, order, permit or consent, the failure of which to make or obtain would not individually or in the aggregate, materially impair the ability of Parent or Merger Sub to consummate, or prevent or materially delay, the Merger.</w:t>
      </w:r>
    </w:p>
    <w:p>
      <w:pPr>
        <w:spacing w:after="0" w:line="117" w:lineRule="exact"/>
        <w:rPr>
          <w:sz w:val="20"/>
          <w:szCs w:val="20"/>
          <w:color w:val="auto"/>
        </w:rPr>
      </w:pPr>
    </w:p>
    <w:p>
      <w:pPr>
        <w:jc w:val="both"/>
        <w:ind w:right="20" w:firstLine="485"/>
        <w:spacing w:after="0" w:line="227" w:lineRule="auto"/>
        <w:rPr>
          <w:sz w:val="20"/>
          <w:szCs w:val="20"/>
          <w:color w:val="auto"/>
        </w:rPr>
      </w:pPr>
      <w:r>
        <w:rPr>
          <w:rFonts w:ascii="Times New Roman" w:cs="Times New Roman" w:eastAsia="Times New Roman" w:hAnsi="Times New Roman"/>
          <w:sz w:val="16"/>
          <w:szCs w:val="16"/>
          <w:b w:val="1"/>
          <w:bCs w:val="1"/>
          <w:color w:val="010000"/>
        </w:rPr>
        <w:t xml:space="preserve">Section 4.4 </w:t>
      </w:r>
      <w:r>
        <w:rPr>
          <w:rFonts w:ascii="Times New Roman" w:cs="Times New Roman" w:eastAsia="Times New Roman" w:hAnsi="Times New Roman"/>
          <w:sz w:val="16"/>
          <w:szCs w:val="16"/>
          <w:b w:val="1"/>
          <w:bCs w:val="1"/>
          <w:color w:val="000000"/>
        </w:rPr>
        <w:t>Adequacy of Funds</w:t>
      </w:r>
      <w:r>
        <w:rPr>
          <w:rFonts w:ascii="Times New Roman" w:cs="Times New Roman" w:eastAsia="Times New Roman" w:hAnsi="Times New Roman"/>
          <w:sz w:val="16"/>
          <w:szCs w:val="16"/>
          <w:color w:val="000000"/>
        </w:rPr>
        <w:t>. Parent shall have at the Closing sufficient funds to permit Parent or Merger Sub to consummate the transactions</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contemplated by this Agreement, including the Merger. Parent will have access to sufficient funds to comply with its covenants under this Agreement. Parent’s and Merger Sub’s obligations under this Agreement are not subject to any conditions regarding Parent’s, Merger Sub’s or any other Person’s ability to obtain financing for the consummation of the Merger or the other transactions contemplated by this Agreement.</w:t>
      </w:r>
    </w:p>
    <w:p>
      <w:pPr>
        <w:spacing w:after="0" w:line="113" w:lineRule="exact"/>
        <w:rPr>
          <w:sz w:val="20"/>
          <w:szCs w:val="20"/>
          <w:color w:val="auto"/>
        </w:rPr>
      </w:pPr>
    </w:p>
    <w:p>
      <w:pPr>
        <w:jc w:val="both"/>
        <w:ind w:right="20" w:firstLine="485"/>
        <w:spacing w:after="0" w:line="232" w:lineRule="auto"/>
        <w:rPr>
          <w:sz w:val="20"/>
          <w:szCs w:val="20"/>
          <w:color w:val="auto"/>
        </w:rPr>
      </w:pPr>
      <w:r>
        <w:rPr>
          <w:rFonts w:ascii="Times New Roman" w:cs="Times New Roman" w:eastAsia="Times New Roman" w:hAnsi="Times New Roman"/>
          <w:sz w:val="16"/>
          <w:szCs w:val="16"/>
          <w:b w:val="1"/>
          <w:bCs w:val="1"/>
          <w:color w:val="010000"/>
        </w:rPr>
        <w:t xml:space="preserve">Section 4.5 </w:t>
      </w:r>
      <w:r>
        <w:rPr>
          <w:rFonts w:ascii="Times New Roman" w:cs="Times New Roman" w:eastAsia="Times New Roman" w:hAnsi="Times New Roman"/>
          <w:sz w:val="16"/>
          <w:szCs w:val="16"/>
          <w:b w:val="1"/>
          <w:bCs w:val="1"/>
          <w:color w:val="000000"/>
        </w:rPr>
        <w:t>Brokers</w:t>
      </w:r>
      <w:r>
        <w:rPr>
          <w:rFonts w:ascii="Times New Roman" w:cs="Times New Roman" w:eastAsia="Times New Roman" w:hAnsi="Times New Roman"/>
          <w:sz w:val="16"/>
          <w:szCs w:val="16"/>
          <w:color w:val="000000"/>
        </w:rPr>
        <w:t>. No broker, finder or investment banker is entitled to any brokerage, finder’s or other fee or commission in connection with the</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transactions contemplated hereby based upon arrangements made by or on behalf of Parent or Merger Sub, except for Persons whose fees and expenses shall be paid by Parent.</w:t>
      </w:r>
    </w:p>
    <w:p>
      <w:pPr>
        <w:spacing w:after="0" w:line="113" w:lineRule="exact"/>
        <w:rPr>
          <w:sz w:val="20"/>
          <w:szCs w:val="20"/>
          <w:color w:val="auto"/>
        </w:rPr>
      </w:pPr>
    </w:p>
    <w:p>
      <w:pPr>
        <w:ind w:right="40" w:firstLine="485"/>
        <w:spacing w:after="0" w:line="247" w:lineRule="auto"/>
        <w:rPr>
          <w:sz w:val="20"/>
          <w:szCs w:val="20"/>
          <w:color w:val="auto"/>
        </w:rPr>
      </w:pPr>
      <w:r>
        <w:rPr>
          <w:rFonts w:ascii="Times New Roman" w:cs="Times New Roman" w:eastAsia="Times New Roman" w:hAnsi="Times New Roman"/>
          <w:sz w:val="16"/>
          <w:szCs w:val="16"/>
          <w:b w:val="1"/>
          <w:bCs w:val="1"/>
          <w:color w:val="010000"/>
        </w:rPr>
        <w:t xml:space="preserve">Section 4.6 </w:t>
      </w:r>
      <w:r>
        <w:rPr>
          <w:rFonts w:ascii="Times New Roman" w:cs="Times New Roman" w:eastAsia="Times New Roman" w:hAnsi="Times New Roman"/>
          <w:sz w:val="16"/>
          <w:szCs w:val="16"/>
          <w:b w:val="1"/>
          <w:bCs w:val="1"/>
          <w:color w:val="000000"/>
        </w:rPr>
        <w:t>Litigation</w:t>
      </w:r>
      <w:r>
        <w:rPr>
          <w:rFonts w:ascii="Times New Roman" w:cs="Times New Roman" w:eastAsia="Times New Roman" w:hAnsi="Times New Roman"/>
          <w:sz w:val="16"/>
          <w:szCs w:val="16"/>
          <w:color w:val="000000"/>
        </w:rPr>
        <w:t>. As of the date of this Agreement, there is no Action pending or, to the knowledge of Parent or Merger Sub, being threatened in</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writing, against Parent or Merger Sub that challenges or that could delay, restrain, prevent, enjoin or otherwise prohibit the consummation of the Merger.</w:t>
      </w:r>
    </w:p>
    <w:p>
      <w:pPr>
        <w:spacing w:after="0" w:line="106" w:lineRule="exact"/>
        <w:rPr>
          <w:sz w:val="20"/>
          <w:szCs w:val="20"/>
          <w:color w:val="auto"/>
        </w:rPr>
      </w:pPr>
    </w:p>
    <w:p>
      <w:pPr>
        <w:ind w:right="20" w:firstLine="485"/>
        <w:spacing w:after="0" w:line="247" w:lineRule="auto"/>
        <w:rPr>
          <w:sz w:val="20"/>
          <w:szCs w:val="20"/>
          <w:color w:val="auto"/>
        </w:rPr>
      </w:pPr>
      <w:r>
        <w:rPr>
          <w:rFonts w:ascii="Times New Roman" w:cs="Times New Roman" w:eastAsia="Times New Roman" w:hAnsi="Times New Roman"/>
          <w:sz w:val="16"/>
          <w:szCs w:val="16"/>
          <w:b w:val="1"/>
          <w:bCs w:val="1"/>
          <w:color w:val="010000"/>
        </w:rPr>
        <w:t xml:space="preserve">Section 4.7 </w:t>
      </w:r>
      <w:r>
        <w:rPr>
          <w:rFonts w:ascii="Times New Roman" w:cs="Times New Roman" w:eastAsia="Times New Roman" w:hAnsi="Times New Roman"/>
          <w:sz w:val="16"/>
          <w:szCs w:val="16"/>
          <w:b w:val="1"/>
          <w:bCs w:val="1"/>
          <w:color w:val="000000"/>
        </w:rPr>
        <w:t>Merger Sub</w:t>
      </w:r>
      <w:r>
        <w:rPr>
          <w:rFonts w:ascii="Times New Roman" w:cs="Times New Roman" w:eastAsia="Times New Roman" w:hAnsi="Times New Roman"/>
          <w:sz w:val="16"/>
          <w:szCs w:val="16"/>
          <w:color w:val="000000"/>
        </w:rPr>
        <w:t>. Merger Sub (a) was formed solely for the purpose of engaging in the transactions contemplated by this Agreement, (b) has</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engaged in no other business activities and (c) has conducted its operations only as contemplated by this Agreement.</w:t>
      </w:r>
    </w:p>
    <w:p>
      <w:pPr>
        <w:spacing w:after="0" w:line="106" w:lineRule="exact"/>
        <w:rPr>
          <w:sz w:val="20"/>
          <w:szCs w:val="20"/>
          <w:color w:val="auto"/>
        </w:rPr>
      </w:pPr>
    </w:p>
    <w:p>
      <w:pPr>
        <w:ind w:right="40" w:firstLine="485"/>
        <w:spacing w:after="0" w:line="247" w:lineRule="auto"/>
        <w:rPr>
          <w:sz w:val="20"/>
          <w:szCs w:val="20"/>
          <w:color w:val="auto"/>
        </w:rPr>
      </w:pPr>
      <w:r>
        <w:rPr>
          <w:rFonts w:ascii="Times New Roman" w:cs="Times New Roman" w:eastAsia="Times New Roman" w:hAnsi="Times New Roman"/>
          <w:sz w:val="16"/>
          <w:szCs w:val="16"/>
          <w:b w:val="1"/>
          <w:bCs w:val="1"/>
          <w:color w:val="010000"/>
        </w:rPr>
        <w:t xml:space="preserve">Section 4.8 </w:t>
      </w:r>
      <w:r>
        <w:rPr>
          <w:rFonts w:ascii="Times New Roman" w:cs="Times New Roman" w:eastAsia="Times New Roman" w:hAnsi="Times New Roman"/>
          <w:sz w:val="16"/>
          <w:szCs w:val="16"/>
          <w:b w:val="1"/>
          <w:bCs w:val="1"/>
          <w:color w:val="000000"/>
        </w:rPr>
        <w:t>No Parent Vote Required</w:t>
      </w:r>
      <w:r>
        <w:rPr>
          <w:rFonts w:ascii="Times New Roman" w:cs="Times New Roman" w:eastAsia="Times New Roman" w:hAnsi="Times New Roman"/>
          <w:sz w:val="16"/>
          <w:szCs w:val="16"/>
          <w:color w:val="000000"/>
        </w:rPr>
        <w:t>. No vote or other action of the shareholders of Parent is required by applicable Law, the articles of association of</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Parent or otherwise in order for Parent and Merger Sub to consummate the Merger and the transactions contemplated hereby.</w:t>
      </w:r>
    </w:p>
    <w:p>
      <w:pPr>
        <w:spacing w:after="0" w:line="10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010000"/>
        </w:rPr>
        <w:t>Article V</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COVENANTS</w:t>
      </w:r>
    </w:p>
    <w:p>
      <w:pPr>
        <w:spacing w:after="0" w:line="119"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5.1</w:t>
      </w:r>
      <w:r>
        <w:rPr>
          <w:rFonts w:ascii="Times New Roman" w:cs="Times New Roman" w:eastAsia="Times New Roman" w:hAnsi="Times New Roman"/>
          <w:sz w:val="16"/>
          <w:szCs w:val="16"/>
          <w:b w:val="1"/>
          <w:bCs w:val="1"/>
          <w:color w:val="auto"/>
        </w:rPr>
        <w:tab/>
        <w:t>Conduct of Business Prior to the Closing</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firstLine="961"/>
        <w:spacing w:after="0" w:line="221" w:lineRule="auto"/>
        <w:tabs>
          <w:tab w:leader="none" w:pos="1456"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(i) as set forth in </w:t>
      </w:r>
      <w:r>
        <w:rPr>
          <w:rFonts w:ascii="Times New Roman" w:cs="Times New Roman" w:eastAsia="Times New Roman" w:hAnsi="Times New Roman"/>
          <w:sz w:val="16"/>
          <w:szCs w:val="16"/>
          <w:b w:val="1"/>
          <w:bCs w:val="1"/>
          <w:color w:val="auto"/>
        </w:rPr>
        <w:t>Section 5.1(a)</w:t>
      </w:r>
      <w:r>
        <w:rPr>
          <w:rFonts w:ascii="Times New Roman" w:cs="Times New Roman" w:eastAsia="Times New Roman" w:hAnsi="Times New Roman"/>
          <w:sz w:val="16"/>
          <w:szCs w:val="16"/>
          <w:color w:val="auto"/>
        </w:rPr>
        <w:t xml:space="preserve"> of the Disclosure Schedules, (ii) to the extent necessary to comply with the Company’s express obligations under this Agreement or to satisfy or fulfill any of the conditions set forth in </w:t>
      </w:r>
      <w:r>
        <w:rPr>
          <w:rFonts w:ascii="Times New Roman" w:cs="Times New Roman" w:eastAsia="Times New Roman" w:hAnsi="Times New Roman"/>
          <w:sz w:val="16"/>
          <w:szCs w:val="16"/>
          <w:b w:val="1"/>
          <w:bCs w:val="1"/>
          <w:color w:val="auto"/>
        </w:rPr>
        <w:t>Section 6.1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Section 6.3</w:t>
      </w:r>
      <w:r>
        <w:rPr>
          <w:rFonts w:ascii="Times New Roman" w:cs="Times New Roman" w:eastAsia="Times New Roman" w:hAnsi="Times New Roman"/>
          <w:sz w:val="16"/>
          <w:szCs w:val="16"/>
          <w:color w:val="auto"/>
        </w:rPr>
        <w:t xml:space="preserve"> or (iii) as necessary to ensure that each Acquired Company complies with applicable Laws, between the date of this Agreement and the Closing Date, unless Parent shall otherwise agree prior to such time in writing (not to be unreasonably withheld, conditioned or delayed), the Company shall, and shall cause each other Acquired Company to, use reasonable best efforts to conduct its business in the ordinary course in all material respects and, to the extent consistent therewith, use reasonable best efforts to (A) preserve substantially intact the business organization, assets, properties and business relations of the Acquired Companies, (B) keep available the services of</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57</w:t>
      </w:r>
    </w:p>
    <w:p>
      <w:pPr>
        <w:sectPr>
          <w:pgSz w:w="11900" w:h="16840" w:orient="portrait"/>
          <w:cols w:equalWidth="0" w:num="1">
            <w:col w:w="10600"/>
          </w:cols>
          <w:pgMar w:left="660" w:top="1440" w:right="640" w:bottom="1440" w:gutter="0" w:footer="0" w:header="0"/>
        </w:sectPr>
      </w:pPr>
    </w:p>
    <w:bookmarkStart w:id="336" w:name="page337"/>
    <w:bookmarkEnd w:id="336"/>
    <w:p>
      <w:pPr>
        <w:spacing w:after="0" w:line="80" w:lineRule="exact"/>
        <w:rPr>
          <w:sz w:val="20"/>
          <w:szCs w:val="20"/>
          <w:color w:val="auto"/>
        </w:rPr>
      </w:pPr>
    </w:p>
    <w:p>
      <w:pPr>
        <w:jc w:val="both"/>
        <w:ind w:left="9"/>
        <w:spacing w:after="0" w:line="232" w:lineRule="auto"/>
        <w:rPr>
          <w:sz w:val="20"/>
          <w:szCs w:val="20"/>
          <w:color w:val="auto"/>
        </w:rPr>
      </w:pPr>
      <w:r>
        <w:rPr>
          <w:rFonts w:ascii="Times New Roman" w:cs="Times New Roman" w:eastAsia="Times New Roman" w:hAnsi="Times New Roman"/>
          <w:sz w:val="16"/>
          <w:szCs w:val="16"/>
          <w:color w:val="auto"/>
        </w:rPr>
        <w:t>its officers and key employees (including the Key Employees) on commercially reasonable terms, (C) maintain in effect all necessary licenses, permits, consents, franchises and approvals and authorizations, and (D) maintain relationships of the Acquired Companies with any Persons with which the Acquired Companies have material business relations and with Governmental Authorities that have jurisdiction over its business and operations.</w:t>
      </w:r>
    </w:p>
    <w:p>
      <w:pPr>
        <w:spacing w:after="0" w:line="109" w:lineRule="exact"/>
        <w:rPr>
          <w:sz w:val="20"/>
          <w:szCs w:val="20"/>
          <w:color w:val="auto"/>
        </w:rPr>
      </w:pPr>
    </w:p>
    <w:p>
      <w:pPr>
        <w:ind w:left="1449" w:hanging="479"/>
        <w:spacing w:after="0"/>
        <w:tabs>
          <w:tab w:leader="none" w:pos="1449"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Without limiting </w:t>
      </w:r>
      <w:r>
        <w:rPr>
          <w:rFonts w:ascii="Times New Roman" w:cs="Times New Roman" w:eastAsia="Times New Roman" w:hAnsi="Times New Roman"/>
          <w:sz w:val="16"/>
          <w:szCs w:val="16"/>
          <w:b w:val="1"/>
          <w:bCs w:val="1"/>
          <w:color w:val="auto"/>
        </w:rPr>
        <w:t>Section 5.1(a)</w:t>
      </w:r>
      <w:r>
        <w:rPr>
          <w:rFonts w:ascii="Times New Roman" w:cs="Times New Roman" w:eastAsia="Times New Roman" w:hAnsi="Times New Roman"/>
          <w:sz w:val="16"/>
          <w:szCs w:val="16"/>
          <w:color w:val="auto"/>
        </w:rPr>
        <w:t xml:space="preserve">, and as an extension thereof, except as set forth in </w:t>
      </w:r>
      <w:r>
        <w:rPr>
          <w:rFonts w:ascii="Times New Roman" w:cs="Times New Roman" w:eastAsia="Times New Roman" w:hAnsi="Times New Roman"/>
          <w:sz w:val="16"/>
          <w:szCs w:val="16"/>
          <w:b w:val="1"/>
          <w:bCs w:val="1"/>
          <w:color w:val="auto"/>
        </w:rPr>
        <w:t>Section 5.1(b)</w:t>
      </w:r>
      <w:r>
        <w:rPr>
          <w:rFonts w:ascii="Times New Roman" w:cs="Times New Roman" w:eastAsia="Times New Roman" w:hAnsi="Times New Roman"/>
          <w:sz w:val="16"/>
          <w:szCs w:val="16"/>
          <w:color w:val="auto"/>
        </w:rPr>
        <w:t xml:space="preserve"> of the Disclosure Schedules or in clauses</w:t>
      </w:r>
    </w:p>
    <w:p>
      <w:pPr>
        <w:ind w:left="9" w:hanging="9"/>
        <w:spacing w:after="0" w:line="230" w:lineRule="auto"/>
        <w:tabs>
          <w:tab w:leader="none" w:pos="254"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or (iii) of </w:t>
      </w:r>
      <w:r>
        <w:rPr>
          <w:rFonts w:ascii="Times New Roman" w:cs="Times New Roman" w:eastAsia="Times New Roman" w:hAnsi="Times New Roman"/>
          <w:sz w:val="16"/>
          <w:szCs w:val="16"/>
          <w:b w:val="1"/>
          <w:bCs w:val="1"/>
          <w:color w:val="auto"/>
        </w:rPr>
        <w:t>Section 5.1(a)</w:t>
      </w:r>
      <w:r>
        <w:rPr>
          <w:rFonts w:ascii="Times New Roman" w:cs="Times New Roman" w:eastAsia="Times New Roman" w:hAnsi="Times New Roman"/>
          <w:sz w:val="16"/>
          <w:szCs w:val="16"/>
          <w:color w:val="auto"/>
        </w:rPr>
        <w:t>, between the date of this Agreement and the Closing Date, unless Parent shall otherwise agree prior to such time in writing (not to be unreasonably withheld, conditioned or delayed), the Company shall not, and shall cause each other Acquired Company not to:</w:t>
      </w:r>
    </w:p>
    <w:p>
      <w:pPr>
        <w:spacing w:after="0" w:line="114" w:lineRule="exact"/>
        <w:rPr>
          <w:rFonts w:ascii="Times New Roman" w:cs="Times New Roman" w:eastAsia="Times New Roman" w:hAnsi="Times New Roman"/>
          <w:sz w:val="16"/>
          <w:szCs w:val="16"/>
          <w:color w:val="auto"/>
        </w:rPr>
      </w:pPr>
    </w:p>
    <w:p>
      <w:pPr>
        <w:ind w:left="9" w:firstLine="1446"/>
        <w:spacing w:after="0" w:line="245" w:lineRule="auto"/>
        <w:tabs>
          <w:tab w:leader="none" w:pos="1940" w:val="left"/>
        </w:tabs>
        <w:numPr>
          <w:ilvl w:val="2"/>
          <w:numId w:val="16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amend or otherwise change its memorandum of association or articles of association or equivalent constitutional or organizational documents (including the Company Articles and the Investor Rights Agreement);</w:t>
      </w:r>
    </w:p>
    <w:p>
      <w:pPr>
        <w:spacing w:after="0" w:line="109" w:lineRule="exact"/>
        <w:rPr>
          <w:rFonts w:ascii="Times New Roman" w:cs="Times New Roman" w:eastAsia="Times New Roman" w:hAnsi="Times New Roman"/>
          <w:sz w:val="16"/>
          <w:szCs w:val="16"/>
          <w:color w:val="010000"/>
        </w:rPr>
      </w:pPr>
    </w:p>
    <w:p>
      <w:pPr>
        <w:jc w:val="both"/>
        <w:ind w:left="9" w:firstLine="1446"/>
        <w:spacing w:after="0" w:line="223" w:lineRule="auto"/>
        <w:tabs>
          <w:tab w:leader="none" w:pos="1950" w:val="left"/>
        </w:tabs>
        <w:numPr>
          <w:ilvl w:val="2"/>
          <w:numId w:val="16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directly or indirectly issue, sell, pledge, dispose of or otherwise subject to any Encumbrance (other than Permitted Encumbrances), including through any securities offering, whether an IPO or any other offering, (A) any share capital or other Equity Interests of an Acquired Company, or any options, warrants, convertible securities or other rights of any kind to acquire any such shares, or any other ownership interest in an Acquired Company (except for the issuance of Shares pursuant to the conversion of Company Preferred Shares) or (B) any properties or assets of an Acquired Company, other than in the ordinary course of business or pursuant to an Excepted Contract;</w:t>
      </w:r>
    </w:p>
    <w:p>
      <w:pPr>
        <w:spacing w:after="0" w:line="115" w:lineRule="exact"/>
        <w:rPr>
          <w:rFonts w:ascii="Times New Roman" w:cs="Times New Roman" w:eastAsia="Times New Roman" w:hAnsi="Times New Roman"/>
          <w:sz w:val="16"/>
          <w:szCs w:val="16"/>
          <w:color w:val="010000"/>
        </w:rPr>
      </w:pPr>
    </w:p>
    <w:p>
      <w:pPr>
        <w:ind w:left="9" w:firstLine="1446"/>
        <w:spacing w:after="0" w:line="245" w:lineRule="auto"/>
        <w:tabs>
          <w:tab w:leader="none" w:pos="1950" w:val="left"/>
        </w:tabs>
        <w:numPr>
          <w:ilvl w:val="2"/>
          <w:numId w:val="16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sell, assign, transfer, license (other than non-exclusive licenses in the ordinary course of business), abandon, allow to lapse, otherwise dispose of, encumber or incur any Encumbrance (other than Permitted Encumbrances) on any Company Intellectual Property;</w:t>
      </w:r>
    </w:p>
    <w:p>
      <w:pPr>
        <w:spacing w:after="0" w:line="109" w:lineRule="exact"/>
        <w:rPr>
          <w:rFonts w:ascii="Times New Roman" w:cs="Times New Roman" w:eastAsia="Times New Roman" w:hAnsi="Times New Roman"/>
          <w:sz w:val="16"/>
          <w:szCs w:val="16"/>
          <w:color w:val="010000"/>
        </w:rPr>
      </w:pPr>
    </w:p>
    <w:p>
      <w:pPr>
        <w:jc w:val="both"/>
        <w:ind w:left="9" w:firstLine="1446"/>
        <w:spacing w:after="0" w:line="232" w:lineRule="auto"/>
        <w:tabs>
          <w:tab w:leader="none" w:pos="1940" w:val="left"/>
        </w:tabs>
        <w:numPr>
          <w:ilvl w:val="2"/>
          <w:numId w:val="16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reclassify, combine, split, subdivide or redeem, or purchase or otherwise acquire, directly or indirectly, any of its share capital or other equity or ownership interest, other than repurchases of any Equity Interests by an Acquired Company pursuant to any existing Contract in effect as of the date hereof;</w:t>
      </w:r>
    </w:p>
    <w:p>
      <w:pPr>
        <w:spacing w:after="0" w:line="111" w:lineRule="exact"/>
        <w:rPr>
          <w:rFonts w:ascii="Times New Roman" w:cs="Times New Roman" w:eastAsia="Times New Roman" w:hAnsi="Times New Roman"/>
          <w:sz w:val="16"/>
          <w:szCs w:val="16"/>
          <w:color w:val="010000"/>
        </w:rPr>
      </w:pPr>
    </w:p>
    <w:p>
      <w:pPr>
        <w:jc w:val="both"/>
        <w:ind w:left="9" w:firstLine="1446"/>
        <w:spacing w:after="0" w:line="227" w:lineRule="auto"/>
        <w:tabs>
          <w:tab w:leader="none" w:pos="1950" w:val="left"/>
        </w:tabs>
        <w:numPr>
          <w:ilvl w:val="2"/>
          <w:numId w:val="16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other than with respect to Company Intellectual Property, which is the subject of </w:t>
      </w:r>
      <w:r>
        <w:rPr>
          <w:rFonts w:ascii="Times New Roman" w:cs="Times New Roman" w:eastAsia="Times New Roman" w:hAnsi="Times New Roman"/>
          <w:sz w:val="16"/>
          <w:szCs w:val="16"/>
          <w:b w:val="1"/>
          <w:bCs w:val="1"/>
          <w:color w:val="auto"/>
        </w:rPr>
        <w:t>Section 5.1(b)(iii)</w:t>
      </w:r>
      <w:r>
        <w:rPr>
          <w:rFonts w:ascii="Times New Roman" w:cs="Times New Roman" w:eastAsia="Times New Roman" w:hAnsi="Times New Roman"/>
          <w:sz w:val="16"/>
          <w:szCs w:val="16"/>
          <w:color w:val="auto"/>
        </w:rPr>
        <w:t>, sell, transfer, lease, sublease, mortgage, pledge, encumber, assign, abandon, disclaim, dedicate to the public, incur any Encumbrance on (other than a Permitted Encumbrance) or otherwise dispose of, any of its material properties, assets or businesses or interests therein except (A) pursuant to Contracts in force on the date of this Agreement, (B) such dispositions among Acquired Companies, or (C) dispositions of obsolete or damaged properties or assets;</w:t>
      </w:r>
    </w:p>
    <w:p>
      <w:pPr>
        <w:spacing w:after="0" w:line="114" w:lineRule="exact"/>
        <w:rPr>
          <w:rFonts w:ascii="Times New Roman" w:cs="Times New Roman" w:eastAsia="Times New Roman" w:hAnsi="Times New Roman"/>
          <w:sz w:val="16"/>
          <w:szCs w:val="16"/>
          <w:color w:val="010000"/>
        </w:rPr>
      </w:pPr>
    </w:p>
    <w:p>
      <w:pPr>
        <w:ind w:left="9" w:firstLine="1446"/>
        <w:spacing w:after="0" w:line="245" w:lineRule="auto"/>
        <w:tabs>
          <w:tab w:leader="none" w:pos="1940" w:val="left"/>
        </w:tabs>
        <w:numPr>
          <w:ilvl w:val="2"/>
          <w:numId w:val="16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acquire (including by amalgamation, merger, consolidation or acquisition of all or substantially all of the Equity Interests or assets or any other business combination) (A) any company, corporation, partnership, other business organization (or any division thereof) or (B) any real property;</w:t>
      </w:r>
    </w:p>
    <w:p>
      <w:pPr>
        <w:spacing w:after="0" w:line="109" w:lineRule="exact"/>
        <w:rPr>
          <w:rFonts w:ascii="Times New Roman" w:cs="Times New Roman" w:eastAsia="Times New Roman" w:hAnsi="Times New Roman"/>
          <w:sz w:val="16"/>
          <w:szCs w:val="16"/>
          <w:color w:val="010000"/>
        </w:rPr>
      </w:pPr>
    </w:p>
    <w:p>
      <w:pPr>
        <w:ind w:left="9" w:firstLine="1446"/>
        <w:spacing w:after="0" w:line="245" w:lineRule="auto"/>
        <w:tabs>
          <w:tab w:leader="none" w:pos="1950" w:val="left"/>
        </w:tabs>
        <w:numPr>
          <w:ilvl w:val="2"/>
          <w:numId w:val="16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enter into any joint venture, strategic alliance, collaboration, exclusive dealing, noncompetition or similar Contract or arrangement (other than non-exclusive licenses in the ordinary course of business);</w:t>
      </w:r>
    </w:p>
    <w:p>
      <w:pPr>
        <w:spacing w:after="0" w:line="105" w:lineRule="exact"/>
        <w:rPr>
          <w:rFonts w:ascii="Times New Roman" w:cs="Times New Roman" w:eastAsia="Times New Roman" w:hAnsi="Times New Roman"/>
          <w:sz w:val="16"/>
          <w:szCs w:val="16"/>
          <w:color w:val="010000"/>
        </w:rPr>
      </w:pPr>
    </w:p>
    <w:p>
      <w:pPr>
        <w:ind w:left="1949" w:hanging="494"/>
        <w:spacing w:after="0"/>
        <w:tabs>
          <w:tab w:leader="none" w:pos="1949" w:val="left"/>
        </w:tabs>
        <w:numPr>
          <w:ilvl w:val="2"/>
          <w:numId w:val="16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except  for  the  Merger,  adopt  a  plan  of  complete  or  partial  liquidation,  dissolution,  merger,  consolidation,  restructuring,</w:t>
      </w:r>
    </w:p>
    <w:p>
      <w:pPr>
        <w:ind w:left="9"/>
        <w:spacing w:after="0"/>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recapitalization or other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6"/>
          <w:szCs w:val="16"/>
          <w:color w:val="auto"/>
        </w:rPr>
        <w:t>58</w:t>
      </w:r>
    </w:p>
    <w:p>
      <w:pPr>
        <w:sectPr>
          <w:pgSz w:w="11900" w:h="16840" w:orient="portrait"/>
          <w:cols w:equalWidth="0" w:num="1">
            <w:col w:w="10589"/>
          </w:cols>
          <w:pgMar w:left="651" w:top="1440" w:right="660" w:bottom="1440" w:gutter="0" w:footer="0" w:header="0"/>
        </w:sectPr>
      </w:pPr>
    </w:p>
    <w:bookmarkStart w:id="337" w:name="page338"/>
    <w:bookmarkEnd w:id="337"/>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reorganization of an Acquired Company, or otherwise alter an Acquired Company’s corporate structure, including by the creation of any Subsidiaries;</w:t>
      </w:r>
    </w:p>
    <w:p>
      <w:pPr>
        <w:spacing w:after="0" w:line="137" w:lineRule="exact"/>
        <w:rPr>
          <w:sz w:val="20"/>
          <w:szCs w:val="20"/>
          <w:color w:val="auto"/>
        </w:rPr>
      </w:pPr>
    </w:p>
    <w:p>
      <w:pPr>
        <w:jc w:val="both"/>
        <w:ind w:firstLine="1446"/>
        <w:spacing w:after="0" w:line="220" w:lineRule="auto"/>
        <w:tabs>
          <w:tab w:leader="none" w:pos="1931" w:val="left"/>
        </w:tabs>
        <w:numPr>
          <w:ilvl w:val="0"/>
          <w:numId w:val="17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(A) except as set forth in </w:t>
      </w:r>
      <w:r>
        <w:rPr>
          <w:rFonts w:ascii="Times New Roman" w:cs="Times New Roman" w:eastAsia="Times New Roman" w:hAnsi="Times New Roman"/>
          <w:sz w:val="16"/>
          <w:szCs w:val="16"/>
          <w:b w:val="1"/>
          <w:bCs w:val="1"/>
          <w:color w:val="auto"/>
        </w:rPr>
        <w:t>Section 5.1(b)(ix)</w:t>
      </w:r>
      <w:r>
        <w:rPr>
          <w:rFonts w:ascii="Times New Roman" w:cs="Times New Roman" w:eastAsia="Times New Roman" w:hAnsi="Times New Roman"/>
          <w:sz w:val="16"/>
          <w:szCs w:val="16"/>
          <w:color w:val="auto"/>
        </w:rPr>
        <w:t xml:space="preserve"> of the Disclosure Schedules, incur any indebtedness for borrowed money (other than borrowings under existing lines of credit, letters of credit or similar arrangements as of the date hereof, or any renewal, replacement or extension arrangements thereof with comparable terms and conditions, and borrowings incurred following the date hereof that does not exceed $[***] in the aggregate) or issue any debt securities, or issue or sell options, warrants, calls or other rights to acquire any of its debt securities, (B) make any loans, advances or capital contributions to, or investments in, any other Person (other than another Acquired Company), other than routine advances of expenses to directors, officers or employees of the Acquired Companies in the ordinary course of business or (C) assume, guarantee, endorse or otherwise become liable or responsible for the indebtedness or other obligations of another Person (other than a guaranty by an Acquired Company on behalf of another Acquired Company);</w:t>
      </w:r>
    </w:p>
    <w:p>
      <w:pPr>
        <w:spacing w:after="0" w:line="115" w:lineRule="exact"/>
        <w:rPr>
          <w:rFonts w:ascii="Times New Roman" w:cs="Times New Roman" w:eastAsia="Times New Roman" w:hAnsi="Times New Roman"/>
          <w:sz w:val="16"/>
          <w:szCs w:val="16"/>
          <w:color w:val="010000"/>
        </w:rPr>
      </w:pPr>
    </w:p>
    <w:p>
      <w:pPr>
        <w:ind w:firstLine="1446"/>
        <w:spacing w:after="0" w:line="245" w:lineRule="auto"/>
        <w:tabs>
          <w:tab w:leader="none" w:pos="1941" w:val="left"/>
        </w:tabs>
        <w:numPr>
          <w:ilvl w:val="0"/>
          <w:numId w:val="17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forgive any loans or advances to any directors, officers or employees, or any of their respective Affiliates, or materially change its existing borrowing or lending arrangements for or on behalf of any of such Persons, except in the ordinary course of business and on an arm’s length basis;</w:t>
      </w:r>
    </w:p>
    <w:p>
      <w:pPr>
        <w:spacing w:after="0" w:line="109" w:lineRule="exact"/>
        <w:rPr>
          <w:rFonts w:ascii="Times New Roman" w:cs="Times New Roman" w:eastAsia="Times New Roman" w:hAnsi="Times New Roman"/>
          <w:sz w:val="16"/>
          <w:szCs w:val="16"/>
          <w:color w:val="010000"/>
        </w:rPr>
      </w:pPr>
    </w:p>
    <w:p>
      <w:pPr>
        <w:ind w:firstLine="1446"/>
        <w:spacing w:after="0" w:line="245" w:lineRule="auto"/>
        <w:tabs>
          <w:tab w:leader="none" w:pos="1931" w:val="left"/>
        </w:tabs>
        <w:numPr>
          <w:ilvl w:val="0"/>
          <w:numId w:val="17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declare, set aside, make or pay any dividend or other distribution of cash or other assets, or return or promise to return any capital, in respect of any class or series of its share capital or other Equity Interests of an Acquired Company;</w:t>
      </w:r>
    </w:p>
    <w:p>
      <w:pPr>
        <w:spacing w:after="0" w:line="109" w:lineRule="exact"/>
        <w:rPr>
          <w:rFonts w:ascii="Times New Roman" w:cs="Times New Roman" w:eastAsia="Times New Roman" w:hAnsi="Times New Roman"/>
          <w:sz w:val="16"/>
          <w:szCs w:val="16"/>
          <w:color w:val="010000"/>
        </w:rPr>
      </w:pPr>
    </w:p>
    <w:p>
      <w:pPr>
        <w:jc w:val="both"/>
        <w:ind w:firstLine="1446"/>
        <w:spacing w:after="0" w:line="226" w:lineRule="auto"/>
        <w:tabs>
          <w:tab w:leader="none" w:pos="1941" w:val="left"/>
        </w:tabs>
        <w:numPr>
          <w:ilvl w:val="0"/>
          <w:numId w:val="17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enter into, amend in any material respect, terminate, extend or renew (other than expirations pursuant to its terms or extensions or renewals in the ordinary course of business on substantially the same terms), or waive, release or assign any material right of an Acquired Company under, any Material Contract, any material IP Agreements or any Contract that would have been a Material Contract or material IP Agreement if it had been entered into as of or prior to the date of this Agreement;</w:t>
      </w:r>
    </w:p>
    <w:p>
      <w:pPr>
        <w:spacing w:after="0" w:line="115" w:lineRule="exact"/>
        <w:rPr>
          <w:rFonts w:ascii="Times New Roman" w:cs="Times New Roman" w:eastAsia="Times New Roman" w:hAnsi="Times New Roman"/>
          <w:sz w:val="16"/>
          <w:szCs w:val="16"/>
          <w:color w:val="010000"/>
        </w:rPr>
      </w:pPr>
    </w:p>
    <w:p>
      <w:pPr>
        <w:ind w:firstLine="1446"/>
        <w:spacing w:after="0" w:line="245" w:lineRule="auto"/>
        <w:tabs>
          <w:tab w:leader="none" w:pos="1941" w:val="left"/>
        </w:tabs>
        <w:numPr>
          <w:ilvl w:val="0"/>
          <w:numId w:val="17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authorize or make any capital expenditure in excess of $[***] individually or $[***] in the aggregate, in any manner not reflected in the capital budget of the Acquired Companies set forth on </w:t>
      </w:r>
      <w:r>
        <w:rPr>
          <w:rFonts w:ascii="Times New Roman" w:cs="Times New Roman" w:eastAsia="Times New Roman" w:hAnsi="Times New Roman"/>
          <w:sz w:val="16"/>
          <w:szCs w:val="16"/>
          <w:b w:val="1"/>
          <w:bCs w:val="1"/>
          <w:color w:val="auto"/>
        </w:rPr>
        <w:t>Section 5.1(b)(xiii)</w:t>
      </w:r>
      <w:r>
        <w:rPr>
          <w:rFonts w:ascii="Times New Roman" w:cs="Times New Roman" w:eastAsia="Times New Roman" w:hAnsi="Times New Roman"/>
          <w:sz w:val="16"/>
          <w:szCs w:val="16"/>
          <w:color w:val="auto"/>
        </w:rPr>
        <w:t xml:space="preserve"> of the Disclosure Schedules;</w:t>
      </w:r>
    </w:p>
    <w:p>
      <w:pPr>
        <w:spacing w:after="0" w:line="109" w:lineRule="exact"/>
        <w:rPr>
          <w:rFonts w:ascii="Times New Roman" w:cs="Times New Roman" w:eastAsia="Times New Roman" w:hAnsi="Times New Roman"/>
          <w:sz w:val="16"/>
          <w:szCs w:val="16"/>
          <w:color w:val="010000"/>
        </w:rPr>
      </w:pPr>
    </w:p>
    <w:p>
      <w:pPr>
        <w:ind w:firstLine="1446"/>
        <w:spacing w:after="0" w:line="245" w:lineRule="auto"/>
        <w:tabs>
          <w:tab w:leader="none" w:pos="1931" w:val="left"/>
        </w:tabs>
        <w:numPr>
          <w:ilvl w:val="0"/>
          <w:numId w:val="17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enter into any lease, sublease, sub-sublease, license, concession, occupancy agreement relating to real property, other than intercompany leases, sublicenses, or sub-lease agreements between the Acquired Companies;</w:t>
      </w:r>
    </w:p>
    <w:p>
      <w:pPr>
        <w:spacing w:after="0" w:line="109" w:lineRule="exact"/>
        <w:rPr>
          <w:rFonts w:ascii="Times New Roman" w:cs="Times New Roman" w:eastAsia="Times New Roman" w:hAnsi="Times New Roman"/>
          <w:sz w:val="16"/>
          <w:szCs w:val="16"/>
          <w:color w:val="010000"/>
        </w:rPr>
      </w:pPr>
    </w:p>
    <w:p>
      <w:pPr>
        <w:jc w:val="both"/>
        <w:ind w:firstLine="1446"/>
        <w:spacing w:after="0" w:line="217" w:lineRule="auto"/>
        <w:tabs>
          <w:tab w:leader="none" w:pos="1941" w:val="left"/>
        </w:tabs>
        <w:numPr>
          <w:ilvl w:val="0"/>
          <w:numId w:val="17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except as required by the terms of any Company Plan or Contract existing on the date hereof or applicable Law, (A) increase the compensation payable or to become payable or the benefits provided to any current or former director, officer, employee, consultant, dispatch worker or intern of an Acquired Company, other than increases in the ordinary course of business and consistent with past practice; (B) grant any severance, retention, change in control or termination payments or benefits to any director, officer, employee, consultant, dispatch worker or intern of an Acquired Company, other than pursuant to preexisting Company Plans or Contracts; (C) establish, adopt, enter into, terminate or amend any material Company Plan, other than as necessary to maintain the qualified status of such Company Plan under applicable Law or establish, adopt, enter into, terminate or amend any plan, agreement, program, policy, trust, fund or other arrangement that would be a material Company Plan if it were in existence as of the date of this Agreement; (D) except as required or contemplated by this Agreement, take any action to accelerate the vesting, lapsing of restrictions or timing of payment, or fund or in any other way secure the payment, in respect of any award or benefit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ectPr>
          <w:pgSz w:w="11900" w:h="16840" w:orient="portrait"/>
          <w:cols w:equalWidth="0" w:num="1">
            <w:col w:w="10580"/>
          </w:cols>
          <w:pgMar w:left="660" w:top="1440" w:right="660" w:bottom="1440" w:gutter="0" w:footer="0" w:header="0"/>
        </w:sectPr>
      </w:pPr>
    </w:p>
    <w:bookmarkStart w:id="338" w:name="page339"/>
    <w:bookmarkEnd w:id="338"/>
    <w:p>
      <w:pPr>
        <w:spacing w:after="0" w:line="80" w:lineRule="exact"/>
        <w:rPr>
          <w:sz w:val="20"/>
          <w:szCs w:val="20"/>
          <w:color w:val="auto"/>
        </w:rPr>
      </w:pPr>
    </w:p>
    <w:p>
      <w:pPr>
        <w:jc w:val="both"/>
        <w:ind w:left="9" w:right="20"/>
        <w:spacing w:after="0" w:line="232" w:lineRule="auto"/>
        <w:rPr>
          <w:sz w:val="20"/>
          <w:szCs w:val="20"/>
          <w:color w:val="auto"/>
        </w:rPr>
      </w:pPr>
      <w:r>
        <w:rPr>
          <w:rFonts w:ascii="Times New Roman" w:cs="Times New Roman" w:eastAsia="Times New Roman" w:hAnsi="Times New Roman"/>
          <w:sz w:val="16"/>
          <w:szCs w:val="16"/>
          <w:color w:val="auto"/>
        </w:rPr>
        <w:t>provided pursuant to any Company Plan; (E) establish, adopt, enter into or amend any collective bargaining agreement or similar labor agreement, except as required by applicable Law; or (F) establish or adopt any new company policies or amend the employe handbook which would result in additional benefits being provided to any current or former director, officer, employee, consultant, dispatch workers or interns of an Acquired Company;</w:t>
      </w:r>
    </w:p>
    <w:p>
      <w:pPr>
        <w:spacing w:after="0" w:line="109" w:lineRule="exact"/>
        <w:rPr>
          <w:sz w:val="20"/>
          <w:szCs w:val="20"/>
          <w:color w:val="auto"/>
        </w:rPr>
      </w:pPr>
    </w:p>
    <w:p>
      <w:pPr>
        <w:ind w:left="1929" w:hanging="474"/>
        <w:spacing w:after="0"/>
        <w:tabs>
          <w:tab w:leader="none" w:pos="1929" w:val="left"/>
        </w:tabs>
        <w:numPr>
          <w:ilvl w:val="1"/>
          <w:numId w:val="17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terminate (other than for cause) any Key Employee or hire or terminate (other than for cause) any employee holding a position of</w:t>
      </w:r>
    </w:p>
    <w:p>
      <w:pPr>
        <w:ind w:left="9"/>
        <w:spacing w:after="0"/>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associate director or above;</w:t>
      </w:r>
    </w:p>
    <w:p>
      <w:pPr>
        <w:spacing w:after="0" w:line="121" w:lineRule="exact"/>
        <w:rPr>
          <w:rFonts w:ascii="Times New Roman" w:cs="Times New Roman" w:eastAsia="Times New Roman" w:hAnsi="Times New Roman"/>
          <w:sz w:val="16"/>
          <w:szCs w:val="16"/>
          <w:color w:val="010000"/>
        </w:rPr>
      </w:pPr>
    </w:p>
    <w:p>
      <w:pPr>
        <w:jc w:val="both"/>
        <w:ind w:left="9" w:firstLine="1446"/>
        <w:spacing w:after="0" w:line="222" w:lineRule="auto"/>
        <w:tabs>
          <w:tab w:leader="none" w:pos="1950" w:val="left"/>
        </w:tabs>
        <w:numPr>
          <w:ilvl w:val="1"/>
          <w:numId w:val="17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 make any change in any method of accounting or accounting practice, policy or procedure in effect as of [***], except as required by the applicable Accounting Principle, (B) write up, write down or write off the book value of any of its assets, other than (1) in the ordinary course of business or</w:t>
      </w:r>
    </w:p>
    <w:p>
      <w:pPr>
        <w:spacing w:after="0" w:line="1" w:lineRule="exact"/>
        <w:rPr>
          <w:rFonts w:ascii="Times New Roman" w:cs="Times New Roman" w:eastAsia="Times New Roman" w:hAnsi="Times New Roman"/>
          <w:sz w:val="16"/>
          <w:szCs w:val="16"/>
          <w:color w:val="010000"/>
        </w:rPr>
      </w:pPr>
    </w:p>
    <w:p>
      <w:pPr>
        <w:jc w:val="both"/>
        <w:ind w:left="9" w:right="20" w:hanging="9"/>
        <w:spacing w:after="0" w:line="224" w:lineRule="auto"/>
        <w:tabs>
          <w:tab w:leader="none" w:pos="25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may be required by the applicable Accounting Principle or (C) make any material change or modification in any manner to cash management or working capital policies, including existing credit, collection and payment policies, prepayment of expenses, accrual of expenses, deferral and/or recognition of revenue, and acceptance of customer deposits;</w:t>
      </w:r>
    </w:p>
    <w:p>
      <w:pPr>
        <w:spacing w:after="0" w:line="113" w:lineRule="exact"/>
        <w:rPr>
          <w:rFonts w:ascii="Times New Roman" w:cs="Times New Roman" w:eastAsia="Times New Roman" w:hAnsi="Times New Roman"/>
          <w:sz w:val="16"/>
          <w:szCs w:val="16"/>
          <w:color w:val="auto"/>
        </w:rPr>
      </w:pPr>
    </w:p>
    <w:p>
      <w:pPr>
        <w:jc w:val="both"/>
        <w:ind w:left="9" w:right="20" w:firstLine="1446"/>
        <w:spacing w:after="0"/>
        <w:tabs>
          <w:tab w:leader="none" w:pos="1950" w:val="left"/>
        </w:tabs>
        <w:numPr>
          <w:ilvl w:val="1"/>
          <w:numId w:val="17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make or change any material election in respect of Taxes, adopt or change any material method of Tax accounting, enter into any closing agreement, file any material amended Tax Return, make or request any Tax ruling, change the Company’s jurisdiction of Tax residence, settle or compromise any material claim or assessment in respect of Taxes, or consent to any extension or waiver of the limitation period applicable to any claim or assessment in respect of material Taxes other than (A) pursuant to extensions of time to file a Tax Return obtained in the ordinary course of business or (B) pursuant to an extension granted in the ordinary course of business in connection with an audit of federal, state or local Taxes to prevent the assessment or collection of a Tax;</w:t>
      </w:r>
    </w:p>
    <w:p>
      <w:pPr>
        <w:spacing w:after="0" w:line="212" w:lineRule="exact"/>
        <w:rPr>
          <w:rFonts w:ascii="Times New Roman" w:cs="Times New Roman" w:eastAsia="Times New Roman" w:hAnsi="Times New Roman"/>
          <w:sz w:val="16"/>
          <w:szCs w:val="16"/>
          <w:color w:val="010000"/>
        </w:rPr>
      </w:pPr>
    </w:p>
    <w:p>
      <w:pPr>
        <w:ind w:left="1929" w:hanging="474"/>
        <w:spacing w:after="0"/>
        <w:tabs>
          <w:tab w:leader="none" w:pos="1929" w:val="left"/>
        </w:tabs>
        <w:numPr>
          <w:ilvl w:val="1"/>
          <w:numId w:val="17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commence, settle or resolve (or propose to commence, settle or resolve) any Action that is material to any Acquired Company;</w:t>
      </w:r>
    </w:p>
    <w:p>
      <w:pPr>
        <w:spacing w:after="0" w:line="139" w:lineRule="exact"/>
        <w:rPr>
          <w:rFonts w:ascii="Times New Roman" w:cs="Times New Roman" w:eastAsia="Times New Roman" w:hAnsi="Times New Roman"/>
          <w:sz w:val="16"/>
          <w:szCs w:val="16"/>
          <w:color w:val="010000"/>
        </w:rPr>
      </w:pPr>
    </w:p>
    <w:p>
      <w:pPr>
        <w:jc w:val="both"/>
        <w:ind w:left="9" w:right="20" w:firstLine="1446"/>
        <w:spacing w:after="0" w:line="232" w:lineRule="auto"/>
        <w:tabs>
          <w:tab w:leader="none" w:pos="1950" w:val="left"/>
        </w:tabs>
        <w:numPr>
          <w:ilvl w:val="1"/>
          <w:numId w:val="17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unless mandated by any Governmental Authority, (A) make any material change to, discontinue, terminate or suspend any ongoing material Research Program, or (B) commence, alone or with any third party, any Research Program that has not been disclosed to Parent prior to the date of this Agreement;</w:t>
      </w:r>
    </w:p>
    <w:p>
      <w:pPr>
        <w:spacing w:after="0" w:line="113" w:lineRule="exact"/>
        <w:rPr>
          <w:rFonts w:ascii="Times New Roman" w:cs="Times New Roman" w:eastAsia="Times New Roman" w:hAnsi="Times New Roman"/>
          <w:sz w:val="16"/>
          <w:szCs w:val="16"/>
          <w:color w:val="010000"/>
        </w:rPr>
      </w:pPr>
    </w:p>
    <w:p>
      <w:pPr>
        <w:jc w:val="both"/>
        <w:ind w:left="9" w:right="20" w:firstLine="1446"/>
        <w:spacing w:after="0" w:line="232" w:lineRule="auto"/>
        <w:tabs>
          <w:tab w:leader="none" w:pos="1940" w:val="left"/>
        </w:tabs>
        <w:numPr>
          <w:ilvl w:val="1"/>
          <w:numId w:val="17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fail to maintain in full force and effect the existing insurance policies (or replacement or revised policies with comparable terms and conditions that provide insurance coverage in a manner consistent with or more favorable than past practices) covering the Company and its Subsidiaries and their respective properties, assets and businesses;</w:t>
      </w:r>
    </w:p>
    <w:p>
      <w:pPr>
        <w:spacing w:after="0" w:line="113" w:lineRule="exact"/>
        <w:rPr>
          <w:rFonts w:ascii="Times New Roman" w:cs="Times New Roman" w:eastAsia="Times New Roman" w:hAnsi="Times New Roman"/>
          <w:sz w:val="16"/>
          <w:szCs w:val="16"/>
          <w:color w:val="010000"/>
        </w:rPr>
      </w:pPr>
    </w:p>
    <w:p>
      <w:pPr>
        <w:ind w:left="1949" w:hanging="494"/>
        <w:spacing w:after="0"/>
        <w:tabs>
          <w:tab w:leader="none" w:pos="1949" w:val="left"/>
        </w:tabs>
        <w:numPr>
          <w:ilvl w:val="1"/>
          <w:numId w:val="17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enter into any new line of business not conducted or contemplated to be conducted by the Acquired Companies as of the date hereof;</w:t>
      </w:r>
    </w:p>
    <w:p>
      <w:pPr>
        <w:spacing w:after="0" w:line="139" w:lineRule="exact"/>
        <w:rPr>
          <w:rFonts w:ascii="Times New Roman" w:cs="Times New Roman" w:eastAsia="Times New Roman" w:hAnsi="Times New Roman"/>
          <w:sz w:val="16"/>
          <w:szCs w:val="16"/>
          <w:color w:val="010000"/>
        </w:rPr>
      </w:pPr>
    </w:p>
    <w:p>
      <w:pPr>
        <w:ind w:left="9" w:right="20" w:firstLine="1446"/>
        <w:spacing w:after="0" w:line="245" w:lineRule="auto"/>
        <w:tabs>
          <w:tab w:leader="none" w:pos="1950" w:val="left"/>
        </w:tabs>
        <w:numPr>
          <w:ilvl w:val="1"/>
          <w:numId w:val="17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take any action that will require reward or inventor remuneration to be payable other than in accordance with the policy to be put in place prior to the Closing in accordance with </w:t>
      </w:r>
      <w:r>
        <w:rPr>
          <w:rFonts w:ascii="Times New Roman" w:cs="Times New Roman" w:eastAsia="Times New Roman" w:hAnsi="Times New Roman"/>
          <w:sz w:val="16"/>
          <w:szCs w:val="16"/>
          <w:b w:val="1"/>
          <w:bCs w:val="1"/>
          <w:color w:val="auto"/>
        </w:rPr>
        <w:t>Section 5.24</w:t>
      </w:r>
      <w:r>
        <w:rPr>
          <w:rFonts w:ascii="Times New Roman" w:cs="Times New Roman" w:eastAsia="Times New Roman" w:hAnsi="Times New Roman"/>
          <w:sz w:val="16"/>
          <w:szCs w:val="16"/>
          <w:color w:val="auto"/>
        </w:rPr>
        <w:t>;</w:t>
      </w:r>
    </w:p>
    <w:p>
      <w:pPr>
        <w:spacing w:after="0" w:line="109" w:lineRule="exact"/>
        <w:rPr>
          <w:rFonts w:ascii="Times New Roman" w:cs="Times New Roman" w:eastAsia="Times New Roman" w:hAnsi="Times New Roman"/>
          <w:sz w:val="16"/>
          <w:szCs w:val="16"/>
          <w:color w:val="010000"/>
        </w:rPr>
      </w:pPr>
    </w:p>
    <w:p>
      <w:pPr>
        <w:ind w:left="1929" w:hanging="474"/>
        <w:spacing w:after="0"/>
        <w:tabs>
          <w:tab w:leader="none" w:pos="1929" w:val="left"/>
        </w:tabs>
        <w:numPr>
          <w:ilvl w:val="1"/>
          <w:numId w:val="17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enter into, amend, waive or terminate (other than terminations in accordance with their terms) any Related Party Agreement; or</w:t>
      </w:r>
    </w:p>
    <w:p>
      <w:pPr>
        <w:spacing w:after="0" w:line="135" w:lineRule="exact"/>
        <w:rPr>
          <w:rFonts w:ascii="Times New Roman" w:cs="Times New Roman" w:eastAsia="Times New Roman" w:hAnsi="Times New Roman"/>
          <w:sz w:val="16"/>
          <w:szCs w:val="16"/>
          <w:color w:val="010000"/>
        </w:rPr>
      </w:pPr>
    </w:p>
    <w:p>
      <w:pPr>
        <w:ind w:left="1949" w:hanging="494"/>
        <w:spacing w:after="0"/>
        <w:tabs>
          <w:tab w:leader="none" w:pos="1949" w:val="left"/>
        </w:tabs>
        <w:numPr>
          <w:ilvl w:val="1"/>
          <w:numId w:val="17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agree, resolve, authorize, announce an intention, enter into any formal or informal agreement, or otherwise make a commitment to do</w:t>
      </w:r>
    </w:p>
    <w:p>
      <w:pPr>
        <w:ind w:left="9"/>
        <w:spacing w:after="0"/>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any of the foregoing.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60</w:t>
      </w:r>
    </w:p>
    <w:p>
      <w:pPr>
        <w:sectPr>
          <w:pgSz w:w="11900" w:h="16840" w:orient="portrait"/>
          <w:cols w:equalWidth="0" w:num="1">
            <w:col w:w="10609"/>
          </w:cols>
          <w:pgMar w:left="651" w:top="1440" w:right="640" w:bottom="1440" w:gutter="0" w:footer="0" w:header="0"/>
        </w:sectPr>
      </w:pPr>
    </w:p>
    <w:bookmarkStart w:id="339" w:name="page340"/>
    <w:bookmarkEnd w:id="339"/>
    <w:p>
      <w:pPr>
        <w:spacing w:after="0" w:line="78" w:lineRule="exact"/>
        <w:rPr>
          <w:sz w:val="20"/>
          <w:szCs w:val="20"/>
          <w:color w:val="auto"/>
        </w:rPr>
      </w:pPr>
    </w:p>
    <w:p>
      <w:pPr>
        <w:jc w:val="both"/>
        <w:ind w:firstLine="961"/>
        <w:spacing w:after="0" w:line="221" w:lineRule="auto"/>
        <w:tabs>
          <w:tab w:leader="none" w:pos="1456"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furtherance and not in limitation of any other provision of this Agreement (including </w:t>
      </w:r>
      <w:r>
        <w:rPr>
          <w:rFonts w:ascii="Times New Roman" w:cs="Times New Roman" w:eastAsia="Times New Roman" w:hAnsi="Times New Roman"/>
          <w:sz w:val="16"/>
          <w:szCs w:val="16"/>
          <w:b w:val="1"/>
          <w:bCs w:val="1"/>
          <w:color w:val="auto"/>
        </w:rPr>
        <w:t>Section 5.5</w:t>
      </w:r>
      <w:r>
        <w:rPr>
          <w:rFonts w:ascii="Times New Roman" w:cs="Times New Roman" w:eastAsia="Times New Roman" w:hAnsi="Times New Roman"/>
          <w:sz w:val="16"/>
          <w:szCs w:val="16"/>
          <w:color w:val="auto"/>
        </w:rPr>
        <w:t>), to the extent permitted by applicable Law, the Company shall promptly inform Parent of (i) any material changes in protocol or patient enrollment criteria in any ongoing clinical trial; (ii) any suspected and unexpected serious adverse events in any ongoing clinical trial; (iii) the initiation, discontinuation, pause in enrollment or completion of any ongoing clinical trial; (iv) any material action or communication by Governmental Authority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clinical hold, investigation, non-routine inspection, and any Type A, Type B or Type C meetings), or (v) any material supply chain or manufacturing disruptions, in each case solely with respect to any Company Products being used in ongoing clinical trials.</w:t>
      </w:r>
    </w:p>
    <w:p>
      <w:pPr>
        <w:spacing w:after="0" w:line="117" w:lineRule="exact"/>
        <w:rPr>
          <w:rFonts w:ascii="Times New Roman" w:cs="Times New Roman" w:eastAsia="Times New Roman" w:hAnsi="Times New Roman"/>
          <w:sz w:val="16"/>
          <w:szCs w:val="16"/>
          <w:color w:val="auto"/>
        </w:rPr>
      </w:pPr>
    </w:p>
    <w:p>
      <w:pPr>
        <w:jc w:val="both"/>
        <w:ind w:right="20" w:firstLine="961"/>
        <w:spacing w:after="0" w:line="232" w:lineRule="auto"/>
        <w:tabs>
          <w:tab w:leader="none" w:pos="1456"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nothing contained in this Agreement shall give Parent, directly or indirectly, the right to control or direct the operations of the Acquired Companies prior to the Closing Date. Prior to the Closing Date, each Acquired Company shall exercise, consistent with the terms and conditions of this Agreement, complete control and supervision over its business, assets and operations.</w:t>
      </w:r>
    </w:p>
    <w:p>
      <w:pPr>
        <w:spacing w:after="0" w:line="111" w:lineRule="exact"/>
        <w:rPr>
          <w:sz w:val="20"/>
          <w:szCs w:val="20"/>
          <w:color w:val="auto"/>
        </w:rPr>
      </w:pPr>
    </w:p>
    <w:p>
      <w:pPr>
        <w:jc w:val="both"/>
        <w:ind w:right="20" w:firstLine="485"/>
        <w:spacing w:after="0" w:line="214" w:lineRule="auto"/>
        <w:rPr>
          <w:sz w:val="20"/>
          <w:szCs w:val="20"/>
          <w:color w:val="auto"/>
        </w:rPr>
      </w:pPr>
      <w:r>
        <w:rPr>
          <w:rFonts w:ascii="Times New Roman" w:cs="Times New Roman" w:eastAsia="Times New Roman" w:hAnsi="Times New Roman"/>
          <w:sz w:val="16"/>
          <w:szCs w:val="16"/>
          <w:b w:val="1"/>
          <w:bCs w:val="1"/>
          <w:color w:val="010000"/>
        </w:rPr>
        <w:t xml:space="preserve">Section 5.2 </w:t>
      </w:r>
      <w:r>
        <w:rPr>
          <w:rFonts w:ascii="Times New Roman" w:cs="Times New Roman" w:eastAsia="Times New Roman" w:hAnsi="Times New Roman"/>
          <w:sz w:val="16"/>
          <w:szCs w:val="16"/>
          <w:b w:val="1"/>
          <w:bCs w:val="1"/>
          <w:color w:val="000000"/>
        </w:rPr>
        <w:t>Access to Information</w:t>
      </w:r>
      <w:r>
        <w:rPr>
          <w:rFonts w:ascii="Times New Roman" w:cs="Times New Roman" w:eastAsia="Times New Roman" w:hAnsi="Times New Roman"/>
          <w:sz w:val="16"/>
          <w:szCs w:val="16"/>
          <w:color w:val="000000"/>
        </w:rPr>
        <w:t>. From the date hereof through the earlier of the Closing Date or the valid termination of this Agreement in</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xml:space="preserve">accordance with </w:t>
      </w:r>
      <w:r>
        <w:rPr>
          <w:rFonts w:ascii="Times New Roman" w:cs="Times New Roman" w:eastAsia="Times New Roman" w:hAnsi="Times New Roman"/>
          <w:sz w:val="16"/>
          <w:szCs w:val="16"/>
          <w:b w:val="1"/>
          <w:bCs w:val="1"/>
          <w:color w:val="000000"/>
        </w:rPr>
        <w:t>Article VII</w:t>
      </w:r>
      <w:r>
        <w:rPr>
          <w:rFonts w:ascii="Times New Roman" w:cs="Times New Roman" w:eastAsia="Times New Roman" w:hAnsi="Times New Roman"/>
          <w:sz w:val="16"/>
          <w:szCs w:val="16"/>
          <w:color w:val="000000"/>
        </w:rPr>
        <w:t xml:space="preserve">, upon reasonable advance notice to the Company, the Company shall, and shall cause each other Acquired Company to provide Parent and Parent’s Representatives with reasonable access during normal business hours of each Acquired Company to the Acquired Company’s properties, offices and other facilities and books and records and furnish as promptly as practicable to Parent and Parent’s Representatives such information concerning the business, properties, Company Products, Contracts, assets, Liabilities, personnel and other aspects of the Acquired Companies, in each case, to the extent reasonably requested by Parent and its Representatives; </w:t>
      </w:r>
      <w:r>
        <w:rPr>
          <w:rFonts w:ascii="Times New Roman" w:cs="Times New Roman" w:eastAsia="Times New Roman" w:hAnsi="Times New Roman"/>
          <w:sz w:val="16"/>
          <w:szCs w:val="16"/>
          <w:u w:val="single" w:color="auto"/>
          <w:color w:val="000000"/>
        </w:rPr>
        <w:t>provided</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u w:val="single" w:color="auto"/>
          <w:color w:val="000000"/>
        </w:rPr>
        <w:t>however</w:t>
      </w:r>
      <w:r>
        <w:rPr>
          <w:rFonts w:ascii="Times New Roman" w:cs="Times New Roman" w:eastAsia="Times New Roman" w:hAnsi="Times New Roman"/>
          <w:sz w:val="16"/>
          <w:szCs w:val="16"/>
          <w:i w:val="1"/>
          <w:iCs w:val="1"/>
          <w:color w:val="000000"/>
        </w:rPr>
        <w:t>,</w:t>
      </w:r>
      <w:r>
        <w:rPr>
          <w:rFonts w:ascii="Times New Roman" w:cs="Times New Roman" w:eastAsia="Times New Roman" w:hAnsi="Times New Roman"/>
          <w:sz w:val="16"/>
          <w:szCs w:val="16"/>
          <w:color w:val="000000"/>
        </w:rPr>
        <w:t xml:space="preserve"> that any such access or audit, as applicable, shall be conducted at Parent’s expense, at a reasonable time, under the supervision of appropriate personnel of the Company and/or its Subsidiaries and in such a manner as not to unreasonably interfere with the normal operation of the business of the Acquired Company and in such a manner as to maintain the confidentiality of this Agreement; </w:t>
      </w:r>
      <w:r>
        <w:rPr>
          <w:rFonts w:ascii="Times New Roman" w:cs="Times New Roman" w:eastAsia="Times New Roman" w:hAnsi="Times New Roman"/>
          <w:sz w:val="16"/>
          <w:szCs w:val="16"/>
          <w:u w:val="single" w:color="auto"/>
          <w:color w:val="000000"/>
        </w:rPr>
        <w:t>provided</w:t>
      </w:r>
      <w:r>
        <w:rPr>
          <w:rFonts w:ascii="Times New Roman" w:cs="Times New Roman" w:eastAsia="Times New Roman" w:hAnsi="Times New Roman"/>
          <w:sz w:val="16"/>
          <w:szCs w:val="16"/>
          <w:color w:val="000000"/>
        </w:rPr>
        <w:t xml:space="preserve"> that the Acquired Companies shall be permitted to provide written information pursuant to this </w:t>
      </w:r>
      <w:r>
        <w:rPr>
          <w:rFonts w:ascii="Times New Roman" w:cs="Times New Roman" w:eastAsia="Times New Roman" w:hAnsi="Times New Roman"/>
          <w:sz w:val="16"/>
          <w:szCs w:val="16"/>
          <w:b w:val="1"/>
          <w:bCs w:val="1"/>
          <w:color w:val="000000"/>
        </w:rPr>
        <w:t>Section 5.2</w:t>
      </w:r>
      <w:r>
        <w:rPr>
          <w:rFonts w:ascii="Times New Roman" w:cs="Times New Roman" w:eastAsia="Times New Roman" w:hAnsi="Times New Roman"/>
          <w:sz w:val="16"/>
          <w:szCs w:val="16"/>
          <w:color w:val="000000"/>
        </w:rPr>
        <w:t xml:space="preserve"> electronically or by other remote access. Nothing herein shall require the Acquired Companies to disclose or provide access to any information if such disclosure would reasonably be expected to (x) jeopardize any attorney-client or other legal privilege or (y) contravene any applicable Law, including Antitrust Law, or confidentiality agreement entered into prior to the date of this Agreement; </w:t>
      </w:r>
      <w:r>
        <w:rPr>
          <w:rFonts w:ascii="Times New Roman" w:cs="Times New Roman" w:eastAsia="Times New Roman" w:hAnsi="Times New Roman"/>
          <w:sz w:val="16"/>
          <w:szCs w:val="16"/>
          <w:u w:val="single" w:color="auto"/>
          <w:color w:val="000000"/>
        </w:rPr>
        <w:t>provided</w:t>
      </w:r>
      <w:r>
        <w:rPr>
          <w:rFonts w:ascii="Times New Roman" w:cs="Times New Roman" w:eastAsia="Times New Roman" w:hAnsi="Times New Roman"/>
          <w:sz w:val="16"/>
          <w:szCs w:val="16"/>
          <w:color w:val="000000"/>
        </w:rPr>
        <w:t xml:space="preserve"> that in the event that access or disclosure is restricted under the preceding clauses (x) or (y), the Acquired Companies shall use reasonable best efforts to provide alternative arrangements for such disclosure or access to Parent and its Representatives, including to the extent requested by Parent and if applicable, by entering into a customary joint defense agreement that would, upon the Company’s reasonable determination after consultation with outside legal counsel, alleviate such loss of privilege. With respect to the information disclosed pursuant to this </w:t>
      </w:r>
      <w:r>
        <w:rPr>
          <w:rFonts w:ascii="Times New Roman" w:cs="Times New Roman" w:eastAsia="Times New Roman" w:hAnsi="Times New Roman"/>
          <w:sz w:val="16"/>
          <w:szCs w:val="16"/>
          <w:b w:val="1"/>
          <w:bCs w:val="1"/>
          <w:color w:val="000000"/>
        </w:rPr>
        <w:t>Section 5.2</w:t>
      </w:r>
      <w:r>
        <w:rPr>
          <w:rFonts w:ascii="Times New Roman" w:cs="Times New Roman" w:eastAsia="Times New Roman" w:hAnsi="Times New Roman"/>
          <w:sz w:val="16"/>
          <w:szCs w:val="16"/>
          <w:color w:val="000000"/>
        </w:rPr>
        <w:t xml:space="preserve">, Parent shall comply with, and shall instruct Parent’s Representatives to comply with, all of its obligations under the Confidentiality Agreement. All requests for information made pursuant to this </w:t>
      </w:r>
      <w:r>
        <w:rPr>
          <w:rFonts w:ascii="Times New Roman" w:cs="Times New Roman" w:eastAsia="Times New Roman" w:hAnsi="Times New Roman"/>
          <w:sz w:val="16"/>
          <w:szCs w:val="16"/>
          <w:b w:val="1"/>
          <w:bCs w:val="1"/>
          <w:color w:val="000000"/>
        </w:rPr>
        <w:t>Section 5.2</w:t>
      </w:r>
      <w:r>
        <w:rPr>
          <w:rFonts w:ascii="Times New Roman" w:cs="Times New Roman" w:eastAsia="Times New Roman" w:hAnsi="Times New Roman"/>
          <w:sz w:val="16"/>
          <w:szCs w:val="16"/>
          <w:color w:val="000000"/>
        </w:rPr>
        <w:t xml:space="preserve"> shall be directed to the officer or other Person designated by the Company.</w:t>
      </w:r>
    </w:p>
    <w:p>
      <w:pPr>
        <w:spacing w:after="0" w:line="122" w:lineRule="exact"/>
        <w:rPr>
          <w:sz w:val="20"/>
          <w:szCs w:val="20"/>
          <w:color w:val="auto"/>
        </w:rPr>
      </w:pPr>
    </w:p>
    <w:p>
      <w:pPr>
        <w:jc w:val="both"/>
        <w:ind w:right="20" w:firstLine="485"/>
        <w:spacing w:after="0" w:line="221" w:lineRule="auto"/>
        <w:rPr>
          <w:sz w:val="20"/>
          <w:szCs w:val="20"/>
          <w:color w:val="auto"/>
        </w:rPr>
      </w:pPr>
      <w:r>
        <w:rPr>
          <w:rFonts w:ascii="Times New Roman" w:cs="Times New Roman" w:eastAsia="Times New Roman" w:hAnsi="Times New Roman"/>
          <w:sz w:val="16"/>
          <w:szCs w:val="16"/>
          <w:b w:val="1"/>
          <w:bCs w:val="1"/>
          <w:color w:val="010000"/>
        </w:rPr>
        <w:t xml:space="preserve">Section 5.3 </w:t>
      </w:r>
      <w:r>
        <w:rPr>
          <w:rFonts w:ascii="Times New Roman" w:cs="Times New Roman" w:eastAsia="Times New Roman" w:hAnsi="Times New Roman"/>
          <w:sz w:val="16"/>
          <w:szCs w:val="16"/>
          <w:b w:val="1"/>
          <w:bCs w:val="1"/>
          <w:color w:val="000000"/>
        </w:rPr>
        <w:t>No Solicitation; No IPO Activities</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The Company agrees that between the date of this Agreement and the earlier of the Closing and the</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xml:space="preserve">valid termination of this Agreement in accordance with </w:t>
      </w:r>
      <w:r>
        <w:rPr>
          <w:rFonts w:ascii="Times New Roman" w:cs="Times New Roman" w:eastAsia="Times New Roman" w:hAnsi="Times New Roman"/>
          <w:sz w:val="16"/>
          <w:szCs w:val="16"/>
          <w:b w:val="1"/>
          <w:bCs w:val="1"/>
          <w:color w:val="000000"/>
        </w:rPr>
        <w:t>Article VII</w:t>
      </w:r>
      <w:r>
        <w:rPr>
          <w:rFonts w:ascii="Times New Roman" w:cs="Times New Roman" w:eastAsia="Times New Roman" w:hAnsi="Times New Roman"/>
          <w:sz w:val="16"/>
          <w:szCs w:val="16"/>
          <w:color w:val="000000"/>
        </w:rPr>
        <w:t>, the Company shall not, and shall cause each other Acquired Company and its and their respective officers, directors and employees not to, and direct any investment banker, attorney or other advisor or representative retained by the Company or any other Acquired Company not to (a) solicit, initiate or knowingly encourage the submission of any Acquisition Proposal by any Person or (b) participate in any discussions or negotiations regarding, or furnish to any Person any non-public information with respect to, or take any other action intended or reasonably expected to facilitate the making of any inquiry or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61</w:t>
      </w:r>
    </w:p>
    <w:p>
      <w:pPr>
        <w:sectPr>
          <w:pgSz w:w="11900" w:h="16840" w:orient="portrait"/>
          <w:cols w:equalWidth="0" w:num="1">
            <w:col w:w="10600"/>
          </w:cols>
          <w:pgMar w:left="660" w:top="1440" w:right="640" w:bottom="1440" w:gutter="0" w:footer="0" w:header="0"/>
        </w:sectPr>
      </w:pPr>
    </w:p>
    <w:bookmarkStart w:id="340" w:name="page341"/>
    <w:bookmarkEnd w:id="340"/>
    <w:p>
      <w:pPr>
        <w:spacing w:after="0" w:line="8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6"/>
          <w:szCs w:val="16"/>
          <w:color w:val="auto"/>
        </w:rPr>
        <w:t xml:space="preserve">proposal to an Acquired Company that constitutes, or is reasonably expected to lead to, any Acquisition Proposal by any Person. Without limiting the foregoing, it is understood and agreed that any violation of the restrictions set forth in the preceding sentence by any officer, director or employee of an Acquired Company or any investment banker, attorney or other advisor or representative of an Acquired Company, acting on behalf of an Acquired Company shall be deemed to be a breach of this </w:t>
      </w:r>
      <w:r>
        <w:rPr>
          <w:rFonts w:ascii="Times New Roman" w:cs="Times New Roman" w:eastAsia="Times New Roman" w:hAnsi="Times New Roman"/>
          <w:sz w:val="16"/>
          <w:szCs w:val="16"/>
          <w:b w:val="1"/>
          <w:bCs w:val="1"/>
          <w:color w:val="auto"/>
        </w:rPr>
        <w:t>Section 5.3</w:t>
      </w:r>
      <w:r>
        <w:rPr>
          <w:rFonts w:ascii="Times New Roman" w:cs="Times New Roman" w:eastAsia="Times New Roman" w:hAnsi="Times New Roman"/>
          <w:sz w:val="16"/>
          <w:szCs w:val="16"/>
          <w:color w:val="auto"/>
        </w:rPr>
        <w:t xml:space="preserve"> by the Company. The Company shall notify Parent if it or any officer, director or executive officer of an Acquired Company becomes aware of any receipt by an Acquired Company of any Acquisition Proposal or any inquiry with respect to, or which would reasonably be expected to lead to, any Acquisition Proposal. For purposes of this Agreement, “</w:t>
      </w:r>
      <w:r>
        <w:rPr>
          <w:rFonts w:ascii="Times New Roman" w:cs="Times New Roman" w:eastAsia="Times New Roman" w:hAnsi="Times New Roman"/>
          <w:sz w:val="16"/>
          <w:szCs w:val="16"/>
          <w:b w:val="1"/>
          <w:bCs w:val="1"/>
          <w:i w:val="1"/>
          <w:iCs w:val="1"/>
          <w:color w:val="auto"/>
        </w:rPr>
        <w:t>Acquisition Proposal</w:t>
      </w:r>
      <w:r>
        <w:rPr>
          <w:rFonts w:ascii="Times New Roman" w:cs="Times New Roman" w:eastAsia="Times New Roman" w:hAnsi="Times New Roman"/>
          <w:sz w:val="16"/>
          <w:szCs w:val="16"/>
          <w:color w:val="auto"/>
        </w:rPr>
        <w:t xml:space="preserve">” means any offer or proposal for, or any indication of interest in, any of the following (other than the Merger): (i) any direct or indirect acquisition or purchase of [***]% or more of the share capital or other equity or ownership interest of the Company (other than issuance of Shares upon conversion of Company Preferred Shares), or material assets of the Company, or (ii) any merger, consolidation or other business combination relating to the Acquired Companies. The Company agrees that between the date of this Agreement and the earlier of the Closing and the valid termination of this Agreement in accordance with </w:t>
      </w:r>
      <w:r>
        <w:rPr>
          <w:rFonts w:ascii="Times New Roman" w:cs="Times New Roman" w:eastAsia="Times New Roman" w:hAnsi="Times New Roman"/>
          <w:sz w:val="16"/>
          <w:szCs w:val="16"/>
          <w:b w:val="1"/>
          <w:bCs w:val="1"/>
          <w:color w:val="auto"/>
        </w:rPr>
        <w:t>Article VII</w:t>
      </w:r>
      <w:r>
        <w:rPr>
          <w:rFonts w:ascii="Times New Roman" w:cs="Times New Roman" w:eastAsia="Times New Roman" w:hAnsi="Times New Roman"/>
          <w:sz w:val="16"/>
          <w:szCs w:val="16"/>
          <w:color w:val="auto"/>
        </w:rPr>
        <w:t>, the Company shall not, and shall cause each other Acquired Company and its and their respective Representatives not to, engage in any activity in furtherance of an IPO that involves written or oral communication with any third party, including testing the water communications or presentations to pursue or facilitate an IPO, roadshows for an IPO, discussions with underwriters to pursue or facilitate an IPO, or any other fundraising activities, and in no event shall the Company enter into an underwriting agreement with respect to, price or consummate an IPO.</w:t>
      </w:r>
    </w:p>
    <w:p>
      <w:pPr>
        <w:spacing w:after="0" w:line="120"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5.4</w:t>
      </w:r>
      <w:r>
        <w:rPr>
          <w:rFonts w:ascii="Times New Roman" w:cs="Times New Roman" w:eastAsia="Times New Roman" w:hAnsi="Times New Roman"/>
          <w:sz w:val="16"/>
          <w:szCs w:val="16"/>
          <w:b w:val="1"/>
          <w:bCs w:val="1"/>
          <w:color w:val="auto"/>
        </w:rPr>
        <w:tab/>
        <w:t>Requisite Approval</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jc w:val="both"/>
        <w:ind w:firstLine="961"/>
        <w:spacing w:after="0" w:line="216" w:lineRule="auto"/>
        <w:tabs>
          <w:tab w:leader="none" w:pos="1456"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promptly as practicable after the execution of the Agreement, and in any event within [***] Business Days following the date of this Agreement, the Company shall, in compliance with Cayman Companies Law, the Company Articles and the Investor Rights Agreement, deliver, or cause to be delivered, to each Shareholder entitled to vote upon the approval of this Agreement, the Merger and the Plan of Merger, a letter to the Shareholders, which shall include a notice of meeting (in accordance with, and for the purposes of, the Company Articles), and a form of proxy in connection with the solicitation of proxies for use at the Shareholders Meeting (collectively, the “</w:t>
      </w:r>
      <w:r>
        <w:rPr>
          <w:rFonts w:ascii="Times New Roman" w:cs="Times New Roman" w:eastAsia="Times New Roman" w:hAnsi="Times New Roman"/>
          <w:sz w:val="16"/>
          <w:szCs w:val="16"/>
          <w:b w:val="1"/>
          <w:bCs w:val="1"/>
          <w:i w:val="1"/>
          <w:iCs w:val="1"/>
          <w:color w:val="auto"/>
        </w:rPr>
        <w:t>Information Statement</w:t>
      </w:r>
      <w:r>
        <w:rPr>
          <w:rFonts w:ascii="Times New Roman" w:cs="Times New Roman" w:eastAsia="Times New Roman" w:hAnsi="Times New Roman"/>
          <w:sz w:val="16"/>
          <w:szCs w:val="16"/>
          <w:color w:val="auto"/>
        </w:rPr>
        <w:t>”). The Company shall give Parent and its counsel a reasonable opportunity to review and comment on the Information Statement, including all amendments and supplements thereto, prior to disseminating the Information Statement to the Shareholders and shall in good faith consider all reasonable changes suggested by Parent. If, at any time prior to the Shareholders Meeting, any information relating to the Company, Parent or any of their respective Affiliates, officers or directors should be discovered by the Company or Parent which should be set forth in an amendment or supplement to the Information Statement, so that the Information Statement shall not contain any untrue statement of a material fact or omit to state any material fact required to be stated therein or necessary in order to make the statements therein, in light of the circumstances under which they are made, not misleading, the party which discovers such information shall promptly notify the other parties, and an appropriate amendment or supplement describing such information shall be, to the extent required by applicable Law, disseminated to the Shareholders.</w:t>
      </w:r>
    </w:p>
    <w:p>
      <w:pPr>
        <w:spacing w:after="0" w:line="115" w:lineRule="exact"/>
        <w:rPr>
          <w:rFonts w:ascii="Times New Roman" w:cs="Times New Roman" w:eastAsia="Times New Roman" w:hAnsi="Times New Roman"/>
          <w:sz w:val="16"/>
          <w:szCs w:val="16"/>
          <w:color w:val="auto"/>
        </w:rPr>
      </w:pPr>
    </w:p>
    <w:p>
      <w:pPr>
        <w:jc w:val="both"/>
        <w:ind w:right="20" w:firstLine="961"/>
        <w:spacing w:after="0"/>
        <w:tabs>
          <w:tab w:leader="none" w:pos="1456"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as promptly as practicable following the date of this Agreement, and in any event within [***] Business Days following the date of mailing of the Information Statement (exclusive of the day on which the Information Statement is given or deemed to be given), hold a meeting of the Shareholders (the “</w:t>
      </w:r>
      <w:r>
        <w:rPr>
          <w:rFonts w:ascii="Times New Roman" w:cs="Times New Roman" w:eastAsia="Times New Roman" w:hAnsi="Times New Roman"/>
          <w:sz w:val="16"/>
          <w:szCs w:val="16"/>
          <w:b w:val="1"/>
          <w:bCs w:val="1"/>
          <w:i w:val="1"/>
          <w:iCs w:val="1"/>
          <w:color w:val="auto"/>
        </w:rPr>
        <w:t>Shareholders Meeting</w:t>
      </w:r>
      <w:r>
        <w:rPr>
          <w:rFonts w:ascii="Times New Roman" w:cs="Times New Roman" w:eastAsia="Times New Roman" w:hAnsi="Times New Roman"/>
          <w:sz w:val="16"/>
          <w:szCs w:val="16"/>
          <w:color w:val="auto"/>
        </w:rPr>
        <w:t>”) in accordance with the Company Articles for the purpose of seeking the approval of this Agreement, the Merger and the Plan of Merger by the Required Shareholder Vote and will use its reasonable best efforts to solicit such approval, and shall not, without the prior written consent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62</w:t>
      </w:r>
    </w:p>
    <w:p>
      <w:pPr>
        <w:sectPr>
          <w:pgSz w:w="11900" w:h="16840" w:orient="portrait"/>
          <w:cols w:equalWidth="0" w:num="1">
            <w:col w:w="10600"/>
          </w:cols>
          <w:pgMar w:left="660" w:top="1440" w:right="640" w:bottom="1440" w:gutter="0" w:footer="0" w:header="0"/>
        </w:sectPr>
      </w:pPr>
    </w:p>
    <w:bookmarkStart w:id="341" w:name="page342"/>
    <w:bookmarkEnd w:id="341"/>
    <w:p>
      <w:pPr>
        <w:spacing w:after="0" w:line="8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6"/>
          <w:szCs w:val="16"/>
          <w:color w:val="auto"/>
        </w:rPr>
        <w:t xml:space="preserve">Parent, adjourn, postpone, cancel, recess or reschedule the Shareholders Meeting;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Company may, without the prior consent of Parent, and shall if requested by Parent (with respect to the following </w:t>
      </w:r>
      <w:r>
        <w:rPr>
          <w:rFonts w:ascii="Times New Roman" w:cs="Times New Roman" w:eastAsia="Times New Roman" w:hAnsi="Times New Roman"/>
          <w:sz w:val="16"/>
          <w:szCs w:val="16"/>
          <w:u w:val="single" w:color="auto"/>
          <w:color w:val="auto"/>
        </w:rPr>
        <w:t>clause (i)</w:t>
      </w:r>
      <w:r>
        <w:rPr>
          <w:rFonts w:ascii="Times New Roman" w:cs="Times New Roman" w:eastAsia="Times New Roman" w:hAnsi="Times New Roman"/>
          <w:sz w:val="16"/>
          <w:szCs w:val="16"/>
          <w:color w:val="auto"/>
        </w:rPr>
        <w:t xml:space="preserve">), adjourn the Shareholders Meeting if the Company or Parent, as applicable, believes in good faith that such adjournment is reasonably necessary to allow reasonable additional time to (i) solicit additional proxies necessary to achieve quorum or obtain approval of this Agreement by the Required Shareholder Vote at the Shareholders Meeting (including any adjournment thereof), or (ii) distribute any supplement or amendment to the Information Statement that the Company has determined in good faith after consultation with outside legal counsel is necessary under applicable Law and for such supplement or amendment to be reviewed by the Shareholders prior to the Shareholders Meeting (including any adjournment thereof),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Shareholders Meeting shall not be adjourned for more than [***] Business Days in each instance or [***] Business Days in the aggregate from the originally scheduled date of the Shareholders Meeting without the prior written consent of Parent (if such adjournment is made by the Company) or by mutual agreement of the Company and Parent (if such adjournment is requested by Parent) . Without the prior written consent of Parent (such consent not to be unreasonably withheld, conditioned or delayed), the approval of the Shareholder Matters shall be the only matters that the Company shall propose to be acted on by the Shareholders at the Shareholders Meeting.</w:t>
      </w:r>
    </w:p>
    <w:p>
      <w:pPr>
        <w:spacing w:after="0" w:line="117" w:lineRule="exact"/>
        <w:rPr>
          <w:sz w:val="20"/>
          <w:szCs w:val="20"/>
          <w:color w:val="auto"/>
        </w:rPr>
      </w:pPr>
    </w:p>
    <w:p>
      <w:pPr>
        <w:jc w:val="both"/>
        <w:ind w:right="20" w:firstLine="961"/>
        <w:spacing w:after="0"/>
        <w:tabs>
          <w:tab w:leader="none" w:pos="1456"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an alternative to convening the Shareholders Meeting as provided in this </w:t>
      </w:r>
      <w:r>
        <w:rPr>
          <w:rFonts w:ascii="Times New Roman" w:cs="Times New Roman" w:eastAsia="Times New Roman" w:hAnsi="Times New Roman"/>
          <w:sz w:val="16"/>
          <w:szCs w:val="16"/>
          <w:b w:val="1"/>
          <w:bCs w:val="1"/>
          <w:color w:val="auto"/>
        </w:rPr>
        <w:t>Section 5.4</w:t>
      </w:r>
      <w:r>
        <w:rPr>
          <w:rFonts w:ascii="Times New Roman" w:cs="Times New Roman" w:eastAsia="Times New Roman" w:hAnsi="Times New Roman"/>
          <w:sz w:val="16"/>
          <w:szCs w:val="16"/>
          <w:color w:val="auto"/>
        </w:rPr>
        <w:t xml:space="preserve">, the Shareholders may approve the Shareholder Matters by signing unanimous written consents in the forms attached here as </w:t>
      </w:r>
      <w:r>
        <w:rPr>
          <w:rFonts w:ascii="Times New Roman" w:cs="Times New Roman" w:eastAsia="Times New Roman" w:hAnsi="Times New Roman"/>
          <w:sz w:val="16"/>
          <w:szCs w:val="16"/>
          <w:b w:val="1"/>
          <w:bCs w:val="1"/>
          <w:color w:val="auto"/>
        </w:rPr>
        <w:t>Exhibit M</w:t>
      </w:r>
      <w:r>
        <w:rPr>
          <w:rFonts w:ascii="Times New Roman" w:cs="Times New Roman" w:eastAsia="Times New Roman" w:hAnsi="Times New Roman"/>
          <w:sz w:val="16"/>
          <w:szCs w:val="16"/>
          <w:color w:val="auto"/>
        </w:rPr>
        <w:t>, and otherwise in compliance with the Company Articles and the applicable provisions of the Cayman Companies Law. If the Shareholders elect to approve the Shareholder Matters by unanimous written consent, the Company shall deliver to Parent no later than [***] following the time of execution and delivery of this Agreement copies of each such consent duly executed by all Shareholders.</w:t>
      </w:r>
    </w:p>
    <w:p>
      <w:pPr>
        <w:spacing w:after="0" w:line="234" w:lineRule="exact"/>
        <w:rPr>
          <w:sz w:val="20"/>
          <w:szCs w:val="20"/>
          <w:color w:val="auto"/>
        </w:rPr>
      </w:pPr>
    </w:p>
    <w:p>
      <w:pPr>
        <w:jc w:val="both"/>
        <w:ind w:right="20" w:firstLine="485"/>
        <w:spacing w:after="0" w:line="217" w:lineRule="auto"/>
        <w:rPr>
          <w:sz w:val="20"/>
          <w:szCs w:val="20"/>
          <w:color w:val="auto"/>
        </w:rPr>
      </w:pPr>
      <w:r>
        <w:rPr>
          <w:rFonts w:ascii="Times New Roman" w:cs="Times New Roman" w:eastAsia="Times New Roman" w:hAnsi="Times New Roman"/>
          <w:sz w:val="16"/>
          <w:szCs w:val="16"/>
          <w:b w:val="1"/>
          <w:bCs w:val="1"/>
          <w:color w:val="010000"/>
        </w:rPr>
        <w:t xml:space="preserve">Section 5.5 </w:t>
      </w:r>
      <w:r>
        <w:rPr>
          <w:rFonts w:ascii="Times New Roman" w:cs="Times New Roman" w:eastAsia="Times New Roman" w:hAnsi="Times New Roman"/>
          <w:sz w:val="16"/>
          <w:szCs w:val="16"/>
          <w:b w:val="1"/>
          <w:bCs w:val="1"/>
          <w:color w:val="000000"/>
        </w:rPr>
        <w:t>Notification of Certain Matters</w:t>
      </w:r>
      <w:r>
        <w:rPr>
          <w:rFonts w:ascii="Times New Roman" w:cs="Times New Roman" w:eastAsia="Times New Roman" w:hAnsi="Times New Roman"/>
          <w:sz w:val="16"/>
          <w:szCs w:val="16"/>
          <w:color w:val="000000"/>
        </w:rPr>
        <w:t>. The Company shall give prompt written notice to Parent, and Parent and Merger Sub shall give prompt</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xml:space="preserve">written notice to the Company of (a) when Parent is the notified party, the occurrence of any Effect that has had a Material Adverse Effect, (b) when the Company is the notified party, the occurrence of any Effect that has had or is reasonably likely to have the effect of materially impairing the ability of Parent or Merger Sub to consummate, or preventing or materially delaying, the Merger, (c) any failure to comply with or satisfy any covenant or agreement to be complied with or satisfied by it hereunder, or any other event or condition, that in each case would result in the nonfulfillment of any of the conditions to the other parties’ obligations hereunder, (d) any notice or other communication from any Person alleging that the consent of such Person is or may be required in connection with the consummation of the transactions contemplated by this Agreement or (e) any Action pending or, to the Company’s Knowledge or to Parent’s knowledge, as applicable, threatened in writing against a party or the parties relating to the transactions contemplated by this Agreement or the Ancillary Agreements, in each case, to the extent that, (x) when Parent is the notified party, any of the conditions set forth in </w:t>
      </w:r>
      <w:r>
        <w:rPr>
          <w:rFonts w:ascii="Times New Roman" w:cs="Times New Roman" w:eastAsia="Times New Roman" w:hAnsi="Times New Roman"/>
          <w:sz w:val="16"/>
          <w:szCs w:val="16"/>
          <w:b w:val="1"/>
          <w:bCs w:val="1"/>
          <w:color w:val="000000"/>
        </w:rPr>
        <w:t>Section 6.1</w:t>
      </w:r>
      <w:r>
        <w:rPr>
          <w:rFonts w:ascii="Times New Roman" w:cs="Times New Roman" w:eastAsia="Times New Roman" w:hAnsi="Times New Roman"/>
          <w:sz w:val="16"/>
          <w:szCs w:val="16"/>
          <w:color w:val="000000"/>
        </w:rPr>
        <w:t xml:space="preserve"> or </w:t>
      </w:r>
      <w:r>
        <w:rPr>
          <w:rFonts w:ascii="Times New Roman" w:cs="Times New Roman" w:eastAsia="Times New Roman" w:hAnsi="Times New Roman"/>
          <w:sz w:val="16"/>
          <w:szCs w:val="16"/>
          <w:b w:val="1"/>
          <w:bCs w:val="1"/>
          <w:color w:val="000000"/>
        </w:rPr>
        <w:t>Section 6.3</w:t>
      </w:r>
      <w:r>
        <w:rPr>
          <w:rFonts w:ascii="Times New Roman" w:cs="Times New Roman" w:eastAsia="Times New Roman" w:hAnsi="Times New Roman"/>
          <w:sz w:val="16"/>
          <w:szCs w:val="16"/>
          <w:color w:val="000000"/>
        </w:rPr>
        <w:t xml:space="preserve"> and (y) when the Company is the notified party, any of the conditions set forth in </w:t>
      </w:r>
      <w:r>
        <w:rPr>
          <w:rFonts w:ascii="Times New Roman" w:cs="Times New Roman" w:eastAsia="Times New Roman" w:hAnsi="Times New Roman"/>
          <w:sz w:val="16"/>
          <w:szCs w:val="16"/>
          <w:b w:val="1"/>
          <w:bCs w:val="1"/>
          <w:color w:val="000000"/>
        </w:rPr>
        <w:t>Section 6.1</w:t>
      </w:r>
      <w:r>
        <w:rPr>
          <w:rFonts w:ascii="Times New Roman" w:cs="Times New Roman" w:eastAsia="Times New Roman" w:hAnsi="Times New Roman"/>
          <w:sz w:val="16"/>
          <w:szCs w:val="16"/>
          <w:color w:val="000000"/>
        </w:rPr>
        <w:t xml:space="preserve"> or </w:t>
      </w:r>
      <w:r>
        <w:rPr>
          <w:rFonts w:ascii="Times New Roman" w:cs="Times New Roman" w:eastAsia="Times New Roman" w:hAnsi="Times New Roman"/>
          <w:sz w:val="16"/>
          <w:szCs w:val="16"/>
          <w:b w:val="1"/>
          <w:bCs w:val="1"/>
          <w:color w:val="000000"/>
        </w:rPr>
        <w:t>Section 6.2</w:t>
      </w:r>
      <w:r>
        <w:rPr>
          <w:rFonts w:ascii="Times New Roman" w:cs="Times New Roman" w:eastAsia="Times New Roman" w:hAnsi="Times New Roman"/>
          <w:sz w:val="16"/>
          <w:szCs w:val="16"/>
          <w:color w:val="000000"/>
        </w:rPr>
        <w:t>, would not be satisfied.</w:t>
      </w:r>
    </w:p>
    <w:p>
      <w:pPr>
        <w:spacing w:after="0" w:line="115" w:lineRule="exact"/>
        <w:rPr>
          <w:sz w:val="20"/>
          <w:szCs w:val="20"/>
          <w:color w:val="auto"/>
        </w:rPr>
      </w:pPr>
    </w:p>
    <w:p>
      <w:pPr>
        <w:jc w:val="both"/>
        <w:ind w:right="20" w:firstLine="485"/>
        <w:spacing w:after="0" w:line="227" w:lineRule="auto"/>
        <w:rPr>
          <w:sz w:val="20"/>
          <w:szCs w:val="20"/>
          <w:color w:val="auto"/>
        </w:rPr>
      </w:pPr>
      <w:r>
        <w:rPr>
          <w:rFonts w:ascii="Times New Roman" w:cs="Times New Roman" w:eastAsia="Times New Roman" w:hAnsi="Times New Roman"/>
          <w:sz w:val="16"/>
          <w:szCs w:val="16"/>
          <w:b w:val="1"/>
          <w:bCs w:val="1"/>
          <w:color w:val="010000"/>
        </w:rPr>
        <w:t xml:space="preserve">Section 5.6 </w:t>
      </w:r>
      <w:r>
        <w:rPr>
          <w:rFonts w:ascii="Times New Roman" w:cs="Times New Roman" w:eastAsia="Times New Roman" w:hAnsi="Times New Roman"/>
          <w:sz w:val="16"/>
          <w:szCs w:val="16"/>
          <w:b w:val="1"/>
          <w:bCs w:val="1"/>
          <w:color w:val="000000"/>
        </w:rPr>
        <w:t>Takeover Statutes</w:t>
      </w:r>
      <w:r>
        <w:rPr>
          <w:rFonts w:ascii="Times New Roman" w:cs="Times New Roman" w:eastAsia="Times New Roman" w:hAnsi="Times New Roman"/>
          <w:sz w:val="16"/>
          <w:szCs w:val="16"/>
          <w:color w:val="000000"/>
        </w:rPr>
        <w:t>. If any state takeover statute or similar Law shall become applicable to the transactions contemplated by this Agreement</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or the Ancillary Agreements, the Company and the Company Board shall grant such approvals and take such actions as are necessary so that the transactions contemplated hereby or thereby may be consummated as promptly as practicable on the terms contemplated hereby or thereby and otherwise act to eliminate the effects of such statute or regulation on the transactions contemplated hereby or thereby.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63</w:t>
      </w:r>
    </w:p>
    <w:p>
      <w:pPr>
        <w:sectPr>
          <w:pgSz w:w="11900" w:h="16840" w:orient="portrait"/>
          <w:cols w:equalWidth="0" w:num="1">
            <w:col w:w="10600"/>
          </w:cols>
          <w:pgMar w:left="660" w:top="1440" w:right="640" w:bottom="1440" w:gutter="0" w:footer="0" w:header="0"/>
        </w:sectPr>
      </w:pPr>
    </w:p>
    <w:bookmarkStart w:id="342" w:name="page343"/>
    <w:bookmarkEnd w:id="342"/>
    <w:p>
      <w:pPr>
        <w:spacing w:after="0" w:line="78" w:lineRule="exact"/>
        <w:rPr>
          <w:sz w:val="20"/>
          <w:szCs w:val="20"/>
          <w:color w:val="auto"/>
        </w:rPr>
      </w:pPr>
    </w:p>
    <w:p>
      <w:pPr>
        <w:jc w:val="both"/>
        <w:ind w:firstLine="485"/>
        <w:spacing w:after="0" w:line="216" w:lineRule="auto"/>
        <w:rPr>
          <w:sz w:val="20"/>
          <w:szCs w:val="20"/>
          <w:color w:val="auto"/>
        </w:rPr>
      </w:pPr>
      <w:r>
        <w:rPr>
          <w:rFonts w:ascii="Times New Roman" w:cs="Times New Roman" w:eastAsia="Times New Roman" w:hAnsi="Times New Roman"/>
          <w:sz w:val="16"/>
          <w:szCs w:val="16"/>
          <w:b w:val="1"/>
          <w:bCs w:val="1"/>
          <w:color w:val="010000"/>
        </w:rPr>
        <w:t xml:space="preserve">Section 5.7 </w:t>
      </w:r>
      <w:r>
        <w:rPr>
          <w:rFonts w:ascii="Times New Roman" w:cs="Times New Roman" w:eastAsia="Times New Roman" w:hAnsi="Times New Roman"/>
          <w:sz w:val="16"/>
          <w:szCs w:val="16"/>
          <w:b w:val="1"/>
          <w:bCs w:val="1"/>
          <w:color w:val="000000"/>
        </w:rPr>
        <w:t>Confidentiality</w:t>
      </w:r>
      <w:r>
        <w:rPr>
          <w:rFonts w:ascii="Times New Roman" w:cs="Times New Roman" w:eastAsia="Times New Roman" w:hAnsi="Times New Roman"/>
          <w:sz w:val="16"/>
          <w:szCs w:val="16"/>
          <w:color w:val="000000"/>
        </w:rPr>
        <w:t>. Other than as permitted by this Agreement, each of the parties (other than the Shareholders’ Agent, whose confidentiality</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obligations are provided below) shall hold, and shall cause its Representatives to hold, in confidence all documents and information furnished to it by or on behalf of any other party to this Agreement in connection with the transactions contemplated hereby pursuant to the terms of that certain Confidentiality Agreement [***], between Parent and Biotheus Inc. (on behalf of the Company) (as amended [***], and as it may be further amended from time to time, the “</w:t>
      </w:r>
      <w:r>
        <w:rPr>
          <w:rFonts w:ascii="Times New Roman" w:cs="Times New Roman" w:eastAsia="Times New Roman" w:hAnsi="Times New Roman"/>
          <w:sz w:val="16"/>
          <w:szCs w:val="16"/>
          <w:b w:val="1"/>
          <w:bCs w:val="1"/>
          <w:i w:val="1"/>
          <w:iCs w:val="1"/>
          <w:color w:val="000000"/>
        </w:rPr>
        <w:t>Confidentiality</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b w:val="1"/>
          <w:bCs w:val="1"/>
          <w:i w:val="1"/>
          <w:iCs w:val="1"/>
          <w:color w:val="000000"/>
        </w:rPr>
        <w:t>Agreement</w:t>
      </w:r>
      <w:r>
        <w:rPr>
          <w:rFonts w:ascii="Times New Roman" w:cs="Times New Roman" w:eastAsia="Times New Roman" w:hAnsi="Times New Roman"/>
          <w:sz w:val="16"/>
          <w:szCs w:val="16"/>
          <w:color w:val="000000"/>
        </w:rPr>
        <w:t>”), which shall continue in full force and effect until the Closing Date. If for any reason this Agreement is terminated prior to the Closing Date, the</w:t>
      </w:r>
      <w:r>
        <w:rPr>
          <w:rFonts w:ascii="Times New Roman" w:cs="Times New Roman" w:eastAsia="Times New Roman" w:hAnsi="Times New Roman"/>
          <w:sz w:val="16"/>
          <w:szCs w:val="16"/>
          <w:b w:val="1"/>
          <w:bCs w:val="1"/>
          <w:i w:val="1"/>
          <w:iCs w:val="1"/>
          <w:color w:val="000000"/>
        </w:rPr>
        <w:t xml:space="preserve"> </w:t>
      </w:r>
      <w:r>
        <w:rPr>
          <w:rFonts w:ascii="Times New Roman" w:cs="Times New Roman" w:eastAsia="Times New Roman" w:hAnsi="Times New Roman"/>
          <w:sz w:val="16"/>
          <w:szCs w:val="16"/>
          <w:color w:val="000000"/>
        </w:rPr>
        <w:t xml:space="preserve">Confidentiality Agreement shall nonetheless continue in full force and effect in accordance with its terms. The Shareholders’ Agent shall not disclose such documents and information to any third party (other than on a need -to-know basis to the Shareholders’ Agent Group and to the Non-Dissenting Shareholders who either (a) agree to observe the terms of this </w:t>
      </w:r>
      <w:r>
        <w:rPr>
          <w:rFonts w:ascii="Times New Roman" w:cs="Times New Roman" w:eastAsia="Times New Roman" w:hAnsi="Times New Roman"/>
          <w:sz w:val="16"/>
          <w:szCs w:val="16"/>
          <w:b w:val="1"/>
          <w:bCs w:val="1"/>
          <w:color w:val="000000"/>
        </w:rPr>
        <w:t>Section 5.7</w:t>
      </w:r>
      <w:r>
        <w:rPr>
          <w:rFonts w:ascii="Times New Roman" w:cs="Times New Roman" w:eastAsia="Times New Roman" w:hAnsi="Times New Roman"/>
          <w:sz w:val="16"/>
          <w:szCs w:val="16"/>
          <w:color w:val="000000"/>
        </w:rPr>
        <w:t xml:space="preserve"> or (b) are bound by obligations of confidentiality to the Shareholders’ Agent, Parent or the Company), except (i) to the extent such disclosure is required in order to fulfill its obligations hereunder, (ii) to the extent such disclosure is required by Law, in which case the Shareholders’ Agent shall (to the extent legally permissible) promptly notify Parent of this and shall, to the extent practicable and at Parent’s expense, seek to obtain confidential treatment of such information, or (iii) for disclosures in dispute resolution proceedings to the courts or arbitrators involved in such proceedings, and to other Persons involved in such proceedings (</w:t>
      </w:r>
      <w:r>
        <w:rPr>
          <w:rFonts w:ascii="Times New Roman" w:cs="Times New Roman" w:eastAsia="Times New Roman" w:hAnsi="Times New Roman"/>
          <w:sz w:val="16"/>
          <w:szCs w:val="16"/>
          <w:i w:val="1"/>
          <w:iCs w:val="1"/>
          <w:color w:val="000000"/>
        </w:rPr>
        <w:t>e.g.</w:t>
      </w:r>
      <w:r>
        <w:rPr>
          <w:rFonts w:ascii="Times New Roman" w:cs="Times New Roman" w:eastAsia="Times New Roman" w:hAnsi="Times New Roman"/>
          <w:sz w:val="16"/>
          <w:szCs w:val="16"/>
          <w:color w:val="000000"/>
        </w:rPr>
        <w:t>, attorneys and expert witnesses) that are bound by confidentiality restrictions.</w:t>
      </w:r>
    </w:p>
    <w:p>
      <w:pPr>
        <w:spacing w:after="0" w:line="115"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5.8</w:t>
      </w:r>
      <w:r>
        <w:rPr>
          <w:rFonts w:ascii="Times New Roman" w:cs="Times New Roman" w:eastAsia="Times New Roman" w:hAnsi="Times New Roman"/>
          <w:sz w:val="16"/>
          <w:szCs w:val="16"/>
          <w:b w:val="1"/>
          <w:bCs w:val="1"/>
          <w:color w:val="auto"/>
        </w:rPr>
        <w:tab/>
        <w:t>Regulatory Filings; Efforts</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jc w:val="both"/>
        <w:ind w:firstLine="961"/>
        <w:spacing w:after="0" w:line="216" w:lineRule="auto"/>
        <w:tabs>
          <w:tab w:leader="none" w:pos="1456"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reasonably practicable following the execution of this Agreement and in any event no later than [***] Business Days thereafter (or such date as may be agreed in writing by antitrust counsel on behalf of the Company and Parent), Company and Parent each shall file, or shall cause to be filed, with the Antitrust Division of the U.S. Department of Justice (the “</w:t>
      </w:r>
      <w:r>
        <w:rPr>
          <w:rFonts w:ascii="Times New Roman" w:cs="Times New Roman" w:eastAsia="Times New Roman" w:hAnsi="Times New Roman"/>
          <w:sz w:val="16"/>
          <w:szCs w:val="16"/>
          <w:b w:val="1"/>
          <w:bCs w:val="1"/>
          <w:i w:val="1"/>
          <w:iCs w:val="1"/>
          <w:color w:val="auto"/>
        </w:rPr>
        <w:t>DOJ</w:t>
      </w:r>
      <w:r>
        <w:rPr>
          <w:rFonts w:ascii="Times New Roman" w:cs="Times New Roman" w:eastAsia="Times New Roman" w:hAnsi="Times New Roman"/>
          <w:sz w:val="16"/>
          <w:szCs w:val="16"/>
          <w:color w:val="auto"/>
        </w:rPr>
        <w:t>”) and the U.S. Federal Trade Commission (the “</w:t>
      </w:r>
      <w:r>
        <w:rPr>
          <w:rFonts w:ascii="Times New Roman" w:cs="Times New Roman" w:eastAsia="Times New Roman" w:hAnsi="Times New Roman"/>
          <w:sz w:val="16"/>
          <w:szCs w:val="16"/>
          <w:b w:val="1"/>
          <w:bCs w:val="1"/>
          <w:i w:val="1"/>
          <w:iCs w:val="1"/>
          <w:color w:val="auto"/>
        </w:rPr>
        <w:t>FTC</w:t>
      </w:r>
      <w:r>
        <w:rPr>
          <w:rFonts w:ascii="Times New Roman" w:cs="Times New Roman" w:eastAsia="Times New Roman" w:hAnsi="Times New Roman"/>
          <w:sz w:val="16"/>
          <w:szCs w:val="16"/>
          <w:color w:val="auto"/>
        </w:rPr>
        <w:t>”) the Notification and Report Forms relating to the transactions contemplated herein as required by the HSR Act. As soon as reasonably practicable following the execution of this Agreement and in any event no later than [***] Business Days thereafter (or such date as may be agreed in writing by antitrust counsel on behalf of the Company and Parent), Parent shall file with the German Federal Cartel Office (the “</w:t>
      </w:r>
      <w:r>
        <w:rPr>
          <w:rFonts w:ascii="Times New Roman" w:cs="Times New Roman" w:eastAsia="Times New Roman" w:hAnsi="Times New Roman"/>
          <w:sz w:val="16"/>
          <w:szCs w:val="16"/>
          <w:b w:val="1"/>
          <w:bCs w:val="1"/>
          <w:i w:val="1"/>
          <w:iCs w:val="1"/>
          <w:color w:val="auto"/>
        </w:rPr>
        <w:t>FCO</w:t>
      </w:r>
      <w:r>
        <w:rPr>
          <w:rFonts w:ascii="Times New Roman" w:cs="Times New Roman" w:eastAsia="Times New Roman" w:hAnsi="Times New Roman"/>
          <w:sz w:val="16"/>
          <w:szCs w:val="16"/>
          <w:color w:val="auto"/>
        </w:rPr>
        <w:t>”) the notification of the transaction contemplated herein seeking approval pursuant to Section 35 et seq. German GWB. The Company and Parent each shall (i) promptly supply the other party with any information which may reasonably be required in order to effectuate such filings, (ii) promptly respond to any inquiry, request for information, documents, or other material or testimony by the DOJ, the FTC, the FCO or any other Governmental Authority under applicable Antitrust Law, and (iii) coordinate, cooperate and consult with each other in making any such filings or submissions pursuant to and in connection with the foregoing that may be necessary, proper, or advisable in order to consummate and make effective the transactions contemplated hereby as promptly as practicable.</w:t>
      </w:r>
    </w:p>
    <w:p>
      <w:pPr>
        <w:spacing w:after="0" w:line="119" w:lineRule="exact"/>
        <w:rPr>
          <w:rFonts w:ascii="Times New Roman" w:cs="Times New Roman" w:eastAsia="Times New Roman" w:hAnsi="Times New Roman"/>
          <w:sz w:val="16"/>
          <w:szCs w:val="16"/>
          <w:color w:val="auto"/>
        </w:rPr>
      </w:pPr>
    </w:p>
    <w:p>
      <w:pPr>
        <w:jc w:val="both"/>
        <w:ind w:firstLine="961"/>
        <w:spacing w:after="0" w:line="219" w:lineRule="auto"/>
        <w:tabs>
          <w:tab w:leader="none" w:pos="1456"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terms and conditions set forth herein, each of the Company and Parent shall use reasonable efforts to take, or cause to be taken, all actions and to do, or cause to be done, and to assist and cooperate with the other parties in doing, all things, necessary, proper or advisable to make effective as promptly as practicable, but in no event later than the End Date, the Merger and other transactions contemplated hereby in accordance with the terms hereof, including obtaining all approvals, consents, clearances, and the expiration or termination of all applicable waiting periods under Antitrust Law and resolving objections, if any, of the DOJ, the FTC, the FCO or any other Governmental Authority with jurisdiction over antitrust matters, as promptly as practicable. Notwithstanding the generality of the foregoing, and subject to applicable Laws relating to the exchange of information and/or the need to communicate on an outside-counsel-only basis, Company and Parent shall, to the extent not prohibited by applicable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ectPr>
          <w:pgSz w:w="11900" w:h="16840" w:orient="portrait"/>
          <w:cols w:equalWidth="0" w:num="1">
            <w:col w:w="10580"/>
          </w:cols>
          <w:pgMar w:left="660" w:top="1440" w:right="660" w:bottom="1440" w:gutter="0" w:footer="0" w:header="0"/>
        </w:sectPr>
      </w:pPr>
    </w:p>
    <w:bookmarkStart w:id="343" w:name="page344"/>
    <w:bookmarkEnd w:id="343"/>
    <w:p>
      <w:pPr>
        <w:spacing w:after="0" w:line="8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6"/>
          <w:szCs w:val="16"/>
          <w:color w:val="auto"/>
        </w:rPr>
        <w:t xml:space="preserve">Law, (i) promptly keep each other informed regarding the progress and status of all filings and submissions made with respect to the transactions contemplated by this Agreement, (ii) promptly provide each other with copies of any written communications and material details of any oral communications with any Governmental Authority regarding the transactions contemplated by this Agreement, (iii) give each other prior notice of any in person meeting or video conference and, to the extent practicable, any oral communication, with representatives of any Governmental Authority with respect to the transactions contemplated by this Agreement, (iv) to the extent practicable, give each other the opportunity to consult in advance of, and consider in good faith the views of the other party in connection with, any such meeting, telephone or video conference, or other oral or written analysis, appearance, argument, brief, communication, memorandum, opinion, presentation or proposal to be made or submitted in connection with any such Governmental Authority, (v) give each other the opportunity to attend or participate (unless prohibited by such Governmental Authority) in any such meeting or communication, and (vi) provide notice of any communication to, and any proposed understanding, undertaking or agreement with, any Governmental Authority with respect to any such filing or submission or otherwise with respect to the transactions contemplated by this Agreement. Information and materials required to be provided pursuant to this </w:t>
      </w:r>
      <w:r>
        <w:rPr>
          <w:rFonts w:ascii="Times New Roman" w:cs="Times New Roman" w:eastAsia="Times New Roman" w:hAnsi="Times New Roman"/>
          <w:sz w:val="16"/>
          <w:szCs w:val="16"/>
          <w:b w:val="1"/>
          <w:bCs w:val="1"/>
          <w:color w:val="auto"/>
        </w:rPr>
        <w:t>Section 5.8(b)</w:t>
      </w:r>
      <w:r>
        <w:rPr>
          <w:rFonts w:ascii="Times New Roman" w:cs="Times New Roman" w:eastAsia="Times New Roman" w:hAnsi="Times New Roman"/>
          <w:sz w:val="16"/>
          <w:szCs w:val="16"/>
          <w:color w:val="auto"/>
        </w:rPr>
        <w:t xml:space="preserve"> may be restricted to outside counsel and redacted (A) as necessary to comply with contractual arrangements, (B) to remove references concerning the valuation of the Company and (C) as necessary to preserve legal privilege. Subject to applicable Laws relating to the exchange of information, each of the Company and Parent shall have the right to review in advance and comment on drafts of filings (other than the Notification and Report Forms relating to the transactions contemplated herein as required by the HSR Act) and submissions, and to the extent practicable, each will consult the other parties hereto on, the information that appears in any filing made with, or written materials (including analyses, memoranda, white papers, presentations, correspondence or other documents submitted therewith) submitted to, any third party and/or any Governmental Authority in connection with the transactions contemplated by this Agreement. If any administrative or judicial action or proceeding, including any proceeding by a private party, is instituted in the United States (or threatened to be instituted) challenging any transaction contemplated by this Agreement as violative of any Antitrust Law, each of the Company and Parent shall use reasonable efforts to contest and resist any such action or proceeding and to have vacated, lifted, reversed or overturned any decree, judgment, injunction or other order, whether temporary, preliminary or permanent, that is in effect and that prohibits, prevents or restricts consummation of the Merger or the other transactions contemplated by this Agreement.</w:t>
      </w:r>
    </w:p>
    <w:p>
      <w:pPr>
        <w:spacing w:after="0" w:line="115" w:lineRule="exact"/>
        <w:rPr>
          <w:sz w:val="20"/>
          <w:szCs w:val="20"/>
          <w:color w:val="auto"/>
        </w:rPr>
      </w:pPr>
    </w:p>
    <w:p>
      <w:pPr>
        <w:jc w:val="both"/>
        <w:ind w:right="20" w:firstLine="961"/>
        <w:spacing w:after="0" w:line="217" w:lineRule="auto"/>
        <w:tabs>
          <w:tab w:leader="none" w:pos="1456"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Parent and the Company coordinating, cooperating and consulting with each other in good faith with respect to strategy, arguments, communications or positions to be taken in connection with any investigation, inquiry, litigation or action by or before any Governmental Authority relating to any transaction contemplated by this Agreement, Parent shall have the right to (i) direct, devise and implement the strategy, arguments, communications or positions to be taken for (A) obtaining the expiration of the waiting period under the HSR Act and (B) responding to any request from, or inquiry or investigation by (including directing the nature and substance of all such responses), and lead all meetings and communications (including any negotiations) with, any Governmental Authority in connection with such filings or any notices under any applicable Antitrust Law, and (ii) control the defense and settlement of any investigation or Action relating to the transactions contemplated by this Agreement that is brought by or before any Governmental Authority in connection with such required filings or any notices under any applicable Antitrust Law, in all cases in prior consultation with the Company, and acting in good faith. Parent shall pay for the filing fee required to be paid under the HSR Act and German GWB.</w:t>
      </w:r>
    </w:p>
    <w:p>
      <w:pPr>
        <w:spacing w:after="0" w:line="120" w:lineRule="exact"/>
        <w:rPr>
          <w:rFonts w:ascii="Times New Roman" w:cs="Times New Roman" w:eastAsia="Times New Roman" w:hAnsi="Times New Roman"/>
          <w:sz w:val="16"/>
          <w:szCs w:val="16"/>
          <w:color w:val="auto"/>
        </w:rPr>
      </w:pPr>
    </w:p>
    <w:p>
      <w:pPr>
        <w:ind w:right="20" w:firstLine="961"/>
        <w:spacing w:after="0" w:line="245" w:lineRule="auto"/>
        <w:tabs>
          <w:tab w:leader="none" w:pos="1456"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in this Agreement, in connection with the receipt of any necessary approvals or clearances of a Governmental Authority, neither Parent nor any of its Affiliates shall be required to (i) proffer to, agree to, or sell, divest, 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65</w:t>
      </w:r>
    </w:p>
    <w:p>
      <w:pPr>
        <w:sectPr>
          <w:pgSz w:w="11900" w:h="16840" w:orient="portrait"/>
          <w:cols w:equalWidth="0" w:num="1">
            <w:col w:w="10600"/>
          </w:cols>
          <w:pgMar w:left="660" w:top="1440" w:right="640" w:bottom="1440" w:gutter="0" w:footer="0" w:header="0"/>
        </w:sectPr>
      </w:pPr>
    </w:p>
    <w:bookmarkStart w:id="344" w:name="page345"/>
    <w:bookmarkEnd w:id="344"/>
    <w:p>
      <w:pPr>
        <w:spacing w:after="0" w:line="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6"/>
          <w:szCs w:val="16"/>
          <w:color w:val="auto"/>
        </w:rPr>
        <w:t>license, transfer, dispose of or otherwise encumber or hold separate, before or after the Closing, any assets of Parent, the Company or any of their respective Subsidiaries (or consent thereto); or (ii) proffer to, agree to or implement any changes in (including through a licensing arrangement), or any restrictions on or other impairment of, Parent’s ability to use, own, operate or take any other actions with respect to any assets of Parent, the Company or any of their respective Subsidiaries or Parent’s ability to vote, transfer, receive dividends or otherwise exercise full ownership rights with respect to the Shares.</w:t>
      </w:r>
    </w:p>
    <w:p>
      <w:pPr>
        <w:spacing w:after="0" w:line="116" w:lineRule="exact"/>
        <w:rPr>
          <w:sz w:val="20"/>
          <w:szCs w:val="20"/>
          <w:color w:val="auto"/>
        </w:rPr>
      </w:pPr>
    </w:p>
    <w:p>
      <w:pPr>
        <w:jc w:val="both"/>
        <w:ind w:firstLine="961"/>
        <w:spacing w:after="0" w:line="226" w:lineRule="auto"/>
        <w:tabs>
          <w:tab w:leader="none" w:pos="1456"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Parent undertakes not to, and shall procure that its Affiliates will not, take any action, enter into any transaction or into any agreement to effect any transaction (including any merger or acquisition), in each case that would reasonably be expected to prevent, materially delay or materially impair the parties’ ability to obtain the approval of any Governmental Authority under any applicable Antitrust Law or the expiration of termination of any applicable waiting period with respect to the transactions contemplated under this Agreement.</w:t>
      </w:r>
    </w:p>
    <w:p>
      <w:pPr>
        <w:spacing w:after="0" w:line="114" w:lineRule="exact"/>
        <w:rPr>
          <w:sz w:val="20"/>
          <w:szCs w:val="20"/>
          <w:color w:val="auto"/>
        </w:rPr>
      </w:pPr>
    </w:p>
    <w:p>
      <w:pPr>
        <w:jc w:val="both"/>
        <w:ind w:firstLine="485"/>
        <w:spacing w:after="0" w:line="221" w:lineRule="auto"/>
        <w:rPr>
          <w:sz w:val="20"/>
          <w:szCs w:val="20"/>
          <w:color w:val="auto"/>
        </w:rPr>
      </w:pPr>
      <w:r>
        <w:rPr>
          <w:rFonts w:ascii="Times New Roman" w:cs="Times New Roman" w:eastAsia="Times New Roman" w:hAnsi="Times New Roman"/>
          <w:sz w:val="16"/>
          <w:szCs w:val="16"/>
          <w:b w:val="1"/>
          <w:bCs w:val="1"/>
          <w:color w:val="010000"/>
        </w:rPr>
        <w:t xml:space="preserve">Section 5.9 </w:t>
      </w:r>
      <w:r>
        <w:rPr>
          <w:rFonts w:ascii="Times New Roman" w:cs="Times New Roman" w:eastAsia="Times New Roman" w:hAnsi="Times New Roman"/>
          <w:sz w:val="16"/>
          <w:szCs w:val="16"/>
          <w:b w:val="1"/>
          <w:bCs w:val="1"/>
          <w:color w:val="000000"/>
        </w:rPr>
        <w:t>Certain Other Consents</w:t>
      </w:r>
      <w:r>
        <w:rPr>
          <w:rFonts w:ascii="Times New Roman" w:cs="Times New Roman" w:eastAsia="Times New Roman" w:hAnsi="Times New Roman"/>
          <w:sz w:val="16"/>
          <w:szCs w:val="16"/>
          <w:color w:val="000000"/>
        </w:rPr>
        <w:t>. The Company shall use its reasonable best efforts to obtain and deliver, at or prior to the Closing, all consents,</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xml:space="preserve">approvals or waivers required to be obtained from third parties to any Contract set forth in </w:t>
      </w:r>
      <w:r>
        <w:rPr>
          <w:rFonts w:ascii="Times New Roman" w:cs="Times New Roman" w:eastAsia="Times New Roman" w:hAnsi="Times New Roman"/>
          <w:sz w:val="16"/>
          <w:szCs w:val="16"/>
          <w:b w:val="1"/>
          <w:bCs w:val="1"/>
          <w:color w:val="000000"/>
        </w:rPr>
        <w:t>Section 5.9</w:t>
      </w:r>
      <w:r>
        <w:rPr>
          <w:rFonts w:ascii="Times New Roman" w:cs="Times New Roman" w:eastAsia="Times New Roman" w:hAnsi="Times New Roman"/>
          <w:sz w:val="16"/>
          <w:szCs w:val="16"/>
          <w:color w:val="000000"/>
        </w:rPr>
        <w:t xml:space="preserve"> of the Disclosure Schedules in connection with the consummation of the transactions contemplated by this Agreement, and Parent shall provide its reasonable assistance as is reasonably requested by the Company to secure any such consents, approvals and waivers; </w:t>
      </w:r>
      <w:r>
        <w:rPr>
          <w:rFonts w:ascii="Times New Roman" w:cs="Times New Roman" w:eastAsia="Times New Roman" w:hAnsi="Times New Roman"/>
          <w:sz w:val="16"/>
          <w:szCs w:val="16"/>
          <w:u w:val="single" w:color="auto"/>
          <w:color w:val="000000"/>
        </w:rPr>
        <w:t>provided</w:t>
      </w:r>
      <w:r>
        <w:rPr>
          <w:rFonts w:ascii="Times New Roman" w:cs="Times New Roman" w:eastAsia="Times New Roman" w:hAnsi="Times New Roman"/>
          <w:sz w:val="16"/>
          <w:szCs w:val="16"/>
          <w:color w:val="000000"/>
        </w:rPr>
        <w:t xml:space="preserve"> that nothing in this Agreement shall obligate or be construed to obligate any party or its Affiliates to compensate any third party, commence or participate in litigation or offer or grant any accommodation (financial or otherwise) to any third party to obtain any such consent, approval or waiver.</w:t>
      </w:r>
    </w:p>
    <w:p>
      <w:pPr>
        <w:spacing w:after="0" w:line="116" w:lineRule="exact"/>
        <w:rPr>
          <w:sz w:val="20"/>
          <w:szCs w:val="20"/>
          <w:color w:val="auto"/>
        </w:rPr>
      </w:pPr>
    </w:p>
    <w:p>
      <w:pPr>
        <w:jc w:val="both"/>
        <w:ind w:firstLine="485"/>
        <w:spacing w:after="0" w:line="216" w:lineRule="auto"/>
        <w:rPr>
          <w:sz w:val="20"/>
          <w:szCs w:val="20"/>
          <w:color w:val="auto"/>
        </w:rPr>
      </w:pPr>
      <w:r>
        <w:rPr>
          <w:rFonts w:ascii="Times New Roman" w:cs="Times New Roman" w:eastAsia="Times New Roman" w:hAnsi="Times New Roman"/>
          <w:sz w:val="16"/>
          <w:szCs w:val="16"/>
          <w:b w:val="1"/>
          <w:bCs w:val="1"/>
          <w:color w:val="010000"/>
        </w:rPr>
        <w:t xml:space="preserve">Section 5.10 </w:t>
      </w:r>
      <w:r>
        <w:rPr>
          <w:rFonts w:ascii="Times New Roman" w:cs="Times New Roman" w:eastAsia="Times New Roman" w:hAnsi="Times New Roman"/>
          <w:sz w:val="16"/>
          <w:szCs w:val="16"/>
          <w:b w:val="1"/>
          <w:bCs w:val="1"/>
          <w:color w:val="000000"/>
        </w:rPr>
        <w:t>Public Announcements</w:t>
      </w:r>
      <w:r>
        <w:rPr>
          <w:rFonts w:ascii="Times New Roman" w:cs="Times New Roman" w:eastAsia="Times New Roman" w:hAnsi="Times New Roman"/>
          <w:sz w:val="16"/>
          <w:szCs w:val="16"/>
          <w:color w:val="000000"/>
        </w:rPr>
        <w:t>. The parties agree that Parent and the Company shall issue a joint press release relating to this Agreement in a form</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xml:space="preserve">mutually agreed to by Parent and the Company. Thereafter, none of the parties shall issue any press release or public announcement concerning this Agreement or the transactions contemplated hereby without obtaining the prior written approval of (x) Parent (in the case of the Company or the Shareholders’ Agent) or (y) the Company (in the case of Parent prior to the Closing), or the Shareholders’ Agent (in the case of Parent or the Surviving Corporation after the Closing), unless disclosure is otherwise pursuant to applicable Law or by the applicable rules of any stock exchange on which Parent or its Affiliates list securities; </w:t>
      </w:r>
      <w:r>
        <w:rPr>
          <w:rFonts w:ascii="Times New Roman" w:cs="Times New Roman" w:eastAsia="Times New Roman" w:hAnsi="Times New Roman"/>
          <w:sz w:val="16"/>
          <w:szCs w:val="16"/>
          <w:u w:val="single" w:color="auto"/>
          <w:color w:val="000000"/>
        </w:rPr>
        <w:t>provided</w:t>
      </w:r>
      <w:r>
        <w:rPr>
          <w:rFonts w:ascii="Times New Roman" w:cs="Times New Roman" w:eastAsia="Times New Roman" w:hAnsi="Times New Roman"/>
          <w:sz w:val="16"/>
          <w:szCs w:val="16"/>
          <w:color w:val="000000"/>
        </w:rPr>
        <w:t xml:space="preserve"> that, to the extent required by applicable Law, the party intending to make such release shall use its reasonable best efforts consistent with such applicable Law to consult with the other parties with respect to the text thereof, and, in any event, shall notify such party of such disclosure promptly after such disclosure has been made. Notwithstanding the foregoing, none of the parties shall be required by this </w:t>
      </w:r>
      <w:r>
        <w:rPr>
          <w:rFonts w:ascii="Times New Roman" w:cs="Times New Roman" w:eastAsia="Times New Roman" w:hAnsi="Times New Roman"/>
          <w:sz w:val="16"/>
          <w:szCs w:val="16"/>
          <w:b w:val="1"/>
          <w:bCs w:val="1"/>
          <w:color w:val="000000"/>
        </w:rPr>
        <w:t>Section 5.10</w:t>
      </w:r>
      <w:r>
        <w:rPr>
          <w:rFonts w:ascii="Times New Roman" w:cs="Times New Roman" w:eastAsia="Times New Roman" w:hAnsi="Times New Roman"/>
          <w:sz w:val="16"/>
          <w:szCs w:val="16"/>
          <w:color w:val="000000"/>
        </w:rPr>
        <w:t xml:space="preserve"> to consult with or seek consent from the other parties relating to any dispute among the parties relating to this Agreement. Notwithstanding anything herein to the contrary, following the Closing and after the public announcement of the Merger, the Shareholders’ Agent shall be permitted to announce that it has been engaged to serve as the Shareholders’ Agent in connection herewith as long as such announcement does not disclose any of the other terms hereof.</w:t>
      </w:r>
    </w:p>
    <w:p>
      <w:pPr>
        <w:spacing w:after="0" w:line="119" w:lineRule="exact"/>
        <w:rPr>
          <w:sz w:val="20"/>
          <w:szCs w:val="20"/>
          <w:color w:val="auto"/>
        </w:rPr>
      </w:pPr>
    </w:p>
    <w:p>
      <w:pPr>
        <w:jc w:val="both"/>
        <w:ind w:firstLine="485"/>
        <w:spacing w:after="0" w:line="227" w:lineRule="auto"/>
        <w:rPr>
          <w:sz w:val="20"/>
          <w:szCs w:val="20"/>
          <w:color w:val="auto"/>
        </w:rPr>
      </w:pPr>
      <w:r>
        <w:rPr>
          <w:rFonts w:ascii="Times New Roman" w:cs="Times New Roman" w:eastAsia="Times New Roman" w:hAnsi="Times New Roman"/>
          <w:sz w:val="16"/>
          <w:szCs w:val="16"/>
          <w:b w:val="1"/>
          <w:bCs w:val="1"/>
          <w:color w:val="010000"/>
        </w:rPr>
        <w:t xml:space="preserve">Section 5.11 </w:t>
      </w:r>
      <w:r>
        <w:rPr>
          <w:rFonts w:ascii="Times New Roman" w:cs="Times New Roman" w:eastAsia="Times New Roman" w:hAnsi="Times New Roman"/>
          <w:sz w:val="16"/>
          <w:szCs w:val="16"/>
          <w:b w:val="1"/>
          <w:bCs w:val="1"/>
          <w:color w:val="000000"/>
        </w:rPr>
        <w:t>Resignations</w:t>
      </w:r>
      <w:r>
        <w:rPr>
          <w:rFonts w:ascii="Times New Roman" w:cs="Times New Roman" w:eastAsia="Times New Roman" w:hAnsi="Times New Roman"/>
          <w:sz w:val="16"/>
          <w:szCs w:val="16"/>
          <w:color w:val="000000"/>
        </w:rPr>
        <w:t>. At or prior to the Closing, the Company shall, and shall cause each Acquired Company to cause, each director and officer of</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each Acquired Company, as requested by Parent, in their capacity as such (for the avoidance of doubt, in such director’s or officer’s capacity as such and not in respect of the undersigned’s ongoing employment) to execute and deliver a letter effectuating his or her resignation as a director or officer of such Acquired Company, effective as of the Closing.</w:t>
      </w:r>
    </w:p>
    <w:p>
      <w:pPr>
        <w:spacing w:after="0" w:line="113"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5.12</w:t>
      </w:r>
      <w:r>
        <w:rPr>
          <w:rFonts w:ascii="Times New Roman" w:cs="Times New Roman" w:eastAsia="Times New Roman" w:hAnsi="Times New Roman"/>
          <w:sz w:val="16"/>
          <w:szCs w:val="16"/>
          <w:b w:val="1"/>
          <w:bCs w:val="1"/>
          <w:color w:val="auto"/>
        </w:rPr>
        <w:tab/>
        <w:t>Indemnification; Directors’ and Officers’ Insurance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ectPr>
          <w:pgSz w:w="11900" w:h="16840" w:orient="portrait"/>
          <w:cols w:equalWidth="0" w:num="1">
            <w:col w:w="10580"/>
          </w:cols>
          <w:pgMar w:left="660" w:top="1440" w:right="660" w:bottom="1440" w:gutter="0" w:footer="0" w:header="0"/>
        </w:sectPr>
      </w:pPr>
    </w:p>
    <w:bookmarkStart w:id="345" w:name="page346"/>
    <w:bookmarkEnd w:id="345"/>
    <w:p>
      <w:pPr>
        <w:spacing w:after="0" w:line="80" w:lineRule="exact"/>
        <w:rPr>
          <w:sz w:val="20"/>
          <w:szCs w:val="20"/>
          <w:color w:val="auto"/>
        </w:rPr>
      </w:pPr>
    </w:p>
    <w:p>
      <w:pPr>
        <w:jc w:val="both"/>
        <w:ind w:right="20" w:firstLine="961"/>
        <w:spacing w:after="0" w:line="215" w:lineRule="auto"/>
        <w:tabs>
          <w:tab w:leader="none" w:pos="1456"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shall (i) cause the memorandum of association and the articles of association of the Surviving Corporation and the equivalent constitutional or organizational and governance documents of the Subsidiaries of the Surviving Corporation to contain provisions no less favorable with respect to indemnification, exculpation, and advancement of expenses than are set forth in the Company Articles and the equivalent constitutional or organizational and governance documents of the Subsidiaries of the Company and as provided in the indemnification agreements between an Acquired Company and the D&amp;O Indemnified Parties (as in effect as of the date of this Agreement) in the forms made available by the Acquired Companies to Parent prior to the date of this Agreement (the “</w:t>
      </w:r>
      <w:r>
        <w:rPr>
          <w:rFonts w:ascii="Times New Roman" w:cs="Times New Roman" w:eastAsia="Times New Roman" w:hAnsi="Times New Roman"/>
          <w:sz w:val="16"/>
          <w:szCs w:val="16"/>
          <w:b w:val="1"/>
          <w:bCs w:val="1"/>
          <w:i w:val="1"/>
          <w:iCs w:val="1"/>
          <w:color w:val="auto"/>
        </w:rPr>
        <w:t>D&amp;O Agreements</w:t>
      </w:r>
      <w:r>
        <w:rPr>
          <w:rFonts w:ascii="Times New Roman" w:cs="Times New Roman" w:eastAsia="Times New Roman" w:hAnsi="Times New Roman"/>
          <w:sz w:val="16"/>
          <w:szCs w:val="16"/>
          <w:color w:val="auto"/>
        </w:rPr>
        <w:t>”), which provisions shall not be amended, repealed or otherwise modified for a period of [***] years from the Effective Time in any manner that would affect adversely the rights thereunder of individuals who, prior to the Effective Time, were directors, or officers of the Acquired Company, with respect to acts or omissions occurring prior to the Effective Time, unless such modification shall be required by applicable Law and (ii) cause the Acquired Companies to indemnify and hold harmless (except to the extent limited by applicable Law) each present and former directors and officers of the Acquired Companies (each, a “</w:t>
      </w:r>
      <w:r>
        <w:rPr>
          <w:rFonts w:ascii="Times New Roman" w:cs="Times New Roman" w:eastAsia="Times New Roman" w:hAnsi="Times New Roman"/>
          <w:sz w:val="16"/>
          <w:szCs w:val="16"/>
          <w:b w:val="1"/>
          <w:bCs w:val="1"/>
          <w:i w:val="1"/>
          <w:iCs w:val="1"/>
          <w:color w:val="auto"/>
        </w:rPr>
        <w:t>D&amp;O Indemnified Party</w:t>
      </w:r>
      <w:r>
        <w:rPr>
          <w:rFonts w:ascii="Times New Roman" w:cs="Times New Roman" w:eastAsia="Times New Roman" w:hAnsi="Times New Roman"/>
          <w:sz w:val="16"/>
          <w:szCs w:val="16"/>
          <w:color w:val="auto"/>
        </w:rPr>
        <w:t xml:space="preserve">”) (A) for a period of [***] </w:t>
      </w:r>
      <w:r>
        <w:rPr>
          <w:rFonts w:ascii="Times New Roman" w:cs="Times New Roman" w:eastAsia="Times New Roman" w:hAnsi="Times New Roman"/>
          <w:sz w:val="16"/>
          <w:szCs w:val="16"/>
          <w:u w:val="single" w:color="auto"/>
          <w:color w:val="auto"/>
        </w:rPr>
        <w:t>years</w:t>
      </w:r>
      <w:r>
        <w:rPr>
          <w:rFonts w:ascii="Times New Roman" w:cs="Times New Roman" w:eastAsia="Times New Roman" w:hAnsi="Times New Roman"/>
          <w:sz w:val="16"/>
          <w:szCs w:val="16"/>
          <w:color w:val="auto"/>
        </w:rPr>
        <w:t xml:space="preserve"> from the Effective Time pursuant to the Company Articles and the equivalent constitutional or organizational and governance documents of the Subsidiaries of the Company and (B) for such periods as set forth in the D&amp;O Agreements arising out of or pertaining to any action or omission occurring at or prior to the Effective Time (including the transactions contemplated hereby). Prior to the Closing, if requested by Parent, the Company shall, at the cost and expense of [***], purchase a [***] prepaid “tail policy” with respect to matters arising on or before the Effective Time, covering the transactions contemplated hereby. The Surviving Corporation shall cause such policy, if obtained, to be maintained in full force and effect, for its full term.</w:t>
      </w:r>
    </w:p>
    <w:p>
      <w:pPr>
        <w:spacing w:after="0" w:line="115" w:lineRule="exact"/>
        <w:rPr>
          <w:rFonts w:ascii="Times New Roman" w:cs="Times New Roman" w:eastAsia="Times New Roman" w:hAnsi="Times New Roman"/>
          <w:sz w:val="16"/>
          <w:szCs w:val="16"/>
          <w:color w:val="auto"/>
        </w:rPr>
      </w:pPr>
    </w:p>
    <w:p>
      <w:pPr>
        <w:jc w:val="both"/>
        <w:ind w:right="20" w:firstLine="961"/>
        <w:spacing w:after="0" w:line="226" w:lineRule="auto"/>
        <w:tabs>
          <w:tab w:leader="none" w:pos="1456"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that Parent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Parent shall ensure that the successors and assigns of Parent or the Surviving Corporation, as the case may be, shall assume the obligations set forth in this </w:t>
      </w:r>
      <w:r>
        <w:rPr>
          <w:rFonts w:ascii="Times New Roman" w:cs="Times New Roman" w:eastAsia="Times New Roman" w:hAnsi="Times New Roman"/>
          <w:sz w:val="16"/>
          <w:szCs w:val="16"/>
          <w:b w:val="1"/>
          <w:bCs w:val="1"/>
          <w:color w:val="auto"/>
        </w:rPr>
        <w:t>Section 5.12</w:t>
      </w:r>
      <w:r>
        <w:rPr>
          <w:rFonts w:ascii="Times New Roman" w:cs="Times New Roman" w:eastAsia="Times New Roman" w:hAnsi="Times New Roman"/>
          <w:sz w:val="16"/>
          <w:szCs w:val="16"/>
          <w:color w:val="auto"/>
        </w:rPr>
        <w:t>.</w:t>
      </w:r>
    </w:p>
    <w:p>
      <w:pPr>
        <w:spacing w:after="0" w:line="113" w:lineRule="exact"/>
        <w:rPr>
          <w:rFonts w:ascii="Times New Roman" w:cs="Times New Roman" w:eastAsia="Times New Roman" w:hAnsi="Times New Roman"/>
          <w:sz w:val="16"/>
          <w:szCs w:val="16"/>
          <w:color w:val="auto"/>
        </w:rPr>
      </w:pPr>
    </w:p>
    <w:p>
      <w:pPr>
        <w:jc w:val="both"/>
        <w:ind w:firstLine="961"/>
        <w:spacing w:after="0" w:line="224" w:lineRule="auto"/>
        <w:tabs>
          <w:tab w:leader="none" w:pos="1456"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provisions of this </w:t>
      </w:r>
      <w:r>
        <w:rPr>
          <w:rFonts w:ascii="Times New Roman" w:cs="Times New Roman" w:eastAsia="Times New Roman" w:hAnsi="Times New Roman"/>
          <w:sz w:val="16"/>
          <w:szCs w:val="16"/>
          <w:b w:val="1"/>
          <w:bCs w:val="1"/>
          <w:color w:val="auto"/>
        </w:rPr>
        <w:t>Section 5.12</w:t>
      </w:r>
      <w:r>
        <w:rPr>
          <w:rFonts w:ascii="Times New Roman" w:cs="Times New Roman" w:eastAsia="Times New Roman" w:hAnsi="Times New Roman"/>
          <w:sz w:val="16"/>
          <w:szCs w:val="16"/>
          <w:color w:val="auto"/>
        </w:rPr>
        <w:t xml:space="preserve"> shall survive the consummation of the Merger and are (i) intended to be for the benefit of, and will be enforceable by, each of the D&amp;O Indemnified Parties and their successors, assigns and heirs and (ii) in addition to, and not in substitution for, any other rights to indemnification or contribution that any such D&amp;O Indemnified Party may have by contract or otherwise. Unless required by applicable Law, this </w:t>
      </w:r>
      <w:r>
        <w:rPr>
          <w:rFonts w:ascii="Times New Roman" w:cs="Times New Roman" w:eastAsia="Times New Roman" w:hAnsi="Times New Roman"/>
          <w:sz w:val="16"/>
          <w:szCs w:val="16"/>
          <w:b w:val="1"/>
          <w:bCs w:val="1"/>
          <w:color w:val="auto"/>
        </w:rPr>
        <w:t>Section 5.12</w:t>
      </w:r>
      <w:r>
        <w:rPr>
          <w:rFonts w:ascii="Times New Roman" w:cs="Times New Roman" w:eastAsia="Times New Roman" w:hAnsi="Times New Roman"/>
          <w:sz w:val="16"/>
          <w:szCs w:val="16"/>
          <w:color w:val="auto"/>
        </w:rPr>
        <w:t xml:space="preserve"> may not be amended, altered or repealed after the Effective Time in such a manner as to adversely affect the rights of any of the D&amp;O Indemnified Parties or any of their successors, assigns or heirs without the prior written consent of the affected D&amp;O Indemnified Party.</w:t>
      </w:r>
    </w:p>
    <w:p>
      <w:pPr>
        <w:spacing w:after="0" w:line="112" w:lineRule="exact"/>
        <w:rPr>
          <w:sz w:val="20"/>
          <w:szCs w:val="20"/>
          <w:color w:val="auto"/>
        </w:rPr>
      </w:pPr>
    </w:p>
    <w:p>
      <w:pPr>
        <w:jc w:val="both"/>
        <w:ind w:right="20" w:firstLine="485"/>
        <w:spacing w:after="0" w:line="227" w:lineRule="auto"/>
        <w:rPr>
          <w:sz w:val="20"/>
          <w:szCs w:val="20"/>
          <w:color w:val="auto"/>
        </w:rPr>
      </w:pPr>
      <w:r>
        <w:rPr>
          <w:rFonts w:ascii="Times New Roman" w:cs="Times New Roman" w:eastAsia="Times New Roman" w:hAnsi="Times New Roman"/>
          <w:sz w:val="16"/>
          <w:szCs w:val="16"/>
          <w:b w:val="1"/>
          <w:bCs w:val="1"/>
          <w:color w:val="010000"/>
        </w:rPr>
        <w:t xml:space="preserve">Section 5.13 </w:t>
      </w:r>
      <w:r>
        <w:rPr>
          <w:rFonts w:ascii="Times New Roman" w:cs="Times New Roman" w:eastAsia="Times New Roman" w:hAnsi="Times New Roman"/>
          <w:sz w:val="16"/>
          <w:szCs w:val="16"/>
          <w:b w:val="1"/>
          <w:bCs w:val="1"/>
          <w:color w:val="000000"/>
        </w:rPr>
        <w:t>Related Party Agreements</w:t>
      </w:r>
      <w:r>
        <w:rPr>
          <w:rFonts w:ascii="Times New Roman" w:cs="Times New Roman" w:eastAsia="Times New Roman" w:hAnsi="Times New Roman"/>
          <w:sz w:val="16"/>
          <w:szCs w:val="16"/>
          <w:color w:val="000000"/>
        </w:rPr>
        <w:t>. Prior to the Closing, the Company shall take all actions necessary or reasonably requested by Parent to obtain</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xml:space="preserve">and deliver to Parent, in a form and substance reasonably satisfactory to Parent, written terminations of (or otherwise repay, capitalize or cancel), in each case to be effective as of and contingent upon the Closing and without imposing any penalty or other Liability on any Acquired Company, all Related Party Agreements other than any Related Party Agreement (a) set forth on </w:t>
      </w:r>
      <w:r>
        <w:rPr>
          <w:rFonts w:ascii="Times New Roman" w:cs="Times New Roman" w:eastAsia="Times New Roman" w:hAnsi="Times New Roman"/>
          <w:sz w:val="16"/>
          <w:szCs w:val="16"/>
          <w:b w:val="1"/>
          <w:bCs w:val="1"/>
          <w:color w:val="000000"/>
        </w:rPr>
        <w:t>Schedule 5.13</w:t>
      </w:r>
      <w:r>
        <w:rPr>
          <w:rFonts w:ascii="Times New Roman" w:cs="Times New Roman" w:eastAsia="Times New Roman" w:hAnsi="Times New Roman"/>
          <w:sz w:val="16"/>
          <w:szCs w:val="16"/>
          <w:color w:val="000000"/>
        </w:rPr>
        <w:t xml:space="preserve"> or (b) that Parent, prior to the Closing, requests in writing not be terminated.</w:t>
      </w:r>
    </w:p>
    <w:p>
      <w:pPr>
        <w:spacing w:after="0" w:line="113"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5.14</w:t>
      </w:r>
      <w:r>
        <w:rPr>
          <w:rFonts w:ascii="Times New Roman" w:cs="Times New Roman" w:eastAsia="Times New Roman" w:hAnsi="Times New Roman"/>
          <w:sz w:val="16"/>
          <w:szCs w:val="16"/>
          <w:b w:val="1"/>
          <w:bCs w:val="1"/>
          <w:color w:val="auto"/>
        </w:rPr>
        <w:tab/>
        <w:t>Tax Matters</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67</w:t>
      </w:r>
    </w:p>
    <w:p>
      <w:pPr>
        <w:sectPr>
          <w:pgSz w:w="11900" w:h="16840" w:orient="portrait"/>
          <w:cols w:equalWidth="0" w:num="1">
            <w:col w:w="10600"/>
          </w:cols>
          <w:pgMar w:left="660" w:top="1440" w:right="640" w:bottom="1440" w:gutter="0" w:footer="0" w:header="0"/>
        </w:sectPr>
      </w:pPr>
    </w:p>
    <w:bookmarkStart w:id="346" w:name="page347"/>
    <w:bookmarkEnd w:id="346"/>
    <w:p>
      <w:pPr>
        <w:spacing w:after="0" w:line="78" w:lineRule="exact"/>
        <w:rPr>
          <w:sz w:val="20"/>
          <w:szCs w:val="20"/>
          <w:color w:val="auto"/>
        </w:rPr>
      </w:pPr>
    </w:p>
    <w:p>
      <w:pPr>
        <w:ind w:left="489"/>
        <w:spacing w:after="0"/>
        <w:tabs>
          <w:tab w:leader="none" w:pos="1429" w:val="left"/>
        </w:tabs>
        <w:rPr>
          <w:sz w:val="20"/>
          <w:szCs w:val="20"/>
          <w:color w:val="auto"/>
        </w:rPr>
      </w:pPr>
      <w:r>
        <w:rPr>
          <w:rFonts w:ascii="Times New Roman" w:cs="Times New Roman" w:eastAsia="Times New Roman" w:hAnsi="Times New Roman"/>
          <w:sz w:val="16"/>
          <w:szCs w:val="16"/>
          <w:b w:val="1"/>
          <w:bCs w:val="1"/>
          <w:color w:val="010000"/>
        </w:rPr>
        <w:t>Section 5.15</w:t>
      </w:r>
      <w:r>
        <w:rPr>
          <w:rFonts w:ascii="Times New Roman" w:cs="Times New Roman" w:eastAsia="Times New Roman" w:hAnsi="Times New Roman"/>
          <w:sz w:val="16"/>
          <w:szCs w:val="16"/>
          <w:b w:val="1"/>
          <w:bCs w:val="1"/>
          <w:color w:val="auto"/>
        </w:rPr>
        <w:tab/>
        <w:t>Employee Covenants</w:t>
      </w:r>
      <w:r>
        <w:rPr>
          <w:rFonts w:ascii="Times New Roman" w:cs="Times New Roman" w:eastAsia="Times New Roman" w:hAnsi="Times New Roman"/>
          <w:sz w:val="16"/>
          <w:szCs w:val="16"/>
          <w:color w:val="auto"/>
        </w:rPr>
        <w:t>.</w:t>
      </w:r>
    </w:p>
    <w:p>
      <w:pPr>
        <w:spacing w:after="0" w:line="137" w:lineRule="exact"/>
        <w:rPr>
          <w:sz w:val="20"/>
          <w:szCs w:val="20"/>
          <w:color w:val="auto"/>
        </w:rPr>
      </w:pPr>
    </w:p>
    <w:p>
      <w:pPr>
        <w:ind w:left="1449" w:hanging="479"/>
        <w:spacing w:after="0"/>
        <w:tabs>
          <w:tab w:leader="none" w:pos="1449"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soon as practicable following the Effective Time, Parent shall endeavor to put in place the retention incentives described on </w:t>
      </w:r>
      <w:r>
        <w:rPr>
          <w:rFonts w:ascii="Times New Roman" w:cs="Times New Roman" w:eastAsia="Times New Roman" w:hAnsi="Times New Roman"/>
          <w:sz w:val="16"/>
          <w:szCs w:val="16"/>
          <w:b w:val="1"/>
          <w:bCs w:val="1"/>
          <w:color w:val="auto"/>
        </w:rPr>
        <w:t>Schedule</w:t>
      </w:r>
    </w:p>
    <w:p>
      <w:pPr>
        <w:ind w:left="9"/>
        <w:spacing w:after="0"/>
        <w:rPr>
          <w:sz w:val="20"/>
          <w:szCs w:val="20"/>
          <w:color w:val="auto"/>
        </w:rPr>
      </w:pPr>
      <w:r>
        <w:rPr>
          <w:rFonts w:ascii="Times New Roman" w:cs="Times New Roman" w:eastAsia="Times New Roman" w:hAnsi="Times New Roman"/>
          <w:sz w:val="16"/>
          <w:szCs w:val="16"/>
          <w:b w:val="1"/>
          <w:bCs w:val="1"/>
          <w:color w:val="auto"/>
        </w:rPr>
        <w:t>5.15(a)</w:t>
      </w:r>
      <w:r>
        <w:rPr>
          <w:rFonts w:ascii="Times New Roman" w:cs="Times New Roman" w:eastAsia="Times New Roman" w:hAnsi="Times New Roman"/>
          <w:sz w:val="16"/>
          <w:szCs w:val="16"/>
          <w:color w:val="auto"/>
        </w:rPr>
        <w:t>.</w:t>
      </w:r>
    </w:p>
    <w:p>
      <w:pPr>
        <w:spacing w:after="0" w:line="119" w:lineRule="exact"/>
        <w:rPr>
          <w:sz w:val="20"/>
          <w:szCs w:val="20"/>
          <w:color w:val="auto"/>
        </w:rPr>
      </w:pPr>
    </w:p>
    <w:p>
      <w:pPr>
        <w:jc w:val="both"/>
        <w:ind w:left="9" w:right="20" w:firstLine="961"/>
        <w:spacing w:after="0" w:line="218" w:lineRule="auto"/>
        <w:tabs>
          <w:tab w:leader="none" w:pos="1465"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hereto acknowledge and agree that all provisions contained in this </w:t>
      </w:r>
      <w:r>
        <w:rPr>
          <w:rFonts w:ascii="Times New Roman" w:cs="Times New Roman" w:eastAsia="Times New Roman" w:hAnsi="Times New Roman"/>
          <w:sz w:val="16"/>
          <w:szCs w:val="16"/>
          <w:b w:val="1"/>
          <w:bCs w:val="1"/>
          <w:color w:val="auto"/>
        </w:rPr>
        <w:t>Section 5.15</w:t>
      </w:r>
      <w:r>
        <w:rPr>
          <w:rFonts w:ascii="Times New Roman" w:cs="Times New Roman" w:eastAsia="Times New Roman" w:hAnsi="Times New Roman"/>
          <w:sz w:val="16"/>
          <w:szCs w:val="16"/>
          <w:color w:val="auto"/>
        </w:rPr>
        <w:t xml:space="preserve"> with respect to employees of the Acquired Companies are included for the sole benefit of the respective parties hereto. Nothing herein, express or implied, (i) is intended to confer upon any person any right to continued employment or service for any period, any particular term or condition of employment or service with an Acquired Company or Parent or any of its Affiliates or continued receipt of any specific employee benefit, or shall prevent Parent or any of its Affiliates from terminating the employment or service of any person at any time and for any reason, (ii) shall constitute an amendment to or termination, adoption or any other modification of any employee benefit plan, program, agreement or arrangement of an Acquired Company or Parent or their Affiliates or shall alter or limit Parent’s or the Acquired Companies’ or their Affiliates’ ability to amend, modify or terminate any Company Plan or other particular employee benefit plan, program, agreement or arrangement or (iii) is intended to confer upon any individual (including employees, retirees or dependents or beneficiaries of employees or retirees, or participants or any dependent or beneficiary thereof in any Company Plan) any right as a third party beneficiary of this Agreement.</w:t>
      </w:r>
    </w:p>
    <w:p>
      <w:pPr>
        <w:spacing w:after="0" w:line="113" w:lineRule="exact"/>
        <w:rPr>
          <w:sz w:val="20"/>
          <w:szCs w:val="20"/>
          <w:color w:val="auto"/>
        </w:rPr>
      </w:pPr>
    </w:p>
    <w:p>
      <w:pPr>
        <w:jc w:val="both"/>
        <w:ind w:left="9" w:right="20" w:firstLine="485"/>
        <w:spacing w:after="0" w:line="232" w:lineRule="auto"/>
        <w:rPr>
          <w:sz w:val="20"/>
          <w:szCs w:val="20"/>
          <w:color w:val="auto"/>
        </w:rPr>
      </w:pPr>
      <w:r>
        <w:rPr>
          <w:rFonts w:ascii="Times New Roman" w:cs="Times New Roman" w:eastAsia="Times New Roman" w:hAnsi="Times New Roman"/>
          <w:sz w:val="16"/>
          <w:szCs w:val="16"/>
          <w:b w:val="1"/>
          <w:bCs w:val="1"/>
          <w:color w:val="010000"/>
        </w:rPr>
        <w:t xml:space="preserve">Section 5.16 </w:t>
      </w:r>
      <w:r>
        <w:rPr>
          <w:rFonts w:ascii="Times New Roman" w:cs="Times New Roman" w:eastAsia="Times New Roman" w:hAnsi="Times New Roman"/>
          <w:sz w:val="16"/>
          <w:szCs w:val="16"/>
          <w:b w:val="1"/>
          <w:bCs w:val="1"/>
          <w:color w:val="000000"/>
        </w:rPr>
        <w:t>Merger Sub Shareholder Consent</w:t>
      </w:r>
      <w:r>
        <w:rPr>
          <w:rFonts w:ascii="Times New Roman" w:cs="Times New Roman" w:eastAsia="Times New Roman" w:hAnsi="Times New Roman"/>
          <w:sz w:val="16"/>
          <w:szCs w:val="16"/>
          <w:color w:val="000000"/>
        </w:rPr>
        <w:t>. Promptly following the execution of this Agreement, Parent shall cause the sole shareholder of Merger</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Sub to execute and deliver, in accordance with the Cayman Companies Law, a written consent approving the execution, delivery and performance by Merger Sub of this Agreement, the Plan of Merger, and the consummation of the transactions contemplated hereby and thereby.</w:t>
      </w:r>
    </w:p>
    <w:p>
      <w:pPr>
        <w:spacing w:after="0" w:line="111" w:lineRule="exact"/>
        <w:rPr>
          <w:sz w:val="20"/>
          <w:szCs w:val="20"/>
          <w:color w:val="auto"/>
        </w:rPr>
      </w:pPr>
    </w:p>
    <w:p>
      <w:pPr>
        <w:ind w:left="489"/>
        <w:spacing w:after="0"/>
        <w:tabs>
          <w:tab w:leader="none" w:pos="1449" w:val="left"/>
        </w:tabs>
        <w:rPr>
          <w:sz w:val="20"/>
          <w:szCs w:val="20"/>
          <w:color w:val="auto"/>
        </w:rPr>
      </w:pPr>
      <w:r>
        <w:rPr>
          <w:rFonts w:ascii="Times New Roman" w:cs="Times New Roman" w:eastAsia="Times New Roman" w:hAnsi="Times New Roman"/>
          <w:sz w:val="16"/>
          <w:szCs w:val="16"/>
          <w:b w:val="1"/>
          <w:bCs w:val="1"/>
          <w:color w:val="010000"/>
        </w:rPr>
        <w:t>Section 5.17</w:t>
      </w:r>
      <w:r>
        <w:rPr>
          <w:rFonts w:ascii="Times New Roman" w:cs="Times New Roman" w:eastAsia="Times New Roman" w:hAnsi="Times New Roman"/>
          <w:sz w:val="16"/>
          <w:szCs w:val="16"/>
          <w:b w:val="1"/>
          <w:bCs w:val="1"/>
          <w:color w:val="auto"/>
        </w:rPr>
        <w:tab/>
        <w:t>Representations and Warranties Insurance Policy</w:t>
      </w:r>
      <w:r>
        <w:rPr>
          <w:rFonts w:ascii="Times New Roman" w:cs="Times New Roman" w:eastAsia="Times New Roman" w:hAnsi="Times New Roman"/>
          <w:sz w:val="16"/>
          <w:szCs w:val="16"/>
          <w:color w:val="auto"/>
        </w:rPr>
        <w:t>. The Company hereby agrees that it shall, and shall cause its Subsidiaries to, within</w:t>
      </w:r>
    </w:p>
    <w:p>
      <w:pPr>
        <w:jc w:val="both"/>
        <w:ind w:left="9" w:hanging="9"/>
        <w:spacing w:after="0" w:line="215" w:lineRule="auto"/>
        <w:tabs>
          <w:tab w:leader="none" w:pos="40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following the date of this Agreement, deliver to Parent a consolidated electronic copy of the Data Room, which electronic copy shall contain all contents of the data room as of the date hereof. Parent shall pay any and all costs associated with the representations and warranties insurance policy obtained by Parent (the “</w:t>
      </w:r>
      <w:r>
        <w:rPr>
          <w:rFonts w:ascii="Times New Roman" w:cs="Times New Roman" w:eastAsia="Times New Roman" w:hAnsi="Times New Roman"/>
          <w:sz w:val="16"/>
          <w:szCs w:val="16"/>
          <w:b w:val="1"/>
          <w:bCs w:val="1"/>
          <w:i w:val="1"/>
          <w:iCs w:val="1"/>
          <w:color w:val="auto"/>
        </w:rPr>
        <w:t>R&amp;W Insurance Policy</w:t>
      </w:r>
      <w:r>
        <w:rPr>
          <w:rFonts w:ascii="Times New Roman" w:cs="Times New Roman" w:eastAsia="Times New Roman" w:hAnsi="Times New Roman"/>
          <w:sz w:val="16"/>
          <w:szCs w:val="16"/>
          <w:color w:val="auto"/>
        </w:rPr>
        <w:t>”), including any insurance premium, underwriting fees, and associated taxes (the “</w:t>
      </w:r>
      <w:r>
        <w:rPr>
          <w:rFonts w:ascii="Times New Roman" w:cs="Times New Roman" w:eastAsia="Times New Roman" w:hAnsi="Times New Roman"/>
          <w:sz w:val="16"/>
          <w:szCs w:val="16"/>
          <w:b w:val="1"/>
          <w:bCs w:val="1"/>
          <w:i w:val="1"/>
          <w:iCs w:val="1"/>
          <w:color w:val="auto"/>
        </w:rPr>
        <w:t>R&amp;W Insurance Expenses</w:t>
      </w:r>
      <w:r>
        <w:rPr>
          <w:rFonts w:ascii="Times New Roman" w:cs="Times New Roman" w:eastAsia="Times New Roman" w:hAnsi="Times New Roman"/>
          <w:sz w:val="16"/>
          <w:szCs w:val="16"/>
          <w:color w:val="auto"/>
        </w:rPr>
        <w:t>”); provided that the payment of the retention amount under the R&amp;W Insurance Policy shall be governed by the provisions of the Escrow Agreement and the [***] Agreement, as applicable. The R&amp;W Insurance Policy provides that the insurer has no and has waived any right of subrogation in connection with this Agreement, the transactions contemplated hereby or other agreements contemplated hereby against the Shareholders’ Agent or any of the Shareholders (or any direct or indirect, past or present shareholder, member, partner, stockholder, employee, director or officer (or the functional equivalent of any such position) of any Acquired Company or any Shareholder). Parent shall not amend or waive any terms and conditions set forth in the R&amp;W Insurance Policy in a manner that would materially adversely affect the Shareholders without the prior written consent of, prior to the Closing, the Company, and after the Effective Time, the Shareholders’ Agent.</w:t>
      </w:r>
    </w:p>
    <w:p>
      <w:pPr>
        <w:spacing w:after="0" w:line="114" w:lineRule="exact"/>
        <w:rPr>
          <w:sz w:val="20"/>
          <w:szCs w:val="20"/>
          <w:color w:val="auto"/>
        </w:rPr>
      </w:pPr>
    </w:p>
    <w:p>
      <w:pPr>
        <w:jc w:val="both"/>
        <w:ind w:left="9" w:right="20" w:firstLine="485"/>
        <w:spacing w:after="0" w:line="221" w:lineRule="auto"/>
        <w:rPr>
          <w:sz w:val="20"/>
          <w:szCs w:val="20"/>
          <w:color w:val="auto"/>
        </w:rPr>
      </w:pPr>
      <w:r>
        <w:rPr>
          <w:rFonts w:ascii="Times New Roman" w:cs="Times New Roman" w:eastAsia="Times New Roman" w:hAnsi="Times New Roman"/>
          <w:sz w:val="16"/>
          <w:szCs w:val="16"/>
          <w:b w:val="1"/>
          <w:bCs w:val="1"/>
          <w:color w:val="010000"/>
        </w:rPr>
        <w:t xml:space="preserve">Section 5.18 </w:t>
      </w:r>
      <w:r>
        <w:rPr>
          <w:rFonts w:ascii="Times New Roman" w:cs="Times New Roman" w:eastAsia="Times New Roman" w:hAnsi="Times New Roman"/>
          <w:sz w:val="16"/>
          <w:szCs w:val="16"/>
          <w:b w:val="1"/>
          <w:bCs w:val="1"/>
          <w:color w:val="000000"/>
        </w:rPr>
        <w:t>Delivery of Audited Financial Statements</w:t>
      </w:r>
      <w:r>
        <w:rPr>
          <w:rFonts w:ascii="Times New Roman" w:cs="Times New Roman" w:eastAsia="Times New Roman" w:hAnsi="Times New Roman"/>
          <w:sz w:val="16"/>
          <w:szCs w:val="16"/>
          <w:color w:val="000000"/>
        </w:rPr>
        <w:t>. As soon as reasonably practicable following the date of this Agreement, but no later than [***],</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xml:space="preserve">if the Closing has not occurred by that date, the Company shall deliver to Parent copies of the audited consolidated statement of financial position of the Acquired Companies as of [***], and the related audited consolidated statements of profit or loss and other comprehensive income and audited consolidated statement of cash flows of the Acquired Companies for the year then ended, prepared in accordance with IFRS and related notes and schedules thereto, together with the signed, unqualified opinion of the Company’s independent auditor (collectively, the “ </w:t>
      </w:r>
      <w:r>
        <w:rPr>
          <w:rFonts w:ascii="Times New Roman" w:cs="Times New Roman" w:eastAsia="Times New Roman" w:hAnsi="Times New Roman"/>
          <w:sz w:val="16"/>
          <w:szCs w:val="16"/>
          <w:b w:val="1"/>
          <w:bCs w:val="1"/>
          <w:i w:val="1"/>
          <w:iCs w:val="1"/>
          <w:color w:val="000000"/>
        </w:rPr>
        <w:t>[***] Group Audited Financial Statements</w:t>
      </w:r>
      <w:r>
        <w:rPr>
          <w:rFonts w:ascii="Times New Roman" w:cs="Times New Roman" w:eastAsia="Times New Roman" w:hAnsi="Times New Roman"/>
          <w:sz w:val="16"/>
          <w:szCs w:val="16"/>
          <w:color w:val="000000"/>
        </w:rPr>
        <w:t xml:space="preserve"> ”). In furtherance of the foregoing, the Company shall, and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68</w:t>
      </w:r>
    </w:p>
    <w:p>
      <w:pPr>
        <w:sectPr>
          <w:pgSz w:w="11900" w:h="16840" w:orient="portrait"/>
          <w:cols w:equalWidth="0" w:num="1">
            <w:col w:w="10609"/>
          </w:cols>
          <w:pgMar w:left="651" w:top="1440" w:right="640" w:bottom="1440" w:gutter="0" w:footer="0" w:header="0"/>
        </w:sectPr>
      </w:pPr>
    </w:p>
    <w:bookmarkStart w:id="347" w:name="page348"/>
    <w:bookmarkEnd w:id="347"/>
    <w:p>
      <w:pPr>
        <w:spacing w:after="0" w:line="80"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6"/>
          <w:szCs w:val="16"/>
          <w:color w:val="auto"/>
        </w:rPr>
        <w:t xml:space="preserve">shall cause its Subsidiaries and direct its Representatives to, use reasonable efforts to promptly begin preparation of the [***] Group Audited Financial Statements following the date of this Agreement, and shall devote all reasonable resources and take all necessary steps to ensure that the [***] Group Audited Financial Statements are completed and delivered to Parent by [***], including by dedicating sufficient personnel, coordinating with auditors, and resolving any reconciliation or compliance issues in respect thereof. Upon delivery of such [***] Group Audited Financial Statements, the representations and warranties set forth in </w:t>
      </w:r>
      <w:r>
        <w:rPr>
          <w:rFonts w:ascii="Times New Roman" w:cs="Times New Roman" w:eastAsia="Times New Roman" w:hAnsi="Times New Roman"/>
          <w:sz w:val="16"/>
          <w:szCs w:val="16"/>
          <w:b w:val="1"/>
          <w:bCs w:val="1"/>
          <w:color w:val="auto"/>
        </w:rPr>
        <w:t>Section 3.6(a)</w:t>
      </w:r>
      <w:r>
        <w:rPr>
          <w:rFonts w:ascii="Times New Roman" w:cs="Times New Roman" w:eastAsia="Times New Roman" w:hAnsi="Times New Roman"/>
          <w:sz w:val="16"/>
          <w:szCs w:val="16"/>
          <w:color w:val="auto"/>
        </w:rPr>
        <w:t xml:space="preserve"> shall be deemed to apply to the [***] Group Audited Financial Statements with the same force and effect as if made as of the date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the case of the [***] Group Audited Financial Statements, such statements are subject to normal year-end adjustments that were not or are not expected to be material in amount or effect).</w:t>
      </w:r>
    </w:p>
    <w:p>
      <w:pPr>
        <w:spacing w:after="0" w:line="117"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5.19</w:t>
      </w:r>
      <w:r>
        <w:rPr>
          <w:rFonts w:ascii="Times New Roman" w:cs="Times New Roman" w:eastAsia="Times New Roman" w:hAnsi="Times New Roman"/>
          <w:sz w:val="16"/>
          <w:szCs w:val="16"/>
          <w:b w:val="1"/>
          <w:bCs w:val="1"/>
          <w:color w:val="auto"/>
        </w:rPr>
        <w:tab/>
        <w:t>Internal Controls</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jc w:val="both"/>
        <w:ind w:firstLine="961"/>
        <w:spacing w:after="0" w:line="221" w:lineRule="auto"/>
        <w:tabs>
          <w:tab w:leader="none" w:pos="1456"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reasonably practicable following the date of this Agreement, but no later than the Closing Date, the Acquired Companies shall devise and maintain systems of internal accounting controls reasonably designed to provide reasonable assurances, in each case, from [***], that (i) transactions are executed in accordance with the appropriate officer’s general or specific authorization, (ii) transactions are recorded as necessary to permit the preparation of financial statements in conformity with IFRS and to maintain proper accountability for items, (iii) access to the property and assets of the Acquired Companies is permitted in accordance with management’s general or specific authorization, and (iv) recorded accountability for items is compared with actual levels at reasonable intervals and appropriate action is taken with respect to any differences.</w:t>
      </w:r>
    </w:p>
    <w:p>
      <w:pPr>
        <w:spacing w:after="0" w:line="115" w:lineRule="exact"/>
        <w:rPr>
          <w:rFonts w:ascii="Times New Roman" w:cs="Times New Roman" w:eastAsia="Times New Roman" w:hAnsi="Times New Roman"/>
          <w:sz w:val="16"/>
          <w:szCs w:val="16"/>
          <w:color w:val="auto"/>
        </w:rPr>
      </w:pPr>
    </w:p>
    <w:p>
      <w:pPr>
        <w:jc w:val="both"/>
        <w:ind w:firstLine="961"/>
        <w:spacing w:after="0" w:line="221" w:lineRule="auto"/>
        <w:tabs>
          <w:tab w:leader="none" w:pos="1456"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reasonably practicable following the date of this Agreement, and in any event by such date prior to the Closing as to provide Parent with sufficient time to assess and reflect for inclusion in the first consolidated financial statement of Parent following the Closing, the Company shall deliver the consolidated statement of financial position, consolidated statement of profit or loss and other comprehensive income, consolidated statement of cash flows prepared in accordance with IFRS which will be generated from the financial information prepared in accordance with PRC GAAP with necessary adjustments and groupings being consistent with those performed in the [***] Group Audited Financial Statements prepared in accordance with IFRS for use in preparing the first interim financial reporting of Parent and its Subsidiaries.</w:t>
      </w:r>
    </w:p>
    <w:p>
      <w:pPr>
        <w:spacing w:after="0" w:line="114" w:lineRule="exact"/>
        <w:rPr>
          <w:sz w:val="20"/>
          <w:szCs w:val="20"/>
          <w:color w:val="auto"/>
        </w:rPr>
      </w:pPr>
    </w:p>
    <w:p>
      <w:pPr>
        <w:jc w:val="both"/>
        <w:ind w:firstLine="485"/>
        <w:spacing w:after="0" w:line="224" w:lineRule="auto"/>
        <w:rPr>
          <w:sz w:val="20"/>
          <w:szCs w:val="20"/>
          <w:color w:val="auto"/>
        </w:rPr>
      </w:pPr>
      <w:r>
        <w:rPr>
          <w:rFonts w:ascii="Times New Roman" w:cs="Times New Roman" w:eastAsia="Times New Roman" w:hAnsi="Times New Roman"/>
          <w:sz w:val="16"/>
          <w:szCs w:val="16"/>
          <w:b w:val="1"/>
          <w:bCs w:val="1"/>
          <w:color w:val="010000"/>
        </w:rPr>
        <w:t xml:space="preserve">Section 5.20 </w:t>
      </w:r>
      <w:r>
        <w:rPr>
          <w:rFonts w:ascii="Times New Roman" w:cs="Times New Roman" w:eastAsia="Times New Roman" w:hAnsi="Times New Roman"/>
          <w:sz w:val="16"/>
          <w:szCs w:val="16"/>
          <w:b w:val="1"/>
          <w:bCs w:val="1"/>
          <w:color w:val="000000"/>
        </w:rPr>
        <w:t>Cooperation Regarding Specified Indebtedness</w:t>
      </w:r>
      <w:r>
        <w:rPr>
          <w:rFonts w:ascii="Times New Roman" w:cs="Times New Roman" w:eastAsia="Times New Roman" w:hAnsi="Times New Roman"/>
          <w:sz w:val="16"/>
          <w:szCs w:val="16"/>
          <w:color w:val="000000"/>
        </w:rPr>
        <w:t>. Promptly following Parent’s request, the Company shall, or shall cause the other</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applicable Acquired Companies to, deliver to each of the lenders or any agent or trustee acting on their behalf (each, an “</w:t>
      </w:r>
      <w:r>
        <w:rPr>
          <w:rFonts w:ascii="Times New Roman" w:cs="Times New Roman" w:eastAsia="Times New Roman" w:hAnsi="Times New Roman"/>
          <w:sz w:val="16"/>
          <w:szCs w:val="16"/>
          <w:b w:val="1"/>
          <w:bCs w:val="1"/>
          <w:i w:val="1"/>
          <w:iCs w:val="1"/>
          <w:color w:val="000000"/>
        </w:rPr>
        <w:t>Existing Lender</w:t>
      </w:r>
      <w:r>
        <w:rPr>
          <w:rFonts w:ascii="Times New Roman" w:cs="Times New Roman" w:eastAsia="Times New Roman" w:hAnsi="Times New Roman"/>
          <w:sz w:val="16"/>
          <w:szCs w:val="16"/>
          <w:color w:val="000000"/>
        </w:rPr>
        <w:t>”) under certain Indebtedness identified by Parent (the “</w:t>
      </w:r>
      <w:r>
        <w:rPr>
          <w:rFonts w:ascii="Times New Roman" w:cs="Times New Roman" w:eastAsia="Times New Roman" w:hAnsi="Times New Roman"/>
          <w:sz w:val="16"/>
          <w:szCs w:val="16"/>
          <w:b w:val="1"/>
          <w:bCs w:val="1"/>
          <w:i w:val="1"/>
          <w:iCs w:val="1"/>
          <w:color w:val="000000"/>
        </w:rPr>
        <w:t>Specified Indebtedness</w:t>
      </w:r>
      <w:r>
        <w:rPr>
          <w:rFonts w:ascii="Times New Roman" w:cs="Times New Roman" w:eastAsia="Times New Roman" w:hAnsi="Times New Roman"/>
          <w:sz w:val="16"/>
          <w:szCs w:val="16"/>
          <w:color w:val="000000"/>
        </w:rPr>
        <w:t xml:space="preserve">”), a notice prepared by Parent, in form and substance reasonably acceptable to the Company, requesting that such Existing Lenders agree to forgo their rights to repayment of the Specified Indebtedness under the terms of the Specified Indebtedness at or following the Effective Time; </w:t>
      </w:r>
      <w:r>
        <w:rPr>
          <w:rFonts w:ascii="Times New Roman" w:cs="Times New Roman" w:eastAsia="Times New Roman" w:hAnsi="Times New Roman"/>
          <w:sz w:val="16"/>
          <w:szCs w:val="16"/>
          <w:u w:val="single" w:color="auto"/>
          <w:color w:val="000000"/>
        </w:rPr>
        <w:t>provided</w:t>
      </w:r>
      <w:r>
        <w:rPr>
          <w:rFonts w:ascii="Times New Roman" w:cs="Times New Roman" w:eastAsia="Times New Roman" w:hAnsi="Times New Roman"/>
          <w:sz w:val="16"/>
          <w:szCs w:val="16"/>
          <w:color w:val="000000"/>
        </w:rPr>
        <w:t>, that obtaining such agreement of the Existing Lenders shall not be a condition to Closing.</w:t>
      </w:r>
    </w:p>
    <w:p>
      <w:pPr>
        <w:spacing w:after="0" w:line="112" w:lineRule="exact"/>
        <w:rPr>
          <w:sz w:val="20"/>
          <w:szCs w:val="20"/>
          <w:color w:val="auto"/>
        </w:rPr>
      </w:pPr>
    </w:p>
    <w:p>
      <w:pPr>
        <w:jc w:val="both"/>
        <w:ind w:firstLine="485"/>
        <w:spacing w:after="0" w:line="224" w:lineRule="auto"/>
        <w:rPr>
          <w:sz w:val="20"/>
          <w:szCs w:val="20"/>
          <w:color w:val="auto"/>
        </w:rPr>
      </w:pPr>
      <w:r>
        <w:rPr>
          <w:rFonts w:ascii="Times New Roman" w:cs="Times New Roman" w:eastAsia="Times New Roman" w:hAnsi="Times New Roman"/>
          <w:sz w:val="16"/>
          <w:szCs w:val="16"/>
          <w:b w:val="1"/>
          <w:bCs w:val="1"/>
          <w:color w:val="010000"/>
        </w:rPr>
        <w:t xml:space="preserve">Section 5.21 </w:t>
      </w:r>
      <w:r>
        <w:rPr>
          <w:rFonts w:ascii="Times New Roman" w:cs="Times New Roman" w:eastAsia="Times New Roman" w:hAnsi="Times New Roman"/>
          <w:sz w:val="16"/>
          <w:szCs w:val="16"/>
          <w:b w:val="1"/>
          <w:bCs w:val="1"/>
          <w:color w:val="000000"/>
        </w:rPr>
        <w:t>Insurance Coverage</w:t>
      </w:r>
      <w:r>
        <w:rPr>
          <w:rFonts w:ascii="Times New Roman" w:cs="Times New Roman" w:eastAsia="Times New Roman" w:hAnsi="Times New Roman"/>
          <w:sz w:val="16"/>
          <w:szCs w:val="16"/>
          <w:color w:val="000000"/>
        </w:rPr>
        <w:t>. The Company (or the applicable Acquired Company) shall obtain the insurance coverage listed on</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b w:val="1"/>
          <w:bCs w:val="1"/>
          <w:color w:val="000000"/>
        </w:rPr>
        <w:t>Schedule 5.21</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(the</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b w:val="1"/>
          <w:bCs w:val="1"/>
          <w:i w:val="1"/>
          <w:iCs w:val="1"/>
          <w:color w:val="000000"/>
        </w:rPr>
        <w:t>Parent Required Insurance Policies</w:t>
      </w:r>
      <w:r>
        <w:rPr>
          <w:rFonts w:ascii="Times New Roman" w:cs="Times New Roman" w:eastAsia="Times New Roman" w:hAnsi="Times New Roman"/>
          <w:sz w:val="16"/>
          <w:szCs w:val="16"/>
          <w:color w:val="000000"/>
        </w:rPr>
        <w:t xml:space="preserve">”) in each case, with scopes and amounts of coverage, deductibles and other terms reasonable and customary for a business of the size, nature and locations of the Acquired Companies, with effective dates (a) not later than [***] days from the date of this Agreement with regard to the Parent Required Insurance Policies set out in Part (a) of </w:t>
      </w:r>
      <w:r>
        <w:rPr>
          <w:rFonts w:ascii="Times New Roman" w:cs="Times New Roman" w:eastAsia="Times New Roman" w:hAnsi="Times New Roman"/>
          <w:sz w:val="16"/>
          <w:szCs w:val="16"/>
          <w:b w:val="1"/>
          <w:bCs w:val="1"/>
          <w:color w:val="000000"/>
        </w:rPr>
        <w:t>Schedule 5.21</w:t>
      </w:r>
      <w:r>
        <w:rPr>
          <w:rFonts w:ascii="Times New Roman" w:cs="Times New Roman" w:eastAsia="Times New Roman" w:hAnsi="Times New Roman"/>
          <w:sz w:val="16"/>
          <w:szCs w:val="16"/>
          <w:color w:val="000000"/>
        </w:rPr>
        <w:t>, and (b) within [***] days of the date of this Agreement, to the extent practical, but in any event effective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ectPr>
          <w:pgSz w:w="11900" w:h="16840" w:orient="portrait"/>
          <w:cols w:equalWidth="0" w:num="1">
            <w:col w:w="10580"/>
          </w:cols>
          <w:pgMar w:left="660" w:top="1440" w:right="660" w:bottom="1440" w:gutter="0" w:footer="0" w:header="0"/>
        </w:sectPr>
      </w:pPr>
    </w:p>
    <w:bookmarkStart w:id="348" w:name="page349"/>
    <w:bookmarkEnd w:id="348"/>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not later than the Closing Date with regard to the Parent Required Insurance Policies set out in Part (b) of </w:t>
      </w:r>
      <w:r>
        <w:rPr>
          <w:rFonts w:ascii="Times New Roman" w:cs="Times New Roman" w:eastAsia="Times New Roman" w:hAnsi="Times New Roman"/>
          <w:sz w:val="16"/>
          <w:szCs w:val="16"/>
          <w:b w:val="1"/>
          <w:bCs w:val="1"/>
          <w:color w:val="auto"/>
        </w:rPr>
        <w:t>Schedule 5.21</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5.22</w:t>
      </w:r>
      <w:r>
        <w:rPr>
          <w:rFonts w:ascii="Times New Roman" w:cs="Times New Roman" w:eastAsia="Times New Roman" w:hAnsi="Times New Roman"/>
          <w:sz w:val="16"/>
          <w:szCs w:val="16"/>
          <w:b w:val="1"/>
          <w:bCs w:val="1"/>
          <w:color w:val="auto"/>
        </w:rPr>
        <w:tab/>
        <w:t>[***]</w:t>
      </w:r>
    </w:p>
    <w:p>
      <w:pPr>
        <w:spacing w:after="0" w:line="139" w:lineRule="exact"/>
        <w:rPr>
          <w:sz w:val="20"/>
          <w:szCs w:val="20"/>
          <w:color w:val="auto"/>
        </w:rPr>
      </w:pPr>
    </w:p>
    <w:p>
      <w:pPr>
        <w:jc w:val="both"/>
        <w:ind w:firstLine="485"/>
        <w:spacing w:after="0" w:line="227" w:lineRule="auto"/>
        <w:rPr>
          <w:sz w:val="20"/>
          <w:szCs w:val="20"/>
          <w:color w:val="auto"/>
        </w:rPr>
      </w:pPr>
      <w:r>
        <w:rPr>
          <w:rFonts w:ascii="Times New Roman" w:cs="Times New Roman" w:eastAsia="Times New Roman" w:hAnsi="Times New Roman"/>
          <w:sz w:val="16"/>
          <w:szCs w:val="16"/>
          <w:b w:val="1"/>
          <w:bCs w:val="1"/>
          <w:color w:val="010000"/>
        </w:rPr>
        <w:t xml:space="preserve">Section 5.23 </w:t>
      </w:r>
      <w:r>
        <w:rPr>
          <w:rFonts w:ascii="Times New Roman" w:cs="Times New Roman" w:eastAsia="Times New Roman" w:hAnsi="Times New Roman"/>
          <w:sz w:val="16"/>
          <w:szCs w:val="16"/>
          <w:b w:val="1"/>
          <w:bCs w:val="1"/>
          <w:color w:val="000000"/>
        </w:rPr>
        <w:t>Liquidation of Non-Cash Investments</w:t>
      </w:r>
      <w:r>
        <w:rPr>
          <w:rFonts w:ascii="Times New Roman" w:cs="Times New Roman" w:eastAsia="Times New Roman" w:hAnsi="Times New Roman"/>
          <w:sz w:val="16"/>
          <w:szCs w:val="16"/>
          <w:color w:val="000000"/>
        </w:rPr>
        <w:t>. Except for the term deposits which may not be matured at the Closing Date, the Company shall,</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and shall cause each of its applicable Subsidiaries to, no later than the Closing Date, liquidate or otherwise convert into cash or cash equivalents all financial assets, cash investments, or other instruments that do not qualify as cash and cash equivalents in accordance with the applicable Accounting Principle, so that the assets of the Acquired Companies at Closing consist solely of the items described in the definition of Closing Cash Amount and operating assets.</w:t>
      </w:r>
    </w:p>
    <w:p>
      <w:pPr>
        <w:spacing w:after="0" w:line="113" w:lineRule="exact"/>
        <w:rPr>
          <w:sz w:val="20"/>
          <w:szCs w:val="20"/>
          <w:color w:val="auto"/>
        </w:rPr>
      </w:pPr>
    </w:p>
    <w:p>
      <w:pPr>
        <w:jc w:val="both"/>
        <w:ind w:firstLine="485"/>
        <w:spacing w:after="0" w:line="232" w:lineRule="auto"/>
        <w:rPr>
          <w:sz w:val="20"/>
          <w:szCs w:val="20"/>
          <w:color w:val="auto"/>
        </w:rPr>
      </w:pPr>
      <w:r>
        <w:rPr>
          <w:rFonts w:ascii="Times New Roman" w:cs="Times New Roman" w:eastAsia="Times New Roman" w:hAnsi="Times New Roman"/>
          <w:sz w:val="16"/>
          <w:szCs w:val="16"/>
          <w:b w:val="1"/>
          <w:bCs w:val="1"/>
          <w:color w:val="010000"/>
        </w:rPr>
        <w:t xml:space="preserve">Section 5.24 </w:t>
      </w:r>
      <w:r>
        <w:rPr>
          <w:rFonts w:ascii="Times New Roman" w:cs="Times New Roman" w:eastAsia="Times New Roman" w:hAnsi="Times New Roman"/>
          <w:sz w:val="16"/>
          <w:szCs w:val="16"/>
          <w:b w:val="1"/>
          <w:bCs w:val="1"/>
          <w:color w:val="000000"/>
        </w:rPr>
        <w:t>Inventor Remuneration Policy and Award</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The Company shall use reasonable best efforts to, and to cause its Subsidiaries to, as soon as</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xml:space="preserve">reasonably practicable following the date hereof and, in any event, no later than the Closing Date, adopt and implement (in accordance with applicable Law) an inventor remuneration policy in the form attached hereto as </w:t>
      </w:r>
      <w:r>
        <w:rPr>
          <w:rFonts w:ascii="Times New Roman" w:cs="Times New Roman" w:eastAsia="Times New Roman" w:hAnsi="Times New Roman"/>
          <w:sz w:val="16"/>
          <w:szCs w:val="16"/>
          <w:b w:val="1"/>
          <w:bCs w:val="1"/>
          <w:color w:val="000000"/>
        </w:rPr>
        <w:t>Exhibit L</w:t>
      </w:r>
      <w:r>
        <w:rPr>
          <w:rFonts w:ascii="Times New Roman" w:cs="Times New Roman" w:eastAsia="Times New Roman" w:hAnsi="Times New Roman"/>
          <w:sz w:val="16"/>
          <w:szCs w:val="16"/>
          <w:color w:val="000000"/>
        </w:rPr>
        <w:t>.</w:t>
      </w:r>
    </w:p>
    <w:p>
      <w:pPr>
        <w:spacing w:after="0" w:line="113" w:lineRule="exact"/>
        <w:rPr>
          <w:sz w:val="20"/>
          <w:szCs w:val="20"/>
          <w:color w:val="auto"/>
        </w:rPr>
      </w:pPr>
    </w:p>
    <w:p>
      <w:pPr>
        <w:jc w:val="both"/>
        <w:ind w:firstLine="485"/>
        <w:spacing w:after="0" w:line="221" w:lineRule="auto"/>
        <w:rPr>
          <w:sz w:val="20"/>
          <w:szCs w:val="20"/>
          <w:color w:val="auto"/>
        </w:rPr>
      </w:pPr>
      <w:r>
        <w:rPr>
          <w:rFonts w:ascii="Times New Roman" w:cs="Times New Roman" w:eastAsia="Times New Roman" w:hAnsi="Times New Roman"/>
          <w:sz w:val="16"/>
          <w:szCs w:val="16"/>
          <w:b w:val="1"/>
          <w:bCs w:val="1"/>
          <w:color w:val="010000"/>
        </w:rPr>
        <w:t xml:space="preserve">Section 5.25 </w:t>
      </w:r>
      <w:r>
        <w:rPr>
          <w:rFonts w:ascii="Times New Roman" w:cs="Times New Roman" w:eastAsia="Times New Roman" w:hAnsi="Times New Roman"/>
          <w:sz w:val="16"/>
          <w:szCs w:val="16"/>
          <w:b w:val="1"/>
          <w:bCs w:val="1"/>
          <w:color w:val="000000"/>
        </w:rPr>
        <w:t>Non-Compete Firewall</w:t>
      </w:r>
      <w:r>
        <w:rPr>
          <w:rFonts w:ascii="Times New Roman" w:cs="Times New Roman" w:eastAsia="Times New Roman" w:hAnsi="Times New Roman"/>
          <w:sz w:val="16"/>
          <w:szCs w:val="16"/>
          <w:color w:val="000000"/>
        </w:rPr>
        <w:t>. The Company shall, and shall cause its Subsidiaries to, reasonably cooperate with Parent and its Representatives to</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ensure that, as soon as reasonably practicable following the date hereof and, in any event, no later than the Closing Date, the applicable Acquired Companies under the [***] License and the [***] License (a) implement firewall protections, providing reasonable evidence to demonstrate their implementation, and (b) separate any personnel involved in the relevant licensed products from those involved in the research and development of such products, in order to prevent the sharing of confidential information, in each case, to ensure that the non-compete obligations under the [***] License and the [***] License do not apply to the Surviving Corporation or any of its Subsidiaries on or after the Closing Date.</w:t>
      </w:r>
    </w:p>
    <w:p>
      <w:pPr>
        <w:spacing w:after="0" w:line="116" w:lineRule="exact"/>
        <w:rPr>
          <w:sz w:val="20"/>
          <w:szCs w:val="20"/>
          <w:color w:val="auto"/>
        </w:rPr>
      </w:pPr>
    </w:p>
    <w:p>
      <w:pPr>
        <w:jc w:val="both"/>
        <w:ind w:right="20" w:firstLine="485"/>
        <w:spacing w:after="0" w:line="247" w:lineRule="auto"/>
        <w:rPr>
          <w:sz w:val="20"/>
          <w:szCs w:val="20"/>
          <w:color w:val="auto"/>
        </w:rPr>
      </w:pPr>
      <w:r>
        <w:rPr>
          <w:rFonts w:ascii="Times New Roman" w:cs="Times New Roman" w:eastAsia="Times New Roman" w:hAnsi="Times New Roman"/>
          <w:sz w:val="16"/>
          <w:szCs w:val="16"/>
          <w:b w:val="1"/>
          <w:bCs w:val="1"/>
          <w:color w:val="010000"/>
        </w:rPr>
        <w:t xml:space="preserve">Section 5.26 </w:t>
      </w:r>
      <w:r>
        <w:rPr>
          <w:rFonts w:ascii="Times New Roman" w:cs="Times New Roman" w:eastAsia="Times New Roman" w:hAnsi="Times New Roman"/>
          <w:sz w:val="16"/>
          <w:szCs w:val="16"/>
          <w:b w:val="1"/>
          <w:bCs w:val="1"/>
          <w:color w:val="000000"/>
        </w:rPr>
        <w:t>Introduction and Transition Support</w:t>
      </w:r>
      <w:r>
        <w:rPr>
          <w:rFonts w:ascii="Times New Roman" w:cs="Times New Roman" w:eastAsia="Times New Roman" w:hAnsi="Times New Roman"/>
          <w:sz w:val="16"/>
          <w:szCs w:val="16"/>
          <w:color w:val="000000"/>
        </w:rPr>
        <w:t>. As promptly as practicable after the date of this Agreement, and subject to compliance with all</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applicable Laws, the Company shall direct the Founders or other appropriate members of its senior management team to engage [***].</w:t>
      </w:r>
    </w:p>
    <w:p>
      <w:pPr>
        <w:spacing w:after="0" w:line="106" w:lineRule="exact"/>
        <w:rPr>
          <w:sz w:val="20"/>
          <w:szCs w:val="20"/>
          <w:color w:val="auto"/>
        </w:rPr>
      </w:pPr>
    </w:p>
    <w:p>
      <w:pPr>
        <w:jc w:val="both"/>
        <w:ind w:firstLine="485"/>
        <w:spacing w:after="0" w:line="232" w:lineRule="auto"/>
        <w:rPr>
          <w:sz w:val="20"/>
          <w:szCs w:val="20"/>
          <w:color w:val="auto"/>
        </w:rPr>
      </w:pPr>
      <w:r>
        <w:rPr>
          <w:rFonts w:ascii="Times New Roman" w:cs="Times New Roman" w:eastAsia="Times New Roman" w:hAnsi="Times New Roman"/>
          <w:sz w:val="16"/>
          <w:szCs w:val="16"/>
          <w:b w:val="1"/>
          <w:bCs w:val="1"/>
          <w:color w:val="010000"/>
        </w:rPr>
        <w:t xml:space="preserve">Section 5.27 </w:t>
      </w:r>
      <w:r>
        <w:rPr>
          <w:rFonts w:ascii="Times New Roman" w:cs="Times New Roman" w:eastAsia="Times New Roman" w:hAnsi="Times New Roman"/>
          <w:sz w:val="16"/>
          <w:szCs w:val="16"/>
          <w:b w:val="1"/>
          <w:bCs w:val="1"/>
          <w:color w:val="000000"/>
        </w:rPr>
        <w:t>Clinical Trial Agreements</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Prior to the Closing Date, the Company shall, and shall cause its Subsidiaries and direct its Representatives, to</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xml:space="preserve">collaborate closely with Parent and its Subsidiaries and Representatives to amend the clinical trial agreements listed in </w:t>
      </w:r>
      <w:r>
        <w:rPr>
          <w:rFonts w:ascii="Times New Roman" w:cs="Times New Roman" w:eastAsia="Times New Roman" w:hAnsi="Times New Roman"/>
          <w:sz w:val="16"/>
          <w:szCs w:val="16"/>
          <w:b w:val="1"/>
          <w:bCs w:val="1"/>
          <w:color w:val="000000"/>
        </w:rPr>
        <w:t>Schedule 5.27</w:t>
      </w:r>
      <w:r>
        <w:rPr>
          <w:rFonts w:ascii="Times New Roman" w:cs="Times New Roman" w:eastAsia="Times New Roman" w:hAnsi="Times New Roman"/>
          <w:sz w:val="16"/>
          <w:szCs w:val="16"/>
          <w:color w:val="000000"/>
        </w:rPr>
        <w:t>. In connection with the foregoing, the Company shall prioritize amendments to the agreements identified by Parent as priority agreements. [***]</w:t>
      </w:r>
    </w:p>
    <w:p>
      <w:pPr>
        <w:spacing w:after="0" w:line="113"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5.28</w:t>
      </w:r>
      <w:r>
        <w:rPr>
          <w:rFonts w:ascii="Times New Roman" w:cs="Times New Roman" w:eastAsia="Times New Roman" w:hAnsi="Times New Roman"/>
          <w:sz w:val="16"/>
          <w:szCs w:val="16"/>
          <w:b w:val="1"/>
          <w:bCs w:val="1"/>
          <w:color w:val="auto"/>
        </w:rPr>
        <w:tab/>
        <w:t>[***]</w:t>
      </w:r>
    </w:p>
    <w:p>
      <w:pPr>
        <w:spacing w:after="0" w:line="13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b w:val="1"/>
          <w:bCs w:val="1"/>
          <w:color w:val="010000"/>
        </w:rPr>
        <w:t>Article VI</w:t>
      </w:r>
    </w:p>
    <w:p>
      <w:pPr>
        <w:jc w:val="center"/>
        <w:spacing w:after="0"/>
        <w:rPr>
          <w:sz w:val="20"/>
          <w:szCs w:val="20"/>
          <w:color w:val="auto"/>
        </w:rPr>
      </w:pPr>
      <w:r>
        <w:rPr>
          <w:rFonts w:ascii="Times New Roman" w:cs="Times New Roman" w:eastAsia="Times New Roman" w:hAnsi="Times New Roman"/>
          <w:sz w:val="16"/>
          <w:szCs w:val="16"/>
          <w:b w:val="1"/>
          <w:bCs w:val="1"/>
          <w:color w:val="auto"/>
        </w:rPr>
        <w:t>CONDITIONS TO CLOSING</w:t>
      </w:r>
    </w:p>
    <w:p>
      <w:pPr>
        <w:spacing w:after="0" w:line="119" w:lineRule="exact"/>
        <w:rPr>
          <w:sz w:val="20"/>
          <w:szCs w:val="20"/>
          <w:color w:val="auto"/>
        </w:rPr>
      </w:pPr>
    </w:p>
    <w:p>
      <w:pPr>
        <w:jc w:val="both"/>
        <w:ind w:firstLine="485"/>
        <w:spacing w:after="0" w:line="232" w:lineRule="auto"/>
        <w:rPr>
          <w:sz w:val="20"/>
          <w:szCs w:val="20"/>
          <w:color w:val="auto"/>
        </w:rPr>
      </w:pPr>
      <w:r>
        <w:rPr>
          <w:rFonts w:ascii="Times New Roman" w:cs="Times New Roman" w:eastAsia="Times New Roman" w:hAnsi="Times New Roman"/>
          <w:sz w:val="16"/>
          <w:szCs w:val="16"/>
          <w:b w:val="1"/>
          <w:bCs w:val="1"/>
          <w:color w:val="010000"/>
        </w:rPr>
        <w:t xml:space="preserve">Section 6.1 </w:t>
      </w:r>
      <w:r>
        <w:rPr>
          <w:rFonts w:ascii="Times New Roman" w:cs="Times New Roman" w:eastAsia="Times New Roman" w:hAnsi="Times New Roman"/>
          <w:sz w:val="16"/>
          <w:szCs w:val="16"/>
          <w:b w:val="1"/>
          <w:bCs w:val="1"/>
          <w:color w:val="000000"/>
        </w:rPr>
        <w:t>General Conditions</w:t>
      </w:r>
      <w:r>
        <w:rPr>
          <w:rFonts w:ascii="Times New Roman" w:cs="Times New Roman" w:eastAsia="Times New Roman" w:hAnsi="Times New Roman"/>
          <w:sz w:val="16"/>
          <w:szCs w:val="16"/>
          <w:color w:val="000000"/>
        </w:rPr>
        <w:t>. The respective obligations of Parent, Merger Sub and the Company to consummate the transactions contemplated by</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this Agreement shall be subject to the fulfillment, at or prior to the Closing, of each of the following conditions, any of which may, to the extent permitted by applicable Law, be waived in writing by any such party in its sole discretion (</w:t>
      </w:r>
      <w:r>
        <w:rPr>
          <w:rFonts w:ascii="Times New Roman" w:cs="Times New Roman" w:eastAsia="Times New Roman" w:hAnsi="Times New Roman"/>
          <w:sz w:val="16"/>
          <w:szCs w:val="16"/>
          <w:u w:val="single" w:color="auto"/>
          <w:color w:val="000000"/>
        </w:rPr>
        <w:t>provided</w:t>
      </w:r>
      <w:r>
        <w:rPr>
          <w:rFonts w:ascii="Times New Roman" w:cs="Times New Roman" w:eastAsia="Times New Roman" w:hAnsi="Times New Roman"/>
          <w:sz w:val="16"/>
          <w:szCs w:val="16"/>
          <w:color w:val="000000"/>
        </w:rPr>
        <w:t xml:space="preserve"> that such waiver shall only be effective as to the obligations of such party):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ectPr>
          <w:pgSz w:w="11900" w:h="16840" w:orient="portrait"/>
          <w:cols w:equalWidth="0" w:num="1">
            <w:col w:w="10580"/>
          </w:cols>
          <w:pgMar w:left="660" w:top="1440" w:right="660" w:bottom="1440" w:gutter="0" w:footer="0" w:header="0"/>
        </w:sectPr>
      </w:pPr>
    </w:p>
    <w:bookmarkStart w:id="349" w:name="page350"/>
    <w:bookmarkEnd w:id="349"/>
    <w:p>
      <w:pPr>
        <w:spacing w:after="0" w:line="78" w:lineRule="exact"/>
        <w:rPr>
          <w:sz w:val="20"/>
          <w:szCs w:val="20"/>
          <w:color w:val="auto"/>
        </w:rPr>
      </w:pPr>
    </w:p>
    <w:p>
      <w:pPr>
        <w:jc w:val="both"/>
        <w:ind w:right="20" w:firstLine="961"/>
        <w:spacing w:after="0" w:line="232" w:lineRule="auto"/>
        <w:tabs>
          <w:tab w:leader="none" w:pos="1456"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 Injunction or Prohibition </w:t>
      </w:r>
      <w:r>
        <w:rPr>
          <w:rFonts w:ascii="Times New Roman" w:cs="Times New Roman" w:eastAsia="Times New Roman" w:hAnsi="Times New Roman"/>
          <w:sz w:val="16"/>
          <w:szCs w:val="16"/>
          <w:color w:val="auto"/>
        </w:rPr>
        <w:t>. No Governmental Authority of competent jurisdiction, after the date of this Agreement, shall have enacted,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issued, promulgated, enforced or entered any Law (whether temporary, preliminary or permanent) that is then in effect and that enjoins, restrains, prohibits or makes illegal the consummation of the Merger.</w:t>
      </w:r>
    </w:p>
    <w:p>
      <w:pPr>
        <w:spacing w:after="0" w:line="113" w:lineRule="exact"/>
        <w:rPr>
          <w:rFonts w:ascii="Times New Roman" w:cs="Times New Roman" w:eastAsia="Times New Roman" w:hAnsi="Times New Roman"/>
          <w:sz w:val="16"/>
          <w:szCs w:val="16"/>
          <w:color w:val="auto"/>
        </w:rPr>
      </w:pPr>
    </w:p>
    <w:p>
      <w:pPr>
        <w:ind w:left="1440" w:hanging="479"/>
        <w:spacing w:after="0"/>
        <w:tabs>
          <w:tab w:leader="none" w:pos="144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Governmental Approvals</w:t>
      </w:r>
      <w:r>
        <w:rPr>
          <w:rFonts w:ascii="Times New Roman" w:cs="Times New Roman" w:eastAsia="Times New Roman" w:hAnsi="Times New Roman"/>
          <w:sz w:val="16"/>
          <w:szCs w:val="16"/>
          <w:color w:val="auto"/>
        </w:rPr>
        <w:t>.</w:t>
      </w:r>
    </w:p>
    <w:p>
      <w:pPr>
        <w:spacing w:after="0" w:line="141" w:lineRule="exact"/>
        <w:rPr>
          <w:rFonts w:ascii="Times New Roman" w:cs="Times New Roman" w:eastAsia="Times New Roman" w:hAnsi="Times New Roman"/>
          <w:sz w:val="16"/>
          <w:szCs w:val="16"/>
          <w:color w:val="auto"/>
        </w:rPr>
      </w:pPr>
    </w:p>
    <w:p>
      <w:pPr>
        <w:ind w:right="20" w:firstLine="1446"/>
        <w:spacing w:after="0" w:line="245" w:lineRule="auto"/>
        <w:tabs>
          <w:tab w:leader="none" w:pos="1931" w:val="left"/>
        </w:tabs>
        <w:numPr>
          <w:ilvl w:val="1"/>
          <w:numId w:val="184"/>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Clearance from the FCO pursuant to Section 35 et seq German GWB or otherwise the expiration of the applicable statutory waiting period under the German GWB according to which the transaction is deemed to be cleared; and</w:t>
      </w:r>
    </w:p>
    <w:p>
      <w:pPr>
        <w:spacing w:after="0" w:line="109" w:lineRule="exact"/>
        <w:rPr>
          <w:rFonts w:ascii="Times New Roman" w:cs="Times New Roman" w:eastAsia="Times New Roman" w:hAnsi="Times New Roman"/>
          <w:sz w:val="16"/>
          <w:szCs w:val="16"/>
          <w:color w:val="010000"/>
        </w:rPr>
      </w:pPr>
    </w:p>
    <w:p>
      <w:pPr>
        <w:ind w:right="40" w:firstLine="1446"/>
        <w:spacing w:after="0" w:line="245" w:lineRule="auto"/>
        <w:tabs>
          <w:tab w:leader="none" w:pos="1941" w:val="left"/>
        </w:tabs>
        <w:numPr>
          <w:ilvl w:val="1"/>
          <w:numId w:val="184"/>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termination or expiration of any applicable waiting periods thereunder the HSR Act (or of any timing agreements or commitments in relation thereto not to consummate), in all instances in respect of the transactions contemplated by this Agreement.</w:t>
      </w:r>
    </w:p>
    <w:p>
      <w:pPr>
        <w:spacing w:after="0" w:line="107" w:lineRule="exact"/>
        <w:rPr>
          <w:rFonts w:ascii="Times New Roman" w:cs="Times New Roman" w:eastAsia="Times New Roman" w:hAnsi="Times New Roman"/>
          <w:sz w:val="16"/>
          <w:szCs w:val="16"/>
          <w:color w:val="010000"/>
        </w:rPr>
      </w:pPr>
    </w:p>
    <w:p>
      <w:pPr>
        <w:ind w:right="40" w:firstLine="961"/>
        <w:spacing w:after="0" w:line="247" w:lineRule="auto"/>
        <w:tabs>
          <w:tab w:leader="none" w:pos="1456"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Approval of Shareholders </w:t>
      </w:r>
      <w:r>
        <w:rPr>
          <w:rFonts w:ascii="Times New Roman" w:cs="Times New Roman" w:eastAsia="Times New Roman" w:hAnsi="Times New Roman"/>
          <w:sz w:val="16"/>
          <w:szCs w:val="16"/>
          <w:color w:val="auto"/>
        </w:rPr>
        <w:t>. The Required Shareholder Vote shall have been obtained in accordance with the Cayman Companies Law,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Articles and the Investor Rights Agreement.</w:t>
      </w:r>
    </w:p>
    <w:p>
      <w:pPr>
        <w:spacing w:after="0" w:line="104" w:lineRule="exact"/>
        <w:rPr>
          <w:sz w:val="20"/>
          <w:szCs w:val="20"/>
          <w:color w:val="auto"/>
        </w:rPr>
      </w:pPr>
    </w:p>
    <w:p>
      <w:pPr>
        <w:ind w:left="480"/>
        <w:spacing w:after="0"/>
        <w:tabs>
          <w:tab w:leader="none" w:pos="1460" w:val="left"/>
        </w:tabs>
        <w:rPr>
          <w:sz w:val="20"/>
          <w:szCs w:val="20"/>
          <w:color w:val="auto"/>
        </w:rPr>
      </w:pPr>
      <w:r>
        <w:rPr>
          <w:rFonts w:ascii="Times New Roman" w:cs="Times New Roman" w:eastAsia="Times New Roman" w:hAnsi="Times New Roman"/>
          <w:sz w:val="16"/>
          <w:szCs w:val="16"/>
          <w:b w:val="1"/>
          <w:bCs w:val="1"/>
          <w:color w:val="010000"/>
        </w:rPr>
        <w:t>Section 6.2</w:t>
      </w:r>
      <w:r>
        <w:rPr>
          <w:rFonts w:ascii="Times New Roman" w:cs="Times New Roman" w:eastAsia="Times New Roman" w:hAnsi="Times New Roman"/>
          <w:sz w:val="16"/>
          <w:szCs w:val="16"/>
          <w:b w:val="1"/>
          <w:bCs w:val="1"/>
          <w:color w:val="auto"/>
        </w:rPr>
        <w:tab/>
        <w:t>Conditions to Obligations of the Company</w:t>
      </w:r>
      <w:r>
        <w:rPr>
          <w:rFonts w:ascii="Times New Roman" w:cs="Times New Roman" w:eastAsia="Times New Roman" w:hAnsi="Times New Roman"/>
          <w:sz w:val="16"/>
          <w:szCs w:val="16"/>
          <w:color w:val="auto"/>
        </w:rPr>
        <w:t>. The obligations of the Company to consummate the transactions contemplated by this</w:t>
      </w:r>
    </w:p>
    <w:p>
      <w:pPr>
        <w:spacing w:after="0" w:line="210" w:lineRule="auto"/>
        <w:rPr>
          <w:sz w:val="20"/>
          <w:szCs w:val="20"/>
          <w:color w:val="auto"/>
        </w:rPr>
      </w:pPr>
      <w:r>
        <w:rPr>
          <w:rFonts w:ascii="Times New Roman" w:cs="Times New Roman" w:eastAsia="Times New Roman" w:hAnsi="Times New Roman"/>
          <w:sz w:val="16"/>
          <w:szCs w:val="16"/>
          <w:color w:val="auto"/>
        </w:rPr>
        <w:t>Agreement shall be subject to the fulfillment, at or prior to the Closing, of each of the following conditions, any of which may, to the extent permitted by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Law, be waived in writing by the Company in its sole discretion:</w:t>
      </w:r>
    </w:p>
    <w:p>
      <w:pPr>
        <w:spacing w:after="0" w:line="119" w:lineRule="exact"/>
        <w:rPr>
          <w:sz w:val="20"/>
          <w:szCs w:val="20"/>
          <w:color w:val="auto"/>
        </w:rPr>
      </w:pPr>
    </w:p>
    <w:p>
      <w:pPr>
        <w:jc w:val="both"/>
        <w:ind w:right="20" w:firstLine="961"/>
        <w:spacing w:after="0" w:line="221" w:lineRule="auto"/>
        <w:tabs>
          <w:tab w:leader="none" w:pos="1456"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Representations, Warranties</w:t>
      </w:r>
      <w:r>
        <w:rPr>
          <w:rFonts w:ascii="Times New Roman" w:cs="Times New Roman" w:eastAsia="Times New Roman" w:hAnsi="Times New Roman"/>
          <w:sz w:val="16"/>
          <w:szCs w:val="16"/>
          <w:color w:val="auto"/>
        </w:rPr>
        <w:t>. The representations and warranties of Parent and Merger Sub contained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Article IV</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this Agreement shall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 true and correct (without giving effect to any limitation as to materiality) as of the date of this Agreement and as of the Closing Date as though such representations and warranties were made on and as of the Closing Date, or in the case of representations and warranties that are made as of a specified date, such representations and warranties shall be true and correct as of such specified date, except where the failure of such representations and warranties to be so true and correct would not, individually or in the aggregate, reasonably be expected to have a material adverse effect on Parent’s and Merger Sub’s ability to consummate the transactions contemplated hereby.</w:t>
      </w:r>
    </w:p>
    <w:p>
      <w:pPr>
        <w:spacing w:after="0" w:line="115" w:lineRule="exact"/>
        <w:rPr>
          <w:rFonts w:ascii="Times New Roman" w:cs="Times New Roman" w:eastAsia="Times New Roman" w:hAnsi="Times New Roman"/>
          <w:sz w:val="16"/>
          <w:szCs w:val="16"/>
          <w:color w:val="auto"/>
        </w:rPr>
      </w:pPr>
    </w:p>
    <w:p>
      <w:pPr>
        <w:ind w:right="20" w:firstLine="961"/>
        <w:spacing w:after="0" w:line="247" w:lineRule="auto"/>
        <w:tabs>
          <w:tab w:leader="none" w:pos="1456"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Covenants</w:t>
      </w:r>
      <w:r>
        <w:rPr>
          <w:rFonts w:ascii="Times New Roman" w:cs="Times New Roman" w:eastAsia="Times New Roman" w:hAnsi="Times New Roman"/>
          <w:sz w:val="16"/>
          <w:szCs w:val="16"/>
          <w:color w:val="auto"/>
        </w:rPr>
        <w:t>. Each of Parent and Merger Sub shall have performed in all material respects all obligations and agreements and complied in 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material respects with all covenants and conditions required by this Agreement to be performed or complied with by it prior to or at the Closing.</w:t>
      </w:r>
    </w:p>
    <w:p>
      <w:pPr>
        <w:spacing w:after="0" w:line="106" w:lineRule="exact"/>
        <w:rPr>
          <w:rFonts w:ascii="Times New Roman" w:cs="Times New Roman" w:eastAsia="Times New Roman" w:hAnsi="Times New Roman"/>
          <w:sz w:val="16"/>
          <w:szCs w:val="16"/>
          <w:color w:val="auto"/>
        </w:rPr>
      </w:pPr>
    </w:p>
    <w:p>
      <w:pPr>
        <w:ind w:right="20" w:firstLine="961"/>
        <w:spacing w:after="0" w:line="247" w:lineRule="auto"/>
        <w:tabs>
          <w:tab w:leader="none" w:pos="1456"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Officer’s Certificate</w:t>
      </w:r>
      <w:r>
        <w:rPr>
          <w:rFonts w:ascii="Times New Roman" w:cs="Times New Roman" w:eastAsia="Times New Roman" w:hAnsi="Times New Roman"/>
          <w:sz w:val="16"/>
          <w:szCs w:val="16"/>
          <w:color w:val="auto"/>
        </w:rPr>
        <w:t>. The Company shall have received from Parent a certificate validly executed by a duly authorized officer thereof,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certifying that the conditions set forth in </w:t>
      </w:r>
      <w:r>
        <w:rPr>
          <w:rFonts w:ascii="Times New Roman" w:cs="Times New Roman" w:eastAsia="Times New Roman" w:hAnsi="Times New Roman"/>
          <w:sz w:val="16"/>
          <w:szCs w:val="16"/>
          <w:b w:val="1"/>
          <w:bCs w:val="1"/>
          <w:color w:val="auto"/>
        </w:rPr>
        <w:t>Section 6.2(a)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Section 6.2(b)</w:t>
      </w:r>
      <w:r>
        <w:rPr>
          <w:rFonts w:ascii="Times New Roman" w:cs="Times New Roman" w:eastAsia="Times New Roman" w:hAnsi="Times New Roman"/>
          <w:sz w:val="16"/>
          <w:szCs w:val="16"/>
          <w:color w:val="auto"/>
        </w:rPr>
        <w:t xml:space="preserve"> have been satisfied.</w:t>
      </w:r>
    </w:p>
    <w:p>
      <w:pPr>
        <w:spacing w:after="0" w:line="106" w:lineRule="exact"/>
        <w:rPr>
          <w:rFonts w:ascii="Times New Roman" w:cs="Times New Roman" w:eastAsia="Times New Roman" w:hAnsi="Times New Roman"/>
          <w:sz w:val="16"/>
          <w:szCs w:val="16"/>
          <w:color w:val="auto"/>
        </w:rPr>
      </w:pPr>
    </w:p>
    <w:p>
      <w:pPr>
        <w:ind w:right="40" w:firstLine="961"/>
        <w:spacing w:after="0" w:line="247" w:lineRule="auto"/>
        <w:tabs>
          <w:tab w:leader="none" w:pos="1456"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Paying Agent Agreement</w:t>
      </w:r>
      <w:r>
        <w:rPr>
          <w:rFonts w:ascii="Times New Roman" w:cs="Times New Roman" w:eastAsia="Times New Roman" w:hAnsi="Times New Roman"/>
          <w:sz w:val="16"/>
          <w:szCs w:val="16"/>
          <w:color w:val="auto"/>
        </w:rPr>
        <w:t>. The Company shall have received a copy of the Paying Agent Agreement duly executed by Parent (or, if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applicable, a Subsidiary of Parent).</w:t>
      </w:r>
    </w:p>
    <w:p>
      <w:pPr>
        <w:spacing w:after="0" w:line="106" w:lineRule="exact"/>
        <w:rPr>
          <w:rFonts w:ascii="Times New Roman" w:cs="Times New Roman" w:eastAsia="Times New Roman" w:hAnsi="Times New Roman"/>
          <w:sz w:val="16"/>
          <w:szCs w:val="16"/>
          <w:color w:val="auto"/>
        </w:rPr>
      </w:pPr>
    </w:p>
    <w:p>
      <w:pPr>
        <w:ind w:right="40" w:firstLine="961"/>
        <w:spacing w:after="0" w:line="247" w:lineRule="auto"/>
        <w:tabs>
          <w:tab w:leader="none" w:pos="1456"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Escrow Agreements</w:t>
      </w:r>
      <w:r>
        <w:rPr>
          <w:rFonts w:ascii="Times New Roman" w:cs="Times New Roman" w:eastAsia="Times New Roman" w:hAnsi="Times New Roman"/>
          <w:sz w:val="16"/>
          <w:szCs w:val="16"/>
          <w:color w:val="auto"/>
        </w:rPr>
        <w:t>. The Company shall have received the Escrow Agreement and the [***] Agreement, each duly executed by Parent (or, if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applicable, a Subsidiary of Parent) and the Escrow Agent.</w:t>
      </w:r>
    </w:p>
    <w:p>
      <w:pPr>
        <w:spacing w:after="0" w:line="106" w:lineRule="exact"/>
        <w:rPr>
          <w:rFonts w:ascii="Times New Roman" w:cs="Times New Roman" w:eastAsia="Times New Roman" w:hAnsi="Times New Roman"/>
          <w:sz w:val="16"/>
          <w:szCs w:val="16"/>
          <w:color w:val="auto"/>
        </w:rPr>
      </w:pPr>
    </w:p>
    <w:p>
      <w:pPr>
        <w:ind w:left="1440" w:hanging="479"/>
        <w:spacing w:after="0"/>
        <w:tabs>
          <w:tab w:leader="none" w:pos="1440"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ADS Agreements</w:t>
      </w:r>
      <w:r>
        <w:rPr>
          <w:rFonts w:ascii="Times New Roman" w:cs="Times New Roman" w:eastAsia="Times New Roman" w:hAnsi="Times New Roman"/>
          <w:sz w:val="16"/>
          <w:szCs w:val="16"/>
          <w:color w:val="auto"/>
        </w:rPr>
        <w:t>. The Company shall have received the ADS Agreements, each duly executed by the Issuer.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71</w:t>
      </w:r>
    </w:p>
    <w:p>
      <w:pPr>
        <w:sectPr>
          <w:pgSz w:w="11900" w:h="16840" w:orient="portrait"/>
          <w:cols w:equalWidth="0" w:num="1">
            <w:col w:w="10600"/>
          </w:cols>
          <w:pgMar w:left="660" w:top="1440" w:right="640" w:bottom="1440" w:gutter="0" w:footer="0" w:header="0"/>
        </w:sectPr>
      </w:pPr>
    </w:p>
    <w:bookmarkStart w:id="350" w:name="page351"/>
    <w:bookmarkEnd w:id="350"/>
    <w:p>
      <w:pPr>
        <w:spacing w:after="0" w:line="78" w:lineRule="exact"/>
        <w:rPr>
          <w:sz w:val="20"/>
          <w:szCs w:val="20"/>
          <w:color w:val="auto"/>
        </w:rPr>
      </w:pPr>
    </w:p>
    <w:p>
      <w:pPr>
        <w:jc w:val="both"/>
        <w:ind w:firstLine="485"/>
        <w:spacing w:after="0" w:line="232" w:lineRule="auto"/>
        <w:rPr>
          <w:sz w:val="20"/>
          <w:szCs w:val="20"/>
          <w:color w:val="auto"/>
        </w:rPr>
      </w:pPr>
      <w:r>
        <w:rPr>
          <w:rFonts w:ascii="Times New Roman" w:cs="Times New Roman" w:eastAsia="Times New Roman" w:hAnsi="Times New Roman"/>
          <w:sz w:val="16"/>
          <w:szCs w:val="16"/>
          <w:b w:val="1"/>
          <w:bCs w:val="1"/>
          <w:color w:val="010000"/>
        </w:rPr>
        <w:t xml:space="preserve">Section 6.3 </w:t>
      </w:r>
      <w:r>
        <w:rPr>
          <w:rFonts w:ascii="Times New Roman" w:cs="Times New Roman" w:eastAsia="Times New Roman" w:hAnsi="Times New Roman"/>
          <w:sz w:val="16"/>
          <w:szCs w:val="16"/>
          <w:b w:val="1"/>
          <w:bCs w:val="1"/>
          <w:color w:val="000000"/>
        </w:rPr>
        <w:t>Conditions to Obligations of Parent and Merger Sub</w:t>
      </w:r>
      <w:r>
        <w:rPr>
          <w:rFonts w:ascii="Times New Roman" w:cs="Times New Roman" w:eastAsia="Times New Roman" w:hAnsi="Times New Roman"/>
          <w:sz w:val="16"/>
          <w:szCs w:val="16"/>
          <w:color w:val="000000"/>
        </w:rPr>
        <w:t>. The obligations of Parent and Merger Sub to consummate the transactions</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contemplated by this Agreement shall be subject to the fulfillment, at or prior to the Closing, of each of the following conditions, any of which may, to the extent permitted by applicable Law, be waived in writing by Parent in its sole discretion:</w:t>
      </w:r>
    </w:p>
    <w:p>
      <w:pPr>
        <w:spacing w:after="0" w:line="113" w:lineRule="exact"/>
        <w:rPr>
          <w:sz w:val="20"/>
          <w:szCs w:val="20"/>
          <w:color w:val="auto"/>
        </w:rPr>
      </w:pPr>
    </w:p>
    <w:p>
      <w:pPr>
        <w:jc w:val="both"/>
        <w:ind w:firstLine="961"/>
        <w:spacing w:after="0" w:line="216" w:lineRule="auto"/>
        <w:tabs>
          <w:tab w:leader="none" w:pos="1456"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Representations, Warranties</w:t>
      </w:r>
      <w:r>
        <w:rPr>
          <w:rFonts w:ascii="Times New Roman" w:cs="Times New Roman" w:eastAsia="Times New Roman" w:hAnsi="Times New Roman"/>
          <w:sz w:val="16"/>
          <w:szCs w:val="16"/>
          <w:color w:val="auto"/>
        </w:rPr>
        <w:t>. (i) The Specified Representations that are qualified by materiality or Material Adverse Effect shall be true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correct in all respects as of the date of this Agreement and as of the Closing Date as though such representations and warranties were made on and as of the Closing Date, or in the case of such Specified Representations that are made as of a specified date, such Specified Representations shall be true and correct in all respects as of such specified date, (ii) the Specified Representations that are not qualified by materiality or Material Adverse Effect shall be true and correct in all material respects (except for the Specified Representations in (A) </w:t>
      </w:r>
      <w:r>
        <w:rPr>
          <w:rFonts w:ascii="Times New Roman" w:cs="Times New Roman" w:eastAsia="Times New Roman" w:hAnsi="Times New Roman"/>
          <w:sz w:val="16"/>
          <w:szCs w:val="16"/>
          <w:b w:val="1"/>
          <w:bCs w:val="1"/>
          <w:color w:val="auto"/>
        </w:rPr>
        <w:t>Section 3.4(a)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Capitalization</w:t>
      </w:r>
      <w:r>
        <w:rPr>
          <w:rFonts w:ascii="Times New Roman" w:cs="Times New Roman" w:eastAsia="Times New Roman" w:hAnsi="Times New Roman"/>
          <w:sz w:val="16"/>
          <w:szCs w:val="16"/>
          <w:color w:val="auto"/>
        </w:rPr>
        <w:t xml:space="preserve">), which shall be true and correct in all respects, except for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deviations, and (B) </w:t>
      </w:r>
      <w:r>
        <w:rPr>
          <w:rFonts w:ascii="Times New Roman" w:cs="Times New Roman" w:eastAsia="Times New Roman" w:hAnsi="Times New Roman"/>
          <w:sz w:val="16"/>
          <w:szCs w:val="16"/>
          <w:b w:val="1"/>
          <w:bCs w:val="1"/>
          <w:color w:val="auto"/>
        </w:rPr>
        <w:t>Section 3.2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Authority</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Section 3.8(a)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Absence of Certain Changes or Events</w:t>
      </w:r>
      <w:r>
        <w:rPr>
          <w:rFonts w:ascii="Times New Roman" w:cs="Times New Roman" w:eastAsia="Times New Roman" w:hAnsi="Times New Roman"/>
          <w:sz w:val="16"/>
          <w:szCs w:val="16"/>
          <w:color w:val="auto"/>
        </w:rPr>
        <w:t xml:space="preserve">), each of which shall be true and correct in all respects) as of the date of this Agreement and as of the Closing Date as though such Specified Representations were made on and as of the Closing Date, or in the case of such Specified Representations that are made as of a specified date, such Specified Representations shall be so true and correct as of such specified date, and (iii) all other representations and warranties of the Company contained in </w:t>
      </w:r>
      <w:r>
        <w:rPr>
          <w:rFonts w:ascii="Times New Roman" w:cs="Times New Roman" w:eastAsia="Times New Roman" w:hAnsi="Times New Roman"/>
          <w:sz w:val="16"/>
          <w:szCs w:val="16"/>
          <w:b w:val="1"/>
          <w:bCs w:val="1"/>
          <w:color w:val="auto"/>
        </w:rPr>
        <w:t>Article III</w:t>
      </w:r>
      <w:r>
        <w:rPr>
          <w:rFonts w:ascii="Times New Roman" w:cs="Times New Roman" w:eastAsia="Times New Roman" w:hAnsi="Times New Roman"/>
          <w:sz w:val="16"/>
          <w:szCs w:val="16"/>
          <w:color w:val="auto"/>
        </w:rPr>
        <w:t xml:space="preserve"> of this Agreement or any certificate delivered pursuant hereto shall be true and correct (without giving effect to any limitation as to materiality or Material Adverse Effect) as of the date of this Agreement and as of the Closing Date as though such representations and warranties were made on and as of the Closing Date, or in the case of representations and warranties that are made as of a specified date, such representations and warranties shall be true and correct to the extent set forth above, as of such specified date, except where the failure of such representations and warranties referenced in this </w:t>
      </w:r>
      <w:r>
        <w:rPr>
          <w:rFonts w:ascii="Times New Roman" w:cs="Times New Roman" w:eastAsia="Times New Roman" w:hAnsi="Times New Roman"/>
          <w:sz w:val="16"/>
          <w:szCs w:val="16"/>
          <w:u w:val="single" w:color="auto"/>
          <w:color w:val="auto"/>
        </w:rPr>
        <w:t>clause (iii)</w:t>
      </w:r>
      <w:r>
        <w:rPr>
          <w:rFonts w:ascii="Times New Roman" w:cs="Times New Roman" w:eastAsia="Times New Roman" w:hAnsi="Times New Roman"/>
          <w:sz w:val="16"/>
          <w:szCs w:val="16"/>
          <w:color w:val="auto"/>
        </w:rPr>
        <w:t xml:space="preserve"> to be so true and correct would not have a Material Adverse Effect.</w:t>
      </w:r>
    </w:p>
    <w:p>
      <w:pPr>
        <w:spacing w:after="0" w:line="111" w:lineRule="exact"/>
        <w:rPr>
          <w:rFonts w:ascii="Times New Roman" w:cs="Times New Roman" w:eastAsia="Times New Roman" w:hAnsi="Times New Roman"/>
          <w:sz w:val="16"/>
          <w:szCs w:val="16"/>
          <w:color w:val="auto"/>
        </w:rPr>
      </w:pPr>
    </w:p>
    <w:p>
      <w:pPr>
        <w:ind w:firstLine="961"/>
        <w:spacing w:after="0" w:line="247" w:lineRule="auto"/>
        <w:tabs>
          <w:tab w:leader="none" w:pos="1456"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Covenants</w:t>
      </w:r>
      <w:r>
        <w:rPr>
          <w:rFonts w:ascii="Times New Roman" w:cs="Times New Roman" w:eastAsia="Times New Roman" w:hAnsi="Times New Roman"/>
          <w:sz w:val="16"/>
          <w:szCs w:val="16"/>
          <w:color w:val="auto"/>
        </w:rPr>
        <w:t>. The Company shall have performed in all material respects all obligations and agreements and complied in all material respects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all covenants and conditions required by this Agreement to be performed or complied with by it prior to or at the Closing.</w:t>
      </w:r>
    </w:p>
    <w:p>
      <w:pPr>
        <w:spacing w:after="0" w:line="106" w:lineRule="exact"/>
        <w:rPr>
          <w:rFonts w:ascii="Times New Roman" w:cs="Times New Roman" w:eastAsia="Times New Roman" w:hAnsi="Times New Roman"/>
          <w:sz w:val="16"/>
          <w:szCs w:val="16"/>
          <w:color w:val="auto"/>
        </w:rPr>
      </w:pPr>
    </w:p>
    <w:p>
      <w:pPr>
        <w:ind w:right="20" w:firstLine="961"/>
        <w:spacing w:after="0" w:line="247" w:lineRule="auto"/>
        <w:tabs>
          <w:tab w:leader="none" w:pos="1456"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Material Adverse Effect</w:t>
      </w:r>
      <w:r>
        <w:rPr>
          <w:rFonts w:ascii="Times New Roman" w:cs="Times New Roman" w:eastAsia="Times New Roman" w:hAnsi="Times New Roman"/>
          <w:sz w:val="16"/>
          <w:szCs w:val="16"/>
          <w:color w:val="auto"/>
        </w:rPr>
        <w:t>. Since the date of this Agreement, there shall not have occurred any event, occurrence or development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individually or in the aggregate, has had, or would reasonably be expected to have, a Material Adverse Effect.</w:t>
      </w:r>
    </w:p>
    <w:p>
      <w:pPr>
        <w:spacing w:after="0" w:line="106" w:lineRule="exact"/>
        <w:rPr>
          <w:rFonts w:ascii="Times New Roman" w:cs="Times New Roman" w:eastAsia="Times New Roman" w:hAnsi="Times New Roman"/>
          <w:sz w:val="16"/>
          <w:szCs w:val="16"/>
          <w:color w:val="auto"/>
        </w:rPr>
      </w:pPr>
    </w:p>
    <w:p>
      <w:pPr>
        <w:jc w:val="both"/>
        <w:ind w:firstLine="961"/>
        <w:spacing w:after="0" w:line="232" w:lineRule="auto"/>
        <w:tabs>
          <w:tab w:leader="none" w:pos="1456"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Closing Payment Spreadsheet</w:t>
      </w:r>
      <w:r>
        <w:rPr>
          <w:rFonts w:ascii="Times New Roman" w:cs="Times New Roman" w:eastAsia="Times New Roman" w:hAnsi="Times New Roman"/>
          <w:sz w:val="16"/>
          <w:szCs w:val="16"/>
          <w:color w:val="auto"/>
        </w:rPr>
        <w:t>. Parent shall have received, in accordance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2.8(b)</w:t>
      </w:r>
      <w:r>
        <w:rPr>
          <w:rFonts w:ascii="Times New Roman" w:cs="Times New Roman" w:eastAsia="Times New Roman" w:hAnsi="Times New Roman"/>
          <w:sz w:val="16"/>
          <w:szCs w:val="16"/>
          <w:color w:val="auto"/>
        </w:rPr>
        <w:t>, a spreadsheet certified by a duly authorized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officer of the Company, prepared in accordance with the Distribution Waterfall and substantially in the form attached hereto as </w:t>
      </w:r>
      <w:r>
        <w:rPr>
          <w:rFonts w:ascii="Times New Roman" w:cs="Times New Roman" w:eastAsia="Times New Roman" w:hAnsi="Times New Roman"/>
          <w:sz w:val="16"/>
          <w:szCs w:val="16"/>
          <w:b w:val="1"/>
          <w:bCs w:val="1"/>
          <w:color w:val="auto"/>
        </w:rPr>
        <w:t>Exhibit I</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Closing Payment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Spreadsheet</w:t>
      </w:r>
      <w:r>
        <w:rPr>
          <w:rFonts w:ascii="Times New Roman" w:cs="Times New Roman" w:eastAsia="Times New Roman" w:hAnsi="Times New Roman"/>
          <w:sz w:val="16"/>
          <w:szCs w:val="16"/>
          <w:color w:val="auto"/>
        </w:rPr>
        <w:t>”), setting forth:</w:t>
      </w:r>
    </w:p>
    <w:p>
      <w:pPr>
        <w:spacing w:after="0" w:line="115" w:lineRule="exact"/>
        <w:rPr>
          <w:rFonts w:ascii="Times New Roman" w:cs="Times New Roman" w:eastAsia="Times New Roman" w:hAnsi="Times New Roman"/>
          <w:sz w:val="16"/>
          <w:szCs w:val="16"/>
          <w:color w:val="auto"/>
        </w:rPr>
      </w:pPr>
    </w:p>
    <w:p>
      <w:pPr>
        <w:ind w:left="1920" w:hanging="474"/>
        <w:spacing w:after="0"/>
        <w:tabs>
          <w:tab w:leader="none" w:pos="1920" w:val="left"/>
        </w:tabs>
        <w:numPr>
          <w:ilvl w:val="1"/>
          <w:numId w:val="18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and (H) on the basis of the foregoing, the Closing Consideration Amount payable to each Non-Dissenting Shareholder;</w:t>
      </w:r>
    </w:p>
    <w:p>
      <w:pPr>
        <w:spacing w:after="0" w:line="139" w:lineRule="exact"/>
        <w:rPr>
          <w:rFonts w:ascii="Times New Roman" w:cs="Times New Roman" w:eastAsia="Times New Roman" w:hAnsi="Times New Roman"/>
          <w:sz w:val="16"/>
          <w:szCs w:val="16"/>
          <w:color w:val="010000"/>
        </w:rPr>
      </w:pPr>
    </w:p>
    <w:p>
      <w:pPr>
        <w:jc w:val="both"/>
        <w:ind w:firstLine="1446"/>
        <w:spacing w:after="0" w:line="223" w:lineRule="auto"/>
        <w:tabs>
          <w:tab w:leader="none" w:pos="1941" w:val="left"/>
        </w:tabs>
        <w:numPr>
          <w:ilvl w:val="1"/>
          <w:numId w:val="18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with respect to each Person who or that is a Shareholder as of immediately prior to the Effective Time: (A) the name, email address (to the extent available) and address of record of each such Person, (B) the number of Company Ordinary Shares and Company Preferred Shares of each series held by such Person (and the number of Company Ordinary Shares into which such Company Preferred Shares are convertible), in each case, as of immediately prior to the Effective Time, (C) the gross consideration that such Person is entitled to receive at the Effective Time pursuant to </w:t>
      </w:r>
      <w:r>
        <w:rPr>
          <w:rFonts w:ascii="Times New Roman" w:cs="Times New Roman" w:eastAsia="Times New Roman" w:hAnsi="Times New Roman"/>
          <w:sz w:val="16"/>
          <w:szCs w:val="16"/>
          <w:b w:val="1"/>
          <w:bCs w:val="1"/>
          <w:color w:val="auto"/>
        </w:rPr>
        <w:t>Section 2.6(a)</w:t>
      </w:r>
      <w:r>
        <w:rPr>
          <w:rFonts w:ascii="Times New Roman" w:cs="Times New Roman" w:eastAsia="Times New Roman" w:hAnsi="Times New Roman"/>
          <w:sz w:val="16"/>
          <w:szCs w:val="16"/>
          <w:color w:val="auto"/>
        </w:rPr>
        <w:t>, in each case, with respect to the Shares held by such Person as of immediately prior to the Effective Time (before any applicable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ectPr>
          <w:pgSz w:w="11900" w:h="16840" w:orient="portrait"/>
          <w:cols w:equalWidth="0" w:num="1">
            <w:col w:w="10580"/>
          </w:cols>
          <w:pgMar w:left="660" w:top="1440" w:right="660" w:bottom="1440" w:gutter="0" w:footer="0" w:header="0"/>
        </w:sectPr>
      </w:pPr>
    </w:p>
    <w:bookmarkStart w:id="351" w:name="page352"/>
    <w:bookmarkEnd w:id="351"/>
    <w:p>
      <w:pPr>
        <w:spacing w:after="0" w:line="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6"/>
          <w:szCs w:val="16"/>
          <w:color w:val="auto"/>
        </w:rPr>
        <w:t xml:space="preserve">Tax withholding), (D) such Person’s Allocation Percentage and Contingent Payment Allocation Percentage, (E) the cash amount to be contributed to the Escrow Fund with respect to the Shares held by such Person pursuant to </w:t>
      </w:r>
      <w:r>
        <w:rPr>
          <w:rFonts w:ascii="Times New Roman" w:cs="Times New Roman" w:eastAsia="Times New Roman" w:hAnsi="Times New Roman"/>
          <w:sz w:val="16"/>
          <w:szCs w:val="16"/>
          <w:b w:val="1"/>
          <w:bCs w:val="1"/>
          <w:color w:val="auto"/>
        </w:rPr>
        <w:t>Section 2.10(a)</w:t>
      </w:r>
      <w:r>
        <w:rPr>
          <w:rFonts w:ascii="Times New Roman" w:cs="Times New Roman" w:eastAsia="Times New Roman" w:hAnsi="Times New Roman"/>
          <w:sz w:val="16"/>
          <w:szCs w:val="16"/>
          <w:color w:val="auto"/>
        </w:rPr>
        <w:t xml:space="preserve">, (F) the cash amount to be contributed to the Expense Fund with respect to the Shares held by such Person pursuant to </w:t>
      </w:r>
      <w:r>
        <w:rPr>
          <w:rFonts w:ascii="Times New Roman" w:cs="Times New Roman" w:eastAsia="Times New Roman" w:hAnsi="Times New Roman"/>
          <w:sz w:val="16"/>
          <w:szCs w:val="16"/>
          <w:b w:val="1"/>
          <w:bCs w:val="1"/>
          <w:color w:val="auto"/>
        </w:rPr>
        <w:t>Section 2.10(f)</w:t>
      </w:r>
      <w:r>
        <w:rPr>
          <w:rFonts w:ascii="Times New Roman" w:cs="Times New Roman" w:eastAsia="Times New Roman" w:hAnsi="Times New Roman"/>
          <w:sz w:val="16"/>
          <w:szCs w:val="16"/>
          <w:color w:val="auto"/>
        </w:rPr>
        <w:t xml:space="preserve">, and (G) subject to </w:t>
      </w:r>
      <w:r>
        <w:rPr>
          <w:rFonts w:ascii="Times New Roman" w:cs="Times New Roman" w:eastAsia="Times New Roman" w:hAnsi="Times New Roman"/>
          <w:sz w:val="16"/>
          <w:szCs w:val="16"/>
          <w:b w:val="1"/>
          <w:bCs w:val="1"/>
          <w:color w:val="auto"/>
        </w:rPr>
        <w:t>Section 2.14</w:t>
      </w:r>
      <w:r>
        <w:rPr>
          <w:rFonts w:ascii="Times New Roman" w:cs="Times New Roman" w:eastAsia="Times New Roman" w:hAnsi="Times New Roman"/>
          <w:sz w:val="16"/>
          <w:szCs w:val="16"/>
          <w:color w:val="auto"/>
        </w:rPr>
        <w:t xml:space="preserve">, the amount, if any, of any Taxes that are to be withheld in accordance with </w:t>
      </w:r>
      <w:r>
        <w:rPr>
          <w:rFonts w:ascii="Times New Roman" w:cs="Times New Roman" w:eastAsia="Times New Roman" w:hAnsi="Times New Roman"/>
          <w:sz w:val="16"/>
          <w:szCs w:val="16"/>
          <w:b w:val="1"/>
          <w:bCs w:val="1"/>
          <w:color w:val="auto"/>
        </w:rPr>
        <w:t xml:space="preserve">Section 2.14 </w:t>
      </w:r>
      <w:r>
        <w:rPr>
          <w:rFonts w:ascii="Times New Roman" w:cs="Times New Roman" w:eastAsia="Times New Roman" w:hAnsi="Times New Roman"/>
          <w:sz w:val="16"/>
          <w:szCs w:val="16"/>
          <w:color w:val="auto"/>
        </w:rPr>
        <w:t>from the consideration that such Person is entitled to receive pursuant to</w:t>
      </w:r>
      <w:r>
        <w:rPr>
          <w:rFonts w:ascii="Times New Roman" w:cs="Times New Roman" w:eastAsia="Times New Roman" w:hAnsi="Times New Roman"/>
          <w:sz w:val="16"/>
          <w:szCs w:val="16"/>
          <w:b w:val="1"/>
          <w:bCs w:val="1"/>
          <w:color w:val="auto"/>
        </w:rPr>
        <w:t xml:space="preserve"> Section 2.6 </w:t>
      </w:r>
      <w:r>
        <w:rPr>
          <w:rFonts w:ascii="Times New Roman" w:cs="Times New Roman" w:eastAsia="Times New Roman" w:hAnsi="Times New Roman"/>
          <w:sz w:val="16"/>
          <w:szCs w:val="16"/>
          <w:color w:val="auto"/>
        </w:rPr>
        <w:t>with respect to Shares held by such Person; and</w:t>
      </w:r>
    </w:p>
    <w:p>
      <w:pPr>
        <w:spacing w:after="0" w:line="116" w:lineRule="exact"/>
        <w:rPr>
          <w:sz w:val="20"/>
          <w:szCs w:val="20"/>
          <w:color w:val="auto"/>
        </w:rPr>
      </w:pPr>
    </w:p>
    <w:p>
      <w:pPr>
        <w:ind w:left="1940" w:hanging="494"/>
        <w:spacing w:after="0"/>
        <w:tabs>
          <w:tab w:leader="none" w:pos="1940" w:val="left"/>
        </w:tabs>
        <w:numPr>
          <w:ilvl w:val="1"/>
          <w:numId w:val="187"/>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w:t>
      </w:r>
    </w:p>
    <w:p>
      <w:pPr>
        <w:spacing w:after="0" w:line="137" w:lineRule="exact"/>
        <w:rPr>
          <w:rFonts w:ascii="Times New Roman" w:cs="Times New Roman" w:eastAsia="Times New Roman" w:hAnsi="Times New Roman"/>
          <w:sz w:val="16"/>
          <w:szCs w:val="16"/>
          <w:color w:val="010000"/>
        </w:rPr>
      </w:pPr>
    </w:p>
    <w:p>
      <w:pPr>
        <w:ind w:firstLine="961"/>
        <w:spacing w:after="0" w:line="247" w:lineRule="auto"/>
        <w:tabs>
          <w:tab w:leader="none" w:pos="1456"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Officer’s Certificate</w:t>
      </w:r>
      <w:r>
        <w:rPr>
          <w:rFonts w:ascii="Times New Roman" w:cs="Times New Roman" w:eastAsia="Times New Roman" w:hAnsi="Times New Roman"/>
          <w:sz w:val="16"/>
          <w:szCs w:val="16"/>
          <w:color w:val="auto"/>
        </w:rPr>
        <w:t>. Parent shall have received from the Company a certificate validly executed by a duly authorized officer thereof,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certifying that the conditions set forth in </w:t>
      </w:r>
      <w:r>
        <w:rPr>
          <w:rFonts w:ascii="Times New Roman" w:cs="Times New Roman" w:eastAsia="Times New Roman" w:hAnsi="Times New Roman"/>
          <w:sz w:val="16"/>
          <w:szCs w:val="16"/>
          <w:b w:val="1"/>
          <w:bCs w:val="1"/>
          <w:color w:val="auto"/>
        </w:rPr>
        <w:t>Section 6.3(a)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6.3(b)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Section 6.3(c)</w:t>
      </w:r>
      <w:r>
        <w:rPr>
          <w:rFonts w:ascii="Times New Roman" w:cs="Times New Roman" w:eastAsia="Times New Roman" w:hAnsi="Times New Roman"/>
          <w:sz w:val="16"/>
          <w:szCs w:val="16"/>
          <w:color w:val="auto"/>
        </w:rPr>
        <w:t xml:space="preserve"> have been satisfied.</w:t>
      </w:r>
    </w:p>
    <w:p>
      <w:pPr>
        <w:spacing w:after="0" w:line="104" w:lineRule="exact"/>
        <w:rPr>
          <w:rFonts w:ascii="Times New Roman" w:cs="Times New Roman" w:eastAsia="Times New Roman" w:hAnsi="Times New Roman"/>
          <w:sz w:val="16"/>
          <w:szCs w:val="16"/>
          <w:color w:val="auto"/>
        </w:rPr>
      </w:pPr>
    </w:p>
    <w:p>
      <w:pPr>
        <w:ind w:left="1440" w:hanging="479"/>
        <w:spacing w:after="0"/>
        <w:tabs>
          <w:tab w:leader="none" w:pos="144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Escrow Agreements</w:t>
      </w:r>
      <w:r>
        <w:rPr>
          <w:rFonts w:ascii="Times New Roman" w:cs="Times New Roman" w:eastAsia="Times New Roman" w:hAnsi="Times New Roman"/>
          <w:sz w:val="16"/>
          <w:szCs w:val="16"/>
          <w:color w:val="auto"/>
        </w:rPr>
        <w:t>. Parent shall have received (i) the Escrow Agreement duly executed by the Shareholders’ Agent and the Escrow Agent</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(ii) [***].</w:t>
      </w:r>
    </w:p>
    <w:p>
      <w:pPr>
        <w:spacing w:after="0" w:line="117" w:lineRule="exact"/>
        <w:rPr>
          <w:rFonts w:ascii="Times New Roman" w:cs="Times New Roman" w:eastAsia="Times New Roman" w:hAnsi="Times New Roman"/>
          <w:sz w:val="16"/>
          <w:szCs w:val="16"/>
          <w:color w:val="auto"/>
        </w:rPr>
      </w:pPr>
    </w:p>
    <w:p>
      <w:pPr>
        <w:ind w:firstLine="961"/>
        <w:spacing w:after="0" w:line="250" w:lineRule="auto"/>
        <w:tabs>
          <w:tab w:leader="none" w:pos="1456"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Key Employee Agreements</w:t>
      </w:r>
      <w:r>
        <w:rPr>
          <w:rFonts w:ascii="Times New Roman" w:cs="Times New Roman" w:eastAsia="Times New Roman" w:hAnsi="Times New Roman"/>
          <w:sz w:val="16"/>
          <w:szCs w:val="16"/>
          <w:color w:val="auto"/>
        </w:rPr>
        <w:t>. Each of the individuals set forth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Schedule 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(each, a “</w:t>
      </w:r>
      <w:r>
        <w:rPr>
          <w:rFonts w:ascii="Times New Roman" w:cs="Times New Roman" w:eastAsia="Times New Roman" w:hAnsi="Times New Roman"/>
          <w:sz w:val="16"/>
          <w:szCs w:val="16"/>
          <w:b w:val="1"/>
          <w:bCs w:val="1"/>
          <w:i w:val="1"/>
          <w:iCs w:val="1"/>
          <w:color w:val="auto"/>
        </w:rPr>
        <w:t>Key Employee</w:t>
      </w:r>
      <w:r>
        <w:rPr>
          <w:rFonts w:ascii="Times New Roman" w:cs="Times New Roman" w:eastAsia="Times New Roman" w:hAnsi="Times New Roman"/>
          <w:sz w:val="16"/>
          <w:szCs w:val="16"/>
          <w:color w:val="auto"/>
        </w:rPr>
        <w:t>”) shall have entered into an employment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agreement with the Company or an Acquired Company substantially in the form attached hereto as </w:t>
      </w:r>
      <w:r>
        <w:rPr>
          <w:rFonts w:ascii="Times New Roman" w:cs="Times New Roman" w:eastAsia="Times New Roman" w:hAnsi="Times New Roman"/>
          <w:sz w:val="16"/>
          <w:szCs w:val="16"/>
          <w:b w:val="1"/>
          <w:bCs w:val="1"/>
          <w:color w:val="auto"/>
        </w:rPr>
        <w:t>Exhibit H</w:t>
      </w:r>
      <w:r>
        <w:rPr>
          <w:rFonts w:ascii="Times New Roman" w:cs="Times New Roman" w:eastAsia="Times New Roman" w:hAnsi="Times New Roman"/>
          <w:sz w:val="16"/>
          <w:szCs w:val="16"/>
          <w:color w:val="auto"/>
        </w:rPr>
        <w:t xml:space="preserve"> (collectively, the “</w:t>
      </w:r>
      <w:r>
        <w:rPr>
          <w:rFonts w:ascii="Times New Roman" w:cs="Times New Roman" w:eastAsia="Times New Roman" w:hAnsi="Times New Roman"/>
          <w:sz w:val="16"/>
          <w:szCs w:val="16"/>
          <w:b w:val="1"/>
          <w:bCs w:val="1"/>
          <w:i w:val="1"/>
          <w:iCs w:val="1"/>
          <w:color w:val="auto"/>
        </w:rPr>
        <w:t>Key Employee Agreements</w:t>
      </w:r>
      <w:r>
        <w:rPr>
          <w:rFonts w:ascii="Times New Roman" w:cs="Times New Roman" w:eastAsia="Times New Roman" w:hAnsi="Times New Roman"/>
          <w:sz w:val="16"/>
          <w:szCs w:val="16"/>
          <w:color w:val="auto"/>
        </w:rPr>
        <w:t>”).</w:t>
      </w:r>
    </w:p>
    <w:p>
      <w:pPr>
        <w:spacing w:after="0" w:line="105" w:lineRule="exact"/>
        <w:rPr>
          <w:rFonts w:ascii="Times New Roman" w:cs="Times New Roman" w:eastAsia="Times New Roman" w:hAnsi="Times New Roman"/>
          <w:sz w:val="16"/>
          <w:szCs w:val="16"/>
          <w:color w:val="auto"/>
        </w:rPr>
      </w:pPr>
    </w:p>
    <w:p>
      <w:pPr>
        <w:ind w:left="1440" w:hanging="479"/>
        <w:spacing w:after="0"/>
        <w:tabs>
          <w:tab w:leader="none" w:pos="144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37" w:lineRule="exact"/>
        <w:rPr>
          <w:rFonts w:ascii="Times New Roman" w:cs="Times New Roman" w:eastAsia="Times New Roman" w:hAnsi="Times New Roman"/>
          <w:sz w:val="16"/>
          <w:szCs w:val="16"/>
          <w:color w:val="auto"/>
        </w:rPr>
      </w:pPr>
    </w:p>
    <w:p>
      <w:pPr>
        <w:ind w:left="1440" w:hanging="479"/>
        <w:spacing w:after="0"/>
        <w:tabs>
          <w:tab w:leader="none" w:pos="144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Closing Cash Amount</w:t>
      </w:r>
      <w:r>
        <w:rPr>
          <w:rFonts w:ascii="Times New Roman" w:cs="Times New Roman" w:eastAsia="Times New Roman" w:hAnsi="Times New Roman"/>
          <w:sz w:val="16"/>
          <w:szCs w:val="16"/>
          <w:color w:val="auto"/>
        </w:rPr>
        <w:t>. The Closing Cash Amount shall be no less than $[***].</w:t>
      </w:r>
    </w:p>
    <w:p>
      <w:pPr>
        <w:spacing w:after="0" w:line="141" w:lineRule="exact"/>
        <w:rPr>
          <w:rFonts w:ascii="Times New Roman" w:cs="Times New Roman" w:eastAsia="Times New Roman" w:hAnsi="Times New Roman"/>
          <w:sz w:val="16"/>
          <w:szCs w:val="16"/>
          <w:color w:val="auto"/>
        </w:rPr>
      </w:pPr>
    </w:p>
    <w:p>
      <w:pPr>
        <w:ind w:left="1440" w:hanging="479"/>
        <w:spacing w:after="0"/>
        <w:tabs>
          <w:tab w:leader="none" w:pos="144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37" w:lineRule="exact"/>
        <w:rPr>
          <w:rFonts w:ascii="Times New Roman" w:cs="Times New Roman" w:eastAsia="Times New Roman" w:hAnsi="Times New Roman"/>
          <w:sz w:val="16"/>
          <w:szCs w:val="16"/>
          <w:color w:val="auto"/>
        </w:rPr>
      </w:pPr>
    </w:p>
    <w:p>
      <w:pPr>
        <w:ind w:left="1440" w:hanging="479"/>
        <w:spacing w:after="0"/>
        <w:tabs>
          <w:tab w:leader="none" w:pos="144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ADS Agreements</w:t>
      </w:r>
      <w:r>
        <w:rPr>
          <w:rFonts w:ascii="Times New Roman" w:cs="Times New Roman" w:eastAsia="Times New Roman" w:hAnsi="Times New Roman"/>
          <w:sz w:val="16"/>
          <w:szCs w:val="16"/>
          <w:color w:val="auto"/>
        </w:rPr>
        <w:t>. Parent shall have received each ADS Agreement, duly executed by the applicable Founder and Founder SPV.</w:t>
      </w:r>
    </w:p>
    <w:p>
      <w:pPr>
        <w:spacing w:after="0" w:line="139" w:lineRule="exact"/>
        <w:rPr>
          <w:rFonts w:ascii="Times New Roman" w:cs="Times New Roman" w:eastAsia="Times New Roman" w:hAnsi="Times New Roman"/>
          <w:sz w:val="16"/>
          <w:szCs w:val="16"/>
          <w:color w:val="auto"/>
        </w:rPr>
      </w:pPr>
    </w:p>
    <w:p>
      <w:pPr>
        <w:ind w:firstLine="961"/>
        <w:spacing w:after="0" w:line="247" w:lineRule="auto"/>
        <w:tabs>
          <w:tab w:leader="none" w:pos="1446"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Convertible Loans</w:t>
      </w:r>
      <w:r>
        <w:rPr>
          <w:rFonts w:ascii="Times New Roman" w:cs="Times New Roman" w:eastAsia="Times New Roman" w:hAnsi="Times New Roman"/>
          <w:sz w:val="16"/>
          <w:szCs w:val="16"/>
          <w:color w:val="auto"/>
        </w:rPr>
        <w:t>. The Company shall have delivered evidence to Parent, in a form reasonably acceptable to Parent, that the Convertible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Loans have been repaid in full to the lenders thereof and there are no remaining obligations of the Company with respect thereto.</w:t>
      </w:r>
    </w:p>
    <w:p>
      <w:pPr>
        <w:spacing w:after="0" w:line="10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010000"/>
        </w:rPr>
        <w:t>Article VII</w:t>
      </w:r>
    </w:p>
    <w:p>
      <w:pPr>
        <w:ind w:left="4700"/>
        <w:spacing w:after="0"/>
        <w:rPr>
          <w:sz w:val="20"/>
          <w:szCs w:val="20"/>
          <w:color w:val="auto"/>
        </w:rPr>
      </w:pPr>
      <w:r>
        <w:rPr>
          <w:rFonts w:ascii="Times New Roman" w:cs="Times New Roman" w:eastAsia="Times New Roman" w:hAnsi="Times New Roman"/>
          <w:sz w:val="16"/>
          <w:szCs w:val="16"/>
          <w:b w:val="1"/>
          <w:bCs w:val="1"/>
          <w:color w:val="auto"/>
        </w:rPr>
        <w:t>TERMINATION</w:t>
      </w:r>
    </w:p>
    <w:p>
      <w:pPr>
        <w:spacing w:after="0" w:line="119"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7.1</w:t>
      </w:r>
      <w:r>
        <w:rPr>
          <w:rFonts w:ascii="Times New Roman" w:cs="Times New Roman" w:eastAsia="Times New Roman" w:hAnsi="Times New Roman"/>
          <w:sz w:val="16"/>
          <w:szCs w:val="16"/>
          <w:b w:val="1"/>
          <w:bCs w:val="1"/>
          <w:color w:val="auto"/>
        </w:rPr>
        <w:tab/>
        <w:t>Termination</w:t>
      </w:r>
      <w:r>
        <w:rPr>
          <w:rFonts w:ascii="Times New Roman" w:cs="Times New Roman" w:eastAsia="Times New Roman" w:hAnsi="Times New Roman"/>
          <w:sz w:val="16"/>
          <w:szCs w:val="16"/>
          <w:color w:val="auto"/>
        </w:rPr>
        <w:t>. This Agreement may be terminated at any time prior to the Closing:</w:t>
      </w:r>
    </w:p>
    <w:p>
      <w:pPr>
        <w:spacing w:after="0" w:line="141" w:lineRule="exact"/>
        <w:rPr>
          <w:sz w:val="20"/>
          <w:szCs w:val="20"/>
          <w:color w:val="auto"/>
        </w:rPr>
      </w:pPr>
    </w:p>
    <w:p>
      <w:pPr>
        <w:ind w:left="1440" w:hanging="479"/>
        <w:spacing w:after="0"/>
        <w:tabs>
          <w:tab w:leader="none" w:pos="144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mutual written consent of Parent and the Company;</w:t>
      </w:r>
    </w:p>
    <w:p>
      <w:pPr>
        <w:spacing w:after="0" w:line="139" w:lineRule="exact"/>
        <w:rPr>
          <w:rFonts w:ascii="Times New Roman" w:cs="Times New Roman" w:eastAsia="Times New Roman" w:hAnsi="Times New Roman"/>
          <w:sz w:val="16"/>
          <w:szCs w:val="16"/>
          <w:color w:val="auto"/>
        </w:rPr>
      </w:pPr>
    </w:p>
    <w:p>
      <w:pPr>
        <w:jc w:val="both"/>
        <w:ind w:firstLine="961"/>
        <w:spacing w:after="0" w:line="221" w:lineRule="auto"/>
        <w:tabs>
          <w:tab w:leader="none" w:pos="1456"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the Company, if the Company is not then in breach of any of its representations, warranties, obligations or agreements under this Agreement such that any of the conditions in </w:t>
      </w:r>
      <w:r>
        <w:rPr>
          <w:rFonts w:ascii="Times New Roman" w:cs="Times New Roman" w:eastAsia="Times New Roman" w:hAnsi="Times New Roman"/>
          <w:sz w:val="16"/>
          <w:szCs w:val="16"/>
          <w:b w:val="1"/>
          <w:bCs w:val="1"/>
          <w:color w:val="auto"/>
        </w:rPr>
        <w:t>Section 6.3(a)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Section 6.3(b)</w:t>
      </w:r>
      <w:r>
        <w:rPr>
          <w:rFonts w:ascii="Times New Roman" w:cs="Times New Roman" w:eastAsia="Times New Roman" w:hAnsi="Times New Roman"/>
          <w:sz w:val="16"/>
          <w:szCs w:val="16"/>
          <w:color w:val="auto"/>
        </w:rPr>
        <w:t xml:space="preserve"> would not then be satisfied, measured at the time the Company asserts a right of termination hereunder, and Parent or Merger Sub breaches or fails to perform in any respect any of its representations, warranties or covenants contained in this Agreement and such breach or failure to perform (i) would give rise to the failure of a condition set forth in </w:t>
      </w:r>
      <w:r>
        <w:rPr>
          <w:rFonts w:ascii="Times New Roman" w:cs="Times New Roman" w:eastAsia="Times New Roman" w:hAnsi="Times New Roman"/>
          <w:sz w:val="16"/>
          <w:szCs w:val="16"/>
          <w:b w:val="1"/>
          <w:bCs w:val="1"/>
          <w:color w:val="auto"/>
        </w:rPr>
        <w:t>Section 6.2(a)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Section 6.2(b)</w:t>
      </w:r>
      <w:r>
        <w:rPr>
          <w:rFonts w:ascii="Times New Roman" w:cs="Times New Roman" w:eastAsia="Times New Roman" w:hAnsi="Times New Roman"/>
          <w:sz w:val="16"/>
          <w:szCs w:val="16"/>
          <w:color w:val="auto"/>
        </w:rPr>
        <w:t>, (ii) cannot be or has not been cured within [***] days following the Company’s delivery of written notice of such breach or failure to perform and (iii) has not been waived by the Company;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ectPr>
          <w:pgSz w:w="11900" w:h="16840" w:orient="portrait"/>
          <w:cols w:equalWidth="0" w:num="1">
            <w:col w:w="10580"/>
          </w:cols>
          <w:pgMar w:left="660" w:top="1440" w:right="660" w:bottom="1440" w:gutter="0" w:footer="0" w:header="0"/>
        </w:sectPr>
      </w:pPr>
    </w:p>
    <w:bookmarkStart w:id="352" w:name="page353"/>
    <w:bookmarkEnd w:id="352"/>
    <w:p>
      <w:pPr>
        <w:spacing w:after="0" w:line="80" w:lineRule="exact"/>
        <w:rPr>
          <w:sz w:val="20"/>
          <w:szCs w:val="20"/>
          <w:color w:val="auto"/>
        </w:rPr>
      </w:pPr>
    </w:p>
    <w:p>
      <w:pPr>
        <w:jc w:val="both"/>
        <w:ind w:firstLine="961"/>
        <w:spacing w:after="0" w:line="223" w:lineRule="auto"/>
        <w:tabs>
          <w:tab w:leader="none" w:pos="1456"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Parent, if Parent or Merger Sub is not then in breach of its representations, warranties, obligations or agreements under this Agreement such that any of the conditions in </w:t>
      </w:r>
      <w:r>
        <w:rPr>
          <w:rFonts w:ascii="Times New Roman" w:cs="Times New Roman" w:eastAsia="Times New Roman" w:hAnsi="Times New Roman"/>
          <w:sz w:val="16"/>
          <w:szCs w:val="16"/>
          <w:b w:val="1"/>
          <w:bCs w:val="1"/>
          <w:color w:val="auto"/>
        </w:rPr>
        <w:t>Section 6.2(a)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Section 6.2(b)</w:t>
      </w:r>
      <w:r>
        <w:rPr>
          <w:rFonts w:ascii="Times New Roman" w:cs="Times New Roman" w:eastAsia="Times New Roman" w:hAnsi="Times New Roman"/>
          <w:sz w:val="16"/>
          <w:szCs w:val="16"/>
          <w:color w:val="auto"/>
        </w:rPr>
        <w:t xml:space="preserve"> would not then be satisfied, measured at the time Parent asserts a right of termination hereunder, and the Company breaches or fails to perform in any respect any of its representations, warranties or covenants contained in this Agreement and such breach or failure to perform (i) would give rise to the failure of a condition set forth in </w:t>
      </w:r>
      <w:r>
        <w:rPr>
          <w:rFonts w:ascii="Times New Roman" w:cs="Times New Roman" w:eastAsia="Times New Roman" w:hAnsi="Times New Roman"/>
          <w:sz w:val="16"/>
          <w:szCs w:val="16"/>
          <w:b w:val="1"/>
          <w:bCs w:val="1"/>
          <w:color w:val="auto"/>
        </w:rPr>
        <w:t>Section 6.3(a)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Section 6.3(b)</w:t>
      </w:r>
      <w:r>
        <w:rPr>
          <w:rFonts w:ascii="Times New Roman" w:cs="Times New Roman" w:eastAsia="Times New Roman" w:hAnsi="Times New Roman"/>
          <w:sz w:val="16"/>
          <w:szCs w:val="16"/>
          <w:color w:val="auto"/>
        </w:rPr>
        <w:t>, (ii) cannot be or has not been cured within [***] days following Parent’s delivery of written notice of such breach or failure to perform and (iii) has not been waived by Parent;</w:t>
      </w:r>
    </w:p>
    <w:p>
      <w:pPr>
        <w:spacing w:after="0" w:line="115" w:lineRule="exact"/>
        <w:rPr>
          <w:rFonts w:ascii="Times New Roman" w:cs="Times New Roman" w:eastAsia="Times New Roman" w:hAnsi="Times New Roman"/>
          <w:sz w:val="16"/>
          <w:szCs w:val="16"/>
          <w:color w:val="auto"/>
        </w:rPr>
      </w:pPr>
    </w:p>
    <w:p>
      <w:pPr>
        <w:jc w:val="both"/>
        <w:ind w:firstLine="961"/>
        <w:spacing w:after="0" w:line="232" w:lineRule="auto"/>
        <w:tabs>
          <w:tab w:leader="none" w:pos="1456"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either the Company or Parent, if the Merger shall not have been consummated by the End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right to terminate this Agreement under this </w:t>
      </w:r>
      <w:r>
        <w:rPr>
          <w:rFonts w:ascii="Times New Roman" w:cs="Times New Roman" w:eastAsia="Times New Roman" w:hAnsi="Times New Roman"/>
          <w:sz w:val="16"/>
          <w:szCs w:val="16"/>
          <w:b w:val="1"/>
          <w:bCs w:val="1"/>
          <w:color w:val="auto"/>
        </w:rPr>
        <w:t>Section 7.1(d)</w:t>
      </w:r>
      <w:r>
        <w:rPr>
          <w:rFonts w:ascii="Times New Roman" w:cs="Times New Roman" w:eastAsia="Times New Roman" w:hAnsi="Times New Roman"/>
          <w:sz w:val="16"/>
          <w:szCs w:val="16"/>
          <w:color w:val="auto"/>
        </w:rPr>
        <w:t xml:space="preserve"> shall not be available to a party whose breach of its obligations under this Agreement has been a principal cause of the failure of the Merger to occur on or before the End Date;</w:t>
      </w:r>
    </w:p>
    <w:p>
      <w:pPr>
        <w:spacing w:after="0" w:line="113" w:lineRule="exact"/>
        <w:rPr>
          <w:rFonts w:ascii="Times New Roman" w:cs="Times New Roman" w:eastAsia="Times New Roman" w:hAnsi="Times New Roman"/>
          <w:sz w:val="16"/>
          <w:szCs w:val="16"/>
          <w:color w:val="auto"/>
        </w:rPr>
      </w:pPr>
    </w:p>
    <w:p>
      <w:pPr>
        <w:jc w:val="both"/>
        <w:ind w:firstLine="961"/>
        <w:spacing w:after="0" w:line="223" w:lineRule="auto"/>
        <w:tabs>
          <w:tab w:leader="none" w:pos="1456"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either the Company or Parent in the event that any Governmental Authority shall have issued an order, decree or ruling or taken any other action restraining, enjoining or otherwise prohibiting or making illegal the transactions contemplated by this Agreement and such order, decree, ruling or other action shall have become final and non-appealable;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Parent and Merger Sub (if Parent is so requesting termination) or the Company (if it is so requesting termination), as the case may be, shall have complied with its obligations under </w:t>
      </w:r>
      <w:r>
        <w:rPr>
          <w:rFonts w:ascii="Times New Roman" w:cs="Times New Roman" w:eastAsia="Times New Roman" w:hAnsi="Times New Roman"/>
          <w:sz w:val="16"/>
          <w:szCs w:val="16"/>
          <w:b w:val="1"/>
          <w:bCs w:val="1"/>
          <w:color w:val="auto"/>
        </w:rPr>
        <w:t>Section 5.8</w:t>
      </w:r>
      <w:r>
        <w:rPr>
          <w:rFonts w:ascii="Times New Roman" w:cs="Times New Roman" w:eastAsia="Times New Roman" w:hAnsi="Times New Roman"/>
          <w:sz w:val="16"/>
          <w:szCs w:val="16"/>
          <w:color w:val="auto"/>
        </w:rPr>
        <w:t xml:space="preserve"> prior to asserting the right to terminate arising pursuant to this </w:t>
      </w:r>
      <w:r>
        <w:rPr>
          <w:rFonts w:ascii="Times New Roman" w:cs="Times New Roman" w:eastAsia="Times New Roman" w:hAnsi="Times New Roman"/>
          <w:sz w:val="16"/>
          <w:szCs w:val="16"/>
          <w:b w:val="1"/>
          <w:bCs w:val="1"/>
          <w:color w:val="auto"/>
        </w:rPr>
        <w:t>Section 7.1(e)</w:t>
      </w:r>
      <w:r>
        <w:rPr>
          <w:rFonts w:ascii="Times New Roman" w:cs="Times New Roman" w:eastAsia="Times New Roman" w:hAnsi="Times New Roman"/>
          <w:sz w:val="16"/>
          <w:szCs w:val="16"/>
          <w:color w:val="auto"/>
        </w:rPr>
        <w:t>; or</w:t>
      </w:r>
    </w:p>
    <w:p>
      <w:pPr>
        <w:spacing w:after="0" w:line="115" w:lineRule="exact"/>
        <w:rPr>
          <w:rFonts w:ascii="Times New Roman" w:cs="Times New Roman" w:eastAsia="Times New Roman" w:hAnsi="Times New Roman"/>
          <w:sz w:val="16"/>
          <w:szCs w:val="16"/>
          <w:color w:val="auto"/>
        </w:rPr>
      </w:pPr>
    </w:p>
    <w:p>
      <w:pPr>
        <w:jc w:val="both"/>
        <w:ind w:firstLine="961"/>
        <w:spacing w:after="0" w:line="232" w:lineRule="auto"/>
        <w:tabs>
          <w:tab w:leader="none" w:pos="1456"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the Company or Parent, if the Required Shareholder Vote shall not have been obtained at the Shareholders Meeting duly convened therefor or at any adjournment thereof, in each case, at which a vote on the approval of the execution, delivery and performance by the Company of this Agreement, the Plan of Merger and all other transactions contemplated hereby and thereby was taken.</w:t>
      </w:r>
    </w:p>
    <w:p>
      <w:pPr>
        <w:spacing w:after="0" w:line="121" w:lineRule="exact"/>
        <w:rPr>
          <w:sz w:val="20"/>
          <w:szCs w:val="20"/>
          <w:color w:val="auto"/>
        </w:rPr>
      </w:pPr>
    </w:p>
    <w:p>
      <w:pPr>
        <w:jc w:val="both"/>
        <w:ind w:firstLine="485"/>
        <w:spacing w:after="0" w:line="268" w:lineRule="auto"/>
        <w:rPr>
          <w:sz w:val="20"/>
          <w:szCs w:val="20"/>
          <w:color w:val="auto"/>
        </w:rPr>
      </w:pPr>
      <w:r>
        <w:rPr>
          <w:rFonts w:ascii="Times New Roman" w:cs="Times New Roman" w:eastAsia="Times New Roman" w:hAnsi="Times New Roman"/>
          <w:sz w:val="16"/>
          <w:szCs w:val="16"/>
          <w:color w:val="auto"/>
        </w:rPr>
        <w:t xml:space="preserve">The party seeking to terminate this Agreement pursuant to this </w:t>
      </w:r>
      <w:r>
        <w:rPr>
          <w:rFonts w:ascii="Times New Roman" w:cs="Times New Roman" w:eastAsia="Times New Roman" w:hAnsi="Times New Roman"/>
          <w:sz w:val="16"/>
          <w:szCs w:val="16"/>
          <w:b w:val="1"/>
          <w:bCs w:val="1"/>
          <w:color w:val="auto"/>
        </w:rPr>
        <w:t>Section 7.1</w:t>
      </w:r>
      <w:r>
        <w:rPr>
          <w:rFonts w:ascii="Times New Roman" w:cs="Times New Roman" w:eastAsia="Times New Roman" w:hAnsi="Times New Roman"/>
          <w:sz w:val="16"/>
          <w:szCs w:val="16"/>
          <w:color w:val="auto"/>
        </w:rPr>
        <w:t xml:space="preserve"> (other than </w:t>
      </w:r>
      <w:r>
        <w:rPr>
          <w:rFonts w:ascii="Times New Roman" w:cs="Times New Roman" w:eastAsia="Times New Roman" w:hAnsi="Times New Roman"/>
          <w:sz w:val="16"/>
          <w:szCs w:val="16"/>
          <w:b w:val="1"/>
          <w:bCs w:val="1"/>
          <w:color w:val="auto"/>
        </w:rPr>
        <w:t>Section 7.1(a)</w:t>
      </w:r>
      <w:r>
        <w:rPr>
          <w:rFonts w:ascii="Times New Roman" w:cs="Times New Roman" w:eastAsia="Times New Roman" w:hAnsi="Times New Roman"/>
          <w:sz w:val="16"/>
          <w:szCs w:val="16"/>
          <w:color w:val="auto"/>
        </w:rPr>
        <w:t xml:space="preserve">) shall give written notice of such termination to the other parties specifying the provisions hereof pursuant to which such termination is made and the basis therefore described in reasonable detail, and any valid termination in accordance with this </w:t>
      </w:r>
      <w:r>
        <w:rPr>
          <w:rFonts w:ascii="Times New Roman" w:cs="Times New Roman" w:eastAsia="Times New Roman" w:hAnsi="Times New Roman"/>
          <w:sz w:val="16"/>
          <w:szCs w:val="16"/>
          <w:b w:val="1"/>
          <w:bCs w:val="1"/>
          <w:color w:val="auto"/>
        </w:rPr>
        <w:t>Section 7.1</w:t>
      </w:r>
      <w:r>
        <w:rPr>
          <w:rFonts w:ascii="Times New Roman" w:cs="Times New Roman" w:eastAsia="Times New Roman" w:hAnsi="Times New Roman"/>
          <w:sz w:val="16"/>
          <w:szCs w:val="16"/>
          <w:color w:val="auto"/>
        </w:rPr>
        <w:t xml:space="preserve"> shall be effective immediately upon delivery of such written notice to the other party.</w:t>
      </w:r>
    </w:p>
    <w:p>
      <w:pPr>
        <w:spacing w:after="0" w:line="111" w:lineRule="exact"/>
        <w:rPr>
          <w:sz w:val="20"/>
          <w:szCs w:val="20"/>
          <w:color w:val="auto"/>
        </w:rPr>
      </w:pPr>
    </w:p>
    <w:p>
      <w:pPr>
        <w:jc w:val="both"/>
        <w:ind w:firstLine="485"/>
        <w:spacing w:after="0" w:line="224" w:lineRule="auto"/>
        <w:rPr>
          <w:sz w:val="20"/>
          <w:szCs w:val="20"/>
          <w:color w:val="auto"/>
        </w:rPr>
      </w:pPr>
      <w:r>
        <w:rPr>
          <w:rFonts w:ascii="Times New Roman" w:cs="Times New Roman" w:eastAsia="Times New Roman" w:hAnsi="Times New Roman"/>
          <w:sz w:val="16"/>
          <w:szCs w:val="16"/>
          <w:b w:val="1"/>
          <w:bCs w:val="1"/>
          <w:color w:val="010000"/>
        </w:rPr>
        <w:t xml:space="preserve">Section 7.2 </w:t>
      </w:r>
      <w:r>
        <w:rPr>
          <w:rFonts w:ascii="Times New Roman" w:cs="Times New Roman" w:eastAsia="Times New Roman" w:hAnsi="Times New Roman"/>
          <w:sz w:val="16"/>
          <w:szCs w:val="16"/>
          <w:b w:val="1"/>
          <w:bCs w:val="1"/>
          <w:color w:val="000000"/>
        </w:rPr>
        <w:t>Effect of Termination</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In the event of termination of this Agreement as provided in</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b w:val="1"/>
          <w:bCs w:val="1"/>
          <w:color w:val="000000"/>
        </w:rPr>
        <w:t>Section 7.1</w:t>
      </w:r>
      <w:r>
        <w:rPr>
          <w:rFonts w:ascii="Times New Roman" w:cs="Times New Roman" w:eastAsia="Times New Roman" w:hAnsi="Times New Roman"/>
          <w:sz w:val="16"/>
          <w:szCs w:val="16"/>
          <w:color w:val="000000"/>
        </w:rPr>
        <w:t>, this Agreement shall forthwith become</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xml:space="preserve">void and there shall be no liability on the part of any party except (a) for the provisions of </w:t>
      </w:r>
      <w:r>
        <w:rPr>
          <w:rFonts w:ascii="Times New Roman" w:cs="Times New Roman" w:eastAsia="Times New Roman" w:hAnsi="Times New Roman"/>
          <w:sz w:val="16"/>
          <w:szCs w:val="16"/>
          <w:b w:val="1"/>
          <w:bCs w:val="1"/>
          <w:color w:val="000000"/>
        </w:rPr>
        <w:t>Section 5.7</w:t>
      </w:r>
      <w:r>
        <w:rPr>
          <w:rFonts w:ascii="Times New Roman" w:cs="Times New Roman" w:eastAsia="Times New Roman" w:hAnsi="Times New Roman"/>
          <w:sz w:val="16"/>
          <w:szCs w:val="16"/>
          <w:color w:val="000000"/>
        </w:rPr>
        <w:t xml:space="preserve"> relating to confidentiality, the second and third sentences of </w:t>
      </w:r>
      <w:r>
        <w:rPr>
          <w:rFonts w:ascii="Times New Roman" w:cs="Times New Roman" w:eastAsia="Times New Roman" w:hAnsi="Times New Roman"/>
          <w:sz w:val="16"/>
          <w:szCs w:val="16"/>
          <w:b w:val="1"/>
          <w:bCs w:val="1"/>
          <w:color w:val="000000"/>
        </w:rPr>
        <w:t>Section 5.10</w:t>
      </w:r>
      <w:r>
        <w:rPr>
          <w:rFonts w:ascii="Times New Roman" w:cs="Times New Roman" w:eastAsia="Times New Roman" w:hAnsi="Times New Roman"/>
          <w:sz w:val="16"/>
          <w:szCs w:val="16"/>
          <w:color w:val="000000"/>
        </w:rPr>
        <w:t>, this</w:t>
      </w:r>
      <w:r>
        <w:rPr>
          <w:rFonts w:ascii="Times New Roman" w:cs="Times New Roman" w:eastAsia="Times New Roman" w:hAnsi="Times New Roman"/>
          <w:sz w:val="16"/>
          <w:szCs w:val="16"/>
          <w:b w:val="1"/>
          <w:bCs w:val="1"/>
          <w:color w:val="000000"/>
        </w:rPr>
        <w:t xml:space="preserve"> Section 7.2</w:t>
      </w:r>
      <w:r>
        <w:rPr>
          <w:rFonts w:ascii="Times New Roman" w:cs="Times New Roman" w:eastAsia="Times New Roman" w:hAnsi="Times New Roman"/>
          <w:sz w:val="16"/>
          <w:szCs w:val="16"/>
          <w:color w:val="000000"/>
        </w:rPr>
        <w:t>, and</w:t>
      </w:r>
      <w:r>
        <w:rPr>
          <w:rFonts w:ascii="Times New Roman" w:cs="Times New Roman" w:eastAsia="Times New Roman" w:hAnsi="Times New Roman"/>
          <w:sz w:val="16"/>
          <w:szCs w:val="16"/>
          <w:b w:val="1"/>
          <w:bCs w:val="1"/>
          <w:color w:val="000000"/>
        </w:rPr>
        <w:t xml:space="preserve"> Article VIII </w:t>
      </w:r>
      <w:r>
        <w:rPr>
          <w:rFonts w:ascii="Times New Roman" w:cs="Times New Roman" w:eastAsia="Times New Roman" w:hAnsi="Times New Roman"/>
          <w:sz w:val="16"/>
          <w:szCs w:val="16"/>
          <w:color w:val="000000"/>
        </w:rPr>
        <w:t>and (b) that nothing herein shall relieve any party from liability for any Fraud or Willful Breach of this Agreement.</w:t>
      </w:r>
      <w:r>
        <w:rPr>
          <w:rFonts w:ascii="Times New Roman" w:cs="Times New Roman" w:eastAsia="Times New Roman" w:hAnsi="Times New Roman"/>
          <w:sz w:val="16"/>
          <w:szCs w:val="16"/>
          <w:b w:val="1"/>
          <w:bCs w:val="1"/>
          <w:color w:val="000000"/>
        </w:rPr>
        <w:t xml:space="preserve"> </w:t>
      </w:r>
      <w:r>
        <w:rPr>
          <w:rFonts w:ascii="Times New Roman" w:cs="Times New Roman" w:eastAsia="Times New Roman" w:hAnsi="Times New Roman"/>
          <w:sz w:val="16"/>
          <w:szCs w:val="16"/>
          <w:color w:val="000000"/>
        </w:rPr>
        <w:t xml:space="preserve">Nothing shall limit or prevent any party from exercising any rights or remedies it may have under </w:t>
      </w:r>
      <w:r>
        <w:rPr>
          <w:rFonts w:ascii="Times New Roman" w:cs="Times New Roman" w:eastAsia="Times New Roman" w:hAnsi="Times New Roman"/>
          <w:sz w:val="16"/>
          <w:szCs w:val="16"/>
          <w:b w:val="1"/>
          <w:bCs w:val="1"/>
          <w:color w:val="000000"/>
        </w:rPr>
        <w:t>Section 9.13</w:t>
      </w:r>
      <w:r>
        <w:rPr>
          <w:rFonts w:ascii="Times New Roman" w:cs="Times New Roman" w:eastAsia="Times New Roman" w:hAnsi="Times New Roman"/>
          <w:sz w:val="16"/>
          <w:szCs w:val="16"/>
          <w:color w:val="000000"/>
        </w:rPr>
        <w:t xml:space="preserve"> in lieu of terminating this Agreement pursuant to </w:t>
      </w:r>
      <w:r>
        <w:rPr>
          <w:rFonts w:ascii="Times New Roman" w:cs="Times New Roman" w:eastAsia="Times New Roman" w:hAnsi="Times New Roman"/>
          <w:sz w:val="16"/>
          <w:szCs w:val="16"/>
          <w:b w:val="1"/>
          <w:bCs w:val="1"/>
          <w:color w:val="000000"/>
        </w:rPr>
        <w:t>Section 7.1</w:t>
      </w:r>
      <w:r>
        <w:rPr>
          <w:rFonts w:ascii="Times New Roman" w:cs="Times New Roman" w:eastAsia="Times New Roman" w:hAnsi="Times New Roman"/>
          <w:sz w:val="16"/>
          <w:szCs w:val="16"/>
          <w:color w:val="000000"/>
        </w:rPr>
        <w:t>.</w:t>
      </w:r>
    </w:p>
    <w:p>
      <w:pPr>
        <w:spacing w:after="0" w:line="11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010000"/>
        </w:rPr>
        <w:t>Article VIII</w:t>
      </w:r>
    </w:p>
    <w:p>
      <w:pPr>
        <w:jc w:val="center"/>
        <w:spacing w:after="0"/>
        <w:rPr>
          <w:sz w:val="20"/>
          <w:szCs w:val="20"/>
          <w:color w:val="auto"/>
        </w:rPr>
      </w:pPr>
      <w:r>
        <w:rPr>
          <w:rFonts w:ascii="Times New Roman" w:cs="Times New Roman" w:eastAsia="Times New Roman" w:hAnsi="Times New Roman"/>
          <w:sz w:val="16"/>
          <w:szCs w:val="16"/>
          <w:b w:val="1"/>
          <w:bCs w:val="1"/>
          <w:color w:val="auto"/>
        </w:rPr>
        <w:t>INDEMNIFICATION</w:t>
      </w:r>
    </w:p>
    <w:p>
      <w:pPr>
        <w:spacing w:after="0" w:line="119"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8.1</w:t>
      </w:r>
      <w:r>
        <w:rPr>
          <w:rFonts w:ascii="Times New Roman" w:cs="Times New Roman" w:eastAsia="Times New Roman" w:hAnsi="Times New Roman"/>
          <w:sz w:val="16"/>
          <w:szCs w:val="16"/>
          <w:b w:val="1"/>
          <w:bCs w:val="1"/>
          <w:color w:val="auto"/>
        </w:rPr>
        <w:tab/>
        <w:t>Survival</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ind w:right="20" w:firstLine="961"/>
        <w:spacing w:after="0" w:line="245" w:lineRule="auto"/>
        <w:tabs>
          <w:tab w:leader="none" w:pos="1456"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representations and warranties or pre-Closing covenants of the Company, Parent and Merger Sub contained in this Agreement, the Ancillary Agreements and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ectPr>
          <w:pgSz w:w="11900" w:h="16840" w:orient="portrait"/>
          <w:cols w:equalWidth="0" w:num="1">
            <w:col w:w="10580"/>
          </w:cols>
          <w:pgMar w:left="660" w:top="1440" w:right="660" w:bottom="1440" w:gutter="0" w:footer="0" w:header="0"/>
        </w:sectPr>
      </w:pPr>
    </w:p>
    <w:bookmarkStart w:id="353" w:name="page354"/>
    <w:bookmarkEnd w:id="353"/>
    <w:p>
      <w:pPr>
        <w:spacing w:after="0" w:line="80" w:lineRule="exact"/>
        <w:rPr>
          <w:sz w:val="20"/>
          <w:szCs w:val="20"/>
          <w:color w:val="auto"/>
        </w:rPr>
      </w:pPr>
    </w:p>
    <w:p>
      <w:pPr>
        <w:jc w:val="both"/>
        <w:ind w:right="20"/>
        <w:spacing w:after="0" w:line="223" w:lineRule="auto"/>
        <w:rPr>
          <w:sz w:val="20"/>
          <w:szCs w:val="20"/>
          <w:color w:val="auto"/>
        </w:rPr>
      </w:pPr>
      <w:r>
        <w:rPr>
          <w:rFonts w:ascii="Times New Roman" w:cs="Times New Roman" w:eastAsia="Times New Roman" w:hAnsi="Times New Roman"/>
          <w:sz w:val="16"/>
          <w:szCs w:val="16"/>
          <w:color w:val="auto"/>
        </w:rPr>
        <w:t xml:space="preserve">any schedule, certificate or other document delivered pursuant hereto or thereto or in connection with the transactions contemplated hereby or thereby shall survive the Effective Time (the “ </w:t>
      </w:r>
      <w:r>
        <w:rPr>
          <w:rFonts w:ascii="Times New Roman" w:cs="Times New Roman" w:eastAsia="Times New Roman" w:hAnsi="Times New Roman"/>
          <w:sz w:val="16"/>
          <w:szCs w:val="16"/>
          <w:b w:val="1"/>
          <w:bCs w:val="1"/>
          <w:i w:val="1"/>
          <w:iCs w:val="1"/>
          <w:color w:val="auto"/>
        </w:rPr>
        <w:t>Expiration Date</w:t>
      </w:r>
      <w:r>
        <w:rPr>
          <w:rFonts w:ascii="Times New Roman" w:cs="Times New Roman" w:eastAsia="Times New Roman" w:hAnsi="Times New Roman"/>
          <w:sz w:val="16"/>
          <w:szCs w:val="16"/>
          <w:color w:val="auto"/>
        </w:rPr>
        <w:t xml:space="preserve">”) and it is the intention of the parties hereto, to the extent permitted by applicable Law, that the Expiration Date supersede any applicable statutes of limitations with respect to such representations, warranties and covenants;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covenants, obligations and agreements of the Company contained in </w:t>
      </w:r>
      <w:r>
        <w:rPr>
          <w:rFonts w:ascii="Times New Roman" w:cs="Times New Roman" w:eastAsia="Times New Roman" w:hAnsi="Times New Roman"/>
          <w:sz w:val="16"/>
          <w:szCs w:val="16"/>
          <w:b w:val="1"/>
          <w:bCs w:val="1"/>
          <w:color w:val="auto"/>
        </w:rPr>
        <w:t>Section 5.1</w:t>
      </w:r>
      <w:r>
        <w:rPr>
          <w:rFonts w:ascii="Times New Roman" w:cs="Times New Roman" w:eastAsia="Times New Roman" w:hAnsi="Times New Roman"/>
          <w:sz w:val="16"/>
          <w:szCs w:val="16"/>
          <w:color w:val="auto"/>
        </w:rPr>
        <w:t xml:space="preserve"> shall survive the Closing until the [***]-month anniversary of the Closing (the “ </w:t>
      </w:r>
      <w:r>
        <w:rPr>
          <w:rFonts w:ascii="Times New Roman" w:cs="Times New Roman" w:eastAsia="Times New Roman" w:hAnsi="Times New Roman"/>
          <w:sz w:val="16"/>
          <w:szCs w:val="16"/>
          <w:b w:val="1"/>
          <w:bCs w:val="1"/>
          <w:i w:val="1"/>
          <w:iCs w:val="1"/>
          <w:color w:val="auto"/>
        </w:rPr>
        <w:t>Surviving Covenant</w:t>
      </w:r>
      <w:r>
        <w:rPr>
          <w:rFonts w:ascii="Times New Roman" w:cs="Times New Roman" w:eastAsia="Times New Roman" w:hAnsi="Times New Roman"/>
          <w:sz w:val="16"/>
          <w:szCs w:val="16"/>
          <w:color w:val="auto"/>
        </w:rPr>
        <w:t xml:space="preserve">”). This </w:t>
      </w:r>
      <w:r>
        <w:rPr>
          <w:rFonts w:ascii="Times New Roman" w:cs="Times New Roman" w:eastAsia="Times New Roman" w:hAnsi="Times New Roman"/>
          <w:sz w:val="16"/>
          <w:szCs w:val="16"/>
          <w:b w:val="1"/>
          <w:bCs w:val="1"/>
          <w:color w:val="auto"/>
        </w:rPr>
        <w:t xml:space="preserve">Section 8.1 </w:t>
      </w:r>
      <w:r>
        <w:rPr>
          <w:rFonts w:ascii="Times New Roman" w:cs="Times New Roman" w:eastAsia="Times New Roman" w:hAnsi="Times New Roman"/>
          <w:sz w:val="16"/>
          <w:szCs w:val="16"/>
          <w:color w:val="auto"/>
        </w:rPr>
        <w:t>shall not limit any covenant or agreement of the parties which by its terms contemplates any performance on or after the Closing.</w:t>
      </w:r>
    </w:p>
    <w:p>
      <w:pPr>
        <w:spacing w:after="0" w:line="116" w:lineRule="exact"/>
        <w:rPr>
          <w:sz w:val="20"/>
          <w:szCs w:val="20"/>
          <w:color w:val="auto"/>
        </w:rPr>
      </w:pPr>
    </w:p>
    <w:p>
      <w:pPr>
        <w:jc w:val="both"/>
        <w:ind w:firstLine="961"/>
        <w:spacing w:after="0" w:line="238" w:lineRule="auto"/>
        <w:tabs>
          <w:tab w:leader="none" w:pos="1456"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otherwise expressly provided in this Agreement, each of Parent and Merger Sub, and each of their respective Subsidiaries (including, from and after the Closing, the Acquired Companies, collectively, the “ </w:t>
      </w:r>
      <w:r>
        <w:rPr>
          <w:rFonts w:ascii="Times New Roman" w:cs="Times New Roman" w:eastAsia="Times New Roman" w:hAnsi="Times New Roman"/>
          <w:sz w:val="16"/>
          <w:szCs w:val="16"/>
          <w:b w:val="1"/>
          <w:bCs w:val="1"/>
          <w:i w:val="1"/>
          <w:iCs w:val="1"/>
          <w:color w:val="auto"/>
        </w:rPr>
        <w:t>Parent Parties</w:t>
      </w:r>
      <w:r>
        <w:rPr>
          <w:rFonts w:ascii="Times New Roman" w:cs="Times New Roman" w:eastAsia="Times New Roman" w:hAnsi="Times New Roman"/>
          <w:sz w:val="16"/>
          <w:szCs w:val="16"/>
          <w:color w:val="auto"/>
        </w:rPr>
        <w:t>” and each, a “</w:t>
      </w:r>
      <w:r>
        <w:rPr>
          <w:rFonts w:ascii="Times New Roman" w:cs="Times New Roman" w:eastAsia="Times New Roman" w:hAnsi="Times New Roman"/>
          <w:sz w:val="16"/>
          <w:szCs w:val="16"/>
          <w:b w:val="1"/>
          <w:bCs w:val="1"/>
          <w:i w:val="1"/>
          <w:iCs w:val="1"/>
          <w:color w:val="auto"/>
        </w:rPr>
        <w:t>Parent Party</w:t>
      </w:r>
      <w:r>
        <w:rPr>
          <w:rFonts w:ascii="Times New Roman" w:cs="Times New Roman" w:eastAsia="Times New Roman" w:hAnsi="Times New Roman"/>
          <w:sz w:val="16"/>
          <w:szCs w:val="16"/>
          <w:color w:val="auto"/>
        </w:rPr>
        <w:t>”) hereby waives, from and after the Closing, any and all rights, claims and causes of action which any Parent Party may have against the Shareholders or any of their respective Affiliates or Representatives, in each case, in their capacities as such (collectively, the “</w:t>
      </w:r>
      <w:r>
        <w:rPr>
          <w:rFonts w:ascii="Times New Roman" w:cs="Times New Roman" w:eastAsia="Times New Roman" w:hAnsi="Times New Roman"/>
          <w:sz w:val="16"/>
          <w:szCs w:val="16"/>
          <w:b w:val="1"/>
          <w:bCs w:val="1"/>
          <w:i w:val="1"/>
          <w:iCs w:val="1"/>
          <w:color w:val="auto"/>
        </w:rPr>
        <w:t>Company Parties</w:t>
      </w:r>
      <w:r>
        <w:rPr>
          <w:rFonts w:ascii="Times New Roman" w:cs="Times New Roman" w:eastAsia="Times New Roman" w:hAnsi="Times New Roman"/>
          <w:sz w:val="16"/>
          <w:szCs w:val="16"/>
          <w:color w:val="auto"/>
        </w:rPr>
        <w:t xml:space="preserve">”) arising out of, relating to or otherwise resulting from the transactions contemplated hereby;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waiver shall not apply to claims with respect to Fraud (provided, however, that no Company Party shall have any Liability with respect to Fraud of another Person);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such waiver shall be contingent upon and only effective for any Shareholder and its related Company Parties to the extent that such Shareholder, on behalf of itself and any of its related Company Parties, delivers a written release to Parent in connection with the Closing, effective as of the Closing, irrevocably and unconditionally releasing and forever discharging the Parent Parties from any claims that such Shareholder and its related Company Parties may have against the Parent Parties in such Shareholders’ capacities as Shareholders (which release condition shall be satisfied by a Shareholder by the delivery of a Letter of Transmittal or Support Agreement, in each case, that will contain such release, by such Shareholder).</w:t>
      </w:r>
    </w:p>
    <w:p>
      <w:pPr>
        <w:spacing w:after="0" w:line="114"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8.2</w:t>
      </w:r>
      <w:r>
        <w:rPr>
          <w:rFonts w:ascii="Times New Roman" w:cs="Times New Roman" w:eastAsia="Times New Roman" w:hAnsi="Times New Roman"/>
          <w:sz w:val="16"/>
          <w:szCs w:val="16"/>
          <w:b w:val="1"/>
          <w:bCs w:val="1"/>
          <w:color w:val="auto"/>
        </w:rPr>
        <w:tab/>
        <w:t>Indemnification by the Non-Dissenting Shareholders and the Qualified Grantees</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jc w:val="both"/>
        <w:ind w:right="20" w:firstLine="961"/>
        <w:spacing w:after="0" w:line="219" w:lineRule="auto"/>
        <w:tabs>
          <w:tab w:leader="none" w:pos="1456"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Closing, the Non-Dissenting Shareholders shall, severally and not jointly in accordance with their respective Allocation Percentage, together with the Qualified Grantees, indemnify, defend, hold harmless and reimburse Parent, its Affiliates and their respective officers, directors, employees, agents, partners, shareholders, members, attorneys, accountants, representatives, successors and permitted assigns, each in their capacity as such (collectively, the “</w:t>
      </w:r>
      <w:r>
        <w:rPr>
          <w:rFonts w:ascii="Times New Roman" w:cs="Times New Roman" w:eastAsia="Times New Roman" w:hAnsi="Times New Roman"/>
          <w:sz w:val="16"/>
          <w:szCs w:val="16"/>
          <w:b w:val="1"/>
          <w:bCs w:val="1"/>
          <w:i w:val="1"/>
          <w:iCs w:val="1"/>
          <w:color w:val="auto"/>
        </w:rPr>
        <w:t>Parent Indemnified Parties</w:t>
      </w:r>
      <w:r>
        <w:rPr>
          <w:rFonts w:ascii="Times New Roman" w:cs="Times New Roman" w:eastAsia="Times New Roman" w:hAnsi="Times New Roman"/>
          <w:sz w:val="16"/>
          <w:szCs w:val="16"/>
          <w:color w:val="auto"/>
        </w:rPr>
        <w:t xml:space="preserve">”), but only in the manner specified in </w:t>
      </w:r>
      <w:r>
        <w:rPr>
          <w:rFonts w:ascii="Times New Roman" w:cs="Times New Roman" w:eastAsia="Times New Roman" w:hAnsi="Times New Roman"/>
          <w:sz w:val="16"/>
          <w:szCs w:val="16"/>
          <w:b w:val="1"/>
          <w:bCs w:val="1"/>
          <w:color w:val="auto"/>
        </w:rPr>
        <w:t>Section 8.2(b)</w:t>
      </w:r>
      <w:r>
        <w:rPr>
          <w:rFonts w:ascii="Times New Roman" w:cs="Times New Roman" w:eastAsia="Times New Roman" w:hAnsi="Times New Roman"/>
          <w:sz w:val="16"/>
          <w:szCs w:val="16"/>
          <w:color w:val="auto"/>
        </w:rPr>
        <w:t xml:space="preserve"> and in no other manner, for, from, and against all Losses related to or in connection with (i) any matter identified on </w:t>
      </w:r>
      <w:r>
        <w:rPr>
          <w:rFonts w:ascii="Times New Roman" w:cs="Times New Roman" w:eastAsia="Times New Roman" w:hAnsi="Times New Roman"/>
          <w:sz w:val="16"/>
          <w:szCs w:val="16"/>
          <w:b w:val="1"/>
          <w:bCs w:val="1"/>
          <w:color w:val="auto"/>
        </w:rPr>
        <w:t>Schedule 8.2(a)</w:t>
      </w:r>
      <w:r>
        <w:rPr>
          <w:rFonts w:ascii="Times New Roman" w:cs="Times New Roman" w:eastAsia="Times New Roman" w:hAnsi="Times New Roman"/>
          <w:sz w:val="16"/>
          <w:szCs w:val="16"/>
          <w:color w:val="auto"/>
        </w:rPr>
        <w:t>, (ii) breaches of, or failures to comply with, the Surviving Covenant, and (iii) any amounts due but not paid to a Person in respect of their Shares as a result of an inaccuracy or omission in the Payment Spreadsheets (the items in clauses (i), (ii) and (iii), each a “</w:t>
      </w:r>
      <w:r>
        <w:rPr>
          <w:rFonts w:ascii="Times New Roman" w:cs="Times New Roman" w:eastAsia="Times New Roman" w:hAnsi="Times New Roman"/>
          <w:sz w:val="16"/>
          <w:szCs w:val="16"/>
          <w:b w:val="1"/>
          <w:bCs w:val="1"/>
          <w:i w:val="1"/>
          <w:iCs w:val="1"/>
          <w:color w:val="auto"/>
        </w:rPr>
        <w:t>Covered Matter</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firstLine="961"/>
        <w:spacing w:after="0" w:line="221" w:lineRule="auto"/>
        <w:tabs>
          <w:tab w:leader="none" w:pos="1456"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herein, no Parent Indemnified Party may assert a claim for indemnification under </w:t>
      </w:r>
      <w:r>
        <w:rPr>
          <w:rFonts w:ascii="Times New Roman" w:cs="Times New Roman" w:eastAsia="Times New Roman" w:hAnsi="Times New Roman"/>
          <w:sz w:val="16"/>
          <w:szCs w:val="16"/>
          <w:b w:val="1"/>
          <w:bCs w:val="1"/>
          <w:color w:val="auto"/>
        </w:rPr>
        <w:t>Section 8.2(a)(i)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Section 8.2(a)(ii)</w:t>
      </w:r>
      <w:r>
        <w:rPr>
          <w:rFonts w:ascii="Times New Roman" w:cs="Times New Roman" w:eastAsia="Times New Roman" w:hAnsi="Times New Roman"/>
          <w:sz w:val="16"/>
          <w:szCs w:val="16"/>
          <w:color w:val="auto"/>
        </w:rPr>
        <w:t xml:space="preserve"> from and after the Covered Matters Expiration Date. Following the Closing, subject to the set-off rights of Parent pursuant to </w:t>
      </w:r>
      <w:r>
        <w:rPr>
          <w:rFonts w:ascii="Times New Roman" w:cs="Times New Roman" w:eastAsia="Times New Roman" w:hAnsi="Times New Roman"/>
          <w:sz w:val="16"/>
          <w:szCs w:val="16"/>
          <w:b w:val="1"/>
          <w:bCs w:val="1"/>
          <w:color w:val="auto"/>
        </w:rPr>
        <w:t>Section 2.12(h)</w:t>
      </w:r>
      <w:r>
        <w:rPr>
          <w:rFonts w:ascii="Times New Roman" w:cs="Times New Roman" w:eastAsia="Times New Roman" w:hAnsi="Times New Roman"/>
          <w:sz w:val="16"/>
          <w:szCs w:val="16"/>
          <w:color w:val="auto"/>
        </w:rPr>
        <w:t>, Parent’s right to assert claims against the Adjustment Escrow Amount, the [***], the Indemnity Escrow Amount, the [***] Escrow Amount, the RWI Retention Escrow Amount, the [***] Retention Escrow Amount, and under the R&amp;W Insurance Policy shall be Parent’s sole and exclusive source of recovery and remedy for money damages for any Losses arising in connection with this Agreement and the transactions contemplated hereby, other than in the case of Fraud or matters for which the remedy of specific performance, injunctive relief or other non-monetary equitable remedies are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75</w:t>
      </w:r>
    </w:p>
    <w:p>
      <w:pPr>
        <w:sectPr>
          <w:pgSz w:w="11900" w:h="16840" w:orient="portrait"/>
          <w:cols w:equalWidth="0" w:num="1">
            <w:col w:w="10600"/>
          </w:cols>
          <w:pgMar w:left="660" w:top="1440" w:right="640" w:bottom="1440" w:gutter="0" w:footer="0" w:header="0"/>
        </w:sectPr>
      </w:pPr>
    </w:p>
    <w:bookmarkStart w:id="354" w:name="page355"/>
    <w:bookmarkEnd w:id="354"/>
    <w:p>
      <w:pPr>
        <w:spacing w:after="0" w:line="7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 xml:space="preserve">available in accordance with </w:t>
      </w:r>
      <w:r>
        <w:rPr>
          <w:rFonts w:ascii="Times New Roman" w:cs="Times New Roman" w:eastAsia="Times New Roman" w:hAnsi="Times New Roman"/>
          <w:sz w:val="16"/>
          <w:szCs w:val="16"/>
          <w:b w:val="1"/>
          <w:bCs w:val="1"/>
          <w:color w:val="auto"/>
        </w:rPr>
        <w:t>Section 9.13</w:t>
      </w:r>
      <w:r>
        <w:rPr>
          <w:rFonts w:ascii="Times New Roman" w:cs="Times New Roman" w:eastAsia="Times New Roman" w:hAnsi="Times New Roman"/>
          <w:sz w:val="16"/>
          <w:szCs w:val="16"/>
          <w:color w:val="auto"/>
        </w:rPr>
        <w:t xml:space="preserve">. Nothing contained in this </w:t>
      </w:r>
      <w:r>
        <w:rPr>
          <w:rFonts w:ascii="Times New Roman" w:cs="Times New Roman" w:eastAsia="Times New Roman" w:hAnsi="Times New Roman"/>
          <w:sz w:val="16"/>
          <w:szCs w:val="16"/>
          <w:b w:val="1"/>
          <w:bCs w:val="1"/>
          <w:color w:val="auto"/>
        </w:rPr>
        <w:t>Section 8.2</w:t>
      </w:r>
      <w:r>
        <w:rPr>
          <w:rFonts w:ascii="Times New Roman" w:cs="Times New Roman" w:eastAsia="Times New Roman" w:hAnsi="Times New Roman"/>
          <w:sz w:val="16"/>
          <w:szCs w:val="16"/>
          <w:color w:val="auto"/>
        </w:rPr>
        <w:t xml:space="preserve"> shall limit any rights of any Parent Indemnified Party as against any insurer under the R&amp;W Insurance Policy.</w:t>
      </w:r>
    </w:p>
    <w:p>
      <w:pPr>
        <w:spacing w:after="0" w:line="106"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8.3</w:t>
      </w:r>
      <w:r>
        <w:rPr>
          <w:rFonts w:ascii="Times New Roman" w:cs="Times New Roman" w:eastAsia="Times New Roman" w:hAnsi="Times New Roman"/>
          <w:sz w:val="16"/>
          <w:szCs w:val="16"/>
          <w:b w:val="1"/>
          <w:bCs w:val="1"/>
          <w:color w:val="auto"/>
        </w:rPr>
        <w:tab/>
        <w:t>Indemnification by Parent</w:t>
      </w:r>
      <w:r>
        <w:rPr>
          <w:rFonts w:ascii="Times New Roman" w:cs="Times New Roman" w:eastAsia="Times New Roman" w:hAnsi="Times New Roman"/>
          <w:sz w:val="16"/>
          <w:szCs w:val="16"/>
          <w:color w:val="auto"/>
        </w:rPr>
        <w:t>.</w:t>
      </w:r>
    </w:p>
    <w:p>
      <w:pPr>
        <w:spacing w:after="0" w:line="137" w:lineRule="exact"/>
        <w:rPr>
          <w:sz w:val="20"/>
          <w:szCs w:val="20"/>
          <w:color w:val="auto"/>
        </w:rPr>
      </w:pPr>
    </w:p>
    <w:p>
      <w:pPr>
        <w:jc w:val="both"/>
        <w:ind w:right="40" w:firstLine="961"/>
        <w:spacing w:after="0" w:line="228" w:lineRule="auto"/>
        <w:tabs>
          <w:tab w:leader="none" w:pos="1456"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Closing, Parent shall indemnify the Non-Dissenting Shareholders and the Qualified Grantees (the “</w:t>
      </w:r>
      <w:r>
        <w:rPr>
          <w:rFonts w:ascii="Times New Roman" w:cs="Times New Roman" w:eastAsia="Times New Roman" w:hAnsi="Times New Roman"/>
          <w:sz w:val="16"/>
          <w:szCs w:val="16"/>
          <w:b w:val="1"/>
          <w:bCs w:val="1"/>
          <w:i w:val="1"/>
          <w:iCs w:val="1"/>
          <w:color w:val="auto"/>
        </w:rPr>
        <w:t>Company Indemnified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Parties</w:t>
      </w:r>
      <w:r>
        <w:rPr>
          <w:rFonts w:ascii="Times New Roman" w:cs="Times New Roman" w:eastAsia="Times New Roman" w:hAnsi="Times New Roman"/>
          <w:sz w:val="16"/>
          <w:szCs w:val="16"/>
          <w:color w:val="auto"/>
        </w:rPr>
        <w:t>” and together with the Parent Indemnified Parties, the “</w:t>
      </w:r>
      <w:r>
        <w:rPr>
          <w:rFonts w:ascii="Times New Roman" w:cs="Times New Roman" w:eastAsia="Times New Roman" w:hAnsi="Times New Roman"/>
          <w:sz w:val="16"/>
          <w:szCs w:val="16"/>
          <w:b w:val="1"/>
          <w:bCs w:val="1"/>
          <w:i w:val="1"/>
          <w:iCs w:val="1"/>
          <w:color w:val="auto"/>
        </w:rPr>
        <w:t>Indemnified Parties</w:t>
      </w:r>
      <w:r>
        <w:rPr>
          <w:rFonts w:ascii="Times New Roman" w:cs="Times New Roman" w:eastAsia="Times New Roman" w:hAnsi="Times New Roman"/>
          <w:sz w:val="16"/>
          <w:szCs w:val="16"/>
          <w:color w:val="auto"/>
        </w:rPr>
        <w:t>”) against, and shall hold each of them harmless from and against all Losses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related to or in connection with any breach of, or failure to comply with, any covenant, agreement or obligation pursuant to this Agreement that by its terms is to be performed by Parent or Merger Sub after the Closing Date.</w:t>
      </w:r>
    </w:p>
    <w:p>
      <w:pPr>
        <w:spacing w:after="0" w:line="111" w:lineRule="exact"/>
        <w:rPr>
          <w:rFonts w:ascii="Times New Roman" w:cs="Times New Roman" w:eastAsia="Times New Roman" w:hAnsi="Times New Roman"/>
          <w:sz w:val="16"/>
          <w:szCs w:val="16"/>
          <w:color w:val="auto"/>
        </w:rPr>
      </w:pPr>
    </w:p>
    <w:p>
      <w:pPr>
        <w:jc w:val="both"/>
        <w:ind w:right="40" w:firstLine="961"/>
        <w:spacing w:after="0" w:line="224" w:lineRule="auto"/>
        <w:tabs>
          <w:tab w:leader="none" w:pos="1456"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claim may be asserted by the Shareholders’ Agent for indemnification pursuant to </w:t>
      </w:r>
      <w:r>
        <w:rPr>
          <w:rFonts w:ascii="Times New Roman" w:cs="Times New Roman" w:eastAsia="Times New Roman" w:hAnsi="Times New Roman"/>
          <w:sz w:val="16"/>
          <w:szCs w:val="16"/>
          <w:b w:val="1"/>
          <w:bCs w:val="1"/>
          <w:color w:val="auto"/>
        </w:rPr>
        <w:t>Section 8.3(a)</w:t>
      </w:r>
      <w:r>
        <w:rPr>
          <w:rFonts w:ascii="Times New Roman" w:cs="Times New Roman" w:eastAsia="Times New Roman" w:hAnsi="Times New Roman"/>
          <w:sz w:val="16"/>
          <w:szCs w:val="16"/>
          <w:color w:val="auto"/>
        </w:rPr>
        <w:t xml:space="preserve"> against Parent from and after the expiration of the applicable statute of limitations with respect to the applicable covenant or obligation. Following the Closing, the Shareholders’ Agent’s right to assert a claim pursuant to </w:t>
      </w:r>
      <w:r>
        <w:rPr>
          <w:rFonts w:ascii="Times New Roman" w:cs="Times New Roman" w:eastAsia="Times New Roman" w:hAnsi="Times New Roman"/>
          <w:sz w:val="16"/>
          <w:szCs w:val="16"/>
          <w:b w:val="1"/>
          <w:bCs w:val="1"/>
          <w:color w:val="auto"/>
        </w:rPr>
        <w:t>Section 8.3(a)</w:t>
      </w:r>
      <w:r>
        <w:rPr>
          <w:rFonts w:ascii="Times New Roman" w:cs="Times New Roman" w:eastAsia="Times New Roman" w:hAnsi="Times New Roman"/>
          <w:sz w:val="16"/>
          <w:szCs w:val="16"/>
          <w:color w:val="auto"/>
        </w:rPr>
        <w:t xml:space="preserve"> shall be the sole and exclusive source of recovery and remedy for the Non-Dissenting Shareholders and the Qualified Grantees for money damages for any Losses arising in connection with this Agreement and the transactions contemplated hereby, other than in the case of Fraud or matters for which the remedy of specific performance, injunctive relief or other non-monetary equitable remedies are available in accordance with </w:t>
      </w:r>
      <w:r>
        <w:rPr>
          <w:rFonts w:ascii="Times New Roman" w:cs="Times New Roman" w:eastAsia="Times New Roman" w:hAnsi="Times New Roman"/>
          <w:sz w:val="16"/>
          <w:szCs w:val="16"/>
          <w:b w:val="1"/>
          <w:bCs w:val="1"/>
          <w:color w:val="auto"/>
        </w:rPr>
        <w:t>Section 9.13</w:t>
      </w:r>
      <w:r>
        <w:rPr>
          <w:rFonts w:ascii="Times New Roman" w:cs="Times New Roman" w:eastAsia="Times New Roman" w:hAnsi="Times New Roman"/>
          <w:sz w:val="16"/>
          <w:szCs w:val="16"/>
          <w:color w:val="auto"/>
        </w:rPr>
        <w:t>.</w:t>
      </w:r>
    </w:p>
    <w:p>
      <w:pPr>
        <w:spacing w:after="0" w:line="111" w:lineRule="exact"/>
        <w:rPr>
          <w:rFonts w:ascii="Times New Roman" w:cs="Times New Roman" w:eastAsia="Times New Roman" w:hAnsi="Times New Roman"/>
          <w:sz w:val="16"/>
          <w:szCs w:val="16"/>
          <w:color w:val="auto"/>
        </w:rPr>
      </w:pPr>
    </w:p>
    <w:p>
      <w:pPr>
        <w:ind w:right="60" w:firstLine="961"/>
        <w:spacing w:after="0" w:line="247" w:lineRule="auto"/>
        <w:tabs>
          <w:tab w:leader="none" w:pos="1456"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payment made by Parent pursuant to this </w:t>
      </w:r>
      <w:r>
        <w:rPr>
          <w:rFonts w:ascii="Times New Roman" w:cs="Times New Roman" w:eastAsia="Times New Roman" w:hAnsi="Times New Roman"/>
          <w:sz w:val="16"/>
          <w:szCs w:val="16"/>
          <w:b w:val="1"/>
          <w:bCs w:val="1"/>
          <w:color w:val="auto"/>
        </w:rPr>
        <w:t>Section 8.3</w:t>
      </w:r>
      <w:r>
        <w:rPr>
          <w:rFonts w:ascii="Times New Roman" w:cs="Times New Roman" w:eastAsia="Times New Roman" w:hAnsi="Times New Roman"/>
          <w:sz w:val="16"/>
          <w:szCs w:val="16"/>
          <w:color w:val="auto"/>
        </w:rPr>
        <w:t xml:space="preserve"> shall be made in the appropriate percentage to the Paying Agent, for further distribution to the Non-Dissenting Shareholders in accordance with this Agreement and to the Escrow Agent for further distribution to the Qualified Grantees.</w:t>
      </w:r>
    </w:p>
    <w:p>
      <w:pPr>
        <w:spacing w:after="0" w:line="106"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8.4</w:t>
      </w:r>
      <w:r>
        <w:rPr>
          <w:rFonts w:ascii="Times New Roman" w:cs="Times New Roman" w:eastAsia="Times New Roman" w:hAnsi="Times New Roman"/>
          <w:sz w:val="16"/>
          <w:szCs w:val="16"/>
          <w:b w:val="1"/>
          <w:bCs w:val="1"/>
          <w:color w:val="auto"/>
        </w:rPr>
        <w:tab/>
        <w:t>Claim Procedures</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firstLine="961"/>
        <w:spacing w:after="0" w:line="216" w:lineRule="auto"/>
        <w:tabs>
          <w:tab w:leader="none" w:pos="1456"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order for Parent or the Shareholders’ Agent to duly make a valid claim under </w:t>
      </w:r>
      <w:r>
        <w:rPr>
          <w:rFonts w:ascii="Times New Roman" w:cs="Times New Roman" w:eastAsia="Times New Roman" w:hAnsi="Times New Roman"/>
          <w:sz w:val="16"/>
          <w:szCs w:val="16"/>
          <w:b w:val="1"/>
          <w:bCs w:val="1"/>
          <w:color w:val="auto"/>
        </w:rPr>
        <w:t>Section 8.2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Section 8.3</w:t>
      </w:r>
      <w:r>
        <w:rPr>
          <w:rFonts w:ascii="Times New Roman" w:cs="Times New Roman" w:eastAsia="Times New Roman" w:hAnsi="Times New Roman"/>
          <w:sz w:val="16"/>
          <w:szCs w:val="16"/>
          <w:color w:val="auto"/>
        </w:rPr>
        <w:t xml:space="preserve">, as applicable, such party must (as promptly as reasonably practicable following the [***] date (following the Closing Date) on which such party has knowledge of facts, matters or circumstances from which it is reasonably apparent that an occurrence giving rise to a right of indemnification under this Agreement is likely to have occurred or could reasonably be expected to occur, but in no event, with respect to claims by Parent, later than the Covered Matters Expiration Date) provide written notice to the Shareholders’ Agent or Parent, as applicable, which notice shall set forth a description in reasonable detail of the occurrence(s) that gave rise or are reasonably expected to give rise to the amounts specified in </w:t>
      </w:r>
      <w:r>
        <w:rPr>
          <w:rFonts w:ascii="Times New Roman" w:cs="Times New Roman" w:eastAsia="Times New Roman" w:hAnsi="Times New Roman"/>
          <w:sz w:val="16"/>
          <w:szCs w:val="16"/>
          <w:b w:val="1"/>
          <w:bCs w:val="1"/>
          <w:color w:val="auto"/>
        </w:rPr>
        <w:t>Section 8.2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Section 8.3</w:t>
      </w:r>
      <w:r>
        <w:rPr>
          <w:rFonts w:ascii="Times New Roman" w:cs="Times New Roman" w:eastAsia="Times New Roman" w:hAnsi="Times New Roman"/>
          <w:sz w:val="16"/>
          <w:szCs w:val="16"/>
          <w:color w:val="auto"/>
        </w:rPr>
        <w:t>, as applicable, which such party alleges to have occurred, a description of the facts and circumstances giving rise to such occurrences, the estimated amount of Losses that have been or are reasonably expected to be imposed, sustained, incurred, suffered or asserted in connection therewith or arising therefrom (to the extent then ascertainable or estimable), and a description of any other remedy sought in connection therewith, any relevant time constraints relating thereto and, to the extent practicable, any other material details pertaining thereto (a “</w:t>
      </w:r>
      <w:r>
        <w:rPr>
          <w:rFonts w:ascii="Times New Roman" w:cs="Times New Roman" w:eastAsia="Times New Roman" w:hAnsi="Times New Roman"/>
          <w:sz w:val="16"/>
          <w:szCs w:val="16"/>
          <w:b w:val="1"/>
          <w:bCs w:val="1"/>
          <w:i w:val="1"/>
          <w:iCs w:val="1"/>
          <w:color w:val="auto"/>
        </w:rPr>
        <w:t>Claim Notice</w:t>
      </w:r>
      <w:r>
        <w:rPr>
          <w:rFonts w:ascii="Times New Roman" w:cs="Times New Roman" w:eastAsia="Times New Roman" w:hAnsi="Times New Roman"/>
          <w:sz w:val="16"/>
          <w:szCs w:val="16"/>
          <w:color w:val="auto"/>
        </w:rPr>
        <w:t>”). Such party shall cooperate with and provide to the Shareholders’ Agent or Parent, as applicable, such information under its control as the Shareholders’ Agent or Parent, as applicable, may reasonably request for the purposes of determining the validity of the allegations made in the Claim Notice and shall keep the Shareholders’ Agent or Parent, as applicable, reasonably informed of factual and procedural developments (including additional information which may come under its control) in connection therewith.</w:t>
      </w:r>
    </w:p>
    <w:p>
      <w:pPr>
        <w:spacing w:after="0" w:line="113" w:lineRule="exact"/>
        <w:rPr>
          <w:rFonts w:ascii="Times New Roman" w:cs="Times New Roman" w:eastAsia="Times New Roman" w:hAnsi="Times New Roman"/>
          <w:sz w:val="16"/>
          <w:szCs w:val="16"/>
          <w:color w:val="auto"/>
        </w:rPr>
      </w:pPr>
    </w:p>
    <w:p>
      <w:pPr>
        <w:ind w:right="60" w:firstLine="961"/>
        <w:spacing w:after="0" w:line="245" w:lineRule="auto"/>
        <w:tabs>
          <w:tab w:leader="none" w:pos="1456"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Closing, Parent or the Shareholders’ Agent, as applicable, shall be entitled to control the defense of any third-party claim, proceeding or investigation with</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76</w:t>
      </w:r>
    </w:p>
    <w:p>
      <w:pPr>
        <w:sectPr>
          <w:pgSz w:w="11900" w:h="16840" w:orient="portrait"/>
          <w:cols w:equalWidth="0" w:num="1">
            <w:col w:w="10620"/>
          </w:cols>
          <w:pgMar w:left="660" w:top="1440" w:right="620" w:bottom="1440" w:gutter="0" w:footer="0" w:header="0"/>
        </w:sectPr>
      </w:pPr>
    </w:p>
    <w:bookmarkStart w:id="355" w:name="page356"/>
    <w:bookmarkEnd w:id="355"/>
    <w:p>
      <w:pPr>
        <w:spacing w:after="0" w:line="76"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6"/>
          <w:szCs w:val="16"/>
          <w:color w:val="auto"/>
        </w:rPr>
        <w:t>respect to any indemnified matter (a “</w:t>
      </w:r>
      <w:r>
        <w:rPr>
          <w:rFonts w:ascii="Times New Roman" w:cs="Times New Roman" w:eastAsia="Times New Roman" w:hAnsi="Times New Roman"/>
          <w:sz w:val="16"/>
          <w:szCs w:val="16"/>
          <w:b w:val="1"/>
          <w:bCs w:val="1"/>
          <w:i w:val="1"/>
          <w:iCs w:val="1"/>
          <w:color w:val="auto"/>
        </w:rPr>
        <w:t>Third-Party Claim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subject to applicable Law, such party shall (i) as promptly as reasonably practicable, furnish to the Shareholders’ Agent or Parent, as applicable, copies of any notices or written communications, and inform the Shareholders’ Agent or Parent, as applicable, in reasonable detail of any oral communications (other than those that would reasonably be considered immaterial), in each case received by such party from any Governmental Authority in respect of any indemnifiable matter under </w:t>
      </w:r>
      <w:r>
        <w:rPr>
          <w:rFonts w:ascii="Times New Roman" w:cs="Times New Roman" w:eastAsia="Times New Roman" w:hAnsi="Times New Roman"/>
          <w:sz w:val="16"/>
          <w:szCs w:val="16"/>
          <w:b w:val="1"/>
          <w:bCs w:val="1"/>
          <w:color w:val="auto"/>
        </w:rPr>
        <w:t>Section 8.2(a)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Section 8.3(a)</w:t>
      </w:r>
      <w:r>
        <w:rPr>
          <w:rFonts w:ascii="Times New Roman" w:cs="Times New Roman" w:eastAsia="Times New Roman" w:hAnsi="Times New Roman"/>
          <w:sz w:val="16"/>
          <w:szCs w:val="16"/>
          <w:color w:val="auto"/>
        </w:rPr>
        <w:t xml:space="preserve">, as applicable, (ii) provide reasonable notice to the Shareholders’ Agent or Parent, as applicable, in advance of any proposed meeting with any Governmental Authority in respect of any indemnifiable matter under </w:t>
      </w:r>
      <w:r>
        <w:rPr>
          <w:rFonts w:ascii="Times New Roman" w:cs="Times New Roman" w:eastAsia="Times New Roman" w:hAnsi="Times New Roman"/>
          <w:sz w:val="16"/>
          <w:szCs w:val="16"/>
          <w:b w:val="1"/>
          <w:bCs w:val="1"/>
          <w:color w:val="auto"/>
        </w:rPr>
        <w:t xml:space="preserve">Section 8.2(a)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b w:val="1"/>
          <w:bCs w:val="1"/>
          <w:color w:val="auto"/>
        </w:rPr>
        <w:t xml:space="preserve"> Section 8.3(a)</w:t>
      </w:r>
      <w:r>
        <w:rPr>
          <w:rFonts w:ascii="Times New Roman" w:cs="Times New Roman" w:eastAsia="Times New Roman" w:hAnsi="Times New Roman"/>
          <w:sz w:val="16"/>
          <w:szCs w:val="16"/>
          <w:color w:val="auto"/>
        </w:rPr>
        <w:t>, as applicable (for the avoidance of doubt, to include any meeting initiated by such party or its Representatives) and give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Shareholders’ Agent or Parent, as applicable, and its counsel the opportunity to attend and participate thereat and (iii) provide the Shareholders’ Agent or Parent, as applicable (at its sole cost and expense) an opportunity to review in advance any proposed written or material oral communications (including, for the avoidance of doubt, any filings or notices) proposed to be made by such party to any Governmental Authority in connection with any indemnifiable matter under </w:t>
      </w:r>
      <w:r>
        <w:rPr>
          <w:rFonts w:ascii="Times New Roman" w:cs="Times New Roman" w:eastAsia="Times New Roman" w:hAnsi="Times New Roman"/>
          <w:sz w:val="16"/>
          <w:szCs w:val="16"/>
          <w:b w:val="1"/>
          <w:bCs w:val="1"/>
          <w:color w:val="auto"/>
        </w:rPr>
        <w:t>Section 8.2(a)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Section 8.3(a)</w:t>
      </w:r>
      <w:r>
        <w:rPr>
          <w:rFonts w:ascii="Times New Roman" w:cs="Times New Roman" w:eastAsia="Times New Roman" w:hAnsi="Times New Roman"/>
          <w:sz w:val="16"/>
          <w:szCs w:val="16"/>
          <w:color w:val="auto"/>
        </w:rPr>
        <w:t>, as applicable. Parent or the Shareholders’ Agent shall not consent to the entry of any judgment or enter into any settlement or compromise with respect to any Third -Party Claim without the prior written consent of the Shareholders’ Agent or Parent, as applicable, which consent shall not be unreasonably withheld, conditioned or delayed.</w:t>
      </w:r>
    </w:p>
    <w:p>
      <w:pPr>
        <w:spacing w:after="0" w:line="117" w:lineRule="exact"/>
        <w:rPr>
          <w:sz w:val="20"/>
          <w:szCs w:val="20"/>
          <w:color w:val="auto"/>
        </w:rPr>
      </w:pPr>
    </w:p>
    <w:p>
      <w:pPr>
        <w:ind w:left="48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010000"/>
        </w:rPr>
        <w:t>Section 8.5</w:t>
      </w:r>
      <w:r>
        <w:rPr>
          <w:rFonts w:ascii="Times New Roman" w:cs="Times New Roman" w:eastAsia="Times New Roman" w:hAnsi="Times New Roman"/>
          <w:sz w:val="16"/>
          <w:szCs w:val="16"/>
          <w:b w:val="1"/>
          <w:bCs w:val="1"/>
          <w:color w:val="auto"/>
        </w:rPr>
        <w:tab/>
        <w:t>Losses and Recoveries</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ind w:right="40" w:firstLine="961"/>
        <w:spacing w:after="0" w:line="245" w:lineRule="auto"/>
        <w:tabs>
          <w:tab w:leader="none" w:pos="1456"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to this Agreement acknowledge that Losses shall not include consequential, punitive, special, exemplary, incidental and indirect damages, including lost profits, except to the extent such Losses are awarded by a Governmental Authority to an unaffiliated third party.</w:t>
      </w:r>
    </w:p>
    <w:p>
      <w:pPr>
        <w:spacing w:after="0" w:line="109" w:lineRule="exact"/>
        <w:rPr>
          <w:rFonts w:ascii="Times New Roman" w:cs="Times New Roman" w:eastAsia="Times New Roman" w:hAnsi="Times New Roman"/>
          <w:sz w:val="16"/>
          <w:szCs w:val="16"/>
          <w:color w:val="auto"/>
        </w:rPr>
      </w:pPr>
    </w:p>
    <w:p>
      <w:pPr>
        <w:jc w:val="both"/>
        <w:ind w:firstLine="961"/>
        <w:spacing w:after="0" w:line="215" w:lineRule="auto"/>
        <w:tabs>
          <w:tab w:leader="none" w:pos="1456"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calculating the amount of any Loss, the proceeds actually received by the Indemnified Party or any of its Affiliates under any insurance policy (including the R&amp;W Insurance Policy if applicable) or pursuant to any claim, recovery, settlement or payment by or against any other Person, in each case relating to the matters described in the Claim Notice shall be deducted. Following any payment made out of the Indemnity Escrow Amount or the [***] Escrow Amount in respect of any Loss (if applicable), if any insurance recovery with respect to such Loss is received by an Indemnified Party, such Indemnified Party shall pay to the Paying Agent (for further distribution to the Shareholders) or Parent, as applicable, the amount by which such aggregate recovery from the Shareholders or Parent and such insurance recovery exceeds the aggregate Losses in respect of the relevant Claim Notice. In the event that an Indemnified Party has any rights against a third party with respect to any occurrence, claim or Loss that results in a payment by the Shareholders or Parent under this </w:t>
      </w:r>
      <w:r>
        <w:rPr>
          <w:rFonts w:ascii="Times New Roman" w:cs="Times New Roman" w:eastAsia="Times New Roman" w:hAnsi="Times New Roman"/>
          <w:sz w:val="16"/>
          <w:szCs w:val="16"/>
          <w:b w:val="1"/>
          <w:bCs w:val="1"/>
          <w:color w:val="auto"/>
        </w:rPr>
        <w:t>Article VIII</w:t>
      </w:r>
      <w:r>
        <w:rPr>
          <w:rFonts w:ascii="Times New Roman" w:cs="Times New Roman" w:eastAsia="Times New Roman" w:hAnsi="Times New Roman"/>
          <w:sz w:val="16"/>
          <w:szCs w:val="16"/>
          <w:color w:val="auto"/>
        </w:rPr>
        <w:t xml:space="preserve">, the Shareholders or Parent, as applicable, shall be subrogated to such rights to the extent of such payment;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until the Indemnified Party recovers full payment of the Loss related to any such payment, any and all claims of the Shareholders’ Agent or Parent, as applicable, against any such third party on account of said indemnity payment are hereby expressly made subordinate and subject in right of payment to the Indemnified Party’s rights against such third party. Without limiting the generality or effect of any other provision hereof, each Indemnified Party and the Shareholders’ Agent or Parent, as applicable, shall duly execute upon request all instruments reasonably necessary to evidence and perfect the subrogation and subordination rights detailed herein, and otherwise cooperate in the prosecution of such claims.</w:t>
      </w:r>
    </w:p>
    <w:p>
      <w:pPr>
        <w:spacing w:after="0" w:line="120" w:lineRule="exact"/>
        <w:rPr>
          <w:sz w:val="20"/>
          <w:szCs w:val="20"/>
          <w:color w:val="auto"/>
        </w:rPr>
      </w:pPr>
    </w:p>
    <w:p>
      <w:pPr>
        <w:jc w:val="both"/>
        <w:ind w:right="20" w:firstLine="485"/>
        <w:spacing w:after="0" w:line="232" w:lineRule="auto"/>
        <w:rPr>
          <w:sz w:val="20"/>
          <w:szCs w:val="20"/>
          <w:color w:val="auto"/>
        </w:rPr>
      </w:pPr>
      <w:r>
        <w:rPr>
          <w:rFonts w:ascii="Times New Roman" w:cs="Times New Roman" w:eastAsia="Times New Roman" w:hAnsi="Times New Roman"/>
          <w:sz w:val="16"/>
          <w:szCs w:val="16"/>
          <w:b w:val="1"/>
          <w:bCs w:val="1"/>
          <w:color w:val="010000"/>
        </w:rPr>
        <w:t xml:space="preserve">Section 8.6 </w:t>
      </w:r>
      <w:r>
        <w:rPr>
          <w:rFonts w:ascii="Times New Roman" w:cs="Times New Roman" w:eastAsia="Times New Roman" w:hAnsi="Times New Roman"/>
          <w:sz w:val="16"/>
          <w:szCs w:val="16"/>
          <w:b w:val="1"/>
          <w:bCs w:val="1"/>
          <w:color w:val="000000"/>
        </w:rPr>
        <w:t>Payments</w:t>
      </w:r>
      <w:r>
        <w:rPr>
          <w:rFonts w:ascii="Times New Roman" w:cs="Times New Roman" w:eastAsia="Times New Roman" w:hAnsi="Times New Roman"/>
          <w:sz w:val="16"/>
          <w:szCs w:val="16"/>
          <w:color w:val="000000"/>
        </w:rPr>
        <w:t>. In the event a Final Determination is entered into requiring a Shareholder to indemnify an Indemnified Party for a Loss for which</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xml:space="preserve">a claim has been properly made in accordance with </w:t>
      </w:r>
      <w:r>
        <w:rPr>
          <w:rFonts w:ascii="Times New Roman" w:cs="Times New Roman" w:eastAsia="Times New Roman" w:hAnsi="Times New Roman"/>
          <w:sz w:val="16"/>
          <w:szCs w:val="16"/>
          <w:b w:val="1"/>
          <w:bCs w:val="1"/>
          <w:color w:val="000000"/>
        </w:rPr>
        <w:t>Article VIII</w:t>
      </w:r>
      <w:r>
        <w:rPr>
          <w:rFonts w:ascii="Times New Roman" w:cs="Times New Roman" w:eastAsia="Times New Roman" w:hAnsi="Times New Roman"/>
          <w:sz w:val="16"/>
          <w:szCs w:val="16"/>
          <w:color w:val="000000"/>
        </w:rPr>
        <w:t>, Parent shall seek recovery for Losses, (a) first, from any amounts remaining in the Escrow Fund in respect of the Indemnity Escrow Amount and the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77</w:t>
      </w:r>
    </w:p>
    <w:p>
      <w:pPr>
        <w:sectPr>
          <w:pgSz w:w="11900" w:h="16840" w:orient="portrait"/>
          <w:cols w:equalWidth="0" w:num="1">
            <w:col w:w="10600"/>
          </w:cols>
          <w:pgMar w:left="660" w:top="1440" w:right="640" w:bottom="1440" w:gutter="0" w:footer="0" w:header="0"/>
        </w:sectPr>
      </w:pPr>
    </w:p>
    <w:bookmarkStart w:id="356" w:name="page357"/>
    <w:bookmarkEnd w:id="356"/>
    <w:p>
      <w:pPr>
        <w:spacing w:after="0" w:line="80" w:lineRule="exact"/>
        <w:rPr>
          <w:sz w:val="20"/>
          <w:szCs w:val="20"/>
          <w:color w:val="auto"/>
        </w:rPr>
      </w:pPr>
    </w:p>
    <w:p>
      <w:pPr>
        <w:jc w:val="both"/>
        <w:ind w:left="9" w:hanging="9"/>
        <w:spacing w:after="0" w:line="219" w:lineRule="auto"/>
        <w:tabs>
          <w:tab w:leader="none" w:pos="415"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respect of the [***] Escrow Amount (in which event the parties to the Escrow Agreement and the [***] Agreement, as applicable, shall, within [***] Business Days following such Final Determination, instruct the Escrow Agent to promptly release such funds), and (b) second, as a set-off against any Contingent Payment pursuant to </w:t>
      </w:r>
      <w:r>
        <w:rPr>
          <w:rFonts w:ascii="Times New Roman" w:cs="Times New Roman" w:eastAsia="Times New Roman" w:hAnsi="Times New Roman"/>
          <w:sz w:val="16"/>
          <w:szCs w:val="16"/>
          <w:b w:val="1"/>
          <w:bCs w:val="1"/>
          <w:color w:val="auto"/>
        </w:rPr>
        <w:t>Section 2.12(h)</w:t>
      </w:r>
      <w:r>
        <w:rPr>
          <w:rFonts w:ascii="Times New Roman" w:cs="Times New Roman" w:eastAsia="Times New Roman" w:hAnsi="Times New Roman"/>
          <w:sz w:val="16"/>
          <w:szCs w:val="16"/>
          <w:color w:val="auto"/>
        </w:rPr>
        <w:t xml:space="preserve"> (provided that, if the Indemnity Escrow Amount or the [***] Escrow Amount has been distributed or is subject to a pending indemnification claim, Parent may set-off such then-remaining Losses against any Contingent Payment pursuant to </w:t>
      </w:r>
      <w:r>
        <w:rPr>
          <w:rFonts w:ascii="Times New Roman" w:cs="Times New Roman" w:eastAsia="Times New Roman" w:hAnsi="Times New Roman"/>
          <w:sz w:val="16"/>
          <w:szCs w:val="16"/>
          <w:b w:val="1"/>
          <w:bCs w:val="1"/>
          <w:color w:val="auto"/>
        </w:rPr>
        <w:t>Section 2.12(h)</w:t>
      </w:r>
      <w:r>
        <w:rPr>
          <w:rFonts w:ascii="Times New Roman" w:cs="Times New Roman" w:eastAsia="Times New Roman" w:hAnsi="Times New Roman"/>
          <w:sz w:val="16"/>
          <w:szCs w:val="16"/>
          <w:color w:val="auto"/>
        </w:rPr>
        <w:t xml:space="preserve"> in the first instance). A “</w:t>
      </w:r>
      <w:r>
        <w:rPr>
          <w:rFonts w:ascii="Times New Roman" w:cs="Times New Roman" w:eastAsia="Times New Roman" w:hAnsi="Times New Roman"/>
          <w:sz w:val="16"/>
          <w:szCs w:val="16"/>
          <w:b w:val="1"/>
          <w:bCs w:val="1"/>
          <w:i w:val="1"/>
          <w:iCs w:val="1"/>
          <w:color w:val="auto"/>
        </w:rPr>
        <w:t>Final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Determination</w:t>
      </w:r>
      <w:r>
        <w:rPr>
          <w:rFonts w:ascii="Times New Roman" w:cs="Times New Roman" w:eastAsia="Times New Roman" w:hAnsi="Times New Roman"/>
          <w:sz w:val="16"/>
          <w:szCs w:val="16"/>
          <w:color w:val="auto"/>
        </w:rPr>
        <w:t>” shall mean, with respect to a dispute, an occurrence where (a) the parties to the dispute have reached an agreement in writing, (b) a court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competent jurisdiction shall have entered a final and non-appealable Order or judgment with respect to a claim, or (c) an arbitration or like panel shall have rendered a final non-appealable determination with respect to disputes the parties have agreed to submit thereto.</w:t>
      </w:r>
    </w:p>
    <w:p>
      <w:pPr>
        <w:spacing w:after="0" w:line="117" w:lineRule="exact"/>
        <w:rPr>
          <w:sz w:val="20"/>
          <w:szCs w:val="20"/>
          <w:color w:val="auto"/>
        </w:rPr>
      </w:pPr>
    </w:p>
    <w:p>
      <w:pPr>
        <w:jc w:val="both"/>
        <w:ind w:left="9" w:firstLine="485"/>
        <w:spacing w:after="0" w:line="232" w:lineRule="auto"/>
        <w:rPr>
          <w:sz w:val="20"/>
          <w:szCs w:val="20"/>
          <w:color w:val="auto"/>
        </w:rPr>
      </w:pPr>
      <w:r>
        <w:rPr>
          <w:rFonts w:ascii="Times New Roman" w:cs="Times New Roman" w:eastAsia="Times New Roman" w:hAnsi="Times New Roman"/>
          <w:sz w:val="16"/>
          <w:szCs w:val="16"/>
          <w:b w:val="1"/>
          <w:bCs w:val="1"/>
          <w:color w:val="010000"/>
        </w:rPr>
        <w:t xml:space="preserve">Section 8.7 </w:t>
      </w:r>
      <w:r>
        <w:rPr>
          <w:rFonts w:ascii="Times New Roman" w:cs="Times New Roman" w:eastAsia="Times New Roman" w:hAnsi="Times New Roman"/>
          <w:sz w:val="16"/>
          <w:szCs w:val="16"/>
          <w:b w:val="1"/>
          <w:bCs w:val="1"/>
          <w:color w:val="000000"/>
        </w:rPr>
        <w:t>Characterization of Indemnification Payments</w:t>
      </w:r>
      <w:r>
        <w:rPr>
          <w:rFonts w:ascii="Times New Roman" w:cs="Times New Roman" w:eastAsia="Times New Roman" w:hAnsi="Times New Roman"/>
          <w:sz w:val="16"/>
          <w:szCs w:val="16"/>
          <w:color w:val="000000"/>
        </w:rPr>
        <w:t>. Except as otherwise required by Law, all payments made by the Shareholders’ Agent or</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xml:space="preserve">Parent, as applicable, to an Indemnified Party in respect of any claim pursuant to </w:t>
      </w:r>
      <w:r>
        <w:rPr>
          <w:rFonts w:ascii="Times New Roman" w:cs="Times New Roman" w:eastAsia="Times New Roman" w:hAnsi="Times New Roman"/>
          <w:sz w:val="16"/>
          <w:szCs w:val="16"/>
          <w:b w:val="1"/>
          <w:bCs w:val="1"/>
          <w:color w:val="000000"/>
        </w:rPr>
        <w:t>Section 8.2</w:t>
      </w:r>
      <w:r>
        <w:rPr>
          <w:rFonts w:ascii="Times New Roman" w:cs="Times New Roman" w:eastAsia="Times New Roman" w:hAnsi="Times New Roman"/>
          <w:sz w:val="16"/>
          <w:szCs w:val="16"/>
          <w:color w:val="000000"/>
        </w:rPr>
        <w:t xml:space="preserve"> hereof shall be treated as adjustments to the Closing Consideration Amount or the [***] Amount, as applicable, for Tax purposes.</w:t>
      </w:r>
    </w:p>
    <w:p>
      <w:pPr>
        <w:spacing w:after="0" w:line="111" w:lineRule="exact"/>
        <w:rPr>
          <w:sz w:val="20"/>
          <w:szCs w:val="20"/>
          <w:color w:val="auto"/>
        </w:rPr>
      </w:pPr>
    </w:p>
    <w:p>
      <w:pPr>
        <w:jc w:val="center"/>
        <w:ind w:right="271"/>
        <w:spacing w:after="0"/>
        <w:rPr>
          <w:sz w:val="20"/>
          <w:szCs w:val="20"/>
          <w:color w:val="auto"/>
        </w:rPr>
      </w:pPr>
      <w:r>
        <w:rPr>
          <w:rFonts w:ascii="Times New Roman" w:cs="Times New Roman" w:eastAsia="Times New Roman" w:hAnsi="Times New Roman"/>
          <w:sz w:val="16"/>
          <w:szCs w:val="16"/>
          <w:b w:val="1"/>
          <w:bCs w:val="1"/>
          <w:color w:val="010000"/>
        </w:rPr>
        <w:t>Article IX</w:t>
      </w:r>
    </w:p>
    <w:p>
      <w:pPr>
        <w:jc w:val="center"/>
        <w:ind w:right="-8"/>
        <w:spacing w:after="0"/>
        <w:rPr>
          <w:sz w:val="20"/>
          <w:szCs w:val="20"/>
          <w:color w:val="auto"/>
        </w:rPr>
      </w:pPr>
      <w:r>
        <w:rPr>
          <w:rFonts w:ascii="Times New Roman" w:cs="Times New Roman" w:eastAsia="Times New Roman" w:hAnsi="Times New Roman"/>
          <w:sz w:val="16"/>
          <w:szCs w:val="16"/>
          <w:b w:val="1"/>
          <w:bCs w:val="1"/>
          <w:color w:val="auto"/>
        </w:rPr>
        <w:t>GENERAL PROVISIONS</w:t>
      </w:r>
    </w:p>
    <w:p>
      <w:pPr>
        <w:spacing w:after="0" w:line="119" w:lineRule="exact"/>
        <w:rPr>
          <w:sz w:val="20"/>
          <w:szCs w:val="20"/>
          <w:color w:val="auto"/>
        </w:rPr>
      </w:pPr>
    </w:p>
    <w:p>
      <w:pPr>
        <w:ind w:left="489"/>
        <w:spacing w:after="0"/>
        <w:tabs>
          <w:tab w:leader="none" w:pos="1429" w:val="left"/>
        </w:tabs>
        <w:rPr>
          <w:sz w:val="20"/>
          <w:szCs w:val="20"/>
          <w:color w:val="auto"/>
        </w:rPr>
      </w:pPr>
      <w:r>
        <w:rPr>
          <w:rFonts w:ascii="Times New Roman" w:cs="Times New Roman" w:eastAsia="Times New Roman" w:hAnsi="Times New Roman"/>
          <w:sz w:val="16"/>
          <w:szCs w:val="16"/>
          <w:b w:val="1"/>
          <w:bCs w:val="1"/>
          <w:color w:val="010000"/>
        </w:rPr>
        <w:t>Section 9.1</w:t>
      </w:r>
      <w:r>
        <w:rPr>
          <w:rFonts w:ascii="Times New Roman" w:cs="Times New Roman" w:eastAsia="Times New Roman" w:hAnsi="Times New Roman"/>
          <w:sz w:val="16"/>
          <w:szCs w:val="16"/>
          <w:b w:val="1"/>
          <w:bCs w:val="1"/>
          <w:color w:val="auto"/>
        </w:rPr>
        <w:tab/>
        <w:t>Shareholders’ Agent</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jc w:val="both"/>
        <w:ind w:left="9" w:firstLine="961"/>
        <w:spacing w:after="0" w:line="223" w:lineRule="auto"/>
        <w:tabs>
          <w:tab w:leader="none" w:pos="1465"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to efficiently administer certain matters contemplated hereby following the Closing, including any actions that the Shareholders’ Agent may, in its sole discretion, determine to be necessary, desirable or appropriate in connection with the matters contemplated by this Agreement, the Shareholders, by virtue of the Required Shareholder Vote obtained at the Shareholders Meeting and the Support Agreements (as applicable), and without any further action of any of the Shareholders or the Company, shall be deemed to have designated, as of the Effective Time, Shareholder Representative Services LLC as the representative, agent and attorney-in-fact of the Shareholders (the “</w:t>
      </w:r>
      <w:r>
        <w:rPr>
          <w:rFonts w:ascii="Times New Roman" w:cs="Times New Roman" w:eastAsia="Times New Roman" w:hAnsi="Times New Roman"/>
          <w:sz w:val="16"/>
          <w:szCs w:val="16"/>
          <w:b w:val="1"/>
          <w:bCs w:val="1"/>
          <w:i w:val="1"/>
          <w:iCs w:val="1"/>
          <w:color w:val="auto"/>
        </w:rPr>
        <w:t>Shareholders’ Agent</w:t>
      </w:r>
      <w:r>
        <w:rPr>
          <w:rFonts w:ascii="Times New Roman" w:cs="Times New Roman" w:eastAsia="Times New Roman" w:hAnsi="Times New Roman"/>
          <w:sz w:val="16"/>
          <w:szCs w:val="16"/>
          <w:color w:val="auto"/>
        </w:rPr>
        <w:t>”).</w:t>
      </w:r>
    </w:p>
    <w:p>
      <w:pPr>
        <w:spacing w:after="0" w:line="115" w:lineRule="exact"/>
        <w:rPr>
          <w:rFonts w:ascii="Times New Roman" w:cs="Times New Roman" w:eastAsia="Times New Roman" w:hAnsi="Times New Roman"/>
          <w:sz w:val="16"/>
          <w:szCs w:val="16"/>
          <w:color w:val="auto"/>
        </w:rPr>
      </w:pPr>
    </w:p>
    <w:p>
      <w:pPr>
        <w:jc w:val="both"/>
        <w:ind w:left="9" w:firstLine="961"/>
        <w:spacing w:after="0" w:line="218" w:lineRule="auto"/>
        <w:tabs>
          <w:tab w:leader="none" w:pos="1465"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Shareholders’ Agent may resign at any time. In the event the Shareholders’ Agent becomes unable to perform its responsibilities hereunder or resigns from such position, the Advisory Group shall, within [***] days after such occurrence, select another representative to fill such vacancy and such substituted representative shall be deemed to be the Shareholders’ Agent for all purposes of this Agreement, the Ancillary Agreements and the documents delivered pursuant hereto and thereto. If the Advisory Group does not appoint a successor Shareholders’ Agent within such [***]-day period, Parent may designate any former Non-Dissenting Shareholder in the second instance, as the Shareholders’ Agent and he, she or it will serve as the Shareholders’ Agent until the Advisory Group appoints a successor pursuant to this </w:t>
      </w:r>
      <w:r>
        <w:rPr>
          <w:rFonts w:ascii="Times New Roman" w:cs="Times New Roman" w:eastAsia="Times New Roman" w:hAnsi="Times New Roman"/>
          <w:sz w:val="16"/>
          <w:szCs w:val="16"/>
          <w:b w:val="1"/>
          <w:bCs w:val="1"/>
          <w:color w:val="auto"/>
        </w:rPr>
        <w:t>Section 9.1(b)</w:t>
      </w:r>
      <w:r>
        <w:rPr>
          <w:rFonts w:ascii="Times New Roman" w:cs="Times New Roman" w:eastAsia="Times New Roman" w:hAnsi="Times New Roman"/>
          <w:sz w:val="16"/>
          <w:szCs w:val="16"/>
          <w:color w:val="auto"/>
        </w:rPr>
        <w:t xml:space="preserve">. Notwithstanding the foregoing, the immunities and rights to indemnification granted to the Shareholders’ Agent Group in this </w:t>
      </w:r>
      <w:r>
        <w:rPr>
          <w:rFonts w:ascii="Times New Roman" w:cs="Times New Roman" w:eastAsia="Times New Roman" w:hAnsi="Times New Roman"/>
          <w:sz w:val="16"/>
          <w:szCs w:val="16"/>
          <w:b w:val="1"/>
          <w:bCs w:val="1"/>
          <w:color w:val="auto"/>
        </w:rPr>
        <w:t>Section 9.1</w:t>
      </w:r>
      <w:r>
        <w:rPr>
          <w:rFonts w:ascii="Times New Roman" w:cs="Times New Roman" w:eastAsia="Times New Roman" w:hAnsi="Times New Roman"/>
          <w:sz w:val="16"/>
          <w:szCs w:val="16"/>
          <w:color w:val="auto"/>
        </w:rPr>
        <w:t xml:space="preserve"> shall survive the resignation or removal of the Shareholders’ Agent or any member of the Advisory Group and the Closing and/or any termination of this Agreement or the Ancillary Agreements.</w:t>
      </w:r>
    </w:p>
    <w:p>
      <w:pPr>
        <w:spacing w:after="0" w:line="118" w:lineRule="exact"/>
        <w:rPr>
          <w:rFonts w:ascii="Times New Roman" w:cs="Times New Roman" w:eastAsia="Times New Roman" w:hAnsi="Times New Roman"/>
          <w:sz w:val="16"/>
          <w:szCs w:val="16"/>
          <w:color w:val="auto"/>
        </w:rPr>
      </w:pPr>
    </w:p>
    <w:p>
      <w:pPr>
        <w:jc w:val="both"/>
        <w:ind w:left="9" w:right="20" w:firstLine="961"/>
        <w:spacing w:after="0" w:line="232" w:lineRule="auto"/>
        <w:tabs>
          <w:tab w:leader="none" w:pos="1465"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approving this Agreement by virtue of the Required Shareholder Vote obtained at the Shareholders Meeting, and by receiving the benefits thereof, including any consideration payable hereunder, without any further action of any of the Non-Dissenting Shareholders or the Company, the Non-Dissenting Shareholders shall be deemed to have agreed, in addition to the foregoing, that: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6"/>
          <w:szCs w:val="16"/>
          <w:color w:val="auto"/>
        </w:rPr>
        <w:t>78</w:t>
      </w:r>
    </w:p>
    <w:p>
      <w:pPr>
        <w:sectPr>
          <w:pgSz w:w="11900" w:h="16840" w:orient="portrait"/>
          <w:cols w:equalWidth="0" w:num="1">
            <w:col w:w="10589"/>
          </w:cols>
          <w:pgMar w:left="651" w:top="1440" w:right="660" w:bottom="1440" w:gutter="0" w:footer="0" w:header="0"/>
        </w:sectPr>
      </w:pPr>
    </w:p>
    <w:bookmarkStart w:id="357" w:name="page358"/>
    <w:bookmarkEnd w:id="357"/>
    <w:p>
      <w:pPr>
        <w:spacing w:after="0" w:line="80" w:lineRule="exact"/>
        <w:rPr>
          <w:sz w:val="20"/>
          <w:szCs w:val="20"/>
          <w:color w:val="auto"/>
        </w:rPr>
      </w:pPr>
    </w:p>
    <w:p>
      <w:pPr>
        <w:ind w:left="9" w:right="20" w:firstLine="1446"/>
        <w:spacing w:after="0" w:line="217" w:lineRule="auto"/>
        <w:tabs>
          <w:tab w:leader="none" w:pos="1940" w:val="left"/>
        </w:tabs>
        <w:numPr>
          <w:ilvl w:val="1"/>
          <w:numId w:val="19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Shareholders’ Agent shall be and hereby is appointed and constituted the true and lawful attorney-in-fact, representative and exclusive agent under this Agreement, the Escrow Agreement, the Shareholders’ Agent Engagement Agreement of each Shareholder, and any agreements ancillary hereto or thereto, with full power in its name and on its behalf to act according to the terms of this Agreement, the Escrow Agreement and the Shareholders’ Agent Engagement Agreement and in general to do and refrain from doing all things and to perform or refrain from performing all acts including, executing and delivering any agreements, certificates, receipts, instructions, notices or instruments, or otherwise acting or refraining from acting as contemplated by or deemed advisable by the Shareholders’ Agent in its sole discretion in connection with this Agreement, the Escrow Agreement, the Shareholders’ Agent Engagement Agreement, or any agreements ancillary hereto or thereto. Notwithstanding the foregoing or anything else herein, the Shareholders’ Agent shall have no obligation to act on behalf of the Non-Dissenting Shareholders, except as expressly provided herein, in the Escrow Agreement and in the Shareholders’ Agent Engagement Agreement, and for purposes of clarity, there are no obligations of the Shareholders’ Agent in any schedule, exhibit or the Disclosure Schedules;</w:t>
      </w:r>
    </w:p>
    <w:p>
      <w:pPr>
        <w:spacing w:after="0" w:line="120" w:lineRule="exact"/>
        <w:rPr>
          <w:rFonts w:ascii="Times New Roman" w:cs="Times New Roman" w:eastAsia="Times New Roman" w:hAnsi="Times New Roman"/>
          <w:sz w:val="16"/>
          <w:szCs w:val="16"/>
          <w:color w:val="010000"/>
        </w:rPr>
      </w:pPr>
    </w:p>
    <w:p>
      <w:pPr>
        <w:ind w:left="9" w:firstLine="1446"/>
        <w:spacing w:after="0" w:line="214" w:lineRule="auto"/>
        <w:tabs>
          <w:tab w:leader="none" w:pos="1950" w:val="left"/>
        </w:tabs>
        <w:numPr>
          <w:ilvl w:val="1"/>
          <w:numId w:val="19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Subject to the terms and conditions of the Shareholders’ Agent Engagement Agreement, the Shareholders’ Agent shall have full authority to (A) execute, deliver, acknowledge, certify and file on behalf of the Shareholders (in the name of any or all of the Shareholders or otherwise) any and all documents that the Shareholders’ Agent may, in its sole discretion, determine to be necessary, desirable or appropriate, in such forms and containing such provisions as the Shareholders’ Agent may, in its sole discretion, determine to be appropriate, (B) give and receive notices and other communications relating to this Agreement, the Escrow Agreement, the Shareholders’ Agent Engagement Agreement and the transactions contemplated hereby and thereby (except to the extent that this Agreement or any Ancillary Agreement contemplates that such notice or communication shall be given or received by the Shareholder individually),</w:t>
      </w:r>
    </w:p>
    <w:p>
      <w:pPr>
        <w:spacing w:after="0" w:line="4" w:lineRule="exact"/>
        <w:rPr>
          <w:rFonts w:ascii="Times New Roman" w:cs="Times New Roman" w:eastAsia="Times New Roman" w:hAnsi="Times New Roman"/>
          <w:sz w:val="16"/>
          <w:szCs w:val="16"/>
          <w:color w:val="010000"/>
        </w:rPr>
      </w:pPr>
    </w:p>
    <w:p>
      <w:pPr>
        <w:jc w:val="both"/>
        <w:ind w:left="9" w:right="20" w:hanging="9"/>
        <w:spacing w:after="0" w:line="214" w:lineRule="auto"/>
        <w:tabs>
          <w:tab w:leader="none" w:pos="269"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take or refrain from taking any actions (whether by negotiation, settlement, litigation or otherwise) to resolve or settle all matters and disputes arising out of or related to this Agreement, including any Dispute Notice, the Escrow Agreement, the Shareholders’ Agent Engagement Agreement and the transactions contemplated hereby and thereby, (D) incur and pay expenses on behalf of the Shareholders, engage attorneys, accountants, financial and other advisors, paying agents and other Persons necessary or appropriate in the judgment of the Shareholders’ Agent in connection with the Shareholders’ Agent’s powers, authority and obligations hereunder, under the Escrow Agreement or under the Shareholders’ Agent Engagement Agreement, (E) determine any adjustment to be made to the Closing Statement and any other actions or determinations to be made under </w:t>
      </w:r>
      <w:r>
        <w:rPr>
          <w:rFonts w:ascii="Times New Roman" w:cs="Times New Roman" w:eastAsia="Times New Roman" w:hAnsi="Times New Roman"/>
          <w:sz w:val="16"/>
          <w:szCs w:val="16"/>
          <w:b w:val="1"/>
          <w:bCs w:val="1"/>
          <w:color w:val="auto"/>
        </w:rPr>
        <w:t>Section 2.9</w:t>
      </w:r>
      <w:r>
        <w:rPr>
          <w:rFonts w:ascii="Times New Roman" w:cs="Times New Roman" w:eastAsia="Times New Roman" w:hAnsi="Times New Roman"/>
          <w:sz w:val="16"/>
          <w:szCs w:val="16"/>
          <w:color w:val="auto"/>
        </w:rPr>
        <w:t>, take any action, or refrain from taking any action, that may be necessary or desirable, as determined by the Shareholders’ Agent in its sole discretion in connection with the Escrow Fund, (F) grant any consent or waiver with respect of this Agreement on behalf of the Shareholders, (G) file and prosecute appeals from any decision, judgment or award rendered in any action, proceeding or investigation arising out of or related to this Agreement and the transactions contemplated hereby and (H) take or refrain from taking all actions necessary or appropriate in its sole discretion in connection with the Shareholders’ Agent’s powers, authority and obligations hereunder, under the Escrow Agreement or under the Shareholders’ Agent Engagement Agreement;</w:t>
      </w:r>
    </w:p>
    <w:p>
      <w:pPr>
        <w:spacing w:after="0" w:line="118" w:lineRule="exact"/>
        <w:rPr>
          <w:rFonts w:ascii="Times New Roman" w:cs="Times New Roman" w:eastAsia="Times New Roman" w:hAnsi="Times New Roman"/>
          <w:sz w:val="16"/>
          <w:szCs w:val="16"/>
          <w:color w:val="auto"/>
        </w:rPr>
      </w:pPr>
    </w:p>
    <w:p>
      <w:pPr>
        <w:jc w:val="both"/>
        <w:ind w:left="9" w:right="20" w:firstLine="1446"/>
        <w:spacing w:after="0" w:line="223" w:lineRule="auto"/>
        <w:tabs>
          <w:tab w:leader="none" w:pos="1950" w:val="left"/>
        </w:tabs>
        <w:numPr>
          <w:ilvl w:val="1"/>
          <w:numId w:val="20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from and after the Effective Time, Parent and Merger Sub shall be entitled to (A) deal exclusively with the Shareholders’ Agent with respect to all matters relating to </w:t>
      </w:r>
      <w:r>
        <w:rPr>
          <w:rFonts w:ascii="Times New Roman" w:cs="Times New Roman" w:eastAsia="Times New Roman" w:hAnsi="Times New Roman"/>
          <w:sz w:val="16"/>
          <w:szCs w:val="16"/>
          <w:b w:val="1"/>
          <w:bCs w:val="1"/>
          <w:color w:val="auto"/>
        </w:rPr>
        <w:t>Article II</w:t>
      </w:r>
      <w:r>
        <w:rPr>
          <w:rFonts w:ascii="Times New Roman" w:cs="Times New Roman" w:eastAsia="Times New Roman" w:hAnsi="Times New Roman"/>
          <w:sz w:val="16"/>
          <w:szCs w:val="16"/>
          <w:color w:val="auto"/>
        </w:rPr>
        <w:t xml:space="preserve"> and (B) rely conclusively (without further evidence of any kind whatsoever) on the instructions, decisions and documents given, made, executed or purported to be executed by the Shareholders’ Agent as to any of the matters described in this </w:t>
      </w:r>
      <w:r>
        <w:rPr>
          <w:rFonts w:ascii="Times New Roman" w:cs="Times New Roman" w:eastAsia="Times New Roman" w:hAnsi="Times New Roman"/>
          <w:sz w:val="16"/>
          <w:szCs w:val="16"/>
          <w:b w:val="1"/>
          <w:bCs w:val="1"/>
          <w:color w:val="auto"/>
        </w:rPr>
        <w:t>Section 9.1</w:t>
      </w:r>
      <w:r>
        <w:rPr>
          <w:rFonts w:ascii="Times New Roman" w:cs="Times New Roman" w:eastAsia="Times New Roman" w:hAnsi="Times New Roman"/>
          <w:sz w:val="16"/>
          <w:szCs w:val="16"/>
          <w:color w:val="auto"/>
        </w:rPr>
        <w:t>, and Parent and Merger Sub will have no liability to any Person, and no Person shall have any cause of action against, Parent for any action taken by Parent in reliance upon any such instructions or decisions;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79</w:t>
      </w:r>
    </w:p>
    <w:p>
      <w:pPr>
        <w:sectPr>
          <w:pgSz w:w="11900" w:h="16840" w:orient="portrait"/>
          <w:cols w:equalWidth="0" w:num="1">
            <w:col w:w="10609"/>
          </w:cols>
          <w:pgMar w:left="651" w:top="1440" w:right="640" w:bottom="1440" w:gutter="0" w:footer="0" w:header="0"/>
        </w:sectPr>
      </w:pPr>
    </w:p>
    <w:bookmarkStart w:id="358" w:name="page359"/>
    <w:bookmarkEnd w:id="358"/>
    <w:p>
      <w:pPr>
        <w:spacing w:after="0" w:line="80" w:lineRule="exact"/>
        <w:rPr>
          <w:sz w:val="20"/>
          <w:szCs w:val="20"/>
          <w:color w:val="auto"/>
        </w:rPr>
      </w:pPr>
    </w:p>
    <w:p>
      <w:pPr>
        <w:jc w:val="both"/>
        <w:ind w:right="20" w:firstLine="1446"/>
        <w:spacing w:after="0" w:line="221" w:lineRule="auto"/>
        <w:tabs>
          <w:tab w:leader="none" w:pos="1931" w:val="left"/>
        </w:tabs>
        <w:numPr>
          <w:ilvl w:val="1"/>
          <w:numId w:val="20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all actions, decisions and instructions of the Shareholders’ Agent under this Agreement, the Escrow Agreement or the Shareholders’ Agent Engagement Agreement shall, to the fullest extent permitted by applicable Law, be conclusive and binding upon each of the Shareholders and such Shareholder’s successors as if expressly confirmed and ratified in writing by such Shareholder, and all defenses which may be available to any Shareholder to contest, negate or disaffirm the action of the Shareholders’ Agent taken in good faith under this Agreement, the Escrow Agreement, the Shareholders’ Agent Engagement Agreement or any agreements ancillary hereto or thereto are waived, except to the extent of fraud or willful misconduct on the part of the Shareholders’ Agent;</w:t>
      </w:r>
    </w:p>
    <w:p>
      <w:pPr>
        <w:spacing w:after="0" w:line="115" w:lineRule="exact"/>
        <w:rPr>
          <w:rFonts w:ascii="Times New Roman" w:cs="Times New Roman" w:eastAsia="Times New Roman" w:hAnsi="Times New Roman"/>
          <w:sz w:val="16"/>
          <w:szCs w:val="16"/>
          <w:color w:val="010000"/>
        </w:rPr>
      </w:pPr>
    </w:p>
    <w:p>
      <w:pPr>
        <w:jc w:val="both"/>
        <w:ind w:right="20" w:firstLine="1446"/>
        <w:spacing w:after="0" w:line="223" w:lineRule="auto"/>
        <w:tabs>
          <w:tab w:leader="none" w:pos="1941" w:val="left"/>
        </w:tabs>
        <w:numPr>
          <w:ilvl w:val="1"/>
          <w:numId w:val="20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powers, immunities and rights to indemnification granted to the Shareholders’ Agent Group hereunder: (i) are independent and severable, are irrevocable and coupled with an interest, shall survive the death, incompetence, bankruptcy, liquidation, dissolution or winding up of any Shareholder and shall be binding on any successor thereto, and (ii) shall survive the delivery of an assignment by any Shareholder of the whole or any fraction of his, her or its interest in the Adjustment Amount or Escrow Fund and shall be enforceable notwithstanding any rights or remedies that any Shareholder may have in connection with the transactions contemplated hereby; and</w:t>
      </w:r>
    </w:p>
    <w:p>
      <w:pPr>
        <w:spacing w:after="0" w:line="113" w:lineRule="exact"/>
        <w:rPr>
          <w:rFonts w:ascii="Times New Roman" w:cs="Times New Roman" w:eastAsia="Times New Roman" w:hAnsi="Times New Roman"/>
          <w:sz w:val="16"/>
          <w:szCs w:val="16"/>
          <w:color w:val="010000"/>
        </w:rPr>
      </w:pPr>
    </w:p>
    <w:p>
      <w:pPr>
        <w:jc w:val="both"/>
        <w:ind w:right="20" w:firstLine="1446"/>
        <w:spacing w:after="0" w:line="232" w:lineRule="auto"/>
        <w:tabs>
          <w:tab w:leader="none" w:pos="1931" w:val="left"/>
        </w:tabs>
        <w:numPr>
          <w:ilvl w:val="1"/>
          <w:numId w:val="20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to the fullest extent permitted by applicable Law, the provisions of this </w:t>
      </w:r>
      <w:r>
        <w:rPr>
          <w:rFonts w:ascii="Times New Roman" w:cs="Times New Roman" w:eastAsia="Times New Roman" w:hAnsi="Times New Roman"/>
          <w:sz w:val="16"/>
          <w:szCs w:val="16"/>
          <w:b w:val="1"/>
          <w:bCs w:val="1"/>
          <w:color w:val="auto"/>
        </w:rPr>
        <w:t>Section 9.1</w:t>
      </w:r>
      <w:r>
        <w:rPr>
          <w:rFonts w:ascii="Times New Roman" w:cs="Times New Roman" w:eastAsia="Times New Roman" w:hAnsi="Times New Roman"/>
          <w:sz w:val="16"/>
          <w:szCs w:val="16"/>
          <w:color w:val="auto"/>
        </w:rPr>
        <w:t xml:space="preserve"> shall be binding upon the executors, heirs, legal representatives, successors and assigns of each Shareholder, and any references in this Agreement to the Shareholders shall mean and include the successors to the Shareholders’ rights hereunder, whether pursuant to testamentary disposition, the Laws of descent and distribution or otherwise.</w:t>
      </w:r>
    </w:p>
    <w:p>
      <w:pPr>
        <w:spacing w:after="0" w:line="115" w:lineRule="exact"/>
        <w:rPr>
          <w:rFonts w:ascii="Times New Roman" w:cs="Times New Roman" w:eastAsia="Times New Roman" w:hAnsi="Times New Roman"/>
          <w:sz w:val="16"/>
          <w:szCs w:val="16"/>
          <w:color w:val="010000"/>
        </w:rPr>
      </w:pPr>
    </w:p>
    <w:p>
      <w:pPr>
        <w:ind w:right="40" w:firstLine="961"/>
        <w:spacing w:after="0" w:line="245" w:lineRule="auto"/>
        <w:tabs>
          <w:tab w:leader="none" w:pos="1456"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Shareholders’ Agent hereby accepts its appointment as the true and lawful attorney-in-fact and exclusive agent under this Agreement, the Escrow Agreement and the Shareholders’ Agent Engagement Agreement of each Shareholder pursuant to this </w:t>
      </w:r>
      <w:r>
        <w:rPr>
          <w:rFonts w:ascii="Times New Roman" w:cs="Times New Roman" w:eastAsia="Times New Roman" w:hAnsi="Times New Roman"/>
          <w:sz w:val="16"/>
          <w:szCs w:val="16"/>
          <w:b w:val="1"/>
          <w:bCs w:val="1"/>
          <w:color w:val="auto"/>
        </w:rPr>
        <w:t>Section 9.1</w:t>
      </w:r>
      <w:r>
        <w:rPr>
          <w:rFonts w:ascii="Times New Roman" w:cs="Times New Roman" w:eastAsia="Times New Roman" w:hAnsi="Times New Roman"/>
          <w:sz w:val="16"/>
          <w:szCs w:val="16"/>
          <w:color w:val="auto"/>
        </w:rPr>
        <w:t>.</w:t>
      </w:r>
    </w:p>
    <w:p>
      <w:pPr>
        <w:spacing w:after="0" w:line="109" w:lineRule="exact"/>
        <w:rPr>
          <w:rFonts w:ascii="Times New Roman" w:cs="Times New Roman" w:eastAsia="Times New Roman" w:hAnsi="Times New Roman"/>
          <w:sz w:val="16"/>
          <w:szCs w:val="16"/>
          <w:color w:val="auto"/>
        </w:rPr>
      </w:pPr>
    </w:p>
    <w:p>
      <w:pPr>
        <w:jc w:val="both"/>
        <w:ind w:firstLine="961"/>
        <w:spacing w:after="0" w:line="215" w:lineRule="auto"/>
        <w:tabs>
          <w:tab w:leader="none" w:pos="1456"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Expense Fund shall be held by the Shareholders’ Agent in a segregated client account and shall be used (i) for the purposes of paying directly or reimbursing the Shareholders’ Agent for any Shareholders’ Agent Expenses incurred pursuant to this Agreement, the Escrow Agreement, the Shareholders’ Agent Engagement Agreement or any agreements ancillary hereto or thereto, or (ii) as otherwise determined by the Advisory Group. The Shareholders’ Agent is not providing any investment supervision, recommendations or advice and shall have no responsibility or liability for any loss of principal of the Expense Fund other than as a result of its gross negligence or willful misconduct. The Shareholders’ Agent is not acting as a withholding agent or in any similar capacity in connection with the Expense Fund and has no tax reporting or income distribution obligations. No Shareholder will receive any interest on the Expense Fund and will be deemed to have assigned to the Shareholders’ Agent any such interest. Subject to approval by the Advisory Group, the Shareholders’ Agent may contribute funds to the Expense Fund from any consideration otherwise distributable to the Non-Dissenting Shareholders. As soon as reasonably determined by the Shareholders’ Agent that the Expense Fund is no longer required to be withheld, the Shareholders’ Agent shall deposit the remaining Expense Fund, if any, with the Paying Agent for distribution to the Non-Dissenting Shareholders in accordance with an updated version of the Closing Payment Spreadsheet (the “</w:t>
      </w:r>
      <w:r>
        <w:rPr>
          <w:rFonts w:ascii="Times New Roman" w:cs="Times New Roman" w:eastAsia="Times New Roman" w:hAnsi="Times New Roman"/>
          <w:sz w:val="16"/>
          <w:szCs w:val="16"/>
          <w:b w:val="1"/>
          <w:bCs w:val="1"/>
          <w:i w:val="1"/>
          <w:iCs w:val="1"/>
          <w:color w:val="auto"/>
        </w:rPr>
        <w:t>Expense Fund Payment Spreadsheet</w:t>
      </w:r>
      <w:r>
        <w:rPr>
          <w:rFonts w:ascii="Times New Roman" w:cs="Times New Roman" w:eastAsia="Times New Roman" w:hAnsi="Times New Roman"/>
          <w:sz w:val="16"/>
          <w:szCs w:val="16"/>
          <w:color w:val="auto"/>
        </w:rPr>
        <w:t xml:space="preserve">”) setting forth, in addition to the items required to be included in the Closing Payment Spreadsheet, with respect to each Non-Dissenting Shareholder, the portion of the balance of the Expense Fund due to such Non-Dissenting Shareholder (which shall be determined by </w:t>
      </w:r>
      <w:r>
        <w:rPr>
          <w:rFonts w:ascii="Times New Roman" w:cs="Times New Roman" w:eastAsia="Times New Roman" w:hAnsi="Times New Roman"/>
          <w:sz w:val="16"/>
          <w:szCs w:val="16"/>
          <w:i w:val="1"/>
          <w:iCs w:val="1"/>
          <w:color w:val="auto"/>
        </w:rPr>
        <w:t>multiplying</w:t>
      </w:r>
      <w:r>
        <w:rPr>
          <w:rFonts w:ascii="Times New Roman" w:cs="Times New Roman" w:eastAsia="Times New Roman" w:hAnsi="Times New Roman"/>
          <w:sz w:val="16"/>
          <w:szCs w:val="16"/>
          <w:color w:val="auto"/>
        </w:rPr>
        <w:t xml:space="preserve"> the balance of the Expense Fund by such Non-Dissenting Shareholder’s Allocation Percentage), which shall be delivered or caused to be delivered by the Shareholders’ Agent to Parent and the Surviving Corporation. Parent, the Surviving Corporation and each of their respective Affiliates shall be entitled to rely conclusively on the Expense Fund Payment Spreadsheet as to the information set forth therein for the purposes of making payments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80</w:t>
      </w:r>
    </w:p>
    <w:p>
      <w:pPr>
        <w:sectPr>
          <w:pgSz w:w="11900" w:h="16840" w:orient="portrait"/>
          <w:cols w:equalWidth="0" w:num="1">
            <w:col w:w="10600"/>
          </w:cols>
          <w:pgMar w:left="660" w:top="1440" w:right="640" w:bottom="1440" w:gutter="0" w:footer="0" w:header="0"/>
        </w:sectPr>
      </w:pPr>
    </w:p>
    <w:bookmarkStart w:id="359" w:name="page360"/>
    <w:bookmarkEnd w:id="359"/>
    <w:p>
      <w:pPr>
        <w:spacing w:after="0" w:line="8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under this Agreement and shall not be responsible for the accuracy or completeness of the information set forth therein. For tax purposes, the Expense Fund will be treated as having been received and voluntarily set aside by the Shareholders at the time of Closing.</w:t>
      </w:r>
    </w:p>
    <w:p>
      <w:pPr>
        <w:spacing w:after="0" w:line="106" w:lineRule="exact"/>
        <w:rPr>
          <w:sz w:val="20"/>
          <w:szCs w:val="20"/>
          <w:color w:val="auto"/>
        </w:rPr>
      </w:pPr>
    </w:p>
    <w:p>
      <w:pPr>
        <w:ind w:firstLine="961"/>
        <w:spacing w:after="0" w:line="213" w:lineRule="auto"/>
        <w:tabs>
          <w:tab w:leader="none" w:pos="1456"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Non-Dissenting Shareholders have entered into an engagement agreement (the “</w:t>
      </w:r>
      <w:r>
        <w:rPr>
          <w:rFonts w:ascii="Times New Roman" w:cs="Times New Roman" w:eastAsia="Times New Roman" w:hAnsi="Times New Roman"/>
          <w:sz w:val="16"/>
          <w:szCs w:val="16"/>
          <w:b w:val="1"/>
          <w:bCs w:val="1"/>
          <w:i w:val="1"/>
          <w:iCs w:val="1"/>
          <w:color w:val="auto"/>
        </w:rPr>
        <w:t>Shareholders’ Agent Engagement Agreement</w:t>
      </w:r>
      <w:r>
        <w:rPr>
          <w:rFonts w:ascii="Times New Roman" w:cs="Times New Roman" w:eastAsia="Times New Roman" w:hAnsi="Times New Roman"/>
          <w:sz w:val="16"/>
          <w:szCs w:val="16"/>
          <w:color w:val="auto"/>
        </w:rPr>
        <w:t xml:space="preserve"> ”) with the Shareholders’ Agent and have nominated their individual representatives to an advisory committee, which shall provide direction to the Shareholders’ Agent in connection with its services under this Agreement, the Escrow Agreement and the Shareholders’ Agent Engagement Agreement (such advisory committee, referred to as the “</w:t>
      </w:r>
      <w:r>
        <w:rPr>
          <w:rFonts w:ascii="Times New Roman" w:cs="Times New Roman" w:eastAsia="Times New Roman" w:hAnsi="Times New Roman"/>
          <w:sz w:val="16"/>
          <w:szCs w:val="16"/>
          <w:b w:val="1"/>
          <w:bCs w:val="1"/>
          <w:i w:val="1"/>
          <w:iCs w:val="1"/>
          <w:color w:val="auto"/>
        </w:rPr>
        <w:t>Advisory Group</w:t>
      </w:r>
      <w:r>
        <w:rPr>
          <w:rFonts w:ascii="Times New Roman" w:cs="Times New Roman" w:eastAsia="Times New Roman" w:hAnsi="Times New Roman"/>
          <w:sz w:val="16"/>
          <w:szCs w:val="16"/>
          <w:color w:val="auto"/>
        </w:rPr>
        <w:t xml:space="preserve">”). As between the Non-Dissenting Shareholders and the Shareholders’ Agent, neither the Shareholders’ Agent nor its members, managers, directors, officers, contractors, agents, representatives and employees nor any member of the Advisory Group (collectively, the “ </w:t>
      </w:r>
      <w:r>
        <w:rPr>
          <w:rFonts w:ascii="Times New Roman" w:cs="Times New Roman" w:eastAsia="Times New Roman" w:hAnsi="Times New Roman"/>
          <w:sz w:val="16"/>
          <w:szCs w:val="16"/>
          <w:b w:val="1"/>
          <w:bCs w:val="1"/>
          <w:i w:val="1"/>
          <w:iCs w:val="1"/>
          <w:color w:val="auto"/>
        </w:rPr>
        <w:t>Shareholders’ Agent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Group</w:t>
      </w:r>
      <w:r>
        <w:rPr>
          <w:rFonts w:ascii="Times New Roman" w:cs="Times New Roman" w:eastAsia="Times New Roman" w:hAnsi="Times New Roman"/>
          <w:sz w:val="16"/>
          <w:szCs w:val="16"/>
          <w:color w:val="auto"/>
        </w:rPr>
        <w:t>”) shall be liable to any Non-Dissenting Shareholder for any act done or omitted in connection with the acceptance or administration of the Shareholders’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Agent’s responsibilities hereunder, under the Escrow Agreement or under the Shareholders’ Agent Engagement Agreement or any agreements ancillary hereto or thereto, including any hereunder as Shareholders’ Agent while acting in good faith, unless and only to the extent such act done or omitted constitutes gross negligence or willful misconduct, and any act done or omitted to be done pursuant to the advice of counsel shall be conclusive evidence of such good faith. The Shareholders’ Agent Group shall be indemnified, defended and held harmless and reimbursed by the Non-Dissenting Shareholders against any loss, liability, claim, damage, judgment, amount paid in settlement, fine, fee, cost or expense (including fees, disbursements and costs of counsel and other skilled professionals and in connection with seeking recovery from insurers) (collectively, the “</w:t>
      </w:r>
      <w:r>
        <w:rPr>
          <w:rFonts w:ascii="Times New Roman" w:cs="Times New Roman" w:eastAsia="Times New Roman" w:hAnsi="Times New Roman"/>
          <w:sz w:val="16"/>
          <w:szCs w:val="16"/>
          <w:b w:val="1"/>
          <w:bCs w:val="1"/>
          <w:i w:val="1"/>
          <w:iCs w:val="1"/>
          <w:color w:val="auto"/>
        </w:rPr>
        <w:t>Shareholders’ Agent Expenses</w:t>
      </w:r>
      <w:r>
        <w:rPr>
          <w:rFonts w:ascii="Times New Roman" w:cs="Times New Roman" w:eastAsia="Times New Roman" w:hAnsi="Times New Roman"/>
          <w:sz w:val="16"/>
          <w:szCs w:val="16"/>
          <w:color w:val="auto"/>
        </w:rPr>
        <w:t xml:space="preserve">”) incurred without bad faith, gross negligence or willful misconduct on the part of the Shareholders’ Agent and arising out of or in connection with the acceptance or administration of its duties hereunder, under the Escrow Agreement or under the Shareholders’ Agent Engagement Agreement or any agreements ancillary hereto or thereto. Such Shareholders’ Agent Expenses may be recovered, at the election of the Shareholders’ Agent, at any time (i) from the Expense Fund, to the extent any funds remain in such fund, (ii) from any distribution of the Escrow Fund or other amount otherwise distributable to the Non-Dissenting Shareholders at the time of distribution; or (iii) directly from the Non-Dissenting Shareholders according to each Non-Dissenting Shareholder’s Allocation Percentage. The Non-Dissenting Shareholders acknowledge that the Shareholders’ Agent shall not be required to expend or risk its own funds or otherwise incur any financial liability in the exercise or performance of any of its powers, rights, duties or privileges or pursuant to this Agreement, the Escrow Agreement, the Shareholders’ Agent Engagement Agreement or the transactions contemplated hereby or thereby. Furthermore, the Shareholders’ Agent shall not be required to take any action unless the Shareholders’ Agent has been provided with funds, security or indemnities which, in its determination, are sufficient to protect the Shareholders’ Agent against the costs, expenses and liabilities which may be incurred by the Shareholders’ Agent in performing such actions. The Shareholders’ Agent shall be entitled to: (A) rely upon the Payment Spreadsheets, (B) rely upon any signature believed by it to be genuine, and (C) reasonably assume that a signatory has proper authorization to sign on behalf of the applicable Non-Dissenting Shareholder or other party. Notwithstanding anything in this Agreement to the contrary, any restrictions or limitations on liability or indemnification obligations of the Non-Dissenting Shareholders set forth elsewhere in this Agreement are not intended to be applicable to the indemnities provided to the Shareholders’ Agent under this </w:t>
      </w:r>
      <w:r>
        <w:rPr>
          <w:rFonts w:ascii="Times New Roman" w:cs="Times New Roman" w:eastAsia="Times New Roman" w:hAnsi="Times New Roman"/>
          <w:sz w:val="16"/>
          <w:szCs w:val="16"/>
          <w:b w:val="1"/>
          <w:bCs w:val="1"/>
          <w:color w:val="auto"/>
        </w:rPr>
        <w:t>Section 9.1</w:t>
      </w:r>
      <w:r>
        <w:rPr>
          <w:rFonts w:ascii="Times New Roman" w:cs="Times New Roman" w:eastAsia="Times New Roman" w:hAnsi="Times New Roman"/>
          <w:sz w:val="16"/>
          <w:szCs w:val="16"/>
          <w:color w:val="auto"/>
        </w:rPr>
        <w:t>.</w:t>
      </w:r>
    </w:p>
    <w:p>
      <w:pPr>
        <w:spacing w:after="0" w:line="123" w:lineRule="exact"/>
        <w:rPr>
          <w:sz w:val="20"/>
          <w:szCs w:val="20"/>
          <w:color w:val="auto"/>
        </w:rPr>
      </w:pPr>
    </w:p>
    <w:p>
      <w:pPr>
        <w:jc w:val="both"/>
        <w:ind w:firstLine="485"/>
        <w:spacing w:after="0" w:line="232" w:lineRule="auto"/>
        <w:rPr>
          <w:sz w:val="20"/>
          <w:szCs w:val="20"/>
          <w:color w:val="auto"/>
        </w:rPr>
      </w:pPr>
      <w:r>
        <w:rPr>
          <w:rFonts w:ascii="Times New Roman" w:cs="Times New Roman" w:eastAsia="Times New Roman" w:hAnsi="Times New Roman"/>
          <w:sz w:val="16"/>
          <w:szCs w:val="16"/>
          <w:b w:val="1"/>
          <w:bCs w:val="1"/>
          <w:color w:val="010000"/>
        </w:rPr>
        <w:t xml:space="preserve">Section 9.2 </w:t>
      </w:r>
      <w:r>
        <w:rPr>
          <w:rFonts w:ascii="Times New Roman" w:cs="Times New Roman" w:eastAsia="Times New Roman" w:hAnsi="Times New Roman"/>
          <w:sz w:val="16"/>
          <w:szCs w:val="16"/>
          <w:b w:val="1"/>
          <w:bCs w:val="1"/>
          <w:color w:val="000000"/>
        </w:rPr>
        <w:t>Fees and Expenses</w:t>
      </w:r>
      <w:r>
        <w:rPr>
          <w:rFonts w:ascii="Times New Roman" w:cs="Times New Roman" w:eastAsia="Times New Roman" w:hAnsi="Times New Roman"/>
          <w:sz w:val="16"/>
          <w:szCs w:val="16"/>
          <w:color w:val="000000"/>
        </w:rPr>
        <w:t>. Except as otherwise provided herein, all fees and expenses incurred in connection with or related to this Agreement and</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xml:space="preserve">the Ancillary Agreements and the transactions contemplated hereby and thereby shall be paid by the party incurring such fees or expenses, whether or not such transactions are consummated; </w:t>
      </w:r>
      <w:r>
        <w:rPr>
          <w:rFonts w:ascii="Times New Roman" w:cs="Times New Roman" w:eastAsia="Times New Roman" w:hAnsi="Times New Roman"/>
          <w:sz w:val="16"/>
          <w:szCs w:val="16"/>
          <w:u w:val="single" w:color="auto"/>
          <w:color w:val="000000"/>
        </w:rPr>
        <w:t>provided</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u w:val="single" w:color="auto"/>
          <w:color w:val="000000"/>
        </w:rPr>
        <w:t>however</w:t>
      </w:r>
      <w:r>
        <w:rPr>
          <w:rFonts w:ascii="Times New Roman" w:cs="Times New Roman" w:eastAsia="Times New Roman" w:hAnsi="Times New Roman"/>
          <w:sz w:val="16"/>
          <w:szCs w:val="16"/>
          <w:color w:val="000000"/>
        </w:rPr>
        <w:t>, that Parent shall be responsible and pay for any filing fees payable under or pursuant to the HSR Act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ectPr>
          <w:pgSz w:w="11900" w:h="16840" w:orient="portrait"/>
          <w:cols w:equalWidth="0" w:num="1">
            <w:col w:w="10580"/>
          </w:cols>
          <w:pgMar w:left="660" w:top="1440" w:right="660" w:bottom="1440" w:gutter="0" w:footer="0" w:header="0"/>
        </w:sectPr>
      </w:pPr>
    </w:p>
    <w:bookmarkStart w:id="360" w:name="page361"/>
    <w:bookmarkEnd w:id="360"/>
    <w:p>
      <w:pPr>
        <w:spacing w:after="0" w:line="80"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6"/>
          <w:szCs w:val="16"/>
          <w:color w:val="auto"/>
        </w:rPr>
        <w:t>and the German GWB. In the event of termination of this Agreement, the obligation of each party to pay its own expenses will be subject to any rights of such party arising from a breach of this Agreement by the other.</w:t>
      </w:r>
    </w:p>
    <w:p>
      <w:pPr>
        <w:spacing w:after="0" w:line="108" w:lineRule="exact"/>
        <w:rPr>
          <w:sz w:val="20"/>
          <w:szCs w:val="20"/>
          <w:color w:val="auto"/>
        </w:rPr>
      </w:pPr>
    </w:p>
    <w:p>
      <w:pPr>
        <w:jc w:val="both"/>
        <w:ind w:firstLine="485"/>
        <w:spacing w:after="0" w:line="221" w:lineRule="auto"/>
        <w:rPr>
          <w:sz w:val="20"/>
          <w:szCs w:val="20"/>
          <w:color w:val="auto"/>
        </w:rPr>
      </w:pPr>
      <w:r>
        <w:rPr>
          <w:rFonts w:ascii="Times New Roman" w:cs="Times New Roman" w:eastAsia="Times New Roman" w:hAnsi="Times New Roman"/>
          <w:sz w:val="16"/>
          <w:szCs w:val="16"/>
          <w:b w:val="1"/>
          <w:bCs w:val="1"/>
          <w:color w:val="010000"/>
        </w:rPr>
        <w:t xml:space="preserve">Section 9.3 </w:t>
      </w:r>
      <w:r>
        <w:rPr>
          <w:rFonts w:ascii="Times New Roman" w:cs="Times New Roman" w:eastAsia="Times New Roman" w:hAnsi="Times New Roman"/>
          <w:sz w:val="16"/>
          <w:szCs w:val="16"/>
          <w:b w:val="1"/>
          <w:bCs w:val="1"/>
          <w:color w:val="000000"/>
        </w:rPr>
        <w:t>Amendment and Modification</w:t>
      </w:r>
      <w:r>
        <w:rPr>
          <w:rFonts w:ascii="Times New Roman" w:cs="Times New Roman" w:eastAsia="Times New Roman" w:hAnsi="Times New Roman"/>
          <w:sz w:val="16"/>
          <w:szCs w:val="16"/>
          <w:color w:val="000000"/>
        </w:rPr>
        <w:t>. This Agreement may be amended, modified or supplemented: (a) prior to the Closing Date, on behalf of the</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xml:space="preserve">Company, Parent, Merger Sub and the Shareholders’ Agent; and (b) after the Closing Date, on behalf of Parent and the Shareholders’ Agent (acting exclusively for and on behalf of all of the Non-Dissenting Shareholders); </w:t>
      </w:r>
      <w:r>
        <w:rPr>
          <w:rFonts w:ascii="Times New Roman" w:cs="Times New Roman" w:eastAsia="Times New Roman" w:hAnsi="Times New Roman"/>
          <w:sz w:val="16"/>
          <w:szCs w:val="16"/>
          <w:u w:val="single" w:color="auto"/>
          <w:color w:val="000000"/>
        </w:rPr>
        <w:t>provided</w:t>
      </w:r>
      <w:r>
        <w:rPr>
          <w:rFonts w:ascii="Times New Roman" w:cs="Times New Roman" w:eastAsia="Times New Roman" w:hAnsi="Times New Roman"/>
          <w:sz w:val="16"/>
          <w:szCs w:val="16"/>
          <w:color w:val="000000"/>
        </w:rPr>
        <w:t xml:space="preserve"> , </w:t>
      </w:r>
      <w:r>
        <w:rPr>
          <w:rFonts w:ascii="Times New Roman" w:cs="Times New Roman" w:eastAsia="Times New Roman" w:hAnsi="Times New Roman"/>
          <w:sz w:val="16"/>
          <w:szCs w:val="16"/>
          <w:u w:val="single" w:color="auto"/>
          <w:color w:val="000000"/>
        </w:rPr>
        <w:t>however</w:t>
      </w:r>
      <w:r>
        <w:rPr>
          <w:rFonts w:ascii="Times New Roman" w:cs="Times New Roman" w:eastAsia="Times New Roman" w:hAnsi="Times New Roman"/>
          <w:sz w:val="16"/>
          <w:szCs w:val="16"/>
          <w:color w:val="000000"/>
        </w:rPr>
        <w:t>, that after having obtained the Required Shareholder Vote, no amendment shall be made which pursuant to applicable Law requires further approval by such Shareholders without such further approval.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spacing w:after="0" w:line="116" w:lineRule="exact"/>
        <w:rPr>
          <w:sz w:val="20"/>
          <w:szCs w:val="20"/>
          <w:color w:val="auto"/>
        </w:rPr>
      </w:pPr>
    </w:p>
    <w:p>
      <w:pPr>
        <w:jc w:val="both"/>
        <w:ind w:firstLine="485"/>
        <w:spacing w:after="0" w:line="232" w:lineRule="auto"/>
        <w:rPr>
          <w:sz w:val="20"/>
          <w:szCs w:val="20"/>
          <w:color w:val="auto"/>
        </w:rPr>
      </w:pPr>
      <w:r>
        <w:rPr>
          <w:rFonts w:ascii="Times New Roman" w:cs="Times New Roman" w:eastAsia="Times New Roman" w:hAnsi="Times New Roman"/>
          <w:sz w:val="16"/>
          <w:szCs w:val="16"/>
          <w:b w:val="1"/>
          <w:bCs w:val="1"/>
          <w:color w:val="010000"/>
        </w:rPr>
        <w:t xml:space="preserve">Section 9.4 </w:t>
      </w:r>
      <w:r>
        <w:rPr>
          <w:rFonts w:ascii="Times New Roman" w:cs="Times New Roman" w:eastAsia="Times New Roman" w:hAnsi="Times New Roman"/>
          <w:sz w:val="16"/>
          <w:szCs w:val="16"/>
          <w:b w:val="1"/>
          <w:bCs w:val="1"/>
          <w:color w:val="000000"/>
        </w:rPr>
        <w:t>Extension</w:t>
      </w:r>
      <w:r>
        <w:rPr>
          <w:rFonts w:ascii="Times New Roman" w:cs="Times New Roman" w:eastAsia="Times New Roman" w:hAnsi="Times New Roman"/>
          <w:sz w:val="16"/>
          <w:szCs w:val="16"/>
          <w:color w:val="000000"/>
        </w:rPr>
        <w:t>. At any time prior to the Effective Time, each of the Company and Parent may, to the extent permitted by applicable Law, extend</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the time for the performance of any of the obligations or other acts of the other party. Any agreement on the part of a party to any such extension shall be valid only if set forth in a written instrument executed and delivered by a duly authorized officer on behalf of such party.</w:t>
      </w:r>
    </w:p>
    <w:p>
      <w:pPr>
        <w:spacing w:after="0" w:line="113" w:lineRule="exact"/>
        <w:rPr>
          <w:sz w:val="20"/>
          <w:szCs w:val="20"/>
          <w:color w:val="auto"/>
        </w:rPr>
      </w:pPr>
    </w:p>
    <w:p>
      <w:pPr>
        <w:jc w:val="both"/>
        <w:ind w:firstLine="485"/>
        <w:spacing w:after="0" w:line="224" w:lineRule="auto"/>
        <w:rPr>
          <w:sz w:val="20"/>
          <w:szCs w:val="20"/>
          <w:color w:val="auto"/>
        </w:rPr>
      </w:pPr>
      <w:r>
        <w:rPr>
          <w:rFonts w:ascii="Times New Roman" w:cs="Times New Roman" w:eastAsia="Times New Roman" w:hAnsi="Times New Roman"/>
          <w:sz w:val="16"/>
          <w:szCs w:val="16"/>
          <w:b w:val="1"/>
          <w:bCs w:val="1"/>
          <w:color w:val="010000"/>
        </w:rPr>
        <w:t xml:space="preserve">Section 9.5 </w:t>
      </w:r>
      <w:r>
        <w:rPr>
          <w:rFonts w:ascii="Times New Roman" w:cs="Times New Roman" w:eastAsia="Times New Roman" w:hAnsi="Times New Roman"/>
          <w:sz w:val="16"/>
          <w:szCs w:val="16"/>
          <w:b w:val="1"/>
          <w:bCs w:val="1"/>
          <w:color w:val="000000"/>
        </w:rPr>
        <w:t>Waiver</w:t>
      </w:r>
      <w:r>
        <w:rPr>
          <w:rFonts w:ascii="Times New Roman" w:cs="Times New Roman" w:eastAsia="Times New Roman" w:hAnsi="Times New Roman"/>
          <w:sz w:val="16"/>
          <w:szCs w:val="16"/>
          <w:color w:val="000000"/>
        </w:rPr>
        <w:t>. Any agreement on the part of any party to any waiver shall be valid only if set forth in a written instrument executed and delivered</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w:t>
      </w:r>
    </w:p>
    <w:p>
      <w:pPr>
        <w:spacing w:after="0" w:line="112" w:lineRule="exact"/>
        <w:rPr>
          <w:sz w:val="20"/>
          <w:szCs w:val="20"/>
          <w:color w:val="auto"/>
        </w:rPr>
      </w:pPr>
    </w:p>
    <w:p>
      <w:pPr>
        <w:jc w:val="both"/>
        <w:ind w:firstLine="485"/>
        <w:spacing w:after="0" w:line="220" w:lineRule="auto"/>
        <w:rPr>
          <w:sz w:val="20"/>
          <w:szCs w:val="20"/>
          <w:color w:val="auto"/>
        </w:rPr>
      </w:pPr>
      <w:r>
        <w:rPr>
          <w:rFonts w:ascii="Times New Roman" w:cs="Times New Roman" w:eastAsia="Times New Roman" w:hAnsi="Times New Roman"/>
          <w:sz w:val="16"/>
          <w:szCs w:val="16"/>
          <w:b w:val="1"/>
          <w:bCs w:val="1"/>
          <w:color w:val="010000"/>
        </w:rPr>
        <w:t xml:space="preserve">Section 9.6 </w:t>
      </w:r>
      <w:r>
        <w:rPr>
          <w:rFonts w:ascii="Times New Roman" w:cs="Times New Roman" w:eastAsia="Times New Roman" w:hAnsi="Times New Roman"/>
          <w:sz w:val="16"/>
          <w:szCs w:val="16"/>
          <w:b w:val="1"/>
          <w:bCs w:val="1"/>
          <w:color w:val="000000"/>
        </w:rPr>
        <w:t>Notices</w:t>
      </w:r>
      <w:r>
        <w:rPr>
          <w:rFonts w:ascii="Times New Roman" w:cs="Times New Roman" w:eastAsia="Times New Roman" w:hAnsi="Times New Roman"/>
          <w:sz w:val="16"/>
          <w:szCs w:val="16"/>
          <w:color w:val="000000"/>
        </w:rPr>
        <w:t>. Any notice, request, claim, demand or other communication required or permitted to be delivered to any party under this Agreement</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xml:space="preserve">shall be in writing and shall be deemed properly delivered, given and received (a) upon receipt when delivered by hand, (b) if sent by electronic transmission (i) upon transmission if sent prior to 5:00 p.m. recipient’s local time (provided, no “bounce back” or similar message of non-delivery is received with respect thereto) or (ii) the Business Day following the date of transmission if sent by email after 5:00 p.m. recipient’s local time (provided, no “bounce back” or similar message of non-delivery is received with respect thereto), or (c) upon receipt when sent by courier or express delivery service, </w:t>
      </w:r>
      <w:r>
        <w:rPr>
          <w:rFonts w:ascii="Times New Roman" w:cs="Times New Roman" w:eastAsia="Times New Roman" w:hAnsi="Times New Roman"/>
          <w:sz w:val="16"/>
          <w:szCs w:val="16"/>
          <w:u w:val="single" w:color="auto"/>
          <w:color w:val="000000"/>
        </w:rPr>
        <w:t>provided</w:t>
      </w:r>
      <w:r>
        <w:rPr>
          <w:rFonts w:ascii="Times New Roman" w:cs="Times New Roman" w:eastAsia="Times New Roman" w:hAnsi="Times New Roman"/>
          <w:sz w:val="16"/>
          <w:szCs w:val="16"/>
          <w:color w:val="000000"/>
        </w:rPr>
        <w:t xml:space="preserve"> that in each case the notice or other communication is sent to the address set forth beneath the name of such party below (or to such other address as such party shall have specified in a written notice given to the other parties hereto in accordance with this </w:t>
      </w:r>
      <w:r>
        <w:rPr>
          <w:rFonts w:ascii="Times New Roman" w:cs="Times New Roman" w:eastAsia="Times New Roman" w:hAnsi="Times New Roman"/>
          <w:sz w:val="16"/>
          <w:szCs w:val="16"/>
          <w:b w:val="1"/>
          <w:bCs w:val="1"/>
          <w:color w:val="000000"/>
        </w:rPr>
        <w:t>Section 9.6</w:t>
      </w:r>
      <w:r>
        <w:rPr>
          <w:rFonts w:ascii="Times New Roman" w:cs="Times New Roman" w:eastAsia="Times New Roman" w:hAnsi="Times New Roman"/>
          <w:sz w:val="16"/>
          <w:szCs w:val="16"/>
          <w:color w:val="000000"/>
        </w:rPr>
        <w:t xml:space="preserve"> ):</w:t>
      </w:r>
    </w:p>
    <w:p>
      <w:pPr>
        <w:spacing w:after="0" w:line="115" w:lineRule="exact"/>
        <w:rPr>
          <w:sz w:val="20"/>
          <w:szCs w:val="20"/>
          <w:color w:val="auto"/>
        </w:rPr>
      </w:pPr>
    </w:p>
    <w:p>
      <w:pPr>
        <w:ind w:left="1920" w:hanging="474"/>
        <w:spacing w:after="0"/>
        <w:tabs>
          <w:tab w:leader="none" w:pos="1920" w:val="left"/>
        </w:tabs>
        <w:numPr>
          <w:ilvl w:val="0"/>
          <w:numId w:val="204"/>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if to Parent, Merger Sub or, on or after the Effective Time, the Surviving Corporation, to:</w:t>
      </w:r>
    </w:p>
    <w:p>
      <w:pPr>
        <w:spacing w:after="0" w:line="13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c/o BioNTech SE</w:t>
      </w:r>
    </w:p>
    <w:p>
      <w:pPr>
        <w:ind w:left="1440"/>
        <w:spacing w:after="0" w:line="210" w:lineRule="auto"/>
        <w:rPr>
          <w:sz w:val="20"/>
          <w:szCs w:val="20"/>
          <w:color w:val="auto"/>
        </w:rPr>
      </w:pPr>
      <w:r>
        <w:rPr>
          <w:rFonts w:ascii="Times New Roman" w:cs="Times New Roman" w:eastAsia="Times New Roman" w:hAnsi="Times New Roman"/>
          <w:sz w:val="16"/>
          <w:szCs w:val="16"/>
          <w:color w:val="auto"/>
        </w:rPr>
        <w:t>An der Goldgrube 12</w:t>
      </w:r>
    </w:p>
    <w:p>
      <w:pPr>
        <w:ind w:left="1440"/>
        <w:spacing w:after="0" w:line="211" w:lineRule="auto"/>
        <w:rPr>
          <w:sz w:val="20"/>
          <w:szCs w:val="20"/>
          <w:color w:val="auto"/>
        </w:rPr>
      </w:pPr>
      <w:r>
        <w:rPr>
          <w:rFonts w:ascii="Times New Roman" w:cs="Times New Roman" w:eastAsia="Times New Roman" w:hAnsi="Times New Roman"/>
          <w:sz w:val="16"/>
          <w:szCs w:val="16"/>
          <w:color w:val="auto"/>
        </w:rPr>
        <w:t>55131 Mainz, Germany</w:t>
      </w:r>
    </w:p>
    <w:p>
      <w:pPr>
        <w:ind w:left="1440"/>
        <w:spacing w:after="0" w:line="211" w:lineRule="auto"/>
        <w:tabs>
          <w:tab w:leader="none" w:pos="2240" w:val="left"/>
        </w:tabs>
        <w:rPr>
          <w:sz w:val="20"/>
          <w:szCs w:val="20"/>
          <w:color w:val="auto"/>
        </w:rPr>
      </w:pPr>
      <w:r>
        <w:rPr>
          <w:rFonts w:ascii="Times New Roman" w:cs="Times New Roman" w:eastAsia="Times New Roman" w:hAnsi="Times New Roman"/>
          <w:sz w:val="16"/>
          <w:szCs w:val="16"/>
          <w:color w:val="auto"/>
        </w:rPr>
        <w:t>Attention:</w:t>
        <w:tab/>
        <w:t>[***]</w:t>
      </w:r>
    </w:p>
    <w:p>
      <w:pPr>
        <w:ind w:left="1440"/>
        <w:spacing w:after="0" w:line="225" w:lineRule="auto"/>
        <w:tabs>
          <w:tab w:leader="none" w:pos="202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5"/>
          <w:szCs w:val="15"/>
          <w:color w:val="auto"/>
        </w:rPr>
        <w:t>[***]</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with copies (which shall not constitute notice) to:</w:t>
      </w:r>
    </w:p>
    <w:p>
      <w:pPr>
        <w:spacing w:after="0" w:line="1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Allen Overy Shearman Sterling LLP</w:t>
      </w:r>
    </w:p>
    <w:p>
      <w:pPr>
        <w:ind w:left="1440"/>
        <w:spacing w:after="0"/>
        <w:rPr>
          <w:sz w:val="20"/>
          <w:szCs w:val="20"/>
          <w:color w:val="auto"/>
        </w:rPr>
      </w:pPr>
      <w:r>
        <w:rPr>
          <w:rFonts w:ascii="Times New Roman" w:cs="Times New Roman" w:eastAsia="Times New Roman" w:hAnsi="Times New Roman"/>
          <w:sz w:val="16"/>
          <w:szCs w:val="16"/>
          <w:color w:val="auto"/>
        </w:rPr>
        <w:t>One Bishops Square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ectPr>
          <w:pgSz w:w="11900" w:h="16840" w:orient="portrait"/>
          <w:cols w:equalWidth="0" w:num="1">
            <w:col w:w="10580"/>
          </w:cols>
          <w:pgMar w:left="660" w:top="1440" w:right="660" w:bottom="1440" w:gutter="0" w:footer="0" w:header="0"/>
        </w:sectPr>
      </w:pPr>
    </w:p>
    <w:bookmarkStart w:id="361" w:name="page362"/>
    <w:bookmarkEnd w:id="361"/>
    <w:p>
      <w:pPr>
        <w:spacing w:after="0" w:line="7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London, E1 6AD</w:t>
      </w:r>
    </w:p>
    <w:p>
      <w:pPr>
        <w:ind w:left="1440"/>
        <w:spacing w:after="0" w:line="210" w:lineRule="auto"/>
        <w:tabs>
          <w:tab w:leader="none" w:pos="2240" w:val="left"/>
        </w:tabs>
        <w:rPr>
          <w:sz w:val="20"/>
          <w:szCs w:val="20"/>
          <w:color w:val="auto"/>
        </w:rPr>
      </w:pPr>
      <w:r>
        <w:rPr>
          <w:rFonts w:ascii="Times New Roman" w:cs="Times New Roman" w:eastAsia="Times New Roman" w:hAnsi="Times New Roman"/>
          <w:sz w:val="16"/>
          <w:szCs w:val="16"/>
          <w:color w:val="auto"/>
        </w:rPr>
        <w:t>Attention:</w:t>
        <w:tab/>
        <w:t>[***]</w:t>
      </w:r>
    </w:p>
    <w:p>
      <w:pPr>
        <w:spacing w:after="0" w:line="1" w:lineRule="exact"/>
        <w:rPr>
          <w:sz w:val="20"/>
          <w:szCs w:val="20"/>
          <w:color w:val="auto"/>
        </w:rPr>
      </w:pPr>
    </w:p>
    <w:p>
      <w:pPr>
        <w:ind w:left="1440"/>
        <w:spacing w:after="0"/>
        <w:tabs>
          <w:tab w:leader="none" w:pos="202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5"/>
          <w:szCs w:val="15"/>
          <w:color w:val="auto"/>
        </w:rPr>
        <w:t>[***]</w:t>
      </w:r>
    </w:p>
    <w:p>
      <w:pPr>
        <w:spacing w:after="0" w:line="12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and</w:t>
      </w:r>
    </w:p>
    <w:p>
      <w:pPr>
        <w:spacing w:after="0" w:line="13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Allen Overy Shearman Sterling US LLP</w:t>
      </w:r>
    </w:p>
    <w:p>
      <w:pPr>
        <w:ind w:left="1440"/>
        <w:spacing w:after="0" w:line="210" w:lineRule="auto"/>
        <w:rPr>
          <w:sz w:val="20"/>
          <w:szCs w:val="20"/>
          <w:color w:val="auto"/>
        </w:rPr>
      </w:pPr>
      <w:r>
        <w:rPr>
          <w:rFonts w:ascii="Times New Roman" w:cs="Times New Roman" w:eastAsia="Times New Roman" w:hAnsi="Times New Roman"/>
          <w:sz w:val="16"/>
          <w:szCs w:val="16"/>
          <w:color w:val="auto"/>
        </w:rPr>
        <w:t>599 Lexington Avenue</w:t>
      </w:r>
    </w:p>
    <w:p>
      <w:pPr>
        <w:ind w:left="1440"/>
        <w:spacing w:after="0" w:line="211" w:lineRule="auto"/>
        <w:rPr>
          <w:sz w:val="20"/>
          <w:szCs w:val="20"/>
          <w:color w:val="auto"/>
        </w:rPr>
      </w:pPr>
      <w:r>
        <w:rPr>
          <w:rFonts w:ascii="Times New Roman" w:cs="Times New Roman" w:eastAsia="Times New Roman" w:hAnsi="Times New Roman"/>
          <w:sz w:val="16"/>
          <w:szCs w:val="16"/>
          <w:color w:val="auto"/>
        </w:rPr>
        <w:t>New York, NY 10022</w:t>
      </w:r>
    </w:p>
    <w:p>
      <w:pPr>
        <w:ind w:left="1440"/>
        <w:spacing w:after="0" w:line="211" w:lineRule="auto"/>
        <w:tabs>
          <w:tab w:leader="none" w:pos="2240" w:val="left"/>
        </w:tabs>
        <w:rPr>
          <w:sz w:val="20"/>
          <w:szCs w:val="20"/>
          <w:color w:val="auto"/>
        </w:rPr>
      </w:pPr>
      <w:r>
        <w:rPr>
          <w:rFonts w:ascii="Times New Roman" w:cs="Times New Roman" w:eastAsia="Times New Roman" w:hAnsi="Times New Roman"/>
          <w:sz w:val="16"/>
          <w:szCs w:val="16"/>
          <w:color w:val="auto"/>
        </w:rPr>
        <w:t>Attention:</w:t>
        <w:tab/>
        <w:t>[***]</w:t>
      </w:r>
    </w:p>
    <w:p>
      <w:pPr>
        <w:ind w:left="1600"/>
        <w:spacing w:after="0" w:line="211" w:lineRule="auto"/>
        <w:rPr>
          <w:sz w:val="20"/>
          <w:szCs w:val="20"/>
          <w:color w:val="auto"/>
        </w:rPr>
      </w:pPr>
      <w:r>
        <w:rPr>
          <w:rFonts w:ascii="Times New Roman" w:cs="Times New Roman" w:eastAsia="Times New Roman" w:hAnsi="Times New Roman"/>
          <w:sz w:val="16"/>
          <w:szCs w:val="16"/>
          <w:color w:val="auto"/>
        </w:rPr>
        <w:t>[***]</w:t>
      </w:r>
    </w:p>
    <w:p>
      <w:pPr>
        <w:ind w:left="1440"/>
        <w:spacing w:after="0" w:line="225" w:lineRule="auto"/>
        <w:tabs>
          <w:tab w:leader="none" w:pos="202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5"/>
          <w:szCs w:val="15"/>
          <w:color w:val="auto"/>
        </w:rPr>
        <w:t>[***]</w:t>
      </w:r>
    </w:p>
    <w:p>
      <w:pPr>
        <w:spacing w:after="0" w:line="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6"/>
          <w:szCs w:val="16"/>
          <w:color w:val="auto"/>
        </w:rPr>
        <w:t>[***]</w:t>
      </w:r>
    </w:p>
    <w:p>
      <w:pPr>
        <w:spacing w:after="0" w:line="121" w:lineRule="exact"/>
        <w:rPr>
          <w:sz w:val="20"/>
          <w:szCs w:val="20"/>
          <w:color w:val="auto"/>
        </w:rPr>
      </w:pPr>
    </w:p>
    <w:p>
      <w:pPr>
        <w:ind w:left="1940" w:hanging="494"/>
        <w:spacing w:after="0"/>
        <w:tabs>
          <w:tab w:leader="none" w:pos="1940" w:val="left"/>
        </w:tabs>
        <w:numPr>
          <w:ilvl w:val="0"/>
          <w:numId w:val="205"/>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if, prior to the Effective Time, to Company, to:</w:t>
      </w:r>
    </w:p>
    <w:p>
      <w:pPr>
        <w:spacing w:after="0" w:line="13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Biotheus</w:t>
      </w:r>
    </w:p>
    <w:p>
      <w:pPr>
        <w:ind w:left="1440"/>
        <w:spacing w:after="0" w:line="210" w:lineRule="auto"/>
        <w:rPr>
          <w:sz w:val="20"/>
          <w:szCs w:val="20"/>
          <w:color w:val="auto"/>
        </w:rPr>
      </w:pPr>
      <w:r>
        <w:rPr>
          <w:rFonts w:ascii="Times New Roman" w:cs="Times New Roman" w:eastAsia="Times New Roman" w:hAnsi="Times New Roman"/>
          <w:sz w:val="16"/>
          <w:szCs w:val="16"/>
          <w:color w:val="auto"/>
        </w:rPr>
        <w:t>12A, Building 4, No.1 Keji 7th Road, Tangjiawan Town, Zhuhai, Guangdong, China, 519080</w:t>
      </w:r>
    </w:p>
    <w:p>
      <w:pPr>
        <w:ind w:left="1440"/>
        <w:spacing w:after="0" w:line="211" w:lineRule="auto"/>
        <w:rPr>
          <w:sz w:val="20"/>
          <w:szCs w:val="20"/>
          <w:color w:val="auto"/>
        </w:rPr>
      </w:pPr>
      <w:r>
        <w:rPr>
          <w:rFonts w:ascii="Times New Roman" w:cs="Times New Roman" w:eastAsia="Times New Roman" w:hAnsi="Times New Roman"/>
          <w:sz w:val="16"/>
          <w:szCs w:val="16"/>
          <w:color w:val="auto"/>
        </w:rPr>
        <w:t>Attention: [***]</w:t>
      </w:r>
    </w:p>
    <w:p>
      <w:pPr>
        <w:ind w:left="1440"/>
        <w:spacing w:after="0" w:line="211" w:lineRule="auto"/>
        <w:rPr>
          <w:sz w:val="20"/>
          <w:szCs w:val="20"/>
          <w:color w:val="auto"/>
        </w:rPr>
      </w:pPr>
      <w:r>
        <w:rPr>
          <w:rFonts w:ascii="Times New Roman" w:cs="Times New Roman" w:eastAsia="Times New Roman" w:hAnsi="Times New Roman"/>
          <w:sz w:val="16"/>
          <w:szCs w:val="16"/>
          <w:color w:val="auto"/>
        </w:rPr>
        <w:t>E-mail: [***]</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with copies (which shall not constitute notice) to:</w:t>
      </w:r>
    </w:p>
    <w:p>
      <w:pPr>
        <w:spacing w:after="0" w:line="1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Goodwin Procter LLP</w:t>
      </w:r>
    </w:p>
    <w:p>
      <w:pPr>
        <w:ind w:left="1440"/>
        <w:spacing w:after="0" w:line="210" w:lineRule="auto"/>
        <w:rPr>
          <w:sz w:val="20"/>
          <w:szCs w:val="20"/>
          <w:color w:val="auto"/>
        </w:rPr>
      </w:pPr>
      <w:r>
        <w:rPr>
          <w:rFonts w:ascii="Times New Roman" w:cs="Times New Roman" w:eastAsia="Times New Roman" w:hAnsi="Times New Roman"/>
          <w:sz w:val="16"/>
          <w:szCs w:val="16"/>
          <w:color w:val="auto"/>
        </w:rPr>
        <w:t>New York Times Bldg, 620 8th Ave,</w:t>
      </w:r>
    </w:p>
    <w:p>
      <w:pPr>
        <w:ind w:left="1440"/>
        <w:spacing w:after="0" w:line="211" w:lineRule="auto"/>
        <w:rPr>
          <w:sz w:val="20"/>
          <w:szCs w:val="20"/>
          <w:color w:val="auto"/>
        </w:rPr>
      </w:pPr>
      <w:r>
        <w:rPr>
          <w:rFonts w:ascii="Times New Roman" w:cs="Times New Roman" w:eastAsia="Times New Roman" w:hAnsi="Times New Roman"/>
          <w:sz w:val="16"/>
          <w:szCs w:val="16"/>
          <w:color w:val="auto"/>
        </w:rPr>
        <w:t>New York, NY 10018</w:t>
      </w:r>
    </w:p>
    <w:p>
      <w:pPr>
        <w:ind w:left="1440"/>
        <w:spacing w:after="0" w:line="211" w:lineRule="auto"/>
        <w:rPr>
          <w:sz w:val="20"/>
          <w:szCs w:val="20"/>
          <w:color w:val="auto"/>
        </w:rPr>
      </w:pPr>
      <w:r>
        <w:rPr>
          <w:rFonts w:ascii="Times New Roman" w:cs="Times New Roman" w:eastAsia="Times New Roman" w:hAnsi="Times New Roman"/>
          <w:sz w:val="16"/>
          <w:szCs w:val="16"/>
          <w:color w:val="auto"/>
        </w:rPr>
        <w:t>Attention: [***]</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Email: [***]</w:t>
      </w:r>
    </w:p>
    <w:p>
      <w:pPr>
        <w:spacing w:after="0" w:line="314" w:lineRule="exact"/>
        <w:rPr>
          <w:sz w:val="20"/>
          <w:szCs w:val="20"/>
          <w:color w:val="auto"/>
        </w:rPr>
      </w:pPr>
    </w:p>
    <w:p>
      <w:pPr>
        <w:ind w:left="1940" w:hanging="494"/>
        <w:spacing w:after="0"/>
        <w:tabs>
          <w:tab w:leader="none" w:pos="1940" w:val="left"/>
        </w:tabs>
        <w:numPr>
          <w:ilvl w:val="0"/>
          <w:numId w:val="20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if to the Shareholders’ Agent, to:</w:t>
      </w:r>
    </w:p>
    <w:p>
      <w:pPr>
        <w:spacing w:after="0" w:line="13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Shareholder Representative Services LLC</w:t>
      </w:r>
    </w:p>
    <w:p>
      <w:pPr>
        <w:ind w:left="1440" w:right="7480" w:firstLine="6"/>
        <w:spacing w:after="0" w:line="207" w:lineRule="auto"/>
        <w:tabs>
          <w:tab w:leader="none" w:pos="1723"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xml:space="preserve"> Street Suite 1400 Denver, CO 80202 Attention: [***] Email: [***]</w:t>
      </w:r>
    </w:p>
    <w:p>
      <w:pPr>
        <w:spacing w:after="0" w:line="114" w:lineRule="exact"/>
        <w:rPr>
          <w:sz w:val="20"/>
          <w:szCs w:val="20"/>
          <w:color w:val="auto"/>
        </w:rPr>
      </w:pPr>
    </w:p>
    <w:p>
      <w:pPr>
        <w:jc w:val="both"/>
        <w:ind w:firstLine="485"/>
        <w:spacing w:after="0" w:line="217" w:lineRule="auto"/>
        <w:rPr>
          <w:sz w:val="20"/>
          <w:szCs w:val="20"/>
          <w:color w:val="auto"/>
        </w:rPr>
      </w:pPr>
      <w:r>
        <w:rPr>
          <w:rFonts w:ascii="Times New Roman" w:cs="Times New Roman" w:eastAsia="Times New Roman" w:hAnsi="Times New Roman"/>
          <w:sz w:val="16"/>
          <w:szCs w:val="16"/>
          <w:b w:val="1"/>
          <w:bCs w:val="1"/>
          <w:color w:val="010000"/>
        </w:rPr>
        <w:t xml:space="preserve">Section 9.7 </w:t>
      </w:r>
      <w:r>
        <w:rPr>
          <w:rFonts w:ascii="Times New Roman" w:cs="Times New Roman" w:eastAsia="Times New Roman" w:hAnsi="Times New Roman"/>
          <w:sz w:val="16"/>
          <w:szCs w:val="16"/>
          <w:b w:val="1"/>
          <w:bCs w:val="1"/>
          <w:color w:val="000000"/>
        </w:rPr>
        <w:t>Interpretation</w:t>
      </w:r>
      <w:r>
        <w:rPr>
          <w:rFonts w:ascii="Times New Roman" w:cs="Times New Roman" w:eastAsia="Times New Roman" w:hAnsi="Times New Roman"/>
          <w:sz w:val="16"/>
          <w:szCs w:val="16"/>
          <w:color w:val="000000"/>
        </w:rPr>
        <w:t>. When a reference is made in this Agreement to a Section, Article, Exhibit or Schedule such reference shall be to a Section,</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Article, Exhibit or Schedule of this Agreement unless otherwise indicated. The table of contents, index of defined terms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w:t>
      </w:r>
      <w:r>
        <w:rPr>
          <w:rFonts w:ascii="Times New Roman" w:cs="Times New Roman" w:eastAsia="Times New Roman" w:hAnsi="Times New Roman"/>
          <w:sz w:val="16"/>
          <w:szCs w:val="16"/>
          <w:i w:val="1"/>
          <w:iCs w:val="1"/>
          <w:color w:val="000000"/>
        </w:rPr>
        <w:t>.</w:t>
      </w:r>
      <w:r>
        <w:rPr>
          <w:rFonts w:ascii="Times New Roman" w:cs="Times New Roman" w:eastAsia="Times New Roman" w:hAnsi="Times New Roman"/>
          <w:sz w:val="16"/>
          <w:szCs w:val="16"/>
          <w:color w:val="000000"/>
        </w:rPr>
        <w:t>” The word “extent” in the phrase “to the extent” shall mean the degree to which a subject or other thing extends, and such phrase shall not mean simply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83</w:t>
      </w:r>
    </w:p>
    <w:p>
      <w:pPr>
        <w:sectPr>
          <w:pgSz w:w="11900" w:h="16840" w:orient="portrait"/>
          <w:cols w:equalWidth="0" w:num="1">
            <w:col w:w="10600"/>
          </w:cols>
          <w:pgMar w:left="660" w:top="1440" w:right="640" w:bottom="1440" w:gutter="0" w:footer="0" w:header="0"/>
        </w:sectPr>
      </w:pPr>
    </w:p>
    <w:bookmarkStart w:id="362" w:name="page363"/>
    <w:bookmarkEnd w:id="362"/>
    <w:p>
      <w:pPr>
        <w:spacing w:after="0" w:line="8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6"/>
          <w:szCs w:val="16"/>
          <w:color w:val="auto"/>
        </w:rPr>
        <w:t>“if.” References to “days” mean calendar days unless Business Days are specified. When calculating the period of time before which, within which or following which any act is to be done or step taken pursuant to this Agreement, the date that is the reference date in calculating such period shall be excluded. Unless otherwise specified, whenever any action must be taken on or by a day that is not a Business Day, then such action may be validly taken on or by the next day that is a Business Day. The terms “made available to Parent,” “provided to Parent” and words of similar import refer to documents posted to the electronic datasite, “Biotheus,” hosted by Datasite (the “</w:t>
      </w:r>
      <w:r>
        <w:rPr>
          <w:rFonts w:ascii="Times New Roman" w:cs="Times New Roman" w:eastAsia="Times New Roman" w:hAnsi="Times New Roman"/>
          <w:sz w:val="16"/>
          <w:szCs w:val="16"/>
          <w:b w:val="1"/>
          <w:bCs w:val="1"/>
          <w:i w:val="1"/>
          <w:iCs w:val="1"/>
          <w:color w:val="auto"/>
        </w:rPr>
        <w:t>Data Room</w:t>
      </w:r>
      <w:r>
        <w:rPr>
          <w:rFonts w:ascii="Times New Roman" w:cs="Times New Roman" w:eastAsia="Times New Roman" w:hAnsi="Times New Roman"/>
          <w:sz w:val="16"/>
          <w:szCs w:val="16"/>
          <w:color w:val="auto"/>
        </w:rPr>
        <w:t>”) at least [***] Business Days prior to the date hereof. When a reference is made in this Agreement to an agreement, instrument or other document or Contract, such reference shall include such agreement, instrument or other document or Contract as amended, supplemented or otherwise modified from time to time to the extent permitted by the provisions thereof. When a reference is made in this Agreement to a Law or Order, such reference shall include such Law or Order as amended, supplemented or superseded from time to time and shall include any predecessor or successor Law or Order thereto and any other Law or Order and all guidance, rules, interpretations and implanting regulations promulgated thereunder. The phrase “ordinary course of business” shall be deemed to be followed by the words “consistent with past practice” whether or not such words actually follow such phrase.</w:t>
      </w:r>
    </w:p>
    <w:p>
      <w:pPr>
        <w:spacing w:after="0" w:line="113" w:lineRule="exact"/>
        <w:rPr>
          <w:sz w:val="20"/>
          <w:szCs w:val="20"/>
          <w:color w:val="auto"/>
        </w:rPr>
      </w:pPr>
    </w:p>
    <w:p>
      <w:pPr>
        <w:jc w:val="both"/>
        <w:ind w:firstLine="485"/>
        <w:spacing w:after="0" w:line="232" w:lineRule="auto"/>
        <w:rPr>
          <w:sz w:val="20"/>
          <w:szCs w:val="20"/>
          <w:color w:val="auto"/>
        </w:rPr>
      </w:pPr>
      <w:r>
        <w:rPr>
          <w:rFonts w:ascii="Times New Roman" w:cs="Times New Roman" w:eastAsia="Times New Roman" w:hAnsi="Times New Roman"/>
          <w:sz w:val="16"/>
          <w:szCs w:val="16"/>
          <w:b w:val="1"/>
          <w:bCs w:val="1"/>
          <w:color w:val="010000"/>
        </w:rPr>
        <w:t xml:space="preserve">Section 9.8 </w:t>
      </w:r>
      <w:r>
        <w:rPr>
          <w:rFonts w:ascii="Times New Roman" w:cs="Times New Roman" w:eastAsia="Times New Roman" w:hAnsi="Times New Roman"/>
          <w:sz w:val="16"/>
          <w:szCs w:val="16"/>
          <w:b w:val="1"/>
          <w:bCs w:val="1"/>
          <w:color w:val="000000"/>
        </w:rPr>
        <w:t>Entire Agreement</w:t>
      </w:r>
      <w:r>
        <w:rPr>
          <w:rFonts w:ascii="Times New Roman" w:cs="Times New Roman" w:eastAsia="Times New Roman" w:hAnsi="Times New Roman"/>
          <w:sz w:val="16"/>
          <w:szCs w:val="16"/>
          <w:color w:val="000000"/>
        </w:rPr>
        <w:t>. This Agreement (including the Exhibits and Schedules hereto), the Ancillary Agreements and the Confidentiality</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Agreement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w:t>
      </w:r>
    </w:p>
    <w:p>
      <w:pPr>
        <w:spacing w:after="0" w:line="113" w:lineRule="exact"/>
        <w:rPr>
          <w:sz w:val="20"/>
          <w:szCs w:val="20"/>
          <w:color w:val="auto"/>
        </w:rPr>
      </w:pPr>
    </w:p>
    <w:p>
      <w:pPr>
        <w:jc w:val="both"/>
        <w:ind w:firstLine="485"/>
        <w:spacing w:after="0" w:line="224" w:lineRule="auto"/>
        <w:rPr>
          <w:sz w:val="20"/>
          <w:szCs w:val="20"/>
          <w:color w:val="auto"/>
        </w:rPr>
      </w:pPr>
      <w:r>
        <w:rPr>
          <w:rFonts w:ascii="Times New Roman" w:cs="Times New Roman" w:eastAsia="Times New Roman" w:hAnsi="Times New Roman"/>
          <w:sz w:val="16"/>
          <w:szCs w:val="16"/>
          <w:b w:val="1"/>
          <w:bCs w:val="1"/>
          <w:color w:val="010000"/>
        </w:rPr>
        <w:t xml:space="preserve">Section 9.9 </w:t>
      </w:r>
      <w:r>
        <w:rPr>
          <w:rFonts w:ascii="Times New Roman" w:cs="Times New Roman" w:eastAsia="Times New Roman" w:hAnsi="Times New Roman"/>
          <w:sz w:val="16"/>
          <w:szCs w:val="16"/>
          <w:b w:val="1"/>
          <w:bCs w:val="1"/>
          <w:color w:val="000000"/>
        </w:rPr>
        <w:t>No Third -Party Beneficiaries</w:t>
      </w:r>
      <w:r>
        <w:rPr>
          <w:rFonts w:ascii="Times New Roman" w:cs="Times New Roman" w:eastAsia="Times New Roman" w:hAnsi="Times New Roman"/>
          <w:sz w:val="16"/>
          <w:szCs w:val="16"/>
          <w:color w:val="000000"/>
        </w:rPr>
        <w:t>. Except for the right of the Shareholders to receive the consideration payable to them pursuant to</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b w:val="1"/>
          <w:bCs w:val="1"/>
          <w:color w:val="000000"/>
        </w:rPr>
        <w:t>Article II</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xml:space="preserve">and as set forth in </w:t>
      </w:r>
      <w:r>
        <w:rPr>
          <w:rFonts w:ascii="Times New Roman" w:cs="Times New Roman" w:eastAsia="Times New Roman" w:hAnsi="Times New Roman"/>
          <w:sz w:val="16"/>
          <w:szCs w:val="16"/>
          <w:b w:val="1"/>
          <w:bCs w:val="1"/>
          <w:color w:val="000000"/>
        </w:rPr>
        <w:t>Section 5.12</w:t>
      </w:r>
      <w:r>
        <w:rPr>
          <w:rFonts w:ascii="Times New Roman" w:cs="Times New Roman" w:eastAsia="Times New Roman" w:hAnsi="Times New Roman"/>
          <w:sz w:val="16"/>
          <w:szCs w:val="16"/>
          <w:color w:val="000000"/>
        </w:rPr>
        <w:t xml:space="preserve"> and </w:t>
      </w:r>
      <w:r>
        <w:rPr>
          <w:rFonts w:ascii="Times New Roman" w:cs="Times New Roman" w:eastAsia="Times New Roman" w:hAnsi="Times New Roman"/>
          <w:sz w:val="16"/>
          <w:szCs w:val="16"/>
          <w:b w:val="1"/>
          <w:bCs w:val="1"/>
          <w:color w:val="000000"/>
        </w:rPr>
        <w:t>Article VIII</w:t>
      </w:r>
      <w:r>
        <w:rPr>
          <w:rFonts w:ascii="Times New Roman" w:cs="Times New Roman" w:eastAsia="Times New Roman" w:hAnsi="Times New Roman"/>
          <w:sz w:val="16"/>
          <w:szCs w:val="16"/>
          <w:color w:val="000000"/>
        </w:rPr>
        <w:t xml:space="preserve">, nothing in this Agreement, express or implied, is intended to or shall confer upon any Person other than the parties and their respective successors and permitted assigns any legal or equitable right, benefit or remedy of any nature under or by reason of this Agreement; </w:t>
      </w:r>
      <w:r>
        <w:rPr>
          <w:rFonts w:ascii="Times New Roman" w:cs="Times New Roman" w:eastAsia="Times New Roman" w:hAnsi="Times New Roman"/>
          <w:sz w:val="16"/>
          <w:szCs w:val="16"/>
          <w:u w:val="single" w:color="auto"/>
          <w:color w:val="000000"/>
        </w:rPr>
        <w:t>provided</w:t>
      </w:r>
      <w:r>
        <w:rPr>
          <w:rFonts w:ascii="Times New Roman" w:cs="Times New Roman" w:eastAsia="Times New Roman" w:hAnsi="Times New Roman"/>
          <w:sz w:val="16"/>
          <w:szCs w:val="16"/>
          <w:color w:val="000000"/>
        </w:rPr>
        <w:t xml:space="preserve"> that, following the Closing, all Persons that held Company Ordinary Shares or Company Preferred Shares immediately prior to the Closing shall be deemed to be third party beneficiaries of the provisions of </w:t>
      </w:r>
      <w:r>
        <w:rPr>
          <w:rFonts w:ascii="Times New Roman" w:cs="Times New Roman" w:eastAsia="Times New Roman" w:hAnsi="Times New Roman"/>
          <w:sz w:val="16"/>
          <w:szCs w:val="16"/>
          <w:b w:val="1"/>
          <w:bCs w:val="1"/>
          <w:color w:val="000000"/>
        </w:rPr>
        <w:t>Article II</w:t>
      </w:r>
      <w:r>
        <w:rPr>
          <w:rFonts w:ascii="Times New Roman" w:cs="Times New Roman" w:eastAsia="Times New Roman" w:hAnsi="Times New Roman"/>
          <w:sz w:val="16"/>
          <w:szCs w:val="16"/>
          <w:color w:val="000000"/>
        </w:rPr>
        <w:t>.</w:t>
      </w:r>
    </w:p>
    <w:p>
      <w:pPr>
        <w:spacing w:after="0" w:line="112" w:lineRule="exact"/>
        <w:rPr>
          <w:sz w:val="20"/>
          <w:szCs w:val="20"/>
          <w:color w:val="auto"/>
        </w:rPr>
      </w:pPr>
    </w:p>
    <w:p>
      <w:pPr>
        <w:jc w:val="both"/>
        <w:ind w:firstLine="485"/>
        <w:spacing w:after="0" w:line="217" w:lineRule="auto"/>
        <w:rPr>
          <w:sz w:val="20"/>
          <w:szCs w:val="20"/>
          <w:color w:val="auto"/>
        </w:rPr>
      </w:pPr>
      <w:r>
        <w:rPr>
          <w:rFonts w:ascii="Times New Roman" w:cs="Times New Roman" w:eastAsia="Times New Roman" w:hAnsi="Times New Roman"/>
          <w:sz w:val="16"/>
          <w:szCs w:val="16"/>
          <w:b w:val="1"/>
          <w:bCs w:val="1"/>
          <w:color w:val="010000"/>
        </w:rPr>
        <w:t xml:space="preserve">Section 9.10 </w:t>
      </w:r>
      <w:r>
        <w:rPr>
          <w:rFonts w:ascii="Times New Roman" w:cs="Times New Roman" w:eastAsia="Times New Roman" w:hAnsi="Times New Roman"/>
          <w:sz w:val="16"/>
          <w:szCs w:val="16"/>
          <w:b w:val="1"/>
          <w:bCs w:val="1"/>
          <w:color w:val="000000"/>
        </w:rPr>
        <w:t>Governing Law</w:t>
      </w:r>
      <w:r>
        <w:rPr>
          <w:rFonts w:ascii="Times New Roman" w:cs="Times New Roman" w:eastAsia="Times New Roman" w:hAnsi="Times New Roman"/>
          <w:sz w:val="16"/>
          <w:szCs w:val="16"/>
          <w:color w:val="000000"/>
        </w:rPr>
        <w:t>. This Agreement and all disputes or controversies arising out of or relating to this Agreement or the transactions</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xml:space="preserve">contemplated hereby shall be governed by, and construed in accordance with, the Laws of the State of New York without giving effect to any applicable principles of conflicts of Laws that would cause the Laws of any other State or jurisdiction to otherwise govern this Agreement. Notwithstanding the foregoing and </w:t>
      </w:r>
      <w:r>
        <w:rPr>
          <w:rFonts w:ascii="Times New Roman" w:cs="Times New Roman" w:eastAsia="Times New Roman" w:hAnsi="Times New Roman"/>
          <w:sz w:val="16"/>
          <w:szCs w:val="16"/>
          <w:b w:val="1"/>
          <w:bCs w:val="1"/>
          <w:color w:val="000000"/>
        </w:rPr>
        <w:t>Section 9.11</w:t>
      </w:r>
      <w:r>
        <w:rPr>
          <w:rFonts w:ascii="Times New Roman" w:cs="Times New Roman" w:eastAsia="Times New Roman" w:hAnsi="Times New Roman"/>
          <w:sz w:val="16"/>
          <w:szCs w:val="16"/>
          <w:color w:val="000000"/>
        </w:rPr>
        <w:t>, the following matters arising out of or relating to this Agreement shall be construed, performed and enforced in accordance with the Laws of the</w:t>
      </w:r>
      <w:r>
        <w:rPr>
          <w:rFonts w:ascii="Times New Roman" w:cs="Times New Roman" w:eastAsia="Times New Roman" w:hAnsi="Times New Roman"/>
          <w:sz w:val="16"/>
          <w:szCs w:val="16"/>
          <w:b w:val="1"/>
          <w:bCs w:val="1"/>
          <w:color w:val="000000"/>
        </w:rPr>
        <w:t xml:space="preserve"> </w:t>
      </w:r>
      <w:r>
        <w:rPr>
          <w:rFonts w:ascii="Times New Roman" w:cs="Times New Roman" w:eastAsia="Times New Roman" w:hAnsi="Times New Roman"/>
          <w:sz w:val="16"/>
          <w:szCs w:val="16"/>
          <w:color w:val="000000"/>
        </w:rPr>
        <w:t xml:space="preserve">Cayman Islands, and in respect of which the Parties hereto hereby irrevocably submit to the exclusive jurisdiction of the courts of the Cayman Islands: the Merger, the vesting of the rights, property, choses in action, business, undertaking, goodwill, benefits, immunities and privileges, contracts, obligations, claims, debts and liabilities of the Company and Merger Sub in the Surviving Corporation, the cancellation of the Shares, the rights provided in Section 238 of the Cayman Companies Law, the fiduciary or other duties of the Company Board and the board of directors of Merger Sub and the internal corporate affairs of the Company and Merger Sub. Each party agrees that service of any process, summons, notice or document by registered mail to such party’s respective address set forth in </w:t>
      </w:r>
      <w:r>
        <w:rPr>
          <w:rFonts w:ascii="Times New Roman" w:cs="Times New Roman" w:eastAsia="Times New Roman" w:hAnsi="Times New Roman"/>
          <w:sz w:val="16"/>
          <w:szCs w:val="16"/>
          <w:b w:val="1"/>
          <w:bCs w:val="1"/>
          <w:color w:val="000000"/>
        </w:rPr>
        <w:t xml:space="preserve">Section 9.6 </w:t>
      </w:r>
      <w:r>
        <w:rPr>
          <w:rFonts w:ascii="Times New Roman" w:cs="Times New Roman" w:eastAsia="Times New Roman" w:hAnsi="Times New Roman"/>
          <w:sz w:val="16"/>
          <w:szCs w:val="16"/>
          <w:color w:val="000000"/>
        </w:rPr>
        <w:t>shall be effective service of process and the parties further waive any argument that such service is insufficient.</w:t>
      </w:r>
    </w:p>
    <w:p>
      <w:pPr>
        <w:spacing w:after="0" w:line="115" w:lineRule="exact"/>
        <w:rPr>
          <w:sz w:val="20"/>
          <w:szCs w:val="20"/>
          <w:color w:val="auto"/>
        </w:rPr>
      </w:pPr>
    </w:p>
    <w:p>
      <w:pPr>
        <w:jc w:val="both"/>
        <w:ind w:firstLine="485"/>
        <w:spacing w:after="0" w:line="247" w:lineRule="auto"/>
        <w:rPr>
          <w:sz w:val="20"/>
          <w:szCs w:val="20"/>
          <w:color w:val="auto"/>
        </w:rPr>
      </w:pPr>
      <w:r>
        <w:rPr>
          <w:rFonts w:ascii="Times New Roman" w:cs="Times New Roman" w:eastAsia="Times New Roman" w:hAnsi="Times New Roman"/>
          <w:sz w:val="16"/>
          <w:szCs w:val="16"/>
          <w:b w:val="1"/>
          <w:bCs w:val="1"/>
          <w:color w:val="010000"/>
        </w:rPr>
        <w:t xml:space="preserve">Section 9.11 </w:t>
      </w:r>
      <w:r>
        <w:rPr>
          <w:rFonts w:ascii="Times New Roman" w:cs="Times New Roman" w:eastAsia="Times New Roman" w:hAnsi="Times New Roman"/>
          <w:sz w:val="16"/>
          <w:szCs w:val="16"/>
          <w:b w:val="1"/>
          <w:bCs w:val="1"/>
          <w:color w:val="000000"/>
        </w:rPr>
        <w:t>Dispute Resolution</w:t>
      </w:r>
      <w:r>
        <w:rPr>
          <w:rFonts w:ascii="Times New Roman" w:cs="Times New Roman" w:eastAsia="Times New Roman" w:hAnsi="Times New Roman"/>
          <w:sz w:val="16"/>
          <w:szCs w:val="16"/>
          <w:color w:val="000000"/>
        </w:rPr>
        <w:t>. Subject to</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b w:val="1"/>
          <w:bCs w:val="1"/>
          <w:color w:val="000000"/>
        </w:rPr>
        <w:t>Section 9.13</w:t>
      </w:r>
      <w:r>
        <w:rPr>
          <w:rFonts w:ascii="Times New Roman" w:cs="Times New Roman" w:eastAsia="Times New Roman" w:hAnsi="Times New Roman"/>
          <w:sz w:val="16"/>
          <w:szCs w:val="16"/>
          <w:color w:val="000000"/>
        </w:rPr>
        <w:t>, except for any disputes related to Shareholders’ Agent’s indemnification under</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b w:val="1"/>
          <w:bCs w:val="1"/>
          <w:color w:val="000000"/>
        </w:rPr>
        <w:t>Section 9.1,</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any dispute arising out of or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ectPr>
          <w:pgSz w:w="11900" w:h="16840" w:orient="portrait"/>
          <w:cols w:equalWidth="0" w:num="1">
            <w:col w:w="10580"/>
          </w:cols>
          <w:pgMar w:left="660" w:top="1440" w:right="660" w:bottom="1440" w:gutter="0" w:footer="0" w:header="0"/>
        </w:sectPr>
      </w:pPr>
    </w:p>
    <w:bookmarkStart w:id="363" w:name="page364"/>
    <w:bookmarkEnd w:id="363"/>
    <w:p>
      <w:pPr>
        <w:spacing w:after="0" w:line="80"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6"/>
          <w:szCs w:val="16"/>
          <w:color w:val="auto"/>
        </w:rPr>
        <w:t>in connection with this Agreement, including any question regarding its existence, validity or termination and the parties’ rights and obligations hereunder shall be exclusively referred to and finally resolved by arbitration (the “</w:t>
      </w:r>
      <w:r>
        <w:rPr>
          <w:rFonts w:ascii="Times New Roman" w:cs="Times New Roman" w:eastAsia="Times New Roman" w:hAnsi="Times New Roman"/>
          <w:sz w:val="16"/>
          <w:szCs w:val="16"/>
          <w:b w:val="1"/>
          <w:bCs w:val="1"/>
          <w:i w:val="1"/>
          <w:iCs w:val="1"/>
          <w:color w:val="auto"/>
        </w:rPr>
        <w:t>Arbitration</w:t>
      </w:r>
      <w:r>
        <w:rPr>
          <w:rFonts w:ascii="Times New Roman" w:cs="Times New Roman" w:eastAsia="Times New Roman" w:hAnsi="Times New Roman"/>
          <w:sz w:val="16"/>
          <w:szCs w:val="16"/>
          <w:color w:val="auto"/>
        </w:rPr>
        <w:t>”) in accordance with the Rules of Arbitration of the ICC (the “</w:t>
      </w:r>
      <w:r>
        <w:rPr>
          <w:rFonts w:ascii="Times New Roman" w:cs="Times New Roman" w:eastAsia="Times New Roman" w:hAnsi="Times New Roman"/>
          <w:sz w:val="16"/>
          <w:szCs w:val="16"/>
          <w:b w:val="1"/>
          <w:bCs w:val="1"/>
          <w:i w:val="1"/>
          <w:iCs w:val="1"/>
          <w:color w:val="auto"/>
        </w:rPr>
        <w:t>ICC Rules</w:t>
      </w:r>
      <w:r>
        <w:rPr>
          <w:rFonts w:ascii="Times New Roman" w:cs="Times New Roman" w:eastAsia="Times New Roman" w:hAnsi="Times New Roman"/>
          <w:sz w:val="16"/>
          <w:szCs w:val="16"/>
          <w:color w:val="auto"/>
        </w:rPr>
        <w:t>”) . The tribunal shall be comprised of [***] arbitrators appointed in accordance with the ICC Rules. In the event of failure to appoint the [***] arbitrator within [***] days of the submission to arbitration, the International Chamber of Commerce of Paris (the “</w:t>
      </w:r>
      <w:r>
        <w:rPr>
          <w:rFonts w:ascii="Times New Roman" w:cs="Times New Roman" w:eastAsia="Times New Roman" w:hAnsi="Times New Roman"/>
          <w:sz w:val="16"/>
          <w:szCs w:val="16"/>
          <w:b w:val="1"/>
          <w:bCs w:val="1"/>
          <w:i w:val="1"/>
          <w:iCs w:val="1"/>
          <w:color w:val="auto"/>
        </w:rPr>
        <w:t>ICC</w:t>
      </w:r>
      <w:r>
        <w:rPr>
          <w:rFonts w:ascii="Times New Roman" w:cs="Times New Roman" w:eastAsia="Times New Roman" w:hAnsi="Times New Roman"/>
          <w:sz w:val="16"/>
          <w:szCs w:val="16"/>
          <w:color w:val="auto"/>
        </w:rPr>
        <w:t>”) shall be the appointing authority. The seat of the Arbitration shall be Hong Kong. The language of the Arbitration shall be English. Any award shall be final and binding upon the parties concerned. Judgment on the award may be entered and enforced by any court of competent jurisdiction. The parties agree that all documents and evidence submitted in the Arbitration (including any statements of case and any interim or final award, as well as the fact that an arbitral award has been made) shall remain confidential both during and after any final award that is rendered unless (a) disclosure is required by Law or stock exchange rules applicable to such party, or (b) the parties otherwise agree in writing.</w:t>
      </w:r>
    </w:p>
    <w:p>
      <w:pPr>
        <w:spacing w:after="0" w:line="117" w:lineRule="exact"/>
        <w:rPr>
          <w:sz w:val="20"/>
          <w:szCs w:val="20"/>
          <w:color w:val="auto"/>
        </w:rPr>
      </w:pPr>
    </w:p>
    <w:p>
      <w:pPr>
        <w:jc w:val="both"/>
        <w:ind w:firstLine="485"/>
        <w:spacing w:after="0" w:line="220" w:lineRule="auto"/>
        <w:rPr>
          <w:sz w:val="20"/>
          <w:szCs w:val="20"/>
          <w:color w:val="auto"/>
        </w:rPr>
      </w:pPr>
      <w:r>
        <w:rPr>
          <w:rFonts w:ascii="Times New Roman" w:cs="Times New Roman" w:eastAsia="Times New Roman" w:hAnsi="Times New Roman"/>
          <w:sz w:val="16"/>
          <w:szCs w:val="16"/>
          <w:b w:val="1"/>
          <w:bCs w:val="1"/>
          <w:color w:val="010000"/>
        </w:rPr>
        <w:t xml:space="preserve">Section 9.12 </w:t>
      </w:r>
      <w:r>
        <w:rPr>
          <w:rFonts w:ascii="Times New Roman" w:cs="Times New Roman" w:eastAsia="Times New Roman" w:hAnsi="Times New Roman"/>
          <w:sz w:val="16"/>
          <w:szCs w:val="16"/>
          <w:b w:val="1"/>
          <w:bCs w:val="1"/>
          <w:color w:val="000000"/>
        </w:rPr>
        <w:t>Assignment; Successors</w:t>
      </w:r>
      <w:r>
        <w:rPr>
          <w:rFonts w:ascii="Times New Roman" w:cs="Times New Roman" w:eastAsia="Times New Roman" w:hAnsi="Times New Roman"/>
          <w:sz w:val="16"/>
          <w:szCs w:val="16"/>
          <w:color w:val="000000"/>
        </w:rPr>
        <w:t>. Neither this Agreement nor any of the rights, interests or obligations under this Agreement may be assigned or</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xml:space="preserve">delegated, in whole or in part, by operation of Law or otherwise, by any party without the prior written consent of (a) Parent or Merger Sub (in the case of an assignment by the Company), or (b) the Company (before the Closing) or the Shareholders’ Agent (after the Closing) (in the case of an assignment by Parent or Merger Sub), and any such assignment without such prior written consent shall be null and void; </w:t>
      </w:r>
      <w:r>
        <w:rPr>
          <w:rFonts w:ascii="Times New Roman" w:cs="Times New Roman" w:eastAsia="Times New Roman" w:hAnsi="Times New Roman"/>
          <w:sz w:val="16"/>
          <w:szCs w:val="16"/>
          <w:u w:val="single" w:color="auto"/>
          <w:color w:val="000000"/>
        </w:rPr>
        <w:t>provided</w:t>
      </w:r>
      <w:r>
        <w:rPr>
          <w:rFonts w:ascii="Times New Roman" w:cs="Times New Roman" w:eastAsia="Times New Roman" w:hAnsi="Times New Roman"/>
          <w:sz w:val="16"/>
          <w:szCs w:val="16"/>
          <w:color w:val="000000"/>
        </w:rPr>
        <w:t xml:space="preserve"> that Parent and Merger Sub may assign all or any of their rights and obligations hereunder to any direct or indirect wholly owned Subsidiary of Parent so long as Parent continues to remain liable for all of such obligations as if no such assignment had occurred; </w:t>
      </w:r>
      <w:r>
        <w:rPr>
          <w:rFonts w:ascii="Times New Roman" w:cs="Times New Roman" w:eastAsia="Times New Roman" w:hAnsi="Times New Roman"/>
          <w:sz w:val="16"/>
          <w:szCs w:val="16"/>
          <w:u w:val="single" w:color="auto"/>
          <w:color w:val="000000"/>
        </w:rPr>
        <w:t>provided</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u w:val="single" w:color="auto"/>
          <w:color w:val="000000"/>
        </w:rPr>
        <w:t>further</w:t>
      </w:r>
      <w:r>
        <w:rPr>
          <w:rFonts w:ascii="Times New Roman" w:cs="Times New Roman" w:eastAsia="Times New Roman" w:hAnsi="Times New Roman"/>
          <w:sz w:val="16"/>
          <w:szCs w:val="16"/>
          <w:color w:val="000000"/>
        </w:rPr>
        <w:t xml:space="preserve"> , that no assignment shall limit the assignor’s obligations hereunder. Subject to the preceding sentence, this Agreement will be binding upon, inure to the benefit of, and be enforceable by, the parties and their respective successors and assigns.</w:t>
      </w:r>
    </w:p>
    <w:p>
      <w:pPr>
        <w:spacing w:after="0" w:line="113" w:lineRule="exact"/>
        <w:rPr>
          <w:sz w:val="20"/>
          <w:szCs w:val="20"/>
          <w:color w:val="auto"/>
        </w:rPr>
      </w:pPr>
    </w:p>
    <w:p>
      <w:pPr>
        <w:jc w:val="both"/>
        <w:ind w:right="20" w:firstLine="485"/>
        <w:spacing w:after="0" w:line="224" w:lineRule="auto"/>
        <w:rPr>
          <w:sz w:val="20"/>
          <w:szCs w:val="20"/>
          <w:color w:val="auto"/>
        </w:rPr>
      </w:pPr>
      <w:r>
        <w:rPr>
          <w:rFonts w:ascii="Times New Roman" w:cs="Times New Roman" w:eastAsia="Times New Roman" w:hAnsi="Times New Roman"/>
          <w:sz w:val="16"/>
          <w:szCs w:val="16"/>
          <w:b w:val="1"/>
          <w:bCs w:val="1"/>
          <w:color w:val="010000"/>
        </w:rPr>
        <w:t xml:space="preserve">Section 9.13 </w:t>
      </w:r>
      <w:r>
        <w:rPr>
          <w:rFonts w:ascii="Times New Roman" w:cs="Times New Roman" w:eastAsia="Times New Roman" w:hAnsi="Times New Roman"/>
          <w:sz w:val="16"/>
          <w:szCs w:val="16"/>
          <w:b w:val="1"/>
          <w:bCs w:val="1"/>
          <w:color w:val="000000"/>
        </w:rPr>
        <w:t>Enforcement</w:t>
      </w:r>
      <w:r>
        <w:rPr>
          <w:rFonts w:ascii="Times New Roman" w:cs="Times New Roman" w:eastAsia="Times New Roman" w:hAnsi="Times New Roman"/>
          <w:sz w:val="16"/>
          <w:szCs w:val="16"/>
          <w:color w:val="000000"/>
        </w:rPr>
        <w:t>. The parties agree that irreparable damage would occur in the event that any of the provisions of this Agreement were not</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performed in accordance with their specific terms or were otherwise breached. Accordingly, each of the parties shall be entitled to seek specific performance of the terms hereof, including to seek an injunction or injunctions to prevent breaches of this Agreement and to seek an Order to enforce specifically the terms and provisions of this Agreement in any court of competent jurisdiction. Each of the parties hereby further waives (a) any defense in any action for specific performance that a remedy at law would be adequate and (b) any requirement under any Law to post security as a prerequisite to obtaining equitable relief.</w:t>
      </w:r>
    </w:p>
    <w:p>
      <w:pPr>
        <w:spacing w:after="0" w:line="112" w:lineRule="exact"/>
        <w:rPr>
          <w:sz w:val="20"/>
          <w:szCs w:val="20"/>
          <w:color w:val="auto"/>
        </w:rPr>
      </w:pPr>
    </w:p>
    <w:p>
      <w:pPr>
        <w:jc w:val="both"/>
        <w:ind w:right="20" w:firstLine="485"/>
        <w:spacing w:after="0" w:line="224" w:lineRule="auto"/>
        <w:rPr>
          <w:sz w:val="20"/>
          <w:szCs w:val="20"/>
          <w:color w:val="auto"/>
        </w:rPr>
      </w:pPr>
      <w:r>
        <w:rPr>
          <w:rFonts w:ascii="Times New Roman" w:cs="Times New Roman" w:eastAsia="Times New Roman" w:hAnsi="Times New Roman"/>
          <w:sz w:val="16"/>
          <w:szCs w:val="16"/>
          <w:b w:val="1"/>
          <w:bCs w:val="1"/>
          <w:color w:val="010000"/>
        </w:rPr>
        <w:t xml:space="preserve">Section 9.14 </w:t>
      </w:r>
      <w:r>
        <w:rPr>
          <w:rFonts w:ascii="Times New Roman" w:cs="Times New Roman" w:eastAsia="Times New Roman" w:hAnsi="Times New Roman"/>
          <w:sz w:val="16"/>
          <w:szCs w:val="16"/>
          <w:b w:val="1"/>
          <w:bCs w:val="1"/>
          <w:color w:val="000000"/>
        </w:rPr>
        <w:t>Currency</w:t>
      </w:r>
      <w:r>
        <w:rPr>
          <w:rFonts w:ascii="Times New Roman" w:cs="Times New Roman" w:eastAsia="Times New Roman" w:hAnsi="Times New Roman"/>
          <w:sz w:val="16"/>
          <w:szCs w:val="16"/>
          <w:color w:val="000000"/>
        </w:rPr>
        <w:t>. All references to “dollars” or “$” in this Agreement or any Ancillary Agreement refer to United States dollars, which is the</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currency used for all purposes in this Agreement and any Ancillary Agreement. All payments to be made under this Agreement shall be made in United States dollars. For the purpose of converting amounts specified in one currency into another currency where required, the rate of exchange to be used shall be the closing mid-point spot rate for exchanges between those currencies as fixed by Bloomberg (BFIX) as of 11:00 a.m. Central European Time on the nearest Business Day for which that rate is available on or prior to the date of the conversion.</w:t>
      </w:r>
    </w:p>
    <w:p>
      <w:pPr>
        <w:spacing w:after="0" w:line="112" w:lineRule="exact"/>
        <w:rPr>
          <w:sz w:val="20"/>
          <w:szCs w:val="20"/>
          <w:color w:val="auto"/>
        </w:rPr>
      </w:pPr>
    </w:p>
    <w:p>
      <w:pPr>
        <w:jc w:val="both"/>
        <w:ind w:right="20" w:firstLine="485"/>
        <w:spacing w:after="0" w:line="224" w:lineRule="auto"/>
        <w:rPr>
          <w:sz w:val="20"/>
          <w:szCs w:val="20"/>
          <w:color w:val="auto"/>
        </w:rPr>
      </w:pPr>
      <w:r>
        <w:rPr>
          <w:rFonts w:ascii="Times New Roman" w:cs="Times New Roman" w:eastAsia="Times New Roman" w:hAnsi="Times New Roman"/>
          <w:sz w:val="16"/>
          <w:szCs w:val="16"/>
          <w:b w:val="1"/>
          <w:bCs w:val="1"/>
          <w:color w:val="010000"/>
        </w:rPr>
        <w:t xml:space="preserve">Section 9.15 </w:t>
      </w:r>
      <w:r>
        <w:rPr>
          <w:rFonts w:ascii="Times New Roman" w:cs="Times New Roman" w:eastAsia="Times New Roman" w:hAnsi="Times New Roman"/>
          <w:sz w:val="16"/>
          <w:szCs w:val="16"/>
          <w:b w:val="1"/>
          <w:bCs w:val="1"/>
          <w:color w:val="000000"/>
        </w:rPr>
        <w:t>Severability</w:t>
      </w:r>
      <w:r>
        <w:rPr>
          <w:rFonts w:ascii="Times New Roman" w:cs="Times New Roman" w:eastAsia="Times New Roman" w:hAnsi="Times New Roman"/>
          <w:sz w:val="16"/>
          <w:szCs w:val="16"/>
          <w:color w:val="000000"/>
        </w:rPr>
        <w:t>. Whenever possible, each provision or portion of any provision of this Agreement shall be interpreted in such manner as to be</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85</w:t>
      </w:r>
    </w:p>
    <w:p>
      <w:pPr>
        <w:sectPr>
          <w:pgSz w:w="11900" w:h="16840" w:orient="portrait"/>
          <w:cols w:equalWidth="0" w:num="1">
            <w:col w:w="10600"/>
          </w:cols>
          <w:pgMar w:left="660" w:top="1440" w:right="640" w:bottom="1440" w:gutter="0" w:footer="0" w:header="0"/>
        </w:sectPr>
      </w:pPr>
    </w:p>
    <w:bookmarkStart w:id="364" w:name="page365"/>
    <w:bookmarkEnd w:id="364"/>
    <w:p>
      <w:pPr>
        <w:spacing w:after="0" w:line="80" w:lineRule="exact"/>
        <w:rPr>
          <w:sz w:val="20"/>
          <w:szCs w:val="20"/>
          <w:color w:val="auto"/>
        </w:rPr>
      </w:pPr>
    </w:p>
    <w:p>
      <w:pPr>
        <w:jc w:val="both"/>
        <w:ind w:left="9" w:right="20"/>
        <w:spacing w:after="0" w:line="226" w:lineRule="auto"/>
        <w:rPr>
          <w:sz w:val="20"/>
          <w:szCs w:val="20"/>
          <w:color w:val="auto"/>
        </w:rPr>
      </w:pPr>
      <w:r>
        <w:rPr>
          <w:rFonts w:ascii="Times New Roman" w:cs="Times New Roman" w:eastAsia="Times New Roman" w:hAnsi="Times New Roman"/>
          <w:sz w:val="16"/>
          <w:szCs w:val="16"/>
          <w:color w:val="auto"/>
        </w:rPr>
        <w:t>of any provision had never been contained herein. In the event any provision or portion of any provision of this Agreement is held to be invalid, illegal or unenforceable in any respect under any applicable Law or rule in any jurisdiction,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14" w:lineRule="exact"/>
        <w:rPr>
          <w:sz w:val="20"/>
          <w:szCs w:val="20"/>
          <w:color w:val="auto"/>
        </w:rPr>
      </w:pPr>
    </w:p>
    <w:p>
      <w:pPr>
        <w:ind w:left="9" w:right="40" w:firstLine="485"/>
        <w:spacing w:after="0" w:line="219" w:lineRule="auto"/>
        <w:rPr>
          <w:sz w:val="20"/>
          <w:szCs w:val="20"/>
          <w:color w:val="auto"/>
        </w:rPr>
      </w:pPr>
      <w:r>
        <w:rPr>
          <w:rFonts w:ascii="Times New Roman" w:cs="Times New Roman" w:eastAsia="Times New Roman" w:hAnsi="Times New Roman"/>
          <w:sz w:val="16"/>
          <w:szCs w:val="16"/>
          <w:b w:val="1"/>
          <w:bCs w:val="1"/>
          <w:color w:val="010000"/>
        </w:rPr>
        <w:t xml:space="preserve">Section 9.16 </w:t>
      </w:r>
      <w:r>
        <w:rPr>
          <w:rFonts w:ascii="Times New Roman" w:cs="Times New Roman" w:eastAsia="Times New Roman" w:hAnsi="Times New Roman"/>
          <w:sz w:val="16"/>
          <w:szCs w:val="16"/>
          <w:b w:val="1"/>
          <w:bCs w:val="1"/>
          <w:color w:val="000000"/>
        </w:rPr>
        <w:t>Waiver of Jury Trial</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 EACH OF THE PARTIES TO THIS AGREEMENT HEREBY IRREVOCABLY WAIVES, TO THE FULLEST</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EXTENT PERMITTED BY APPLICABLE LAW, ALL RIGHT TO A TRIAL BY JURY IN ANY ACTION, PROCEEDING OR COUNTERCLAIM ARISING OUT OF OR RELATING TO THIS AGREEMENT OR THE TRANSACTIONS CONTEMPLATED HEREBY. EACH OF THE PARTIES HEREBY</w:t>
      </w:r>
    </w:p>
    <w:p>
      <w:pPr>
        <w:spacing w:after="0" w:line="2" w:lineRule="exact"/>
        <w:rPr>
          <w:sz w:val="20"/>
          <w:szCs w:val="20"/>
          <w:color w:val="auto"/>
        </w:rPr>
      </w:pPr>
    </w:p>
    <w:p>
      <w:pPr>
        <w:ind w:left="9" w:right="140" w:hanging="9"/>
        <w:spacing w:after="0" w:line="210" w:lineRule="auto"/>
        <w:tabs>
          <w:tab w:leader="none" w:pos="339"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CERTIFIES THAT NO REPRESENTATIVE, AGENT OR ATTORNEY OF ANY OTHER PARTY HAS REPRESENTED, EXPRESSLY OR OTHERWISE, THAT SUCH OTHER PARTY WOULD NOT, IN THE EVENT OF LITIGATION, SEEK TO ENFORCE THE FOREGOING WAIVER AND</w:t>
      </w:r>
    </w:p>
    <w:p>
      <w:pPr>
        <w:spacing w:after="0" w:line="1" w:lineRule="exact"/>
        <w:rPr>
          <w:rFonts w:ascii="Times New Roman" w:cs="Times New Roman" w:eastAsia="Times New Roman" w:hAnsi="Times New Roman"/>
          <w:sz w:val="16"/>
          <w:szCs w:val="16"/>
          <w:color w:val="auto"/>
        </w:rPr>
      </w:pPr>
    </w:p>
    <w:p>
      <w:pPr>
        <w:ind w:left="9" w:right="100" w:hanging="9"/>
        <w:spacing w:after="0" w:line="230" w:lineRule="auto"/>
        <w:tabs>
          <w:tab w:leader="none" w:pos="257"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ACKNOWLEDGES THAT IT HAS BEEN INDUCED TO ENTER INTO THIS AGREEMENT AND THE TRANSACTIONS CONTEMPLATED BY THIS AGREEMENT, AS APPLICABLE, BY, AMONG OTHER THINGS, THE MUTUAL WAIVERS AND CERTIFICATIONS IN THIS </w:t>
      </w:r>
      <w:r>
        <w:rPr>
          <w:rFonts w:ascii="Times New Roman" w:cs="Times New Roman" w:eastAsia="Times New Roman" w:hAnsi="Times New Roman"/>
          <w:sz w:val="16"/>
          <w:szCs w:val="16"/>
          <w:b w:val="1"/>
          <w:bCs w:val="1"/>
          <w:color w:val="auto"/>
        </w:rPr>
        <w:t>SECTION 9.16</w:t>
      </w:r>
      <w:r>
        <w:rPr>
          <w:rFonts w:ascii="Times New Roman" w:cs="Times New Roman" w:eastAsia="Times New Roman" w:hAnsi="Times New Roman"/>
          <w:sz w:val="16"/>
          <w:szCs w:val="16"/>
          <w:color w:val="auto"/>
        </w:rPr>
        <w:t>.</w:t>
      </w:r>
    </w:p>
    <w:p>
      <w:pPr>
        <w:spacing w:after="0" w:line="113" w:lineRule="exact"/>
        <w:rPr>
          <w:sz w:val="20"/>
          <w:szCs w:val="20"/>
          <w:color w:val="auto"/>
        </w:rPr>
      </w:pPr>
    </w:p>
    <w:p>
      <w:pPr>
        <w:ind w:left="9" w:right="20" w:firstLine="485"/>
        <w:spacing w:after="0" w:line="247" w:lineRule="auto"/>
        <w:rPr>
          <w:sz w:val="20"/>
          <w:szCs w:val="20"/>
          <w:color w:val="auto"/>
        </w:rPr>
      </w:pPr>
      <w:r>
        <w:rPr>
          <w:rFonts w:ascii="Times New Roman" w:cs="Times New Roman" w:eastAsia="Times New Roman" w:hAnsi="Times New Roman"/>
          <w:sz w:val="16"/>
          <w:szCs w:val="16"/>
          <w:b w:val="1"/>
          <w:bCs w:val="1"/>
          <w:color w:val="010000"/>
        </w:rPr>
        <w:t xml:space="preserve">Section 9.17 </w:t>
      </w:r>
      <w:r>
        <w:rPr>
          <w:rFonts w:ascii="Times New Roman" w:cs="Times New Roman" w:eastAsia="Times New Roman" w:hAnsi="Times New Roman"/>
          <w:sz w:val="16"/>
          <w:szCs w:val="16"/>
          <w:b w:val="1"/>
          <w:bCs w:val="1"/>
          <w:color w:val="000000"/>
        </w:rPr>
        <w:t>Counterparts</w:t>
      </w:r>
      <w:r>
        <w:rPr>
          <w:rFonts w:ascii="Times New Roman" w:cs="Times New Roman" w:eastAsia="Times New Roman" w:hAnsi="Times New Roman"/>
          <w:sz w:val="16"/>
          <w:szCs w:val="16"/>
          <w:color w:val="000000"/>
        </w:rPr>
        <w:t>. This Agreement may be executed and delivered in two or more counterparts, all of which shall be considered one and the</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same instrument and shall become effective when one or more counterparts have been signed by each of the parties and delivered to the other parties.</w:t>
      </w:r>
    </w:p>
    <w:p>
      <w:pPr>
        <w:spacing w:after="0" w:line="106" w:lineRule="exact"/>
        <w:rPr>
          <w:sz w:val="20"/>
          <w:szCs w:val="20"/>
          <w:color w:val="auto"/>
        </w:rPr>
      </w:pPr>
    </w:p>
    <w:p>
      <w:pPr>
        <w:jc w:val="both"/>
        <w:ind w:left="9" w:firstLine="485"/>
        <w:spacing w:after="0" w:line="232" w:lineRule="auto"/>
        <w:rPr>
          <w:sz w:val="20"/>
          <w:szCs w:val="20"/>
          <w:color w:val="auto"/>
        </w:rPr>
      </w:pPr>
      <w:r>
        <w:rPr>
          <w:rFonts w:ascii="Times New Roman" w:cs="Times New Roman" w:eastAsia="Times New Roman" w:hAnsi="Times New Roman"/>
          <w:sz w:val="16"/>
          <w:szCs w:val="16"/>
          <w:b w:val="1"/>
          <w:bCs w:val="1"/>
          <w:color w:val="010000"/>
        </w:rPr>
        <w:t xml:space="preserve">Section 9.18 </w:t>
      </w:r>
      <w:r>
        <w:rPr>
          <w:rFonts w:ascii="Times New Roman" w:cs="Times New Roman" w:eastAsia="Times New Roman" w:hAnsi="Times New Roman"/>
          <w:sz w:val="16"/>
          <w:szCs w:val="16"/>
          <w:b w:val="1"/>
          <w:bCs w:val="1"/>
          <w:color w:val="000000"/>
        </w:rPr>
        <w:t>Electronic Signature</w:t>
      </w:r>
      <w:r>
        <w:rPr>
          <w:rFonts w:ascii="Times New Roman" w:cs="Times New Roman" w:eastAsia="Times New Roman" w:hAnsi="Times New Roman"/>
          <w:sz w:val="16"/>
          <w:szCs w:val="16"/>
          <w:color w:val="000000"/>
        </w:rPr>
        <w:t>. This Agreement may be executed by electronic or digital delivery signature such as in Adobe Portable Document</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Format or using generally recognized e-signature technology (e.g., DocuSign or Adobe Sign) and such signature and a facsimile or .pdf signature shall constitute an original for all purposes.</w:t>
      </w:r>
    </w:p>
    <w:p>
      <w:pPr>
        <w:spacing w:after="0" w:line="113" w:lineRule="exact"/>
        <w:rPr>
          <w:sz w:val="20"/>
          <w:szCs w:val="20"/>
          <w:color w:val="auto"/>
        </w:rPr>
      </w:pPr>
    </w:p>
    <w:p>
      <w:pPr>
        <w:jc w:val="both"/>
        <w:ind w:left="9" w:right="20" w:firstLine="485"/>
        <w:spacing w:after="0"/>
        <w:rPr>
          <w:sz w:val="20"/>
          <w:szCs w:val="20"/>
          <w:color w:val="auto"/>
        </w:rPr>
      </w:pPr>
      <w:r>
        <w:rPr>
          <w:rFonts w:ascii="Times New Roman" w:cs="Times New Roman" w:eastAsia="Times New Roman" w:hAnsi="Times New Roman"/>
          <w:sz w:val="16"/>
          <w:szCs w:val="16"/>
          <w:b w:val="1"/>
          <w:bCs w:val="1"/>
          <w:color w:val="010000"/>
        </w:rPr>
        <w:t xml:space="preserve">Section 9.19 </w:t>
      </w:r>
      <w:r>
        <w:rPr>
          <w:rFonts w:ascii="Times New Roman" w:cs="Times New Roman" w:eastAsia="Times New Roman" w:hAnsi="Times New Roman"/>
          <w:sz w:val="16"/>
          <w:szCs w:val="16"/>
          <w:b w:val="1"/>
          <w:bCs w:val="1"/>
          <w:color w:val="000000"/>
        </w:rPr>
        <w:t>No Presumption Against Drafting Party</w:t>
      </w:r>
      <w:r>
        <w:rPr>
          <w:rFonts w:ascii="Times New Roman" w:cs="Times New Roman" w:eastAsia="Times New Roman" w:hAnsi="Times New Roman"/>
          <w:sz w:val="16"/>
          <w:szCs w:val="16"/>
          <w:color w:val="000000"/>
        </w:rPr>
        <w:t>. Each of Parent, Merger Sub and the Company acknowledges that each party to this Agreement</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has been represented by legal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26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The remainder of this page is intentionally left blank.</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86</w:t>
      </w:r>
    </w:p>
    <w:p>
      <w:pPr>
        <w:sectPr>
          <w:pgSz w:w="11900" w:h="16840" w:orient="portrait"/>
          <w:cols w:equalWidth="0" w:num="1">
            <w:col w:w="10609"/>
          </w:cols>
          <w:pgMar w:left="651" w:top="1440" w:right="640" w:bottom="1440" w:gutter="0" w:footer="0" w:header="0"/>
        </w:sectPr>
      </w:pPr>
    </w:p>
    <w:bookmarkStart w:id="365" w:name="page366"/>
    <w:bookmarkEnd w:id="365"/>
    <w:p>
      <w:pPr>
        <w:spacing w:after="0" w:line="252" w:lineRule="exact"/>
        <w:rPr>
          <w:sz w:val="20"/>
          <w:szCs w:val="20"/>
          <w:color w:val="auto"/>
        </w:rPr>
      </w:pPr>
    </w:p>
    <w:p>
      <w:pPr>
        <w:ind w:firstLine="485"/>
        <w:spacing w:after="0" w:line="284" w:lineRule="auto"/>
        <w:rPr>
          <w:sz w:val="20"/>
          <w:szCs w:val="20"/>
          <w:color w:val="auto"/>
        </w:rPr>
      </w:pPr>
      <w:r>
        <w:rPr>
          <w:rFonts w:ascii="Times New Roman" w:cs="Times New Roman" w:eastAsia="Times New Roman" w:hAnsi="Times New Roman"/>
          <w:sz w:val="16"/>
          <w:szCs w:val="16"/>
          <w:color w:val="auto"/>
        </w:rPr>
        <w:t>IN WITNESS WHEREOF, the parties have caused this Agreement to be executed as of the date first written above by their respective officers thereunto duly authorized.</w:t>
      </w:r>
    </w:p>
    <w:p>
      <w:pPr>
        <w:spacing w:after="0" w:line="27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b w:val="1"/>
          <w:bCs w:val="1"/>
          <w:color w:val="auto"/>
        </w:rPr>
        <w:t>BIONTECH COLLABORATIONS GMBH</w:t>
      </w:r>
    </w:p>
    <w:p>
      <w:pPr>
        <w:spacing w:after="0" w:line="33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color w:val="auto"/>
        </w:rPr>
        <w:t>By: /s/ Sierk Poetting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2016125</wp:posOffset>
            </wp:positionH>
            <wp:positionV relativeFrom="paragraph">
              <wp:posOffset>-6985</wp:posOffset>
            </wp:positionV>
            <wp:extent cx="808990" cy="63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23">
                      <a:extLst>
                        <a:ext uri="{28A0092B-C50C-407E-A947-70E740481C1C}"/>
                      </a:extLst>
                    </a:blip>
                    <a:srcRect/>
                    <a:stretch>
                      <a:fillRect/>
                    </a:stretch>
                  </pic:blipFill>
                  <pic:spPr bwMode="auto">
                    <a:xfrm>
                      <a:off x="0" y="0"/>
                      <a:ext cx="808990" cy="6350"/>
                    </a:xfrm>
                    <a:prstGeom prst="rect">
                      <a:avLst/>
                    </a:prstGeom>
                    <a:noFill/>
                  </pic:spPr>
                </pic:pic>
              </a:graphicData>
            </a:graphic>
          </wp:anchor>
        </w:drawing>
      </w:r>
    </w:p>
    <w:p>
      <w:pPr>
        <w:spacing w:after="0" w:line="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color w:val="auto"/>
        </w:rPr>
        <w:t>Name: Dr. Sierk Poetting</w:t>
      </w:r>
    </w:p>
    <w:p>
      <w:pPr>
        <w:spacing w:after="0" w:line="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color w:val="auto"/>
        </w:rPr>
        <w:t>Title: Managing Director</w:t>
      </w:r>
    </w:p>
    <w:p>
      <w:pPr>
        <w:spacing w:after="0" w:line="31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color w:val="auto"/>
        </w:rPr>
        <w:t>By: /s/ Dirk Schreiber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2016125</wp:posOffset>
            </wp:positionH>
            <wp:positionV relativeFrom="paragraph">
              <wp:posOffset>-6985</wp:posOffset>
            </wp:positionV>
            <wp:extent cx="828040" cy="63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24">
                      <a:extLst>
                        <a:ext uri="{28A0092B-C50C-407E-A947-70E740481C1C}"/>
                      </a:extLst>
                    </a:blip>
                    <a:srcRect/>
                    <a:stretch>
                      <a:fillRect/>
                    </a:stretch>
                  </pic:blipFill>
                  <pic:spPr bwMode="auto">
                    <a:xfrm>
                      <a:off x="0" y="0"/>
                      <a:ext cx="828040" cy="6350"/>
                    </a:xfrm>
                    <a:prstGeom prst="rect">
                      <a:avLst/>
                    </a:prstGeom>
                    <a:noFill/>
                  </pic:spPr>
                </pic:pic>
              </a:graphicData>
            </a:graphic>
          </wp:anchor>
        </w:drawing>
      </w:r>
    </w:p>
    <w:p>
      <w:pPr>
        <w:spacing w:after="0" w:line="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color w:val="auto"/>
        </w:rPr>
        <w:t>Name: Dirk Schreiber</w:t>
      </w:r>
    </w:p>
    <w:p>
      <w:pPr>
        <w:spacing w:after="0" w:line="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color w:val="auto"/>
        </w:rPr>
        <w:t>Title: Managing Director</w:t>
      </w:r>
    </w:p>
    <w:p>
      <w:pPr>
        <w:spacing w:after="0" w:line="31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b w:val="1"/>
          <w:bCs w:val="1"/>
          <w:color w:val="auto"/>
        </w:rPr>
        <w:t>SIMBA MERGER SUB</w:t>
      </w:r>
    </w:p>
    <w:p>
      <w:pPr>
        <w:spacing w:after="0" w:line="33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color w:val="auto"/>
        </w:rPr>
        <w:t>By: /s/ Sierk Poetting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2016125</wp:posOffset>
            </wp:positionH>
            <wp:positionV relativeFrom="paragraph">
              <wp:posOffset>-6985</wp:posOffset>
            </wp:positionV>
            <wp:extent cx="808990" cy="63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25">
                      <a:extLst>
                        <a:ext uri="{28A0092B-C50C-407E-A947-70E740481C1C}"/>
                      </a:extLst>
                    </a:blip>
                    <a:srcRect/>
                    <a:stretch>
                      <a:fillRect/>
                    </a:stretch>
                  </pic:blipFill>
                  <pic:spPr bwMode="auto">
                    <a:xfrm>
                      <a:off x="0" y="0"/>
                      <a:ext cx="808990" cy="6350"/>
                    </a:xfrm>
                    <a:prstGeom prst="rect">
                      <a:avLst/>
                    </a:prstGeom>
                    <a:noFill/>
                  </pic:spPr>
                </pic:pic>
              </a:graphicData>
            </a:graphic>
          </wp:anchor>
        </w:drawing>
      </w:r>
    </w:p>
    <w:p>
      <w:pPr>
        <w:spacing w:after="0" w:line="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color w:val="auto"/>
        </w:rPr>
        <w:t>Name: Dr. Sierk Poetting</w:t>
      </w:r>
    </w:p>
    <w:p>
      <w:pPr>
        <w:spacing w:after="0" w:line="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color w:val="auto"/>
        </w:rPr>
        <w:t>Title: Director</w:t>
      </w:r>
    </w:p>
    <w:p>
      <w:pPr>
        <w:spacing w:after="0" w:line="31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color w:val="auto"/>
        </w:rPr>
        <w:t>By: /s/ Jens Holstein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2016125</wp:posOffset>
            </wp:positionH>
            <wp:positionV relativeFrom="paragraph">
              <wp:posOffset>-6985</wp:posOffset>
            </wp:positionV>
            <wp:extent cx="776605" cy="63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26">
                      <a:extLst>
                        <a:ext uri="{28A0092B-C50C-407E-A947-70E740481C1C}"/>
                      </a:extLst>
                    </a:blip>
                    <a:srcRect/>
                    <a:stretch>
                      <a:fillRect/>
                    </a:stretch>
                  </pic:blipFill>
                  <pic:spPr bwMode="auto">
                    <a:xfrm>
                      <a:off x="0" y="0"/>
                      <a:ext cx="776605" cy="6350"/>
                    </a:xfrm>
                    <a:prstGeom prst="rect">
                      <a:avLst/>
                    </a:prstGeom>
                    <a:noFill/>
                  </pic:spPr>
                </pic:pic>
              </a:graphicData>
            </a:graphic>
          </wp:anchor>
        </w:drawing>
      </w:r>
    </w:p>
    <w:p>
      <w:pPr>
        <w:spacing w:after="0" w:line="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color w:val="auto"/>
        </w:rPr>
        <w:t>Name: Jens Holstein</w:t>
      </w:r>
    </w:p>
    <w:p>
      <w:pPr>
        <w:spacing w:after="0" w:line="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Signature Page to Agreement and Plan of Merger</w:t>
      </w:r>
    </w:p>
    <w:p>
      <w:pPr>
        <w:sectPr>
          <w:pgSz w:w="11900" w:h="16840" w:orient="portrait"/>
          <w:cols w:equalWidth="0" w:num="1">
            <w:col w:w="10340"/>
          </w:cols>
          <w:pgMar w:left="660" w:top="1440" w:right="900" w:bottom="1440" w:gutter="0" w:footer="0" w:header="0"/>
        </w:sectPr>
      </w:pPr>
    </w:p>
    <w:bookmarkStart w:id="366" w:name="page367"/>
    <w:bookmarkEnd w:id="366"/>
    <w:p>
      <w:pPr>
        <w:spacing w:after="0" w:line="200" w:lineRule="exact"/>
        <w:rPr>
          <w:sz w:val="20"/>
          <w:szCs w:val="20"/>
          <w:color w:val="auto"/>
        </w:rPr>
      </w:pPr>
    </w:p>
    <w:p>
      <w:pPr>
        <w:spacing w:after="0" w:line="21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b w:val="1"/>
          <w:bCs w:val="1"/>
          <w:color w:val="auto"/>
        </w:rPr>
        <w:t>BIOTHEUS</w:t>
      </w:r>
    </w:p>
    <w:p>
      <w:pPr>
        <w:spacing w:after="0" w:line="2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1"/>
          <w:szCs w:val="11"/>
          <w:i w:val="1"/>
          <w:iCs w:val="1"/>
          <w:color w:val="auto"/>
        </w:rPr>
        <w:t xml:space="preserve">For and on behalf of </w:t>
      </w:r>
      <w:r>
        <w:rPr>
          <w:rFonts w:ascii="Times New Roman" w:cs="Times New Roman" w:eastAsia="Times New Roman" w:hAnsi="Times New Roman"/>
          <w:sz w:val="11"/>
          <w:szCs w:val="11"/>
          <w:color w:val="auto"/>
        </w:rPr>
        <w:t>Biotheus</w:t>
      </w:r>
    </w:p>
    <w:p>
      <w:pPr>
        <w:spacing w:after="0" w:line="73" w:lineRule="exact"/>
        <w:rPr>
          <w:sz w:val="20"/>
          <w:szCs w:val="20"/>
          <w:color w:val="auto"/>
        </w:rPr>
      </w:pPr>
    </w:p>
    <w:p>
      <w:pPr>
        <w:ind w:left="2120"/>
        <w:spacing w:after="0"/>
        <w:tabs>
          <w:tab w:leader="none" w:pos="2540" w:val="left"/>
        </w:tabs>
        <w:rPr>
          <w:sz w:val="20"/>
          <w:szCs w:val="20"/>
          <w:color w:val="auto"/>
        </w:rPr>
      </w:pPr>
      <w:r>
        <w:rPr>
          <w:rFonts w:ascii="Times New Roman" w:cs="Times New Roman" w:eastAsia="Times New Roman" w:hAnsi="Times New Roman"/>
          <w:sz w:val="16"/>
          <w:szCs w:val="16"/>
          <w:color w:val="auto"/>
        </w:rPr>
        <w:t>By:</w:t>
        <w:tab/>
        <w:t>/s/ Xiaolin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-6985</wp:posOffset>
            </wp:positionV>
            <wp:extent cx="802640" cy="63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27">
                      <a:extLst>
                        <a:ext uri="{28A0092B-C50C-407E-A947-70E740481C1C}"/>
                      </a:extLst>
                    </a:blip>
                    <a:srcRect/>
                    <a:stretch>
                      <a:fillRect/>
                    </a:stretch>
                  </pic:blipFill>
                  <pic:spPr bwMode="auto">
                    <a:xfrm>
                      <a:off x="0" y="0"/>
                      <a:ext cx="802640" cy="6350"/>
                    </a:xfrm>
                    <a:prstGeom prst="rect">
                      <a:avLst/>
                    </a:prstGeom>
                    <a:noFill/>
                  </pic:spPr>
                </pic:pic>
              </a:graphicData>
            </a:graphic>
          </wp:anchor>
        </w:drawing>
      </w:r>
    </w:p>
    <w:p>
      <w:pPr>
        <w:spacing w:after="0" w:line="6" w:lineRule="exact"/>
        <w:rPr>
          <w:sz w:val="20"/>
          <w:szCs w:val="20"/>
          <w:color w:val="auto"/>
        </w:rPr>
      </w:pPr>
    </w:p>
    <w:p>
      <w:pPr>
        <w:ind w:left="2120"/>
        <w:spacing w:after="0"/>
        <w:tabs>
          <w:tab w:leader="none" w:pos="3480" w:val="left"/>
        </w:tabs>
        <w:rPr>
          <w:sz w:val="20"/>
          <w:szCs w:val="20"/>
          <w:color w:val="auto"/>
        </w:rPr>
      </w:pPr>
      <w:r>
        <w:rPr>
          <w:rFonts w:ascii="Times New Roman" w:cs="Times New Roman" w:eastAsia="Times New Roman" w:hAnsi="Times New Roman"/>
          <w:sz w:val="16"/>
          <w:szCs w:val="16"/>
          <w:color w:val="auto"/>
        </w:rPr>
        <w:t>Name: Xiaolin Liu</w:t>
      </w:r>
      <w:r>
        <w:rPr>
          <w:sz w:val="20"/>
          <w:szCs w:val="20"/>
          <w:color w:val="auto"/>
        </w:rPr>
        <w:tab/>
      </w:r>
      <w:r>
        <w:rPr>
          <w:rFonts w:ascii="Times New Roman" w:cs="Times New Roman" w:eastAsia="Times New Roman" w:hAnsi="Times New Roman"/>
          <w:sz w:val="11"/>
          <w:szCs w:val="11"/>
          <w:i w:val="1"/>
          <w:iCs w:val="1"/>
          <w:color w:val="auto"/>
        </w:rPr>
        <w:t>Authorized Signature(s)</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Title: Director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Agreement and Plan of Merger</w:t>
      </w:r>
    </w:p>
    <w:p>
      <w:pPr>
        <w:sectPr>
          <w:pgSz w:w="11900" w:h="16840" w:orient="portrait"/>
          <w:cols w:equalWidth="0" w:num="1">
            <w:col w:w="9020"/>
          </w:cols>
          <w:pgMar w:left="1440" w:top="1440" w:right="1440" w:bottom="1440" w:gutter="0" w:footer="0" w:header="0"/>
        </w:sectPr>
      </w:pPr>
    </w:p>
    <w:bookmarkStart w:id="367" w:name="page368"/>
    <w:bookmarkEnd w:id="367"/>
    <w:p>
      <w:pPr>
        <w:spacing w:after="0" w:line="200" w:lineRule="exact"/>
        <w:rPr>
          <w:sz w:val="20"/>
          <w:szCs w:val="20"/>
          <w:color w:val="auto"/>
        </w:rPr>
      </w:pPr>
    </w:p>
    <w:p>
      <w:pPr>
        <w:spacing w:after="0" w:line="21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b w:val="1"/>
          <w:bCs w:val="1"/>
          <w:color w:val="auto"/>
        </w:rPr>
        <w:t>SHAREHOLDERS’ AGENT</w:t>
      </w:r>
    </w:p>
    <w:p>
      <w:pPr>
        <w:spacing w:after="0" w:line="33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b w:val="1"/>
          <w:bCs w:val="1"/>
          <w:color w:val="auto"/>
        </w:rPr>
        <w:t>SHAREHOLDER REPRESENTATIVE SERVICES LLC</w:t>
      </w:r>
    </w:p>
    <w:p>
      <w:pPr>
        <w:spacing w:after="0" w:line="33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By: /s/ Corey Quinlan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-6985</wp:posOffset>
            </wp:positionV>
            <wp:extent cx="834390" cy="63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28">
                      <a:extLst>
                        <a:ext uri="{28A0092B-C50C-407E-A947-70E740481C1C}"/>
                      </a:extLst>
                    </a:blip>
                    <a:srcRect/>
                    <a:stretch>
                      <a:fillRect/>
                    </a:stretch>
                  </pic:blipFill>
                  <pic:spPr bwMode="auto">
                    <a:xfrm>
                      <a:off x="0" y="0"/>
                      <a:ext cx="834390" cy="6350"/>
                    </a:xfrm>
                    <a:prstGeom prst="rect">
                      <a:avLst/>
                    </a:prstGeom>
                    <a:noFill/>
                  </pic:spPr>
                </pic:pic>
              </a:graphicData>
            </a:graphic>
          </wp:anchor>
        </w:drawing>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Name: Corey Quinlan</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Signature Page to Agreement and Plan of Merger</w:t>
      </w:r>
    </w:p>
    <w:p>
      <w:pPr>
        <w:sectPr>
          <w:pgSz w:w="11900" w:h="16840" w:orient="portrait"/>
          <w:cols w:equalWidth="0" w:num="1">
            <w:col w:w="9020"/>
          </w:cols>
          <w:pgMar w:left="1440" w:top="1440" w:right="1440" w:bottom="1440" w:gutter="0" w:footer="0" w:header="0"/>
        </w:sectPr>
      </w:pPr>
    </w:p>
    <w:bookmarkStart w:id="368" w:name="page369"/>
    <w:bookmarkEnd w:id="368"/>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Support Agreement</w:t>
      </w:r>
    </w:p>
    <w:p>
      <w:pPr>
        <w:spacing w:after="0" w:line="19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w:t>
      </w:r>
    </w:p>
    <w:p>
      <w:pPr>
        <w:sectPr>
          <w:pgSz w:w="11900" w:h="16840" w:orient="portrait"/>
          <w:cols w:equalWidth="0" w:num="1">
            <w:col w:w="9020"/>
          </w:cols>
          <w:pgMar w:left="1440" w:top="1440" w:right="1440" w:bottom="1440" w:gutter="0" w:footer="0" w:header="0"/>
        </w:sectPr>
      </w:pPr>
    </w:p>
    <w:bookmarkStart w:id="369" w:name="page370"/>
    <w:bookmarkEnd w:id="369"/>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Exhibit B</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Illustrative Net Working Capital Calculation</w:t>
      </w:r>
    </w:p>
    <w:p>
      <w:pPr>
        <w:spacing w:after="0" w:line="19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w:t>
      </w:r>
    </w:p>
    <w:p>
      <w:pPr>
        <w:sectPr>
          <w:pgSz w:w="11900" w:h="16840" w:orient="portrait"/>
          <w:cols w:equalWidth="0" w:num="1">
            <w:col w:w="9020"/>
          </w:cols>
          <w:pgMar w:left="1440" w:top="1440" w:right="1440" w:bottom="1440" w:gutter="0" w:footer="0" w:header="0"/>
        </w:sectPr>
      </w:pPr>
    </w:p>
    <w:bookmarkStart w:id="370" w:name="page371"/>
    <w:bookmarkEnd w:id="370"/>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Exhibit C</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Transaction Accounting Principles</w:t>
      </w:r>
    </w:p>
    <w:p>
      <w:pPr>
        <w:spacing w:after="0" w:line="19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w:t>
      </w:r>
    </w:p>
    <w:p>
      <w:pPr>
        <w:sectPr>
          <w:pgSz w:w="11900" w:h="16840" w:orient="portrait"/>
          <w:cols w:equalWidth="0" w:num="1">
            <w:col w:w="9020"/>
          </w:cols>
          <w:pgMar w:left="1440" w:top="1440" w:right="1440" w:bottom="1440" w:gutter="0" w:footer="0" w:header="0"/>
        </w:sectPr>
      </w:pPr>
    </w:p>
    <w:bookmarkStart w:id="371" w:name="page372"/>
    <w:bookmarkEnd w:id="371"/>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Exhibit 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Plan of Merger</w:t>
      </w:r>
    </w:p>
    <w:p>
      <w:pPr>
        <w:spacing w:after="0" w:line="19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w:t>
      </w:r>
    </w:p>
    <w:p>
      <w:pPr>
        <w:sectPr>
          <w:pgSz w:w="11900" w:h="16840" w:orient="portrait"/>
          <w:cols w:equalWidth="0" w:num="1">
            <w:col w:w="9020"/>
          </w:cols>
          <w:pgMar w:left="1440" w:top="1440" w:right="1440" w:bottom="1440" w:gutter="0" w:footer="0" w:header="0"/>
        </w:sectPr>
      </w:pPr>
    </w:p>
    <w:bookmarkStart w:id="372" w:name="page373"/>
    <w:bookmarkEnd w:id="372"/>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Exhibit 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ADS Agreement</w:t>
      </w:r>
    </w:p>
    <w:p>
      <w:pPr>
        <w:spacing w:after="0" w:line="19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w:t>
      </w:r>
    </w:p>
    <w:p>
      <w:pPr>
        <w:sectPr>
          <w:pgSz w:w="11900" w:h="16840" w:orient="portrait"/>
          <w:cols w:equalWidth="0" w:num="1">
            <w:col w:w="9020"/>
          </w:cols>
          <w:pgMar w:left="1440" w:top="1440" w:right="1440" w:bottom="1440" w:gutter="0" w:footer="0" w:header="0"/>
        </w:sectPr>
      </w:pPr>
    </w:p>
    <w:bookmarkStart w:id="373" w:name="page374"/>
    <w:bookmarkEnd w:id="373"/>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Exhibit F</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9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w:t>
      </w:r>
    </w:p>
    <w:p>
      <w:pPr>
        <w:sectPr>
          <w:pgSz w:w="11900" w:h="16840" w:orient="portrait"/>
          <w:cols w:equalWidth="0" w:num="1">
            <w:col w:w="9020"/>
          </w:cols>
          <w:pgMar w:left="1440" w:top="1440" w:right="1440" w:bottom="1440" w:gutter="0" w:footer="0" w:header="0"/>
        </w:sectPr>
      </w:pPr>
    </w:p>
    <w:bookmarkStart w:id="374" w:name="page375"/>
    <w:bookmarkEnd w:id="374"/>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Exhibit 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Share Surrender Agreement</w:t>
      </w:r>
    </w:p>
    <w:p>
      <w:pPr>
        <w:spacing w:after="0" w:line="19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w:t>
      </w:r>
    </w:p>
    <w:p>
      <w:pPr>
        <w:sectPr>
          <w:pgSz w:w="11900" w:h="16840" w:orient="portrait"/>
          <w:cols w:equalWidth="0" w:num="1">
            <w:col w:w="9020"/>
          </w:cols>
          <w:pgMar w:left="1440" w:top="1440" w:right="1440" w:bottom="1440" w:gutter="0" w:footer="0" w:header="0"/>
        </w:sectPr>
      </w:pPr>
    </w:p>
    <w:bookmarkStart w:id="375" w:name="page376"/>
    <w:bookmarkEnd w:id="375"/>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Exhibit H</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Key Employee Agreement</w:t>
      </w:r>
    </w:p>
    <w:p>
      <w:pPr>
        <w:spacing w:after="0" w:line="19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w:t>
      </w:r>
    </w:p>
    <w:p>
      <w:pPr>
        <w:sectPr>
          <w:pgSz w:w="11900" w:h="16840" w:orient="portrait"/>
          <w:cols w:equalWidth="0" w:num="1">
            <w:col w:w="9020"/>
          </w:cols>
          <w:pgMar w:left="1440" w:top="1440" w:right="1440" w:bottom="1440" w:gutter="0" w:footer="0" w:header="0"/>
        </w:sectPr>
      </w:pPr>
    </w:p>
    <w:bookmarkStart w:id="376" w:name="page377"/>
    <w:bookmarkEnd w:id="376"/>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Exhibit I</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Illustrative Closing Payment Spreadsheet</w:t>
      </w:r>
    </w:p>
    <w:p>
      <w:pPr>
        <w:spacing w:after="0" w:line="19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w:t>
      </w:r>
    </w:p>
    <w:p>
      <w:pPr>
        <w:sectPr>
          <w:pgSz w:w="11900" w:h="16840" w:orient="portrait"/>
          <w:cols w:equalWidth="0" w:num="1">
            <w:col w:w="9020"/>
          </w:cols>
          <w:pgMar w:left="1440" w:top="1440" w:right="1440" w:bottom="1440" w:gutter="0" w:footer="0" w:header="0"/>
        </w:sectPr>
      </w:pPr>
    </w:p>
    <w:bookmarkStart w:id="377" w:name="page378"/>
    <w:bookmarkEnd w:id="377"/>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Exhibit J</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Memorandum and Articles Amendment</w:t>
      </w:r>
    </w:p>
    <w:p>
      <w:pPr>
        <w:spacing w:after="0" w:line="19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w:t>
      </w:r>
    </w:p>
    <w:p>
      <w:pPr>
        <w:sectPr>
          <w:pgSz w:w="11900" w:h="16840" w:orient="portrait"/>
          <w:cols w:equalWidth="0" w:num="1">
            <w:col w:w="9020"/>
          </w:cols>
          <w:pgMar w:left="1440" w:top="1440" w:right="1440" w:bottom="1440" w:gutter="0" w:footer="0" w:header="0"/>
        </w:sectPr>
      </w:pPr>
    </w:p>
    <w:bookmarkStart w:id="378" w:name="page379"/>
    <w:bookmarkEnd w:id="378"/>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Exhibit K</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Forms of Supplemental Grant Agreements</w:t>
      </w:r>
    </w:p>
    <w:p>
      <w:pPr>
        <w:spacing w:after="0" w:line="19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w:t>
      </w:r>
    </w:p>
    <w:p>
      <w:pPr>
        <w:sectPr>
          <w:pgSz w:w="11900" w:h="16840" w:orient="portrait"/>
          <w:cols w:equalWidth="0" w:num="1">
            <w:col w:w="9020"/>
          </w:cols>
          <w:pgMar w:left="1440" w:top="1440" w:right="1440" w:bottom="1440" w:gutter="0" w:footer="0" w:header="0"/>
        </w:sectPr>
      </w:pPr>
    </w:p>
    <w:bookmarkStart w:id="379" w:name="page380"/>
    <w:bookmarkEnd w:id="379"/>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Exhibit L</w:t>
      </w:r>
    </w:p>
    <w:p>
      <w:pPr>
        <w:spacing w:after="0" w:line="19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6"/>
          <w:szCs w:val="16"/>
          <w:b w:val="1"/>
          <w:bCs w:val="1"/>
          <w:color w:val="auto"/>
        </w:rPr>
        <w:t>Remuneration Policy</w:t>
      </w:r>
    </w:p>
    <w:p>
      <w:pPr>
        <w:spacing w:after="0" w:line="19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w:t>
      </w:r>
    </w:p>
    <w:p>
      <w:pPr>
        <w:sectPr>
          <w:pgSz w:w="11900" w:h="16840" w:orient="portrait"/>
          <w:cols w:equalWidth="0" w:num="1">
            <w:col w:w="9020"/>
          </w:cols>
          <w:pgMar w:left="1440" w:top="1440" w:right="1440" w:bottom="1440" w:gutter="0" w:footer="0" w:header="0"/>
        </w:sectPr>
      </w:pPr>
    </w:p>
    <w:bookmarkStart w:id="380" w:name="page381"/>
    <w:bookmarkEnd w:id="380"/>
    <w:p>
      <w:pPr>
        <w:spacing w:after="0" w:line="17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Exhibit M</w:t>
      </w:r>
    </w:p>
    <w:p>
      <w:pPr>
        <w:spacing w:after="0" w:line="19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Unanimous Written Resolutions of the Shareholders</w:t>
      </w:r>
    </w:p>
    <w:p>
      <w:pPr>
        <w:spacing w:after="0" w:line="19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w:t>
      </w:r>
    </w:p>
    <w:p>
      <w:pPr>
        <w:sectPr>
          <w:pgSz w:w="11900" w:h="16840" w:orient="portrait"/>
          <w:cols w:equalWidth="0" w:num="1">
            <w:col w:w="9020"/>
          </w:cols>
          <w:pgMar w:left="1440" w:top="1440" w:right="1440" w:bottom="1440" w:gutter="0" w:footer="0" w:header="0"/>
        </w:sectPr>
      </w:pPr>
    </w:p>
    <w:bookmarkStart w:id="381" w:name="page382"/>
    <w:bookmarkEnd w:id="381"/>
    <w:p>
      <w:pPr>
        <w:spacing w:after="0" w:line="37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Schedule 1</w:t>
      </w:r>
    </w:p>
    <w:p>
      <w:pPr>
        <w:spacing w:after="0" w:line="190" w:lineRule="exact"/>
        <w:rPr>
          <w:sz w:val="20"/>
          <w:szCs w:val="20"/>
          <w:color w:val="auto"/>
        </w:rPr>
      </w:pPr>
    </w:p>
    <w:p>
      <w:pPr>
        <w:jc w:val="right"/>
        <w:ind w:right="4420"/>
        <w:spacing w:after="0"/>
        <w:rPr>
          <w:sz w:val="20"/>
          <w:szCs w:val="20"/>
          <w:color w:val="auto"/>
        </w:rPr>
      </w:pPr>
      <w:r>
        <w:rPr>
          <w:rFonts w:ascii="Times New Roman" w:cs="Times New Roman" w:eastAsia="Times New Roman" w:hAnsi="Times New Roman"/>
          <w:sz w:val="16"/>
          <w:szCs w:val="16"/>
          <w:b w:val="1"/>
          <w:bCs w:val="1"/>
          <w:color w:val="auto"/>
        </w:rPr>
        <w:t>Knowledge Persons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ectPr>
          <w:pgSz w:w="11900" w:h="16840" w:orient="portrait"/>
          <w:cols w:equalWidth="0" w:num="1">
            <w:col w:w="9320"/>
          </w:cols>
          <w:pgMar w:left="1140" w:top="1440" w:right="1440" w:bottom="1440" w:gutter="0" w:footer="0" w:header="0"/>
        </w:sectPr>
      </w:pPr>
    </w:p>
    <w:bookmarkStart w:id="382" w:name="page383"/>
    <w:bookmarkEnd w:id="382"/>
    <w:p>
      <w:pPr>
        <w:spacing w:after="0" w:line="37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Schedule 2</w:t>
      </w:r>
    </w:p>
    <w:p>
      <w:pPr>
        <w:spacing w:after="0" w:line="19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6"/>
          <w:szCs w:val="16"/>
          <w:b w:val="1"/>
          <w:bCs w:val="1"/>
          <w:color w:val="auto"/>
        </w:rPr>
        <w:t>Key Employees</w:t>
      </w:r>
    </w:p>
    <w:p>
      <w:pPr>
        <w:spacing w:after="0" w:line="101" w:lineRule="exact"/>
        <w:rPr>
          <w:sz w:val="20"/>
          <w:szCs w:val="20"/>
          <w:color w:val="auto"/>
        </w:rPr>
      </w:pPr>
    </w:p>
    <w:p>
      <w:pPr>
        <w:jc w:val="right"/>
        <w:ind w:right="4340"/>
        <w:spacing w:after="0"/>
        <w:rPr>
          <w:sz w:val="20"/>
          <w:szCs w:val="20"/>
          <w:color w:val="auto"/>
        </w:rPr>
      </w:pPr>
      <w:r>
        <w:rPr>
          <w:rFonts w:ascii="Times New Roman" w:cs="Times New Roman" w:eastAsia="Times New Roman" w:hAnsi="Times New Roman"/>
          <w:sz w:val="16"/>
          <w:szCs w:val="16"/>
          <w:color w:val="auto"/>
        </w:rPr>
        <w:t>[***]</w:t>
      </w:r>
    </w:p>
    <w:p>
      <w:pPr>
        <w:sectPr>
          <w:pgSz w:w="11900" w:h="16840" w:orient="portrait"/>
          <w:cols w:equalWidth="0" w:num="1">
            <w:col w:w="9020"/>
          </w:cols>
          <w:pgMar w:left="1440" w:top="1440" w:right="1440" w:bottom="1440" w:gutter="0" w:footer="0" w:header="0"/>
        </w:sectPr>
      </w:pPr>
    </w:p>
    <w:bookmarkStart w:id="383" w:name="page384"/>
    <w:bookmarkEnd w:id="383"/>
    <w:p>
      <w:pPr>
        <w:spacing w:after="0" w:line="371" w:lineRule="exact"/>
        <w:rPr>
          <w:sz w:val="20"/>
          <w:szCs w:val="20"/>
          <w:color w:val="auto"/>
        </w:rPr>
      </w:pPr>
    </w:p>
    <w:p>
      <w:pPr>
        <w:jc w:val="right"/>
        <w:ind w:right="4520"/>
        <w:spacing w:after="0"/>
        <w:rPr>
          <w:sz w:val="20"/>
          <w:szCs w:val="20"/>
          <w:color w:val="auto"/>
        </w:rPr>
      </w:pPr>
      <w:r>
        <w:rPr>
          <w:rFonts w:ascii="Times New Roman" w:cs="Times New Roman" w:eastAsia="Times New Roman" w:hAnsi="Times New Roman"/>
          <w:sz w:val="16"/>
          <w:szCs w:val="16"/>
          <w:b w:val="1"/>
          <w:bCs w:val="1"/>
          <w:color w:val="auto"/>
        </w:rPr>
        <w:t>Schedule 2.12(b)</w:t>
      </w:r>
    </w:p>
    <w:p>
      <w:pPr>
        <w:spacing w:after="0" w:line="19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ADC Programs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ectPr>
          <w:pgSz w:w="11900" w:h="16840" w:orient="portrait"/>
          <w:cols w:equalWidth="0" w:num="1">
            <w:col w:w="9320"/>
          </w:cols>
          <w:pgMar w:left="1140" w:top="1440" w:right="1440" w:bottom="1440" w:gutter="0" w:footer="0" w:header="0"/>
        </w:sectPr>
      </w:pPr>
    </w:p>
    <w:bookmarkStart w:id="384" w:name="page385"/>
    <w:bookmarkEnd w:id="384"/>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Schedule 2.12(c)</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Contingent Payment Spreadsheet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ectPr>
          <w:pgSz w:w="11900" w:h="16840" w:orient="portrait"/>
          <w:cols w:equalWidth="0" w:num="1">
            <w:col w:w="9020"/>
          </w:cols>
          <w:pgMar w:left="1440" w:top="1440" w:right="1440" w:bottom="1440" w:gutter="0" w:footer="0" w:header="0"/>
        </w:sectPr>
      </w:pPr>
    </w:p>
    <w:bookmarkStart w:id="385" w:name="page386"/>
    <w:bookmarkEnd w:id="385"/>
    <w:p>
      <w:pPr>
        <w:spacing w:after="0" w:line="37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Schedule 2.12(d)</w:t>
      </w:r>
    </w:p>
    <w:p>
      <w:pPr>
        <w:spacing w:after="0" w:line="19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ectPr>
          <w:pgSz w:w="11900" w:h="16840" w:orient="portrait"/>
          <w:cols w:equalWidth="0" w:num="1">
            <w:col w:w="9320"/>
          </w:cols>
          <w:pgMar w:left="1140" w:top="1440" w:right="1440" w:bottom="1440" w:gutter="0" w:footer="0" w:header="0"/>
        </w:sectPr>
      </w:pPr>
    </w:p>
    <w:bookmarkStart w:id="386" w:name="page387"/>
    <w:bookmarkEnd w:id="386"/>
    <w:p>
      <w:pPr>
        <w:spacing w:after="0" w:line="17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Schedule 5.13</w:t>
      </w:r>
    </w:p>
    <w:p>
      <w:pPr>
        <w:spacing w:after="0" w:line="190" w:lineRule="exact"/>
        <w:rPr>
          <w:sz w:val="20"/>
          <w:szCs w:val="20"/>
          <w:color w:val="auto"/>
        </w:rPr>
      </w:pPr>
    </w:p>
    <w:p>
      <w:pPr>
        <w:jc w:val="right"/>
        <w:ind w:right="3820"/>
        <w:spacing w:after="0"/>
        <w:rPr>
          <w:sz w:val="20"/>
          <w:szCs w:val="20"/>
          <w:color w:val="auto"/>
        </w:rPr>
      </w:pPr>
      <w:r>
        <w:rPr>
          <w:rFonts w:ascii="Times New Roman" w:cs="Times New Roman" w:eastAsia="Times New Roman" w:hAnsi="Times New Roman"/>
          <w:sz w:val="16"/>
          <w:szCs w:val="16"/>
          <w:b w:val="1"/>
          <w:bCs w:val="1"/>
          <w:color w:val="auto"/>
        </w:rPr>
        <w:t>Surviving Related Party Agreements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ectPr>
          <w:pgSz w:w="11900" w:h="16840" w:orient="portrait"/>
          <w:cols w:equalWidth="0" w:num="1">
            <w:col w:w="9320"/>
          </w:cols>
          <w:pgMar w:left="1140" w:top="1440" w:right="1440" w:bottom="1440" w:gutter="0" w:footer="0" w:header="0"/>
        </w:sectPr>
      </w:pPr>
    </w:p>
    <w:bookmarkStart w:id="387" w:name="page388"/>
    <w:bookmarkEnd w:id="387"/>
    <w:p>
      <w:pPr>
        <w:spacing w:after="0" w:line="17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Schedule 5.15(a)</w:t>
      </w:r>
    </w:p>
    <w:p>
      <w:pPr>
        <w:spacing w:after="0" w:line="19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Retention Incentives</w:t>
      </w:r>
    </w:p>
    <w:p>
      <w:pPr>
        <w:spacing w:after="0" w:line="19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w:t>
      </w:r>
    </w:p>
    <w:p>
      <w:pPr>
        <w:sectPr>
          <w:pgSz w:w="11900" w:h="16840" w:orient="portrait"/>
          <w:cols w:equalWidth="0" w:num="1">
            <w:col w:w="9020"/>
          </w:cols>
          <w:pgMar w:left="1440" w:top="1440" w:right="1440" w:bottom="1440" w:gutter="0" w:footer="0" w:header="0"/>
        </w:sectPr>
      </w:pPr>
    </w:p>
    <w:bookmarkStart w:id="388" w:name="page389"/>
    <w:bookmarkEnd w:id="388"/>
    <w:p>
      <w:pPr>
        <w:spacing w:after="0" w:line="17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Schedule 5.21</w:t>
      </w:r>
    </w:p>
    <w:p>
      <w:pPr>
        <w:spacing w:after="0" w:line="19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Parent Required Insurance Policies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ectPr>
          <w:pgSz w:w="11900" w:h="16840" w:orient="portrait"/>
          <w:cols w:equalWidth="0" w:num="1">
            <w:col w:w="9800"/>
          </w:cols>
          <w:pgMar w:left="660" w:top="1440" w:right="1440" w:bottom="1440" w:gutter="0" w:footer="0" w:header="0"/>
        </w:sectPr>
      </w:pPr>
    </w:p>
    <w:bookmarkStart w:id="389" w:name="page390"/>
    <w:bookmarkEnd w:id="389"/>
    <w:p>
      <w:pPr>
        <w:spacing w:after="0" w:line="17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Schedule 5.27</w:t>
      </w:r>
    </w:p>
    <w:p>
      <w:pPr>
        <w:spacing w:after="0" w:line="19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Clinical Trial Agreements</w:t>
      </w:r>
    </w:p>
    <w:p>
      <w:pPr>
        <w:spacing w:after="0" w:line="19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w:t>
      </w:r>
    </w:p>
    <w:p>
      <w:pPr>
        <w:sectPr>
          <w:pgSz w:w="11900" w:h="16840" w:orient="portrait"/>
          <w:cols w:equalWidth="0" w:num="1">
            <w:col w:w="9020"/>
          </w:cols>
          <w:pgMar w:left="1440" w:top="1440" w:right="1440" w:bottom="1440" w:gutter="0" w:footer="0" w:header="0"/>
        </w:sectPr>
      </w:pPr>
    </w:p>
    <w:bookmarkStart w:id="390" w:name="page391"/>
    <w:bookmarkEnd w:id="390"/>
    <w:p>
      <w:pPr>
        <w:spacing w:after="0" w:line="17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Schedule 8.2(a)</w:t>
      </w:r>
    </w:p>
    <w:p>
      <w:pPr>
        <w:spacing w:after="0" w:line="190" w:lineRule="exact"/>
        <w:rPr>
          <w:sz w:val="20"/>
          <w:szCs w:val="20"/>
          <w:color w:val="auto"/>
        </w:rPr>
      </w:pPr>
    </w:p>
    <w:p>
      <w:pPr>
        <w:jc w:val="right"/>
        <w:ind w:right="4500"/>
        <w:spacing w:after="0"/>
        <w:rPr>
          <w:sz w:val="20"/>
          <w:szCs w:val="20"/>
          <w:color w:val="auto"/>
        </w:rPr>
      </w:pPr>
      <w:r>
        <w:rPr>
          <w:rFonts w:ascii="Times New Roman" w:cs="Times New Roman" w:eastAsia="Times New Roman" w:hAnsi="Times New Roman"/>
          <w:sz w:val="16"/>
          <w:szCs w:val="16"/>
          <w:b w:val="1"/>
          <w:bCs w:val="1"/>
          <w:color w:val="auto"/>
        </w:rPr>
        <w:t>Covered Matters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ectPr>
          <w:pgSz w:w="11900" w:h="16840" w:orient="portrait"/>
          <w:cols w:equalWidth="0" w:num="1">
            <w:col w:w="9320"/>
          </w:cols>
          <w:pgMar w:left="1140" w:top="1440" w:right="1440" w:bottom="1440" w:gutter="0" w:footer="0" w:header="0"/>
        </w:sectPr>
      </w:pPr>
    </w:p>
    <w:bookmarkStart w:id="391" w:name="page392"/>
    <w:bookmarkEnd w:id="391"/>
    <w:p>
      <w:pPr>
        <w:ind w:left="9900"/>
        <w:spacing w:after="0"/>
        <w:rPr>
          <w:sz w:val="20"/>
          <w:szCs w:val="20"/>
          <w:color w:val="auto"/>
        </w:rPr>
      </w:pPr>
      <w:r>
        <w:rPr>
          <w:rFonts w:ascii="Times New Roman" w:cs="Times New Roman" w:eastAsia="Times New Roman" w:hAnsi="Times New Roman"/>
          <w:sz w:val="13"/>
          <w:szCs w:val="13"/>
          <w:b w:val="1"/>
          <w:bCs w:val="1"/>
          <w:color w:val="auto"/>
        </w:rPr>
        <w:t>Exhibit 4.56</w:t>
      </w:r>
    </w:p>
    <w:p>
      <w:pPr>
        <w:spacing w:after="0" w:line="32" w:lineRule="exact"/>
        <w:rPr>
          <w:sz w:val="20"/>
          <w:szCs w:val="20"/>
          <w:color w:val="auto"/>
        </w:rPr>
      </w:pPr>
    </w:p>
    <w:p>
      <w:pPr>
        <w:ind w:left="280" w:right="140" w:hanging="6"/>
        <w:spacing w:after="0" w:line="248" w:lineRule="auto"/>
        <w:tabs>
          <w:tab w:leader="none" w:pos="593" w:val="left"/>
        </w:tabs>
        <w:numPr>
          <w:ilvl w:val="0"/>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Certain information in this document has been omitted from this exhibit because it is both (i) not material and (ii) the type of information that the Registrant treats as private or confidential.</w:t>
      </w:r>
    </w:p>
    <w:p>
      <w:pPr>
        <w:spacing w:after="0" w:line="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EXECUTION VERSION</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PUBLIC HEALTH SERVICE</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Amended and Restated Agreement</w:t>
      </w:r>
    </w:p>
    <w:p>
      <w:pPr>
        <w:spacing w:after="0" w:line="337" w:lineRule="exact"/>
        <w:rPr>
          <w:sz w:val="20"/>
          <w:szCs w:val="20"/>
          <w:color w:val="auto"/>
        </w:rPr>
      </w:pPr>
    </w:p>
    <w:p>
      <w:pPr>
        <w:jc w:val="center"/>
        <w:ind w:right="20"/>
        <w:spacing w:after="0" w:line="262" w:lineRule="auto"/>
        <w:rPr>
          <w:sz w:val="20"/>
          <w:szCs w:val="20"/>
          <w:color w:val="auto"/>
        </w:rPr>
      </w:pPr>
      <w:r>
        <w:rPr>
          <w:rFonts w:ascii="Times New Roman" w:cs="Times New Roman" w:eastAsia="Times New Roman" w:hAnsi="Times New Roman"/>
          <w:sz w:val="13"/>
          <w:szCs w:val="13"/>
          <w:color w:val="auto"/>
        </w:rPr>
        <w:t>This amended and restated agreement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is based on the model “Patent License Non-Exclusive Sublicensable Agreement” adopted by the U.S. Public Health Service (“</w:t>
      </w:r>
      <w:r>
        <w:rPr>
          <w:rFonts w:ascii="Times New Roman" w:cs="Times New Roman" w:eastAsia="Times New Roman" w:hAnsi="Times New Roman"/>
          <w:sz w:val="13"/>
          <w:szCs w:val="13"/>
          <w:b w:val="1"/>
          <w:bCs w:val="1"/>
          <w:color w:val="auto"/>
        </w:rPr>
        <w:t>PHS</w:t>
      </w:r>
      <w:r>
        <w:rPr>
          <w:rFonts w:ascii="Times New Roman" w:cs="Times New Roman" w:eastAsia="Times New Roman" w:hAnsi="Times New Roman"/>
          <w:sz w:val="13"/>
          <w:szCs w:val="13"/>
          <w:color w:val="auto"/>
        </w:rPr>
        <w:t>”) Technology Transfer Policy Board for use by components of the National Institutes of Health (“</w:t>
      </w:r>
      <w:r>
        <w:rPr>
          <w:rFonts w:ascii="Times New Roman" w:cs="Times New Roman" w:eastAsia="Times New Roman" w:hAnsi="Times New Roman"/>
          <w:sz w:val="13"/>
          <w:szCs w:val="13"/>
          <w:b w:val="1"/>
          <w:bCs w:val="1"/>
          <w:color w:val="auto"/>
        </w:rPr>
        <w:t>NIH</w:t>
      </w:r>
      <w:r>
        <w:rPr>
          <w:rFonts w:ascii="Times New Roman" w:cs="Times New Roman" w:eastAsia="Times New Roman" w:hAnsi="Times New Roman"/>
          <w:sz w:val="13"/>
          <w:szCs w:val="13"/>
          <w:color w:val="auto"/>
        </w:rPr>
        <w:t>”), the Centers for Disease Control and Prevention (“</w:t>
      </w:r>
      <w:r>
        <w:rPr>
          <w:rFonts w:ascii="Times New Roman" w:cs="Times New Roman" w:eastAsia="Times New Roman" w:hAnsi="Times New Roman"/>
          <w:sz w:val="13"/>
          <w:szCs w:val="13"/>
          <w:b w:val="1"/>
          <w:bCs w:val="1"/>
          <w:color w:val="auto"/>
        </w:rPr>
        <w:t>CDC</w:t>
      </w:r>
      <w:r>
        <w:rPr>
          <w:rFonts w:ascii="Times New Roman" w:cs="Times New Roman" w:eastAsia="Times New Roman" w:hAnsi="Times New Roman"/>
          <w:sz w:val="13"/>
          <w:szCs w:val="13"/>
          <w:color w:val="auto"/>
        </w:rPr>
        <w:t>”), and the Food and Drug Administration (“</w:t>
      </w:r>
      <w:r>
        <w:rPr>
          <w:rFonts w:ascii="Times New Roman" w:cs="Times New Roman" w:eastAsia="Times New Roman" w:hAnsi="Times New Roman"/>
          <w:sz w:val="13"/>
          <w:szCs w:val="13"/>
          <w:b w:val="1"/>
          <w:bCs w:val="1"/>
          <w:color w:val="auto"/>
        </w:rPr>
        <w:t>FDA</w:t>
      </w:r>
      <w:r>
        <w:rPr>
          <w:rFonts w:ascii="Times New Roman" w:cs="Times New Roman" w:eastAsia="Times New Roman" w:hAnsi="Times New Roman"/>
          <w:sz w:val="13"/>
          <w:szCs w:val="13"/>
          <w:color w:val="auto"/>
        </w:rPr>
        <w:t xml:space="preserve">”), which are agencies of the </w:t>
      </w:r>
      <w:r>
        <w:rPr>
          <w:rFonts w:ascii="Times New Roman" w:cs="Times New Roman" w:eastAsia="Times New Roman" w:hAnsi="Times New Roman"/>
          <w:sz w:val="13"/>
          <w:szCs w:val="13"/>
          <w:b w:val="1"/>
          <w:bCs w:val="1"/>
          <w:color w:val="auto"/>
        </w:rPr>
        <w:t>PHS</w:t>
      </w:r>
      <w:r>
        <w:rPr>
          <w:rFonts w:ascii="Times New Roman" w:cs="Times New Roman" w:eastAsia="Times New Roman" w:hAnsi="Times New Roman"/>
          <w:sz w:val="13"/>
          <w:szCs w:val="13"/>
          <w:color w:val="auto"/>
        </w:rPr>
        <w:t xml:space="preserve"> within the Department of Health and Human Services (“</w:t>
      </w:r>
      <w:r>
        <w:rPr>
          <w:rFonts w:ascii="Times New Roman" w:cs="Times New Roman" w:eastAsia="Times New Roman" w:hAnsi="Times New Roman"/>
          <w:sz w:val="13"/>
          <w:szCs w:val="13"/>
          <w:b w:val="1"/>
          <w:bCs w:val="1"/>
          <w:color w:val="auto"/>
        </w:rPr>
        <w:t>HHS</w:t>
      </w:r>
      <w:r>
        <w:rPr>
          <w:rFonts w:ascii="Times New Roman" w:cs="Times New Roman" w:eastAsia="Times New Roman" w:hAnsi="Times New Roman"/>
          <w:sz w:val="13"/>
          <w:szCs w:val="13"/>
          <w:color w:val="auto"/>
        </w:rPr>
        <w:t>”).</w:t>
      </w: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 xml:space="preserve">This Cover Page identifies the Parties to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U.S. Department of Health and Human Services, as represented by</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National Institute of Allergy and Infectious Diseases</w:t>
      </w:r>
    </w:p>
    <w:p>
      <w:pPr>
        <w:spacing w:after="0" w:line="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an Institute or Center (hereinafter referred to as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of the</w:t>
      </w:r>
    </w:p>
    <w:p>
      <w:pPr>
        <w:spacing w:after="0" w:line="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NIH</w:t>
      </w: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and</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BioNTech SE,</w:t>
      </w:r>
    </w:p>
    <w:p>
      <w:pPr>
        <w:spacing w:after="0" w:line="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hereinafter referred to as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having offices at An der Goldgrube 12, 55131 Mainz, Germany,</w:t>
      </w:r>
    </w:p>
    <w:p>
      <w:pPr>
        <w:spacing w:after="0" w:line="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created and operating under the laws of Germany.</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Tax ID No.: 98-1511032</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CONFIDENTIAL </w:t>
      </w:r>
      <w:r>
        <w:rPr>
          <w:rFonts w:ascii="Times New Roman" w:cs="Times New Roman" w:eastAsia="Times New Roman" w:hAnsi="Times New Roman"/>
          <w:sz w:val="11"/>
          <w:szCs w:val="11"/>
          <w:color w:val="auto"/>
        </w:rPr>
        <w: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1"/>
          <w:szCs w:val="11"/>
          <w:color w:val="auto"/>
        </w:rPr>
        <w:t>Model 10-2015 Rev 09-2024</w:t>
        <w:tab/>
        <w:t>Page 1 of 25 [FINAL] [BioNTech SE] [20 December 2024]</w:t>
      </w:r>
    </w:p>
    <w:p>
      <w:pPr>
        <w:sectPr>
          <w:pgSz w:w="11900" w:h="16840" w:orient="portrait"/>
          <w:cols w:equalWidth="0" w:num="1">
            <w:col w:w="10600"/>
          </w:cols>
          <w:pgMar w:left="660" w:top="750" w:right="640"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3"/>
          <w:szCs w:val="13"/>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For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internal use only:</w:t>
      </w:r>
    </w:p>
    <w:p>
      <w:pPr>
        <w:spacing w:after="0" w:line="2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License Number: [***]</w:t>
      </w:r>
    </w:p>
    <w:p>
      <w:pPr>
        <w:spacing w:after="0" w:line="200" w:lineRule="exact"/>
        <w:rPr>
          <w:sz w:val="20"/>
          <w:szCs w:val="20"/>
          <w:color w:val="auto"/>
        </w:rPr>
      </w:pPr>
    </w:p>
    <w:p>
      <w:pPr>
        <w:spacing w:after="0" w:line="2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License Application Number: [***]</w:t>
      </w:r>
    </w:p>
    <w:p>
      <w:pPr>
        <w:spacing w:after="0" w:line="2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Serial Number(s) of Licensed Patent(s) or Patent Application(s): [***].</w:t>
      </w:r>
    </w:p>
    <w:p>
      <w:pPr>
        <w:spacing w:after="0" w:line="200" w:lineRule="exact"/>
        <w:rPr>
          <w:sz w:val="20"/>
          <w:szCs w:val="20"/>
          <w:color w:val="auto"/>
        </w:rPr>
      </w:pPr>
    </w:p>
    <w:p>
      <w:pPr>
        <w:spacing w:after="0" w:line="2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Licensee: BioNTech SE</w:t>
      </w:r>
    </w:p>
    <w:p>
      <w:pPr>
        <w:spacing w:after="0" w:line="200" w:lineRule="exact"/>
        <w:rPr>
          <w:sz w:val="20"/>
          <w:szCs w:val="20"/>
          <w:color w:val="auto"/>
        </w:rPr>
      </w:pPr>
    </w:p>
    <w:p>
      <w:pPr>
        <w:spacing w:after="0" w:line="2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Cooperative Research and Development Agreement (CRADA) Number (if a subject invention):</w:t>
      </w:r>
    </w:p>
    <w:p>
      <w:pPr>
        <w:spacing w:after="0" w:line="1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N/A</w:t>
      </w:r>
    </w:p>
    <w:p>
      <w:pPr>
        <w:spacing w:after="0" w:line="1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Additional Remarks:</w:t>
      </w:r>
    </w:p>
    <w:p>
      <w:pPr>
        <w:spacing w:after="0" w:line="1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N/A</w:t>
      </w:r>
    </w:p>
    <w:p>
      <w:pPr>
        <w:spacing w:after="0" w:line="200" w:lineRule="exact"/>
        <w:rPr>
          <w:sz w:val="20"/>
          <w:szCs w:val="20"/>
          <w:color w:val="auto"/>
        </w:rPr>
      </w:pPr>
    </w:p>
    <w:p>
      <w:pPr>
        <w:spacing w:after="0" w:line="2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Public Benefit(s): This license will benefit public health by allowing for development of a SARS-CoV-2 vaccine.</w:t>
      </w:r>
    </w:p>
    <w:p>
      <w:pPr>
        <w:spacing w:after="0" w:line="2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3"/>
          <w:szCs w:val="13"/>
          <w:color w:val="auto"/>
        </w:rPr>
        <w:t>This Amended and Restated Agreement, hereinafter referred to as the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consists of this Cover Page, an attached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a Signature Page, Appendix A (List of Patent(s) or Patent Application(s)), Appendix B (Fields of Use and Territory), Appendix C (Royalties), Appendix D (Benchmarks and Performance), Appendix E (Commercial Development Plan), Appendix F (Example Royalty Report), Appendix G (Royalty Payment Options), and Appendix H (Demonstration of Royalty Calculations for Combination Products).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CONFIDENTIAL </w:t>
      </w:r>
      <w:r>
        <w:rPr>
          <w:rFonts w:ascii="Times New Roman" w:cs="Times New Roman" w:eastAsia="Times New Roman" w:hAnsi="Times New Roman"/>
          <w:sz w:val="11"/>
          <w:szCs w:val="11"/>
          <w:color w:val="auto"/>
        </w:rPr>
        <w: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1"/>
          <w:szCs w:val="11"/>
          <w:color w:val="auto"/>
        </w:rPr>
        <w:t>Model 10-2015 Rev 09-2024</w:t>
        <w:tab/>
        <w:t>Page 2 of 25 [FINAL] [BioNTech SE] [20 December 2024]</w:t>
      </w:r>
    </w:p>
    <w:p>
      <w:pPr>
        <w:sectPr>
          <w:pgSz w:w="11900" w:h="16840" w:orient="portrait"/>
          <w:cols w:equalWidth="0" w:num="1">
            <w:col w:w="10480"/>
          </w:cols>
          <w:pgMar w:left="660" w:top="752" w:right="760" w:bottom="1440" w:gutter="0" w:footer="0" w:header="0"/>
        </w:sectPr>
      </w:pPr>
    </w:p>
    <w:bookmarkStart w:id="393" w:name="page394"/>
    <w:bookmarkEnd w:id="393"/>
    <w:p>
      <w:pPr>
        <w:ind w:left="9"/>
        <w:spacing w:after="0"/>
        <w:rPr>
          <w:sz w:val="20"/>
          <w:szCs w:val="20"/>
          <w:color w:val="auto"/>
        </w:rPr>
      </w:pPr>
      <w:r>
        <w:rPr>
          <w:rFonts w:ascii="Times New Roman" w:cs="Times New Roman" w:eastAsia="Times New Roman" w:hAnsi="Times New Roman"/>
          <w:sz w:val="13"/>
          <w:szCs w:val="13"/>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and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agree as follows:</w:t>
      </w:r>
    </w:p>
    <w:p>
      <w:pPr>
        <w:spacing w:after="0" w:line="257" w:lineRule="exact"/>
        <w:rPr>
          <w:sz w:val="20"/>
          <w:szCs w:val="20"/>
          <w:color w:val="auto"/>
        </w:rPr>
      </w:pPr>
    </w:p>
    <w:p>
      <w:pPr>
        <w:ind w:left="489" w:hanging="489"/>
        <w:spacing w:after="0"/>
        <w:tabs>
          <w:tab w:leader="none" w:pos="489" w:val="left"/>
        </w:tabs>
        <w:numPr>
          <w:ilvl w:val="0"/>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BACKGROUND</w:t>
      </w:r>
    </w:p>
    <w:p>
      <w:pPr>
        <w:spacing w:after="0" w:line="141" w:lineRule="exact"/>
        <w:rPr>
          <w:rFonts w:ascii="Times New Roman" w:cs="Times New Roman" w:eastAsia="Times New Roman" w:hAnsi="Times New Roman"/>
          <w:sz w:val="13"/>
          <w:szCs w:val="13"/>
          <w:color w:val="auto"/>
        </w:rPr>
      </w:pPr>
    </w:p>
    <w:p>
      <w:pPr>
        <w:ind w:left="489"/>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1.1In the course of conducting biomedical and behavioral research,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investigators made inventions that may have commercial applicability.</w:t>
      </w:r>
    </w:p>
    <w:p>
      <w:pPr>
        <w:spacing w:after="0" w:line="127" w:lineRule="exact"/>
        <w:rPr>
          <w:sz w:val="20"/>
          <w:szCs w:val="20"/>
          <w:color w:val="auto"/>
        </w:rPr>
      </w:pPr>
    </w:p>
    <w:tbl>
      <w:tblPr>
        <w:tblLayout w:type="fixed"/>
        <w:tblInd w:w="489" w:type="dxa"/>
        <w:tblCellMar>
          <w:top w:w="0" w:type="dxa"/>
          <w:left w:w="0" w:type="dxa"/>
          <w:bottom w:w="0" w:type="dxa"/>
          <w:right w:w="0" w:type="dxa"/>
        </w:tblCellMar>
      </w:tblPr>
      <w:tr>
        <w:trPr>
          <w:trHeight w:val="149"/>
        </w:trPr>
        <w:tc>
          <w:tcPr>
            <w:tcW w:w="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85"/>
              </w:rPr>
              <w:t>1.2</w:t>
            </w:r>
          </w:p>
        </w:tc>
        <w:tc>
          <w:tcPr>
            <w:tcW w:w="9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By assignment of rights from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employees and other inventors, </w:t>
            </w:r>
            <w:r>
              <w:rPr>
                <w:rFonts w:ascii="Times New Roman" w:cs="Times New Roman" w:eastAsia="Times New Roman" w:hAnsi="Times New Roman"/>
                <w:sz w:val="13"/>
                <w:szCs w:val="13"/>
                <w:b w:val="1"/>
                <w:bCs w:val="1"/>
                <w:color w:val="auto"/>
              </w:rPr>
              <w:t>HHS</w:t>
            </w:r>
            <w:r>
              <w:rPr>
                <w:rFonts w:ascii="Times New Roman" w:cs="Times New Roman" w:eastAsia="Times New Roman" w:hAnsi="Times New Roman"/>
                <w:sz w:val="13"/>
                <w:szCs w:val="13"/>
                <w:color w:val="auto"/>
              </w:rPr>
              <w:t xml:space="preserve">, on behalf of the </w:t>
            </w:r>
            <w:r>
              <w:rPr>
                <w:rFonts w:ascii="Times New Roman" w:cs="Times New Roman" w:eastAsia="Times New Roman" w:hAnsi="Times New Roman"/>
                <w:sz w:val="13"/>
                <w:szCs w:val="13"/>
                <w:b w:val="1"/>
                <w:bCs w:val="1"/>
                <w:color w:val="auto"/>
              </w:rPr>
              <w:t>Government</w:t>
            </w:r>
            <w:r>
              <w:rPr>
                <w:rFonts w:ascii="Times New Roman" w:cs="Times New Roman" w:eastAsia="Times New Roman" w:hAnsi="Times New Roman"/>
                <w:sz w:val="13"/>
                <w:szCs w:val="13"/>
                <w:color w:val="auto"/>
              </w:rPr>
              <w:t>, owns intellectual property rights claimed in any United States or foreign</w:t>
            </w:r>
          </w:p>
        </w:tc>
      </w:tr>
      <w:tr>
        <w:trPr>
          <w:trHeight w:val="173"/>
        </w:trPr>
        <w:tc>
          <w:tcPr>
            <w:tcW w:w="320" w:type="dxa"/>
            <w:vAlign w:val="bottom"/>
          </w:tcPr>
          <w:p>
            <w:pPr>
              <w:spacing w:after="0"/>
              <w:rPr>
                <w:sz w:val="15"/>
                <w:szCs w:val="15"/>
                <w:color w:val="auto"/>
              </w:rPr>
            </w:pPr>
          </w:p>
        </w:tc>
        <w:tc>
          <w:tcPr>
            <w:tcW w:w="9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patent applications or patents corresponding to the assigned inventions. </w:t>
            </w:r>
            <w:r>
              <w:rPr>
                <w:rFonts w:ascii="Times New Roman" w:cs="Times New Roman" w:eastAsia="Times New Roman" w:hAnsi="Times New Roman"/>
                <w:sz w:val="13"/>
                <w:szCs w:val="13"/>
                <w:b w:val="1"/>
                <w:bCs w:val="1"/>
                <w:color w:val="auto"/>
              </w:rPr>
              <w:t>HHS</w:t>
            </w:r>
            <w:r>
              <w:rPr>
                <w:rFonts w:ascii="Times New Roman" w:cs="Times New Roman" w:eastAsia="Times New Roman" w:hAnsi="Times New Roman"/>
                <w:sz w:val="13"/>
                <w:szCs w:val="13"/>
                <w:color w:val="auto"/>
              </w:rPr>
              <w:t xml:space="preserve"> also owns any tangible embodiments of these inventions actually reduced to practice by</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w:t>
            </w:r>
          </w:p>
        </w:tc>
      </w:tr>
      <w:tr>
        <w:trPr>
          <w:trHeight w:val="251"/>
        </w:trPr>
        <w:tc>
          <w:tcPr>
            <w:tcW w:w="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85"/>
              </w:rPr>
              <w:t>1.3</w:t>
            </w:r>
          </w:p>
        </w:tc>
        <w:tc>
          <w:tcPr>
            <w:tcW w:w="9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The Secretary of </w:t>
            </w:r>
            <w:r>
              <w:rPr>
                <w:rFonts w:ascii="Times New Roman" w:cs="Times New Roman" w:eastAsia="Times New Roman" w:hAnsi="Times New Roman"/>
                <w:sz w:val="13"/>
                <w:szCs w:val="13"/>
                <w:b w:val="1"/>
                <w:bCs w:val="1"/>
                <w:color w:val="auto"/>
              </w:rPr>
              <w:t>HHS</w:t>
            </w:r>
            <w:r>
              <w:rPr>
                <w:rFonts w:ascii="Times New Roman" w:cs="Times New Roman" w:eastAsia="Times New Roman" w:hAnsi="Times New Roman"/>
                <w:sz w:val="13"/>
                <w:szCs w:val="13"/>
                <w:color w:val="auto"/>
              </w:rPr>
              <w:t xml:space="preserve"> has delegated to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the authority to enter into the </w:t>
            </w:r>
            <w:r>
              <w:rPr>
                <w:rFonts w:ascii="Times New Roman" w:cs="Times New Roman" w:eastAsia="Times New Roman" w:hAnsi="Times New Roman"/>
                <w:sz w:val="13"/>
                <w:szCs w:val="13"/>
                <w:b w:val="1"/>
                <w:bCs w:val="1"/>
                <w:color w:val="auto"/>
              </w:rPr>
              <w:t>Original Agreement</w:t>
            </w:r>
            <w:r>
              <w:rPr>
                <w:rFonts w:ascii="Times New Roman" w:cs="Times New Roman" w:eastAsia="Times New Roman" w:hAnsi="Times New Roman"/>
                <w:sz w:val="13"/>
                <w:szCs w:val="13"/>
                <w:color w:val="auto"/>
              </w:rPr>
              <w:t xml:space="preserve"> and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for the licensing of rights to these</w:t>
            </w:r>
          </w:p>
        </w:tc>
      </w:tr>
      <w:tr>
        <w:trPr>
          <w:trHeight w:val="132"/>
        </w:trPr>
        <w:tc>
          <w:tcPr>
            <w:tcW w:w="320" w:type="dxa"/>
            <w:vAlign w:val="bottom"/>
          </w:tcPr>
          <w:p>
            <w:pPr>
              <w:spacing w:after="0"/>
              <w:rPr>
                <w:sz w:val="11"/>
                <w:szCs w:val="11"/>
                <w:color w:val="auto"/>
              </w:rPr>
            </w:pPr>
          </w:p>
        </w:tc>
        <w:tc>
          <w:tcPr>
            <w:tcW w:w="9740" w:type="dxa"/>
            <w:vAlign w:val="bottom"/>
          </w:tcPr>
          <w:p>
            <w:pPr>
              <w:ind w:left="160"/>
              <w:spacing w:after="0" w:line="132" w:lineRule="exact"/>
              <w:rPr>
                <w:sz w:val="20"/>
                <w:szCs w:val="20"/>
                <w:color w:val="auto"/>
              </w:rPr>
            </w:pPr>
            <w:r>
              <w:rPr>
                <w:rFonts w:ascii="Times New Roman" w:cs="Times New Roman" w:eastAsia="Times New Roman" w:hAnsi="Times New Roman"/>
                <w:sz w:val="13"/>
                <w:szCs w:val="13"/>
                <w:color w:val="auto"/>
              </w:rPr>
              <w:t xml:space="preserve">inventions under 35 U.S.C. §§200-212, the Federal Technology Transfer Act of 1986, 15 U.S.C. §3710(a), and the regulations governing the licensing of </w:t>
            </w:r>
            <w:r>
              <w:rPr>
                <w:rFonts w:ascii="Times New Roman" w:cs="Times New Roman" w:eastAsia="Times New Roman" w:hAnsi="Times New Roman"/>
                <w:sz w:val="13"/>
                <w:szCs w:val="13"/>
                <w:b w:val="1"/>
                <w:bCs w:val="1"/>
                <w:color w:val="auto"/>
              </w:rPr>
              <w:t>Government</w:t>
            </w:r>
            <w:r>
              <w:rPr>
                <w:rFonts w:ascii="Times New Roman" w:cs="Times New Roman" w:eastAsia="Times New Roman" w:hAnsi="Times New Roman"/>
                <w:sz w:val="13"/>
                <w:szCs w:val="13"/>
                <w:color w:val="auto"/>
              </w:rPr>
              <w:t xml:space="preserve"> owned</w:t>
            </w:r>
          </w:p>
        </w:tc>
      </w:tr>
      <w:tr>
        <w:trPr>
          <w:trHeight w:val="171"/>
        </w:trPr>
        <w:tc>
          <w:tcPr>
            <w:tcW w:w="320" w:type="dxa"/>
            <w:vAlign w:val="bottom"/>
          </w:tcPr>
          <w:p>
            <w:pPr>
              <w:spacing w:after="0"/>
              <w:rPr>
                <w:sz w:val="14"/>
                <w:szCs w:val="14"/>
                <w:color w:val="auto"/>
              </w:rPr>
            </w:pPr>
          </w:p>
        </w:tc>
        <w:tc>
          <w:tcPr>
            <w:tcW w:w="9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inventions, 37 CFR Part 404.</w:t>
            </w:r>
          </w:p>
        </w:tc>
      </w:tr>
      <w:tr>
        <w:trPr>
          <w:trHeight w:val="253"/>
        </w:trPr>
        <w:tc>
          <w:tcPr>
            <w:tcW w:w="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85"/>
              </w:rPr>
              <w:t>1.4</w:t>
            </w:r>
          </w:p>
        </w:tc>
        <w:tc>
          <w:tcPr>
            <w:tcW w:w="9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desires to transfer these inventions to the private sector through commercialization licenses to facilitate the commercial development of products and processes for public</w:t>
            </w:r>
          </w:p>
        </w:tc>
      </w:tr>
      <w:tr>
        <w:trPr>
          <w:trHeight w:val="171"/>
        </w:trPr>
        <w:tc>
          <w:tcPr>
            <w:tcW w:w="320" w:type="dxa"/>
            <w:vAlign w:val="bottom"/>
          </w:tcPr>
          <w:p>
            <w:pPr>
              <w:spacing w:after="0"/>
              <w:rPr>
                <w:sz w:val="14"/>
                <w:szCs w:val="14"/>
                <w:color w:val="auto"/>
              </w:rPr>
            </w:pPr>
          </w:p>
        </w:tc>
        <w:tc>
          <w:tcPr>
            <w:tcW w:w="9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use and benefit.</w:t>
            </w:r>
          </w:p>
        </w:tc>
      </w:tr>
      <w:tr>
        <w:trPr>
          <w:trHeight w:val="293"/>
        </w:trPr>
        <w:tc>
          <w:tcPr>
            <w:tcW w:w="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85"/>
              </w:rPr>
              <w:t>1.5</w:t>
            </w:r>
          </w:p>
        </w:tc>
        <w:tc>
          <w:tcPr>
            <w:tcW w:w="9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desires to acquire commercialization rights to certain of these inventions in order to develop processes, methods, or marketable products for public use and benefit.</w:t>
            </w:r>
          </w:p>
        </w:tc>
      </w:tr>
      <w:tr>
        <w:trPr>
          <w:trHeight w:val="293"/>
        </w:trPr>
        <w:tc>
          <w:tcPr>
            <w:tcW w:w="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85"/>
              </w:rPr>
              <w:t>1.6</w:t>
            </w:r>
          </w:p>
        </w:tc>
        <w:tc>
          <w:tcPr>
            <w:tcW w:w="9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The Parties entered into a patent license agreement with respect to these inventions (the “</w:t>
            </w:r>
            <w:r>
              <w:rPr>
                <w:rFonts w:ascii="Times New Roman" w:cs="Times New Roman" w:eastAsia="Times New Roman" w:hAnsi="Times New Roman"/>
                <w:sz w:val="13"/>
                <w:szCs w:val="13"/>
                <w:b w:val="1"/>
                <w:bCs w:val="1"/>
                <w:color w:val="auto"/>
              </w:rPr>
              <w:t>Original Agreement</w:t>
            </w:r>
            <w:r>
              <w:rPr>
                <w:rFonts w:ascii="Times New Roman" w:cs="Times New Roman" w:eastAsia="Times New Roman" w:hAnsi="Times New Roman"/>
                <w:sz w:val="13"/>
                <w:szCs w:val="13"/>
                <w:color w:val="auto"/>
              </w:rPr>
              <w:t xml:space="preserve">”) effective as of the </w:t>
            </w:r>
            <w:r>
              <w:rPr>
                <w:rFonts w:ascii="Times New Roman" w:cs="Times New Roman" w:eastAsia="Times New Roman" w:hAnsi="Times New Roman"/>
                <w:sz w:val="13"/>
                <w:szCs w:val="13"/>
                <w:b w:val="1"/>
                <w:bCs w:val="1"/>
                <w:color w:val="auto"/>
              </w:rPr>
              <w:t>Effective Date</w:t>
            </w:r>
            <w:r>
              <w:rPr>
                <w:rFonts w:ascii="Times New Roman" w:cs="Times New Roman" w:eastAsia="Times New Roman" w:hAnsi="Times New Roman"/>
                <w:sz w:val="13"/>
                <w:szCs w:val="13"/>
                <w:color w:val="auto"/>
              </w:rPr>
              <w:t>.</w:t>
            </w:r>
          </w:p>
        </w:tc>
      </w:tr>
      <w:tr>
        <w:trPr>
          <w:trHeight w:val="293"/>
        </w:trPr>
        <w:tc>
          <w:tcPr>
            <w:tcW w:w="32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85"/>
              </w:rPr>
              <w:t>1.7</w:t>
            </w:r>
          </w:p>
        </w:tc>
        <w:tc>
          <w:tcPr>
            <w:tcW w:w="9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The Parties desire to amend and restate the </w:t>
            </w:r>
            <w:r>
              <w:rPr>
                <w:rFonts w:ascii="Times New Roman" w:cs="Times New Roman" w:eastAsia="Times New Roman" w:hAnsi="Times New Roman"/>
                <w:sz w:val="13"/>
                <w:szCs w:val="13"/>
                <w:b w:val="1"/>
                <w:bCs w:val="1"/>
                <w:color w:val="auto"/>
              </w:rPr>
              <w:t>Original Agreement</w:t>
            </w:r>
            <w:r>
              <w:rPr>
                <w:rFonts w:ascii="Times New Roman" w:cs="Times New Roman" w:eastAsia="Times New Roman" w:hAnsi="Times New Roman"/>
                <w:sz w:val="13"/>
                <w:szCs w:val="13"/>
                <w:color w:val="auto"/>
              </w:rPr>
              <w:t xml:space="preserve"> as set forth in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effective as of the </w:t>
            </w:r>
            <w:r>
              <w:rPr>
                <w:rFonts w:ascii="Times New Roman" w:cs="Times New Roman" w:eastAsia="Times New Roman" w:hAnsi="Times New Roman"/>
                <w:sz w:val="13"/>
                <w:szCs w:val="13"/>
                <w:b w:val="1"/>
                <w:bCs w:val="1"/>
                <w:color w:val="auto"/>
              </w:rPr>
              <w:t>Amendment Effective Date.</w:t>
            </w:r>
          </w:p>
        </w:tc>
      </w:tr>
      <w:tr>
        <w:trPr>
          <w:trHeight w:val="253"/>
        </w:trPr>
        <w:tc>
          <w:tcPr>
            <w:tcW w:w="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85"/>
              </w:rPr>
              <w:t>1.8</w:t>
            </w:r>
          </w:p>
        </w:tc>
        <w:tc>
          <w:tcPr>
            <w:tcW w:w="9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The Parties have entered into a [***] agreement (the “</w:t>
            </w:r>
            <w:r>
              <w:rPr>
                <w:rFonts w:ascii="Times New Roman" w:cs="Times New Roman" w:eastAsia="Times New Roman" w:hAnsi="Times New Roman"/>
                <w:sz w:val="13"/>
                <w:szCs w:val="13"/>
                <w:b w:val="1"/>
                <w:bCs w:val="1"/>
                <w:color w:val="auto"/>
              </w:rPr>
              <w:t>[***] Agreement</w:t>
            </w:r>
            <w:r>
              <w:rPr>
                <w:rFonts w:ascii="Times New Roman" w:cs="Times New Roman" w:eastAsia="Times New Roman" w:hAnsi="Times New Roman"/>
                <w:sz w:val="13"/>
                <w:szCs w:val="13"/>
                <w:color w:val="auto"/>
              </w:rPr>
              <w:t xml:space="preserve">”) regarding the Notice of Default sent by </w:t>
            </w:r>
            <w:r>
              <w:rPr>
                <w:rFonts w:ascii="Times New Roman" w:cs="Times New Roman" w:eastAsia="Times New Roman" w:hAnsi="Times New Roman"/>
                <w:sz w:val="13"/>
                <w:szCs w:val="13"/>
                <w:b w:val="1"/>
                <w:bCs w:val="1"/>
                <w:color w:val="auto"/>
              </w:rPr>
              <w:t>NIH</w:t>
            </w:r>
            <w:r>
              <w:rPr>
                <w:rFonts w:ascii="Times New Roman" w:cs="Times New Roman" w:eastAsia="Times New Roman" w:hAnsi="Times New Roman"/>
                <w:sz w:val="13"/>
                <w:szCs w:val="13"/>
                <w:color w:val="auto"/>
              </w:rPr>
              <w:t xml:space="preserve"> to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on March 20, 2024. The </w:t>
            </w:r>
            <w:r>
              <w:rPr>
                <w:rFonts w:ascii="Times New Roman" w:cs="Times New Roman" w:eastAsia="Times New Roman" w:hAnsi="Times New Roman"/>
                <w:sz w:val="13"/>
                <w:szCs w:val="13"/>
                <w:b w:val="1"/>
                <w:bCs w:val="1"/>
                <w:color w:val="auto"/>
              </w:rPr>
              <w:t>[***] Agreement</w:t>
            </w:r>
            <w:r>
              <w:rPr>
                <w:rFonts w:ascii="Times New Roman" w:cs="Times New Roman" w:eastAsia="Times New Roman" w:hAnsi="Times New Roman"/>
                <w:sz w:val="13"/>
                <w:szCs w:val="13"/>
                <w:color w:val="auto"/>
              </w:rPr>
              <w:t xml:space="preserve"> is</w:t>
            </w:r>
          </w:p>
        </w:tc>
      </w:tr>
      <w:tr>
        <w:trPr>
          <w:trHeight w:val="173"/>
        </w:trPr>
        <w:tc>
          <w:tcPr>
            <w:tcW w:w="320" w:type="dxa"/>
            <w:vAlign w:val="bottom"/>
          </w:tcPr>
          <w:p>
            <w:pPr>
              <w:spacing w:after="0"/>
              <w:rPr>
                <w:sz w:val="15"/>
                <w:szCs w:val="15"/>
                <w:color w:val="auto"/>
              </w:rPr>
            </w:pPr>
          </w:p>
        </w:tc>
        <w:tc>
          <w:tcPr>
            <w:tcW w:w="9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entered into on the </w:t>
            </w:r>
            <w:r>
              <w:rPr>
                <w:rFonts w:ascii="Times New Roman" w:cs="Times New Roman" w:eastAsia="Times New Roman" w:hAnsi="Times New Roman"/>
                <w:sz w:val="13"/>
                <w:szCs w:val="13"/>
                <w:b w:val="1"/>
                <w:bCs w:val="1"/>
                <w:color w:val="auto"/>
              </w:rPr>
              <w:t>Amendment Signing Date</w:t>
            </w:r>
            <w:r>
              <w:rPr>
                <w:rFonts w:ascii="Times New Roman" w:cs="Times New Roman" w:eastAsia="Times New Roman" w:hAnsi="Times New Roman"/>
                <w:sz w:val="13"/>
                <w:szCs w:val="13"/>
                <w:color w:val="auto"/>
              </w:rPr>
              <w:t>.</w:t>
            </w:r>
          </w:p>
        </w:tc>
      </w:tr>
      <w:tr>
        <w:trPr>
          <w:trHeight w:val="252"/>
        </w:trPr>
        <w:tc>
          <w:tcPr>
            <w:tcW w:w="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85"/>
              </w:rPr>
              <w:t>1.9</w:t>
            </w:r>
          </w:p>
        </w:tc>
        <w:tc>
          <w:tcPr>
            <w:tcW w:w="9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 consideration of the premises and the mutual promises set forth herein, and intending to be legally bound, the Parties hereby agree to amend and restate the</w:t>
            </w:r>
            <w:r>
              <w:rPr>
                <w:rFonts w:ascii="Times New Roman" w:cs="Times New Roman" w:eastAsia="Times New Roman" w:hAnsi="Times New Roman"/>
                <w:sz w:val="13"/>
                <w:szCs w:val="13"/>
                <w:b w:val="1"/>
                <w:bCs w:val="1"/>
                <w:color w:val="auto"/>
              </w:rPr>
              <w:t>Original Agreement</w:t>
            </w:r>
            <w:r>
              <w:rPr>
                <w:rFonts w:ascii="Times New Roman" w:cs="Times New Roman" w:eastAsia="Times New Roman" w:hAnsi="Times New Roman"/>
                <w:sz w:val="13"/>
                <w:szCs w:val="13"/>
                <w:color w:val="auto"/>
              </w:rPr>
              <w:t xml:space="preserve"> as</w:t>
            </w:r>
          </w:p>
        </w:tc>
      </w:tr>
      <w:tr>
        <w:trPr>
          <w:trHeight w:val="171"/>
        </w:trPr>
        <w:tc>
          <w:tcPr>
            <w:tcW w:w="320" w:type="dxa"/>
            <w:vAlign w:val="bottom"/>
          </w:tcPr>
          <w:p>
            <w:pPr>
              <w:spacing w:after="0"/>
              <w:rPr>
                <w:sz w:val="14"/>
                <w:szCs w:val="14"/>
                <w:color w:val="auto"/>
              </w:rPr>
            </w:pPr>
          </w:p>
        </w:tc>
        <w:tc>
          <w:tcPr>
            <w:tcW w:w="9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follows.</w:t>
            </w:r>
          </w:p>
        </w:tc>
      </w:tr>
    </w:tbl>
    <w:p>
      <w:pPr>
        <w:spacing w:after="0" w:line="122" w:lineRule="exact"/>
        <w:rPr>
          <w:sz w:val="20"/>
          <w:szCs w:val="20"/>
          <w:color w:val="auto"/>
        </w:rPr>
      </w:pPr>
    </w:p>
    <w:p>
      <w:pPr>
        <w:ind w:left="489" w:hanging="489"/>
        <w:spacing w:after="0"/>
        <w:tabs>
          <w:tab w:leader="none" w:pos="489" w:val="left"/>
        </w:tabs>
        <w:numPr>
          <w:ilvl w:val="0"/>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DEFINITIONS</w:t>
      </w:r>
    </w:p>
    <w:p>
      <w:pPr>
        <w:spacing w:after="0" w:line="139" w:lineRule="exact"/>
        <w:rPr>
          <w:rFonts w:ascii="Times New Roman" w:cs="Times New Roman" w:eastAsia="Times New Roman" w:hAnsi="Times New Roman"/>
          <w:sz w:val="13"/>
          <w:szCs w:val="13"/>
          <w:color w:val="auto"/>
        </w:rPr>
      </w:pPr>
    </w:p>
    <w:p>
      <w:pPr>
        <w:ind w:left="489"/>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Capitalized terms not otherwise defined herein will have the meanings set forth below:</w:t>
      </w:r>
    </w:p>
    <w:p>
      <w:pPr>
        <w:ind w:left="969" w:right="100" w:hanging="485"/>
        <w:spacing w:after="0" w:line="22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2.1“</w:t>
      </w:r>
      <w:r>
        <w:rPr>
          <w:rFonts w:ascii="Times New Roman" w:cs="Times New Roman" w:eastAsia="Times New Roman" w:hAnsi="Times New Roman"/>
          <w:sz w:val="13"/>
          <w:szCs w:val="13"/>
          <w:b w:val="1"/>
          <w:bCs w:val="1"/>
          <w:color w:val="auto"/>
        </w:rPr>
        <w:t>Additional License</w:t>
      </w:r>
      <w:r>
        <w:rPr>
          <w:rFonts w:ascii="Times New Roman" w:cs="Times New Roman" w:eastAsia="Times New Roman" w:hAnsi="Times New Roman"/>
          <w:sz w:val="13"/>
          <w:szCs w:val="13"/>
          <w:color w:val="auto"/>
        </w:rPr>
        <w:t xml:space="preserve">” means an exclusive or nonexclusive license that includes the </w:t>
      </w:r>
      <w:r>
        <w:rPr>
          <w:rFonts w:ascii="Times New Roman" w:cs="Times New Roman" w:eastAsia="Times New Roman" w:hAnsi="Times New Roman"/>
          <w:sz w:val="13"/>
          <w:szCs w:val="13"/>
          <w:b w:val="1"/>
          <w:bCs w:val="1"/>
          <w:color w:val="auto"/>
        </w:rPr>
        <w:t>Licensed Patent Rights</w:t>
      </w:r>
      <w:r>
        <w:rPr>
          <w:rFonts w:ascii="Times New Roman" w:cs="Times New Roman" w:eastAsia="Times New Roman" w:hAnsi="Times New Roman"/>
          <w:sz w:val="13"/>
          <w:szCs w:val="13"/>
          <w:color w:val="auto"/>
        </w:rPr>
        <w:t xml:space="preserve"> and is granted to a </w:t>
      </w:r>
      <w:r>
        <w:rPr>
          <w:rFonts w:ascii="Times New Roman" w:cs="Times New Roman" w:eastAsia="Times New Roman" w:hAnsi="Times New Roman"/>
          <w:sz w:val="13"/>
          <w:szCs w:val="13"/>
          <w:b w:val="1"/>
          <w:bCs w:val="1"/>
          <w:color w:val="auto"/>
        </w:rPr>
        <w:t>Third Party</w:t>
      </w:r>
      <w:r>
        <w:rPr>
          <w:rFonts w:ascii="Times New Roman" w:cs="Times New Roman" w:eastAsia="Times New Roman" w:hAnsi="Times New Roman"/>
          <w:sz w:val="13"/>
          <w:szCs w:val="13"/>
          <w:color w:val="auto"/>
        </w:rPr>
        <w:t xml:space="preserve"> who is responsible for paying a share of patent expenses, and wherein the exclusive or nonexclusive license has a </w:t>
      </w:r>
      <w:r>
        <w:rPr>
          <w:rFonts w:ascii="Times New Roman" w:cs="Times New Roman" w:eastAsia="Times New Roman" w:hAnsi="Times New Roman"/>
          <w:sz w:val="13"/>
          <w:szCs w:val="13"/>
          <w:b w:val="1"/>
          <w:bCs w:val="1"/>
          <w:color w:val="auto"/>
        </w:rPr>
        <w:t>Licensed Field of Use</w:t>
      </w:r>
      <w:r>
        <w:rPr>
          <w:rFonts w:ascii="Times New Roman" w:cs="Times New Roman" w:eastAsia="Times New Roman" w:hAnsi="Times New Roman"/>
          <w:sz w:val="13"/>
          <w:szCs w:val="13"/>
          <w:color w:val="auto"/>
        </w:rPr>
        <w:t xml:space="preserve"> directed to therapeutic applications. </w:t>
      </w:r>
      <w:r>
        <w:rPr>
          <w:rFonts w:ascii="Times New Roman" w:cs="Times New Roman" w:eastAsia="Times New Roman" w:hAnsi="Times New Roman"/>
          <w:sz w:val="13"/>
          <w:szCs w:val="13"/>
          <w:b w:val="1"/>
          <w:bCs w:val="1"/>
          <w:color w:val="auto"/>
        </w:rPr>
        <w:t>Additional License</w:t>
      </w:r>
      <w:r>
        <w:rPr>
          <w:rFonts w:ascii="Times New Roman" w:cs="Times New Roman" w:eastAsia="Times New Roman" w:hAnsi="Times New Roman"/>
          <w:sz w:val="13"/>
          <w:szCs w:val="13"/>
          <w:color w:val="auto"/>
        </w:rPr>
        <w:t xml:space="preserve"> specifically excludes any license directed solely to evaluation, internal research use or commercialization of research reagents.</w:t>
      </w:r>
    </w:p>
    <w:p>
      <w:pPr>
        <w:spacing w:after="0" w:line="121" w:lineRule="exact"/>
        <w:rPr>
          <w:rFonts w:ascii="Times New Roman" w:cs="Times New Roman" w:eastAsia="Times New Roman" w:hAnsi="Times New Roman"/>
          <w:sz w:val="13"/>
          <w:szCs w:val="13"/>
          <w:color w:val="auto"/>
        </w:rPr>
      </w:pPr>
    </w:p>
    <w:p>
      <w:pPr>
        <w:ind w:left="969" w:right="60" w:hanging="485"/>
        <w:spacing w:after="0" w:line="22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2.2“</w:t>
      </w:r>
      <w:r>
        <w:rPr>
          <w:rFonts w:ascii="Times New Roman" w:cs="Times New Roman" w:eastAsia="Times New Roman" w:hAnsi="Times New Roman"/>
          <w:sz w:val="13"/>
          <w:szCs w:val="13"/>
          <w:b w:val="1"/>
          <w:bCs w:val="1"/>
          <w:color w:val="auto"/>
        </w:rPr>
        <w:t>Affiliate(s)</w:t>
      </w:r>
      <w:r>
        <w:rPr>
          <w:rFonts w:ascii="Times New Roman" w:cs="Times New Roman" w:eastAsia="Times New Roman" w:hAnsi="Times New Roman"/>
          <w:sz w:val="13"/>
          <w:szCs w:val="13"/>
          <w:color w:val="auto"/>
        </w:rPr>
        <w:t xml:space="preserve">” means a corporation or other business entity, which directly or indirectly is controlled by or controls, or is under common control with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For this purpose, the term "control" shall mean ownership of more than fifty percent (50%) of the voting stock or other ownership interest of the corporation or other business entity, or the power to elect or appoint more than fifty percent (50%) of the members of the governing body of the corporation or other business entity. Notwithstanding the foregoing, for purposes of this </w:t>
      </w:r>
      <w:r>
        <w:rPr>
          <w:rFonts w:ascii="Times New Roman" w:cs="Times New Roman" w:eastAsia="Times New Roman" w:hAnsi="Times New Roman"/>
          <w:sz w:val="13"/>
          <w:szCs w:val="13"/>
          <w:b w:val="1"/>
          <w:bCs w:val="1"/>
          <w:color w:val="auto"/>
        </w:rPr>
        <w:t xml:space="preserve">Amended and Restated Agreement </w:t>
      </w:r>
      <w:r>
        <w:rPr>
          <w:rFonts w:ascii="Times New Roman" w:cs="Times New Roman" w:eastAsia="Times New Roman" w:hAnsi="Times New Roman"/>
          <w:sz w:val="13"/>
          <w:szCs w:val="13"/>
          <w:color w:val="auto"/>
        </w:rPr>
        <w:t>[***], having its place of business at [***] and any person or entity that directly or indirectly, through one or more intermediaries, controls, 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controlled by, or is under common control with [***] (other than BioNTech SE, having its place of business at An der Goldgrube 12, Mainz, Germany, or any person or entity that is directly or indirectly controlled by BioNTech SE) shall not be considered an </w:t>
      </w:r>
      <w:r>
        <w:rPr>
          <w:rFonts w:ascii="Times New Roman" w:cs="Times New Roman" w:eastAsia="Times New Roman" w:hAnsi="Times New Roman"/>
          <w:sz w:val="13"/>
          <w:szCs w:val="13"/>
          <w:b w:val="1"/>
          <w:bCs w:val="1"/>
          <w:color w:val="auto"/>
        </w:rPr>
        <w:t>Affiliate</w:t>
      </w:r>
      <w:r>
        <w:rPr>
          <w:rFonts w:ascii="Times New Roman" w:cs="Times New Roman" w:eastAsia="Times New Roman" w:hAnsi="Times New Roman"/>
          <w:sz w:val="13"/>
          <w:szCs w:val="13"/>
          <w:color w:val="auto"/>
        </w:rPr>
        <w:t xml:space="preserve"> of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w:t>
      </w:r>
    </w:p>
    <w:p>
      <w:pPr>
        <w:spacing w:after="0" w:line="120" w:lineRule="exact"/>
        <w:rPr>
          <w:rFonts w:ascii="Times New Roman" w:cs="Times New Roman" w:eastAsia="Times New Roman" w:hAnsi="Times New Roman"/>
          <w:sz w:val="13"/>
          <w:szCs w:val="13"/>
          <w:color w:val="auto"/>
        </w:rPr>
      </w:pPr>
    </w:p>
    <w:p>
      <w:pPr>
        <w:ind w:left="489"/>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2.3“</w:t>
      </w:r>
      <w:r>
        <w:rPr>
          <w:rFonts w:ascii="Times New Roman" w:cs="Times New Roman" w:eastAsia="Times New Roman" w:hAnsi="Times New Roman"/>
          <w:sz w:val="13"/>
          <w:szCs w:val="13"/>
          <w:b w:val="1"/>
          <w:bCs w:val="1"/>
          <w:color w:val="auto"/>
        </w:rPr>
        <w:t>Amendment Effective Date</w:t>
      </w:r>
      <w:r>
        <w:rPr>
          <w:rFonts w:ascii="Times New Roman" w:cs="Times New Roman" w:eastAsia="Times New Roman" w:hAnsi="Times New Roman"/>
          <w:sz w:val="13"/>
          <w:szCs w:val="13"/>
          <w:color w:val="auto"/>
        </w:rPr>
        <w:t>” means 1 January 2024.</w:t>
      </w:r>
    </w:p>
    <w:p>
      <w:pPr>
        <w:spacing w:after="0" w:line="21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b w:val="1"/>
          <w:bCs w:val="1"/>
          <w:color w:val="auto"/>
        </w:rPr>
        <w:t xml:space="preserve">CONFIDENTIAL </w:t>
      </w:r>
      <w:r>
        <w:rPr>
          <w:rFonts w:ascii="Times New Roman" w:cs="Times New Roman" w:eastAsia="Times New Roman" w:hAnsi="Times New Roman"/>
          <w:sz w:val="11"/>
          <w:szCs w:val="11"/>
          <w:color w:val="auto"/>
        </w:rPr>
        <w:t>[***]</w:t>
      </w:r>
    </w:p>
    <w:p>
      <w:pPr>
        <w:spacing w:after="0" w:line="1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ind w:left="9"/>
        <w:spacing w:after="0"/>
        <w:tabs>
          <w:tab w:leader="none" w:pos="1409" w:val="left"/>
        </w:tabs>
        <w:rPr>
          <w:sz w:val="20"/>
          <w:szCs w:val="20"/>
          <w:color w:val="auto"/>
        </w:rPr>
      </w:pPr>
      <w:r>
        <w:rPr>
          <w:rFonts w:ascii="Times New Roman" w:cs="Times New Roman" w:eastAsia="Times New Roman" w:hAnsi="Times New Roman"/>
          <w:sz w:val="11"/>
          <w:szCs w:val="11"/>
          <w:color w:val="auto"/>
        </w:rPr>
        <w:t>Model 10-2015 Rev 09-2024</w:t>
        <w:tab/>
        <w:t>Page 3 of 25 [FINAL] [BioNTech SE] [20 December 2024]</w:t>
      </w:r>
    </w:p>
    <w:p>
      <w:pPr>
        <w:sectPr>
          <w:pgSz w:w="11900" w:h="16840" w:orient="portrait"/>
          <w:cols w:equalWidth="0" w:num="1">
            <w:col w:w="10549"/>
          </w:cols>
          <w:pgMar w:left="651" w:top="752" w:right="700"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3"/>
          <w:szCs w:val="13"/>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3"/>
          <w:szCs w:val="13"/>
          <w:color w:val="auto"/>
        </w:rPr>
        <w:t>2.4</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Amendment Signing Date</w:t>
      </w:r>
      <w:r>
        <w:rPr>
          <w:rFonts w:ascii="Times New Roman" w:cs="Times New Roman" w:eastAsia="Times New Roman" w:hAnsi="Times New Roman"/>
          <w:sz w:val="13"/>
          <w:szCs w:val="13"/>
          <w:color w:val="auto"/>
        </w:rPr>
        <w:t xml:space="preserve">” means the date of last signature to this </w:t>
      </w:r>
      <w:r>
        <w:rPr>
          <w:rFonts w:ascii="Times New Roman" w:cs="Times New Roman" w:eastAsia="Times New Roman" w:hAnsi="Times New Roman"/>
          <w:sz w:val="13"/>
          <w:szCs w:val="13"/>
          <w:b w:val="1"/>
          <w:bCs w:val="1"/>
          <w:color w:val="auto"/>
        </w:rPr>
        <w:t>Amended and Restated</w:t>
      </w:r>
      <w:r>
        <w:rPr>
          <w:rFonts w:ascii="Times New Roman" w:cs="Times New Roman" w:eastAsia="Times New Roman" w:hAnsi="Times New Roman"/>
          <w:sz w:val="13"/>
          <w:szCs w:val="13"/>
          <w:color w:val="auto"/>
        </w:rPr>
        <w:t xml:space="preserve"> Agreement.</w:t>
      </w:r>
    </w:p>
    <w:p>
      <w:pPr>
        <w:spacing w:after="0" w:line="144"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3"/>
          <w:szCs w:val="13"/>
          <w:color w:val="auto"/>
        </w:rPr>
        <w:t>2.5</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Benchmarks</w:t>
      </w:r>
      <w:r>
        <w:rPr>
          <w:rFonts w:ascii="Times New Roman" w:cs="Times New Roman" w:eastAsia="Times New Roman" w:hAnsi="Times New Roman"/>
          <w:sz w:val="13"/>
          <w:szCs w:val="13"/>
          <w:color w:val="auto"/>
        </w:rPr>
        <w:t>” mean the performance milestones that are set forth in Appendix D.</w:t>
      </w:r>
    </w:p>
    <w:p>
      <w:pPr>
        <w:spacing w:after="0" w:line="144" w:lineRule="exact"/>
        <w:rPr>
          <w:sz w:val="20"/>
          <w:szCs w:val="20"/>
          <w:color w:val="auto"/>
        </w:rPr>
      </w:pPr>
    </w:p>
    <w:p>
      <w:pPr>
        <w:ind w:left="960" w:right="200" w:hanging="484"/>
        <w:spacing w:after="0" w:line="248" w:lineRule="auto"/>
        <w:tabs>
          <w:tab w:leader="none" w:pos="940" w:val="left"/>
        </w:tabs>
        <w:rPr>
          <w:sz w:val="20"/>
          <w:szCs w:val="20"/>
          <w:color w:val="auto"/>
        </w:rPr>
      </w:pPr>
      <w:r>
        <w:rPr>
          <w:rFonts w:ascii="Times New Roman" w:cs="Times New Roman" w:eastAsia="Times New Roman" w:hAnsi="Times New Roman"/>
          <w:sz w:val="13"/>
          <w:szCs w:val="13"/>
          <w:color w:val="auto"/>
        </w:rPr>
        <w:t>2.6</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BLA</w:t>
      </w:r>
      <w:r>
        <w:rPr>
          <w:rFonts w:ascii="Times New Roman" w:cs="Times New Roman" w:eastAsia="Times New Roman" w:hAnsi="Times New Roman"/>
          <w:sz w:val="13"/>
          <w:szCs w:val="13"/>
          <w:color w:val="auto"/>
        </w:rPr>
        <w:t>” means a Biologics License Application or similar application or submission for marketing approval filed with or submitted to a</w:t>
      </w:r>
      <w:r>
        <w:rPr>
          <w:rFonts w:ascii="Times New Roman" w:cs="Times New Roman" w:eastAsia="Times New Roman" w:hAnsi="Times New Roman"/>
          <w:sz w:val="13"/>
          <w:szCs w:val="13"/>
          <w:b w:val="1"/>
          <w:bCs w:val="1"/>
          <w:color w:val="auto"/>
        </w:rPr>
        <w:t>Regulatory Authority</w:t>
      </w:r>
      <w:r>
        <w:rPr>
          <w:rFonts w:ascii="Times New Roman" w:cs="Times New Roman" w:eastAsia="Times New Roman" w:hAnsi="Times New Roman"/>
          <w:sz w:val="13"/>
          <w:szCs w:val="13"/>
          <w:color w:val="auto"/>
        </w:rPr>
        <w:t xml:space="preserve"> in conformance with the requirements of such </w:t>
      </w:r>
      <w:r>
        <w:rPr>
          <w:rFonts w:ascii="Times New Roman" w:cs="Times New Roman" w:eastAsia="Times New Roman" w:hAnsi="Times New Roman"/>
          <w:sz w:val="13"/>
          <w:szCs w:val="13"/>
          <w:b w:val="1"/>
          <w:bCs w:val="1"/>
          <w:color w:val="auto"/>
        </w:rPr>
        <w:t>Regulatory Authority</w:t>
      </w:r>
      <w:r>
        <w:rPr>
          <w:rFonts w:ascii="Times New Roman" w:cs="Times New Roman" w:eastAsia="Times New Roman" w:hAnsi="Times New Roman"/>
          <w:sz w:val="13"/>
          <w:szCs w:val="13"/>
          <w:color w:val="auto"/>
        </w:rPr>
        <w:t>.</w:t>
      </w:r>
    </w:p>
    <w:p>
      <w:pPr>
        <w:spacing w:after="0" w:line="116"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3"/>
          <w:szCs w:val="13"/>
          <w:color w:val="auto"/>
        </w:rPr>
        <w:t>2.7</w:t>
      </w:r>
      <w:r>
        <w:rPr>
          <w:sz w:val="20"/>
          <w:szCs w:val="20"/>
          <w:color w:val="auto"/>
        </w:rPr>
        <w:tab/>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Clinical Trial</w:t>
      </w:r>
      <w:r>
        <w:rPr>
          <w:rFonts w:ascii="Times New Roman" w:cs="Times New Roman" w:eastAsia="Times New Roman" w:hAnsi="Times New Roman"/>
          <w:sz w:val="12"/>
          <w:szCs w:val="12"/>
          <w:color w:val="auto"/>
        </w:rPr>
        <w:t xml:space="preserve">” means a </w:t>
      </w:r>
      <w:r>
        <w:rPr>
          <w:rFonts w:ascii="Times New Roman" w:cs="Times New Roman" w:eastAsia="Times New Roman" w:hAnsi="Times New Roman"/>
          <w:sz w:val="12"/>
          <w:szCs w:val="12"/>
          <w:b w:val="1"/>
          <w:bCs w:val="1"/>
          <w:color w:val="auto"/>
        </w:rPr>
        <w:t>Phase I Clinical Trial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Phase II Clinical Trial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Phase III Clinical Trial</w:t>
      </w:r>
      <w:r>
        <w:rPr>
          <w:rFonts w:ascii="Times New Roman" w:cs="Times New Roman" w:eastAsia="Times New Roman" w:hAnsi="Times New Roman"/>
          <w:sz w:val="12"/>
          <w:szCs w:val="12"/>
          <w:color w:val="auto"/>
        </w:rPr>
        <w:t xml:space="preserve"> and/or post-approval clinical trial, including a </w:t>
      </w:r>
      <w:r>
        <w:rPr>
          <w:rFonts w:ascii="Times New Roman" w:cs="Times New Roman" w:eastAsia="Times New Roman" w:hAnsi="Times New Roman"/>
          <w:sz w:val="12"/>
          <w:szCs w:val="12"/>
          <w:b w:val="1"/>
          <w:bCs w:val="1"/>
          <w:color w:val="auto"/>
        </w:rPr>
        <w:t>Phase IV Clinical Trial</w:t>
      </w:r>
      <w:r>
        <w:rPr>
          <w:rFonts w:ascii="Times New Roman" w:cs="Times New Roman" w:eastAsia="Times New Roman" w:hAnsi="Times New Roman"/>
          <w:sz w:val="12"/>
          <w:szCs w:val="12"/>
          <w:color w:val="auto"/>
        </w:rPr>
        <w:t>.</w:t>
      </w:r>
    </w:p>
    <w:p>
      <w:pPr>
        <w:spacing w:after="0" w:line="144"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3"/>
          <w:szCs w:val="13"/>
          <w:color w:val="auto"/>
        </w:rPr>
        <w:t>2.8</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Combination Agreement</w:t>
      </w:r>
      <w:r>
        <w:rPr>
          <w:rFonts w:ascii="Times New Roman" w:cs="Times New Roman" w:eastAsia="Times New Roman" w:hAnsi="Times New Roman"/>
          <w:sz w:val="13"/>
          <w:szCs w:val="13"/>
          <w:color w:val="auto"/>
        </w:rPr>
        <w:t>” means [***].</w:t>
      </w:r>
    </w:p>
    <w:p>
      <w:pPr>
        <w:spacing w:after="0" w:line="144"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3"/>
          <w:szCs w:val="13"/>
          <w:color w:val="auto"/>
        </w:rPr>
        <w:t>2.9</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Combination Product</w:t>
      </w:r>
      <w:r>
        <w:rPr>
          <w:rFonts w:ascii="Times New Roman" w:cs="Times New Roman" w:eastAsia="Times New Roman" w:hAnsi="Times New Roman"/>
          <w:sz w:val="13"/>
          <w:szCs w:val="13"/>
          <w:color w:val="auto"/>
        </w:rPr>
        <w:t>” means [***].</w:t>
      </w:r>
    </w:p>
    <w:p>
      <w:pPr>
        <w:spacing w:after="0" w:line="14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p>
    <w:p>
      <w:pPr>
        <w:spacing w:after="0" w:line="111"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3"/>
          <w:szCs w:val="13"/>
          <w:color w:val="auto"/>
        </w:rPr>
        <w:t>2.10</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Commercial Development Plan</w:t>
      </w:r>
      <w:r>
        <w:rPr>
          <w:rFonts w:ascii="Times New Roman" w:cs="Times New Roman" w:eastAsia="Times New Roman" w:hAnsi="Times New Roman"/>
          <w:sz w:val="13"/>
          <w:szCs w:val="13"/>
          <w:color w:val="auto"/>
        </w:rPr>
        <w:t>” means the written commercialization plan attached as Appendix E.</w:t>
      </w:r>
    </w:p>
    <w:p>
      <w:pPr>
        <w:spacing w:after="0" w:line="144"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3"/>
          <w:szCs w:val="13"/>
          <w:color w:val="auto"/>
        </w:rPr>
        <w:t>2.11</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Effective Date</w:t>
      </w:r>
      <w:r>
        <w:rPr>
          <w:rFonts w:ascii="Times New Roman" w:cs="Times New Roman" w:eastAsia="Times New Roman" w:hAnsi="Times New Roman"/>
          <w:sz w:val="13"/>
          <w:szCs w:val="13"/>
          <w:color w:val="auto"/>
        </w:rPr>
        <w:t>” means May 27, 2020.</w:t>
      </w:r>
    </w:p>
    <w:p>
      <w:pPr>
        <w:spacing w:after="0" w:line="144" w:lineRule="exact"/>
        <w:rPr>
          <w:sz w:val="20"/>
          <w:szCs w:val="20"/>
          <w:color w:val="auto"/>
        </w:rPr>
      </w:pPr>
    </w:p>
    <w:p>
      <w:pPr>
        <w:ind w:left="960" w:hanging="484"/>
        <w:spacing w:after="0" w:line="248" w:lineRule="auto"/>
        <w:tabs>
          <w:tab w:leader="none" w:pos="940" w:val="left"/>
        </w:tabs>
        <w:rPr>
          <w:sz w:val="20"/>
          <w:szCs w:val="20"/>
          <w:color w:val="auto"/>
        </w:rPr>
      </w:pPr>
      <w:r>
        <w:rPr>
          <w:rFonts w:ascii="Times New Roman" w:cs="Times New Roman" w:eastAsia="Times New Roman" w:hAnsi="Times New Roman"/>
          <w:sz w:val="13"/>
          <w:szCs w:val="13"/>
          <w:color w:val="auto"/>
        </w:rPr>
        <w:t>2.12</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First Commercial Sale</w:t>
      </w:r>
      <w:r>
        <w:rPr>
          <w:rFonts w:ascii="Times New Roman" w:cs="Times New Roman" w:eastAsia="Times New Roman" w:hAnsi="Times New Roman"/>
          <w:sz w:val="13"/>
          <w:szCs w:val="13"/>
          <w:color w:val="auto"/>
        </w:rPr>
        <w:t xml:space="preserve">” means the initial transfer by or on behalf of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or a sublicensee of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or the initial practice of a </w:t>
      </w:r>
      <w:r>
        <w:rPr>
          <w:rFonts w:ascii="Times New Roman" w:cs="Times New Roman" w:eastAsia="Times New Roman" w:hAnsi="Times New Roman"/>
          <w:sz w:val="13"/>
          <w:szCs w:val="13"/>
          <w:b w:val="1"/>
          <w:bCs w:val="1"/>
          <w:color w:val="auto"/>
        </w:rPr>
        <w:t>Licensed Process</w:t>
      </w:r>
      <w:r>
        <w:rPr>
          <w:rFonts w:ascii="Times New Roman" w:cs="Times New Roman" w:eastAsia="Times New Roman" w:hAnsi="Times New Roman"/>
          <w:sz w:val="13"/>
          <w:szCs w:val="13"/>
          <w:color w:val="auto"/>
        </w:rPr>
        <w:t xml:space="preserve"> by or on behalf of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or a sublicensee in exchange for cash or some equivalent to which value can be assigned for the purpose of determining</w:t>
      </w:r>
      <w:r>
        <w:rPr>
          <w:rFonts w:ascii="Times New Roman" w:cs="Times New Roman" w:eastAsia="Times New Roman" w:hAnsi="Times New Roman"/>
          <w:sz w:val="13"/>
          <w:szCs w:val="13"/>
          <w:b w:val="1"/>
          <w:bCs w:val="1"/>
          <w:color w:val="auto"/>
        </w:rPr>
        <w:t>Net Sales</w:t>
      </w:r>
      <w:r>
        <w:rPr>
          <w:rFonts w:ascii="Times New Roman" w:cs="Times New Roman" w:eastAsia="Times New Roman" w:hAnsi="Times New Roman"/>
          <w:sz w:val="13"/>
          <w:szCs w:val="13"/>
          <w:color w:val="auto"/>
        </w:rPr>
        <w:t>.</w:t>
      </w:r>
    </w:p>
    <w:p>
      <w:pPr>
        <w:spacing w:after="0" w:line="118"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3"/>
          <w:szCs w:val="13"/>
          <w:color w:val="auto"/>
        </w:rPr>
        <w:t>2.13</w:t>
      </w:r>
      <w:r>
        <w:rPr>
          <w:sz w:val="20"/>
          <w:szCs w:val="20"/>
          <w:color w:val="auto"/>
        </w:rPr>
        <w:tab/>
      </w:r>
      <w:r>
        <w:rPr>
          <w:rFonts w:ascii="Times New Roman" w:cs="Times New Roman" w:eastAsia="Times New Roman" w:hAnsi="Times New Roman"/>
          <w:sz w:val="12"/>
          <w:szCs w:val="12"/>
          <w:color w:val="auto"/>
        </w:rPr>
        <w:t>[***]</w:t>
      </w:r>
    </w:p>
    <w:p>
      <w:pPr>
        <w:spacing w:after="0" w:line="142"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3"/>
          <w:szCs w:val="13"/>
          <w:color w:val="auto"/>
        </w:rPr>
        <w:t>2.14</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w:t>
      </w:r>
      <w:r>
        <w:rPr>
          <w:rFonts w:ascii="Times New Roman" w:cs="Times New Roman" w:eastAsia="Times New Roman" w:hAnsi="Times New Roman"/>
          <w:sz w:val="13"/>
          <w:szCs w:val="13"/>
          <w:color w:val="auto"/>
        </w:rPr>
        <w:t>” means the Government of the United States of America.</w:t>
      </w:r>
    </w:p>
    <w:p>
      <w:pPr>
        <w:spacing w:after="0" w:line="144" w:lineRule="exact"/>
        <w:rPr>
          <w:sz w:val="20"/>
          <w:szCs w:val="20"/>
          <w:color w:val="auto"/>
        </w:rPr>
      </w:pPr>
    </w:p>
    <w:p>
      <w:pPr>
        <w:ind w:left="960" w:right="240" w:hanging="484"/>
        <w:spacing w:after="0" w:line="248" w:lineRule="auto"/>
        <w:tabs>
          <w:tab w:leader="none" w:pos="940" w:val="left"/>
        </w:tabs>
        <w:rPr>
          <w:sz w:val="20"/>
          <w:szCs w:val="20"/>
          <w:color w:val="auto"/>
        </w:rPr>
      </w:pPr>
      <w:r>
        <w:rPr>
          <w:rFonts w:ascii="Times New Roman" w:cs="Times New Roman" w:eastAsia="Times New Roman" w:hAnsi="Times New Roman"/>
          <w:sz w:val="13"/>
          <w:szCs w:val="13"/>
          <w:color w:val="auto"/>
        </w:rPr>
        <w:t>2.15</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IND</w:t>
      </w:r>
      <w:r>
        <w:rPr>
          <w:rFonts w:ascii="Times New Roman" w:cs="Times New Roman" w:eastAsia="Times New Roman" w:hAnsi="Times New Roman"/>
          <w:sz w:val="13"/>
          <w:szCs w:val="13"/>
          <w:color w:val="auto"/>
        </w:rPr>
        <w:t xml:space="preserve">” means an Investigational New Drug application, Clinical Study Application, Clinical Trial Exemption, or similar application or submission for approval to conduct human clinical investigations filed with or submitted to a </w:t>
      </w:r>
      <w:r>
        <w:rPr>
          <w:rFonts w:ascii="Times New Roman" w:cs="Times New Roman" w:eastAsia="Times New Roman" w:hAnsi="Times New Roman"/>
          <w:sz w:val="13"/>
          <w:szCs w:val="13"/>
          <w:b w:val="1"/>
          <w:bCs w:val="1"/>
          <w:color w:val="auto"/>
        </w:rPr>
        <w:t>Regulatory Authority</w:t>
      </w:r>
      <w:r>
        <w:rPr>
          <w:rFonts w:ascii="Times New Roman" w:cs="Times New Roman" w:eastAsia="Times New Roman" w:hAnsi="Times New Roman"/>
          <w:sz w:val="13"/>
          <w:szCs w:val="13"/>
          <w:color w:val="auto"/>
        </w:rPr>
        <w:t xml:space="preserve"> or in conformance of such a </w:t>
      </w:r>
      <w:r>
        <w:rPr>
          <w:rFonts w:ascii="Times New Roman" w:cs="Times New Roman" w:eastAsia="Times New Roman" w:hAnsi="Times New Roman"/>
          <w:sz w:val="13"/>
          <w:szCs w:val="13"/>
          <w:b w:val="1"/>
          <w:bCs w:val="1"/>
          <w:color w:val="auto"/>
        </w:rPr>
        <w:t>Regulatory Authority</w:t>
      </w:r>
      <w:r>
        <w:rPr>
          <w:rFonts w:ascii="Times New Roman" w:cs="Times New Roman" w:eastAsia="Times New Roman" w:hAnsi="Times New Roman"/>
          <w:sz w:val="13"/>
          <w:szCs w:val="13"/>
          <w:color w:val="auto"/>
        </w:rPr>
        <w:t>.</w:t>
      </w:r>
    </w:p>
    <w:p>
      <w:pPr>
        <w:spacing w:after="0" w:line="116"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3"/>
          <w:szCs w:val="13"/>
          <w:color w:val="auto"/>
        </w:rPr>
        <w:t>2.16</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Least Developed Country(ies)</w:t>
      </w:r>
      <w:r>
        <w:rPr>
          <w:rFonts w:ascii="Times New Roman" w:cs="Times New Roman" w:eastAsia="Times New Roman" w:hAnsi="Times New Roman"/>
          <w:sz w:val="13"/>
          <w:szCs w:val="13"/>
          <w:color w:val="auto"/>
        </w:rPr>
        <w:t>” means the country(ies) identified in Appendix B.</w:t>
      </w:r>
    </w:p>
    <w:p>
      <w:pPr>
        <w:spacing w:after="0" w:line="144"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3"/>
          <w:szCs w:val="13"/>
          <w:color w:val="auto"/>
        </w:rPr>
        <w:t>2.17</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Licensed Fields of Use</w:t>
      </w:r>
      <w:r>
        <w:rPr>
          <w:rFonts w:ascii="Times New Roman" w:cs="Times New Roman" w:eastAsia="Times New Roman" w:hAnsi="Times New Roman"/>
          <w:sz w:val="13"/>
          <w:szCs w:val="13"/>
          <w:color w:val="auto"/>
        </w:rPr>
        <w:t>” means the fields of use identified in Appendix B.</w:t>
      </w:r>
    </w:p>
    <w:p>
      <w:pPr>
        <w:spacing w:after="0" w:line="144"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3"/>
          <w:szCs w:val="13"/>
          <w:color w:val="auto"/>
        </w:rPr>
        <w:t>2.18</w:t>
      </w:r>
      <w:r>
        <w:rPr>
          <w:sz w:val="20"/>
          <w:szCs w:val="20"/>
          <w:color w:val="auto"/>
        </w:rPr>
        <w:tab/>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Licensed Patent Rights</w:t>
      </w:r>
      <w:r>
        <w:rPr>
          <w:rFonts w:ascii="Times New Roman" w:cs="Times New Roman" w:eastAsia="Times New Roman" w:hAnsi="Times New Roman"/>
          <w:sz w:val="12"/>
          <w:szCs w:val="12"/>
          <w:color w:val="auto"/>
        </w:rPr>
        <w:t>” shall mean:</w:t>
      </w:r>
    </w:p>
    <w:p>
      <w:pPr>
        <w:spacing w:after="0" w:line="146" w:lineRule="exact"/>
        <w:rPr>
          <w:sz w:val="20"/>
          <w:szCs w:val="20"/>
          <w:color w:val="auto"/>
        </w:rPr>
      </w:pPr>
    </w:p>
    <w:p>
      <w:pPr>
        <w:ind w:left="1440" w:right="600" w:hanging="479"/>
        <w:spacing w:after="0" w:line="245" w:lineRule="auto"/>
        <w:tabs>
          <w:tab w:leader="none" w:pos="1430" w:val="left"/>
        </w:tabs>
        <w:numPr>
          <w:ilvl w:val="0"/>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Patent applications (including provisional patent applications and PCT patent applications) or patents listed in Appendix A, all divisions and continuations of these applications, all patents issuing from these applications, divisions, and continuations, and any reissues, reexaminations, and extensions of all these patents;</w:t>
      </w:r>
    </w:p>
    <w:p>
      <w:pPr>
        <w:spacing w:after="0" w:line="119" w:lineRule="exact"/>
        <w:rPr>
          <w:rFonts w:ascii="Times New Roman" w:cs="Times New Roman" w:eastAsia="Times New Roman" w:hAnsi="Times New Roman"/>
          <w:sz w:val="13"/>
          <w:szCs w:val="13"/>
          <w:color w:val="auto"/>
        </w:rPr>
      </w:pPr>
    </w:p>
    <w:p>
      <w:pPr>
        <w:ind w:left="1440" w:hanging="479"/>
        <w:spacing w:after="0"/>
        <w:tabs>
          <w:tab w:leader="none" w:pos="1440" w:val="left"/>
        </w:tabs>
        <w:numPr>
          <w:ilvl w:val="0"/>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that the following contain one or more claims directed to the invention or inventions disclosed in Paragraph 2.18(a):</w:t>
      </w:r>
    </w:p>
    <w:p>
      <w:pPr>
        <w:spacing w:after="0" w:line="143" w:lineRule="exact"/>
        <w:rPr>
          <w:rFonts w:ascii="Times New Roman" w:cs="Times New Roman" w:eastAsia="Times New Roman" w:hAnsi="Times New Roman"/>
          <w:sz w:val="13"/>
          <w:szCs w:val="13"/>
          <w:color w:val="auto"/>
        </w:rPr>
      </w:pPr>
    </w:p>
    <w:p>
      <w:pPr>
        <w:ind w:left="1920" w:hanging="474"/>
        <w:spacing w:after="0"/>
        <w:tabs>
          <w:tab w:leader="none" w:pos="1920" w:val="left"/>
        </w:tabs>
        <w:numPr>
          <w:ilvl w:val="1"/>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continuations in part of Paragraph 2.18(a);</w:t>
      </w:r>
    </w:p>
    <w:p>
      <w:pPr>
        <w:spacing w:after="0" w:line="143" w:lineRule="exact"/>
        <w:rPr>
          <w:rFonts w:ascii="Times New Roman" w:cs="Times New Roman" w:eastAsia="Times New Roman" w:hAnsi="Times New Roman"/>
          <w:sz w:val="13"/>
          <w:szCs w:val="13"/>
          <w:color w:val="auto"/>
        </w:rPr>
      </w:pPr>
    </w:p>
    <w:p>
      <w:pPr>
        <w:ind w:left="1920" w:hanging="474"/>
        <w:spacing w:after="0"/>
        <w:tabs>
          <w:tab w:leader="none" w:pos="1920" w:val="left"/>
        </w:tabs>
        <w:numPr>
          <w:ilvl w:val="1"/>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divisions and continuations of these continuations-in-part;</w:t>
      </w:r>
    </w:p>
    <w:p>
      <w:pPr>
        <w:spacing w:after="0" w:line="143" w:lineRule="exact"/>
        <w:rPr>
          <w:rFonts w:ascii="Times New Roman" w:cs="Times New Roman" w:eastAsia="Times New Roman" w:hAnsi="Times New Roman"/>
          <w:sz w:val="13"/>
          <w:szCs w:val="13"/>
          <w:color w:val="auto"/>
        </w:rPr>
      </w:pPr>
    </w:p>
    <w:p>
      <w:pPr>
        <w:ind w:left="1920" w:hanging="474"/>
        <w:spacing w:after="0"/>
        <w:tabs>
          <w:tab w:leader="none" w:pos="1920" w:val="left"/>
        </w:tabs>
        <w:numPr>
          <w:ilvl w:val="1"/>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patents issuing from these continuations in part, divisions, and continuations;</w:t>
      </w:r>
    </w:p>
    <w:p>
      <w:pPr>
        <w:spacing w:after="0" w:line="143" w:lineRule="exact"/>
        <w:rPr>
          <w:rFonts w:ascii="Times New Roman" w:cs="Times New Roman" w:eastAsia="Times New Roman" w:hAnsi="Times New Roman"/>
          <w:sz w:val="13"/>
          <w:szCs w:val="13"/>
          <w:color w:val="auto"/>
        </w:rPr>
      </w:pPr>
    </w:p>
    <w:p>
      <w:pPr>
        <w:ind w:left="1920" w:hanging="474"/>
        <w:spacing w:after="0"/>
        <w:tabs>
          <w:tab w:leader="none" w:pos="1920" w:val="left"/>
        </w:tabs>
        <w:numPr>
          <w:ilvl w:val="1"/>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priority patent application(s) of Paragraph 2.18(a); and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CONFIDENTIAL </w:t>
      </w:r>
      <w:r>
        <w:rPr>
          <w:rFonts w:ascii="Times New Roman" w:cs="Times New Roman" w:eastAsia="Times New Roman" w:hAnsi="Times New Roman"/>
          <w:sz w:val="11"/>
          <w:szCs w:val="11"/>
          <w:color w:val="auto"/>
        </w:rPr>
        <w: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1"/>
          <w:szCs w:val="11"/>
          <w:color w:val="auto"/>
        </w:rPr>
        <w:t>Model 10-2015 Rev 09-2024</w:t>
        <w:tab/>
        <w:t>Page 4 of 25 [FINAL] [BioNTech SE] [20 December 2024]</w:t>
      </w:r>
    </w:p>
    <w:p>
      <w:pPr>
        <w:sectPr>
          <w:pgSz w:w="11900" w:h="16840" w:orient="portrait"/>
          <w:cols w:equalWidth="0" w:num="1">
            <w:col w:w="10560"/>
          </w:cols>
          <w:pgMar w:left="660" w:top="752" w:right="680"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3"/>
          <w:szCs w:val="13"/>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920" w:hanging="474"/>
        <w:spacing w:after="0"/>
        <w:tabs>
          <w:tab w:leader="none" w:pos="1920" w:val="left"/>
        </w:tabs>
        <w:numPr>
          <w:ilvl w:val="1"/>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reissues, reexaminations, and extensions of all these patents;</w:t>
      </w:r>
    </w:p>
    <w:p>
      <w:pPr>
        <w:spacing w:after="0" w:line="143" w:lineRule="exact"/>
        <w:rPr>
          <w:rFonts w:ascii="Times New Roman" w:cs="Times New Roman" w:eastAsia="Times New Roman" w:hAnsi="Times New Roman"/>
          <w:sz w:val="13"/>
          <w:szCs w:val="13"/>
          <w:color w:val="auto"/>
        </w:rPr>
      </w:pPr>
    </w:p>
    <w:p>
      <w:pPr>
        <w:ind w:left="1440" w:right="280" w:hanging="479"/>
        <w:spacing w:after="0" w:line="245" w:lineRule="auto"/>
        <w:tabs>
          <w:tab w:leader="none" w:pos="143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that the following contain one or more claims directed to the invention or inventions disclosed in Paragraph 2.18(a): all counterpart foreign and U.S. patent applications and patents to Paragraphs 2.18(a) and 2.18(b), including those listed in Appendix A; and</w:t>
      </w:r>
    </w:p>
    <w:p>
      <w:pPr>
        <w:spacing w:after="0" w:line="117" w:lineRule="exact"/>
        <w:rPr>
          <w:rFonts w:ascii="Times New Roman" w:cs="Times New Roman" w:eastAsia="Times New Roman" w:hAnsi="Times New Roman"/>
          <w:sz w:val="13"/>
          <w:szCs w:val="13"/>
          <w:color w:val="auto"/>
        </w:rPr>
      </w:pPr>
    </w:p>
    <w:p>
      <w:pPr>
        <w:ind w:left="1440" w:right="100" w:hanging="479"/>
        <w:spacing w:after="0" w:line="248" w:lineRule="auto"/>
        <w:tabs>
          <w:tab w:leader="none" w:pos="143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Licensed Patent Rights </w:t>
      </w:r>
      <w:r>
        <w:rPr>
          <w:rFonts w:ascii="Times New Roman" w:cs="Times New Roman" w:eastAsia="Times New Roman" w:hAnsi="Times New Roman"/>
          <w:sz w:val="13"/>
          <w:szCs w:val="13"/>
          <w:color w:val="auto"/>
        </w:rPr>
        <w:t>shall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i w:val="1"/>
          <w:iCs w:val="1"/>
          <w:color w:val="auto"/>
        </w:rPr>
        <w:t>not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include Paragraph 2.18(b) or Paragraph 2.18(c) to the extent that they contain one or more claims directed to new matter which is not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subject matter disclosed in Paragraph 2.18(a).</w:t>
      </w:r>
    </w:p>
    <w:p>
      <w:pPr>
        <w:spacing w:after="0" w:line="116" w:lineRule="exact"/>
        <w:rPr>
          <w:sz w:val="20"/>
          <w:szCs w:val="20"/>
          <w:color w:val="auto"/>
        </w:rPr>
      </w:pPr>
    </w:p>
    <w:p>
      <w:pPr>
        <w:ind w:left="960" w:right="200" w:hanging="484"/>
        <w:spacing w:after="0" w:line="248" w:lineRule="auto"/>
        <w:tabs>
          <w:tab w:leader="none" w:pos="940" w:val="left"/>
        </w:tabs>
        <w:rPr>
          <w:sz w:val="20"/>
          <w:szCs w:val="20"/>
          <w:color w:val="auto"/>
        </w:rPr>
      </w:pPr>
      <w:r>
        <w:rPr>
          <w:rFonts w:ascii="Times New Roman" w:cs="Times New Roman" w:eastAsia="Times New Roman" w:hAnsi="Times New Roman"/>
          <w:sz w:val="13"/>
          <w:szCs w:val="13"/>
          <w:color w:val="auto"/>
        </w:rPr>
        <w:t>2.19</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Licensed Processes</w:t>
      </w:r>
      <w:r>
        <w:rPr>
          <w:rFonts w:ascii="Times New Roman" w:cs="Times New Roman" w:eastAsia="Times New Roman" w:hAnsi="Times New Roman"/>
          <w:sz w:val="13"/>
          <w:szCs w:val="13"/>
          <w:color w:val="auto"/>
        </w:rPr>
        <w:t>” means processes, which in the course of being practiced, would be within the scope of one or more claims of the</w:t>
      </w:r>
      <w:r>
        <w:rPr>
          <w:rFonts w:ascii="Times New Roman" w:cs="Times New Roman" w:eastAsia="Times New Roman" w:hAnsi="Times New Roman"/>
          <w:sz w:val="13"/>
          <w:szCs w:val="13"/>
          <w:b w:val="1"/>
          <w:bCs w:val="1"/>
          <w:color w:val="auto"/>
        </w:rPr>
        <w:t>Licensed Patent Rights</w:t>
      </w:r>
      <w:r>
        <w:rPr>
          <w:rFonts w:ascii="Times New Roman" w:cs="Times New Roman" w:eastAsia="Times New Roman" w:hAnsi="Times New Roman"/>
          <w:sz w:val="13"/>
          <w:szCs w:val="13"/>
          <w:color w:val="auto"/>
        </w:rPr>
        <w:t xml:space="preserve"> that have not been held unpatentable, invalid or unenforceable by an unappealed or unappealable judgment of a court of competent jurisdiction.</w:t>
      </w:r>
    </w:p>
    <w:p>
      <w:pPr>
        <w:spacing w:after="0" w:line="116" w:lineRule="exact"/>
        <w:rPr>
          <w:sz w:val="20"/>
          <w:szCs w:val="20"/>
          <w:color w:val="auto"/>
        </w:rPr>
      </w:pPr>
    </w:p>
    <w:p>
      <w:pPr>
        <w:ind w:left="960" w:hanging="484"/>
        <w:spacing w:after="0" w:line="248" w:lineRule="auto"/>
        <w:tabs>
          <w:tab w:leader="none" w:pos="940" w:val="left"/>
        </w:tabs>
        <w:rPr>
          <w:sz w:val="20"/>
          <w:szCs w:val="20"/>
          <w:color w:val="auto"/>
        </w:rPr>
      </w:pPr>
      <w:r>
        <w:rPr>
          <w:rFonts w:ascii="Times New Roman" w:cs="Times New Roman" w:eastAsia="Times New Roman" w:hAnsi="Times New Roman"/>
          <w:sz w:val="13"/>
          <w:szCs w:val="13"/>
          <w:color w:val="auto"/>
        </w:rPr>
        <w:t>2.20</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means tangible materials, which in the course of manufacture, use, sale, or importation, would be within the scope of one or more claims of the</w:t>
      </w:r>
      <w:r>
        <w:rPr>
          <w:rFonts w:ascii="Times New Roman" w:cs="Times New Roman" w:eastAsia="Times New Roman" w:hAnsi="Times New Roman"/>
          <w:sz w:val="13"/>
          <w:szCs w:val="13"/>
          <w:b w:val="1"/>
          <w:bCs w:val="1"/>
          <w:color w:val="auto"/>
        </w:rPr>
        <w:t>Licensed Patent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Rights </w:t>
      </w:r>
      <w:r>
        <w:rPr>
          <w:rFonts w:ascii="Times New Roman" w:cs="Times New Roman" w:eastAsia="Times New Roman" w:hAnsi="Times New Roman"/>
          <w:sz w:val="13"/>
          <w:szCs w:val="13"/>
          <w:color w:val="auto"/>
        </w:rPr>
        <w:t>that have not been held unpatentable, invalid or unenforceable by an unappealed or unappealable judgment of a court of competent jurisdiction.</w:t>
      </w:r>
    </w:p>
    <w:p>
      <w:pPr>
        <w:spacing w:after="0" w:line="116"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3"/>
          <w:szCs w:val="13"/>
          <w:color w:val="auto"/>
        </w:rPr>
        <w:t>2.21</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Licensed Territory</w:t>
      </w:r>
      <w:r>
        <w:rPr>
          <w:rFonts w:ascii="Times New Roman" w:cs="Times New Roman" w:eastAsia="Times New Roman" w:hAnsi="Times New Roman"/>
          <w:sz w:val="13"/>
          <w:szCs w:val="13"/>
          <w:color w:val="auto"/>
        </w:rPr>
        <w:t>” means the geographical area identified in Appendix B.</w:t>
      </w:r>
    </w:p>
    <w:p>
      <w:pPr>
        <w:spacing w:after="0" w:line="144" w:lineRule="exact"/>
        <w:rPr>
          <w:sz w:val="20"/>
          <w:szCs w:val="20"/>
          <w:color w:val="auto"/>
        </w:rPr>
      </w:pPr>
    </w:p>
    <w:p>
      <w:pPr>
        <w:ind w:left="960" w:right="340" w:hanging="484"/>
        <w:spacing w:after="0" w:line="248" w:lineRule="auto"/>
        <w:tabs>
          <w:tab w:leader="none" w:pos="940" w:val="left"/>
        </w:tabs>
        <w:rPr>
          <w:sz w:val="20"/>
          <w:szCs w:val="20"/>
          <w:color w:val="auto"/>
        </w:rPr>
      </w:pPr>
      <w:r>
        <w:rPr>
          <w:rFonts w:ascii="Times New Roman" w:cs="Times New Roman" w:eastAsia="Times New Roman" w:hAnsi="Times New Roman"/>
          <w:sz w:val="13"/>
          <w:szCs w:val="13"/>
          <w:color w:val="auto"/>
        </w:rPr>
        <w:t>2.22</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Marketing Authorization</w:t>
      </w:r>
      <w:r>
        <w:rPr>
          <w:rFonts w:ascii="Times New Roman" w:cs="Times New Roman" w:eastAsia="Times New Roman" w:hAnsi="Times New Roman"/>
          <w:sz w:val="13"/>
          <w:szCs w:val="13"/>
          <w:color w:val="auto"/>
        </w:rPr>
        <w:t xml:space="preserve">” means all approvals from the relevant </w:t>
      </w:r>
      <w:r>
        <w:rPr>
          <w:rFonts w:ascii="Times New Roman" w:cs="Times New Roman" w:eastAsia="Times New Roman" w:hAnsi="Times New Roman"/>
          <w:sz w:val="13"/>
          <w:szCs w:val="13"/>
          <w:b w:val="1"/>
          <w:bCs w:val="1"/>
          <w:color w:val="auto"/>
        </w:rPr>
        <w:t>Regulatory Authority</w:t>
      </w:r>
      <w:r>
        <w:rPr>
          <w:rFonts w:ascii="Times New Roman" w:cs="Times New Roman" w:eastAsia="Times New Roman" w:hAnsi="Times New Roman"/>
          <w:sz w:val="13"/>
          <w:szCs w:val="13"/>
          <w:color w:val="auto"/>
        </w:rPr>
        <w:t xml:space="preserve"> necessary to market and sell any of the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in any country (including without limitation all applicable pricing and governmental reimbursement approvals even if not legally required to sell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in a country).</w:t>
      </w:r>
    </w:p>
    <w:p>
      <w:pPr>
        <w:spacing w:after="0" w:line="116" w:lineRule="exact"/>
        <w:rPr>
          <w:sz w:val="20"/>
          <w:szCs w:val="20"/>
          <w:color w:val="auto"/>
        </w:rPr>
      </w:pPr>
    </w:p>
    <w:p>
      <w:pPr>
        <w:ind w:left="960" w:right="360" w:hanging="484"/>
        <w:spacing w:after="0" w:line="248" w:lineRule="auto"/>
        <w:tabs>
          <w:tab w:leader="none" w:pos="940" w:val="left"/>
        </w:tabs>
        <w:rPr>
          <w:sz w:val="20"/>
          <w:szCs w:val="20"/>
          <w:color w:val="auto"/>
        </w:rPr>
      </w:pPr>
      <w:r>
        <w:rPr>
          <w:rFonts w:ascii="Times New Roman" w:cs="Times New Roman" w:eastAsia="Times New Roman" w:hAnsi="Times New Roman"/>
          <w:sz w:val="13"/>
          <w:szCs w:val="13"/>
          <w:color w:val="auto"/>
        </w:rPr>
        <w:t>2.23</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NDA</w:t>
      </w:r>
      <w:r>
        <w:rPr>
          <w:rFonts w:ascii="Times New Roman" w:cs="Times New Roman" w:eastAsia="Times New Roman" w:hAnsi="Times New Roman"/>
          <w:sz w:val="13"/>
          <w:szCs w:val="13"/>
          <w:color w:val="auto"/>
        </w:rPr>
        <w:t>” means a New Drug Application or similar application or submission for marketing approval filed with or submitted to a</w:t>
      </w:r>
      <w:r>
        <w:rPr>
          <w:rFonts w:ascii="Times New Roman" w:cs="Times New Roman" w:eastAsia="Times New Roman" w:hAnsi="Times New Roman"/>
          <w:sz w:val="13"/>
          <w:szCs w:val="13"/>
          <w:b w:val="1"/>
          <w:bCs w:val="1"/>
          <w:color w:val="auto"/>
        </w:rPr>
        <w:t>Regulatory Authority</w:t>
      </w:r>
      <w:r>
        <w:rPr>
          <w:rFonts w:ascii="Times New Roman" w:cs="Times New Roman" w:eastAsia="Times New Roman" w:hAnsi="Times New Roman"/>
          <w:sz w:val="13"/>
          <w:szCs w:val="13"/>
          <w:color w:val="auto"/>
        </w:rPr>
        <w:t xml:space="preserve"> in conformance with the requirements of such </w:t>
      </w:r>
      <w:r>
        <w:rPr>
          <w:rFonts w:ascii="Times New Roman" w:cs="Times New Roman" w:eastAsia="Times New Roman" w:hAnsi="Times New Roman"/>
          <w:sz w:val="13"/>
          <w:szCs w:val="13"/>
          <w:b w:val="1"/>
          <w:bCs w:val="1"/>
          <w:color w:val="auto"/>
        </w:rPr>
        <w:t>Regulatory Authority</w:t>
      </w:r>
      <w:r>
        <w:rPr>
          <w:rFonts w:ascii="Times New Roman" w:cs="Times New Roman" w:eastAsia="Times New Roman" w:hAnsi="Times New Roman"/>
          <w:sz w:val="13"/>
          <w:szCs w:val="13"/>
          <w:color w:val="auto"/>
        </w:rPr>
        <w:t>.</w:t>
      </w:r>
    </w:p>
    <w:p>
      <w:pPr>
        <w:spacing w:after="0" w:line="116"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3"/>
          <w:szCs w:val="13"/>
          <w:color w:val="auto"/>
        </w:rPr>
        <w:t>2.24</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Net Sales</w:t>
      </w:r>
      <w:r>
        <w:rPr>
          <w:rFonts w:ascii="Times New Roman" w:cs="Times New Roman" w:eastAsia="Times New Roman" w:hAnsi="Times New Roman"/>
          <w:sz w:val="13"/>
          <w:szCs w:val="13"/>
          <w:color w:val="auto"/>
        </w:rPr>
        <w:t>” means [***].</w:t>
      </w:r>
    </w:p>
    <w:p>
      <w:pPr>
        <w:spacing w:after="0" w:line="156"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3"/>
          <w:szCs w:val="13"/>
          <w:color w:val="auto"/>
        </w:rPr>
        <w:t>2.25</w:t>
      </w:r>
      <w:r>
        <w:rPr>
          <w:sz w:val="20"/>
          <w:szCs w:val="20"/>
          <w:color w:val="auto"/>
        </w:rPr>
        <w:tab/>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left="960" w:right="120" w:hanging="484"/>
        <w:spacing w:after="0" w:line="248" w:lineRule="auto"/>
        <w:tabs>
          <w:tab w:leader="none" w:pos="940" w:val="left"/>
        </w:tabs>
        <w:rPr>
          <w:sz w:val="20"/>
          <w:szCs w:val="20"/>
          <w:color w:val="auto"/>
        </w:rPr>
      </w:pPr>
      <w:r>
        <w:rPr>
          <w:rFonts w:ascii="Times New Roman" w:cs="Times New Roman" w:eastAsia="Times New Roman" w:hAnsi="Times New Roman"/>
          <w:sz w:val="13"/>
          <w:szCs w:val="13"/>
          <w:color w:val="auto"/>
        </w:rPr>
        <w:t>2.26</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Phase I Clinical Trial</w:t>
      </w:r>
      <w:r>
        <w:rPr>
          <w:rFonts w:ascii="Times New Roman" w:cs="Times New Roman" w:eastAsia="Times New Roman" w:hAnsi="Times New Roman"/>
          <w:sz w:val="13"/>
          <w:szCs w:val="13"/>
          <w:color w:val="auto"/>
        </w:rPr>
        <w:t>” means a human clinical trial (including Phase Ia and Ib) in any country that is not a</w:t>
      </w:r>
      <w:r>
        <w:rPr>
          <w:rFonts w:ascii="Times New Roman" w:cs="Times New Roman" w:eastAsia="Times New Roman" w:hAnsi="Times New Roman"/>
          <w:sz w:val="13"/>
          <w:szCs w:val="13"/>
          <w:b w:val="1"/>
          <w:bCs w:val="1"/>
          <w:color w:val="auto"/>
        </w:rPr>
        <w:t>Phase II Clinical Trial</w:t>
      </w:r>
      <w:r>
        <w:rPr>
          <w:rFonts w:ascii="Times New Roman" w:cs="Times New Roman" w:eastAsia="Times New Roman" w:hAnsi="Times New Roman"/>
          <w:sz w:val="13"/>
          <w:szCs w:val="13"/>
          <w:color w:val="auto"/>
        </w:rPr>
        <w:t xml:space="preserve">, not a </w:t>
      </w:r>
      <w:r>
        <w:rPr>
          <w:rFonts w:ascii="Times New Roman" w:cs="Times New Roman" w:eastAsia="Times New Roman" w:hAnsi="Times New Roman"/>
          <w:sz w:val="13"/>
          <w:szCs w:val="13"/>
          <w:b w:val="1"/>
          <w:bCs w:val="1"/>
          <w:color w:val="auto"/>
        </w:rPr>
        <w:t>Phase III Clinical Trial</w:t>
      </w:r>
      <w:r>
        <w:rPr>
          <w:rFonts w:ascii="Times New Roman" w:cs="Times New Roman" w:eastAsia="Times New Roman" w:hAnsi="Times New Roman"/>
          <w:sz w:val="13"/>
          <w:szCs w:val="13"/>
          <w:color w:val="auto"/>
        </w:rPr>
        <w:t xml:space="preserve">, and not a </w:t>
      </w:r>
      <w:r>
        <w:rPr>
          <w:rFonts w:ascii="Times New Roman" w:cs="Times New Roman" w:eastAsia="Times New Roman" w:hAnsi="Times New Roman"/>
          <w:sz w:val="13"/>
          <w:szCs w:val="13"/>
          <w:b w:val="1"/>
          <w:bCs w:val="1"/>
          <w:color w:val="auto"/>
        </w:rPr>
        <w:t>Phase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IV Clinical Trial</w:t>
      </w:r>
      <w:r>
        <w:rPr>
          <w:rFonts w:ascii="Times New Roman" w:cs="Times New Roman" w:eastAsia="Times New Roman" w:hAnsi="Times New Roman"/>
          <w:sz w:val="13"/>
          <w:szCs w:val="13"/>
          <w:color w:val="auto"/>
        </w:rPr>
        <w:t>.</w:t>
      </w:r>
    </w:p>
    <w:p>
      <w:pPr>
        <w:spacing w:after="0" w:line="116" w:lineRule="exact"/>
        <w:rPr>
          <w:sz w:val="20"/>
          <w:szCs w:val="20"/>
          <w:color w:val="auto"/>
        </w:rPr>
      </w:pPr>
    </w:p>
    <w:p>
      <w:pPr>
        <w:ind w:left="960" w:right="80" w:hanging="484"/>
        <w:spacing w:after="0" w:line="248" w:lineRule="auto"/>
        <w:tabs>
          <w:tab w:leader="none" w:pos="940" w:val="left"/>
        </w:tabs>
        <w:rPr>
          <w:sz w:val="20"/>
          <w:szCs w:val="20"/>
          <w:color w:val="auto"/>
        </w:rPr>
      </w:pPr>
      <w:r>
        <w:rPr>
          <w:rFonts w:ascii="Times New Roman" w:cs="Times New Roman" w:eastAsia="Times New Roman" w:hAnsi="Times New Roman"/>
          <w:sz w:val="13"/>
          <w:szCs w:val="13"/>
          <w:color w:val="auto"/>
        </w:rPr>
        <w:t>2.27</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Phase II Clinical Trial</w:t>
      </w:r>
      <w:r>
        <w:rPr>
          <w:rFonts w:ascii="Times New Roman" w:cs="Times New Roman" w:eastAsia="Times New Roman" w:hAnsi="Times New Roman"/>
          <w:sz w:val="13"/>
          <w:szCs w:val="13"/>
          <w:color w:val="auto"/>
        </w:rPr>
        <w:t xml:space="preserve">” means a human clinical trial (including Phase 2a and 2b) in any country in which the protocol is designed to include at least one endpoint measuring efficacy (qualitative or quantitative) for a new indication, but the design is not sufficiently controlled or sized to support regulatory approval of the </w:t>
      </w:r>
      <w:r>
        <w:rPr>
          <w:rFonts w:ascii="Times New Roman" w:cs="Times New Roman" w:eastAsia="Times New Roman" w:hAnsi="Times New Roman"/>
          <w:sz w:val="13"/>
          <w:szCs w:val="13"/>
          <w:b w:val="1"/>
          <w:bCs w:val="1"/>
          <w:color w:val="auto"/>
        </w:rPr>
        <w:t>Licensed Product</w:t>
      </w:r>
      <w:r>
        <w:rPr>
          <w:rFonts w:ascii="Times New Roman" w:cs="Times New Roman" w:eastAsia="Times New Roman" w:hAnsi="Times New Roman"/>
          <w:sz w:val="13"/>
          <w:szCs w:val="13"/>
          <w:color w:val="auto"/>
        </w:rPr>
        <w:t xml:space="preserve"> for marketing.</w:t>
      </w:r>
    </w:p>
    <w:p>
      <w:pPr>
        <w:spacing w:after="0" w:line="116"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3"/>
          <w:szCs w:val="13"/>
          <w:color w:val="auto"/>
        </w:rPr>
        <w:t>2.28</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Phase III Clinical Trial</w:t>
      </w:r>
      <w:r>
        <w:rPr>
          <w:rFonts w:ascii="Times New Roman" w:cs="Times New Roman" w:eastAsia="Times New Roman" w:hAnsi="Times New Roman"/>
          <w:sz w:val="13"/>
          <w:szCs w:val="13"/>
          <w:color w:val="auto"/>
        </w:rPr>
        <w:t>” means a human clinical trial in any country in which the protocol is designed to support regulatory approval of the</w:t>
      </w:r>
      <w:r>
        <w:rPr>
          <w:rFonts w:ascii="Times New Roman" w:cs="Times New Roman" w:eastAsia="Times New Roman" w:hAnsi="Times New Roman"/>
          <w:sz w:val="13"/>
          <w:szCs w:val="13"/>
          <w:b w:val="1"/>
          <w:bCs w:val="1"/>
          <w:color w:val="auto"/>
        </w:rPr>
        <w:t>Licensed Product</w:t>
      </w:r>
      <w:r>
        <w:rPr>
          <w:rFonts w:ascii="Times New Roman" w:cs="Times New Roman" w:eastAsia="Times New Roman" w:hAnsi="Times New Roman"/>
          <w:sz w:val="13"/>
          <w:szCs w:val="13"/>
          <w:color w:val="auto"/>
        </w:rPr>
        <w:t xml:space="preserve"> for marketing.</w:t>
      </w:r>
    </w:p>
    <w:p>
      <w:pPr>
        <w:spacing w:after="0" w:line="144" w:lineRule="exact"/>
        <w:rPr>
          <w:sz w:val="20"/>
          <w:szCs w:val="20"/>
          <w:color w:val="auto"/>
        </w:rPr>
      </w:pPr>
    </w:p>
    <w:p>
      <w:pPr>
        <w:ind w:left="960" w:hanging="484"/>
        <w:spacing w:after="0" w:line="227" w:lineRule="auto"/>
        <w:tabs>
          <w:tab w:leader="none" w:pos="940" w:val="left"/>
        </w:tabs>
        <w:rPr>
          <w:sz w:val="20"/>
          <w:szCs w:val="20"/>
          <w:color w:val="auto"/>
        </w:rPr>
      </w:pPr>
      <w:r>
        <w:rPr>
          <w:rFonts w:ascii="Times New Roman" w:cs="Times New Roman" w:eastAsia="Times New Roman" w:hAnsi="Times New Roman"/>
          <w:sz w:val="13"/>
          <w:szCs w:val="13"/>
          <w:color w:val="auto"/>
        </w:rPr>
        <w:t>2.29</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Phase IV Clinical Trial</w:t>
      </w:r>
      <w:r>
        <w:rPr>
          <w:rFonts w:ascii="Times New Roman" w:cs="Times New Roman" w:eastAsia="Times New Roman" w:hAnsi="Times New Roman"/>
          <w:sz w:val="13"/>
          <w:szCs w:val="13"/>
          <w:color w:val="auto"/>
        </w:rPr>
        <w:t xml:space="preserve">” means any clinical trial initiated after regulatory approval to market a </w:t>
      </w:r>
      <w:r>
        <w:rPr>
          <w:rFonts w:ascii="Times New Roman" w:cs="Times New Roman" w:eastAsia="Times New Roman" w:hAnsi="Times New Roman"/>
          <w:sz w:val="13"/>
          <w:szCs w:val="13"/>
          <w:b w:val="1"/>
          <w:bCs w:val="1"/>
          <w:color w:val="auto"/>
        </w:rPr>
        <w:t>Licensed Product</w:t>
      </w:r>
      <w:r>
        <w:rPr>
          <w:rFonts w:ascii="Times New Roman" w:cs="Times New Roman" w:eastAsia="Times New Roman" w:hAnsi="Times New Roman"/>
          <w:sz w:val="13"/>
          <w:szCs w:val="13"/>
          <w:color w:val="auto"/>
        </w:rPr>
        <w:t xml:space="preserve"> because completing that trial successfully was required by the regulatory agency as a condition of such approval. Also, </w:t>
      </w:r>
      <w:r>
        <w:rPr>
          <w:rFonts w:ascii="Times New Roman" w:cs="Times New Roman" w:eastAsia="Times New Roman" w:hAnsi="Times New Roman"/>
          <w:sz w:val="13"/>
          <w:szCs w:val="13"/>
          <w:b w:val="1"/>
          <w:bCs w:val="1"/>
          <w:color w:val="auto"/>
        </w:rPr>
        <w:t>Phase IV Clinical Trial</w:t>
      </w:r>
      <w:r>
        <w:rPr>
          <w:rFonts w:ascii="Times New Roman" w:cs="Times New Roman" w:eastAsia="Times New Roman" w:hAnsi="Times New Roman"/>
          <w:sz w:val="13"/>
          <w:szCs w:val="13"/>
          <w:color w:val="auto"/>
        </w:rPr>
        <w:t xml:space="preserve"> includes trials intended to expand or alter the scope of the regulatory approval (a) to include additional or alternative dosing, or (b) to include additional or alternative routes of administration, or (c) to comply with new regulatory requirements. A </w:t>
      </w:r>
      <w:r>
        <w:rPr>
          <w:rFonts w:ascii="Times New Roman" w:cs="Times New Roman" w:eastAsia="Times New Roman" w:hAnsi="Times New Roman"/>
          <w:sz w:val="13"/>
          <w:szCs w:val="13"/>
          <w:b w:val="1"/>
          <w:bCs w:val="1"/>
          <w:color w:val="auto"/>
        </w:rPr>
        <w:t>Clinical Trial</w:t>
      </w:r>
      <w:r>
        <w:rPr>
          <w:rFonts w:ascii="Times New Roman" w:cs="Times New Roman" w:eastAsia="Times New Roman" w:hAnsi="Times New Roman"/>
          <w:sz w:val="13"/>
          <w:szCs w:val="13"/>
          <w:color w:val="auto"/>
        </w:rPr>
        <w:t xml:space="preserve"> for indications additional to those already approved is not a </w:t>
      </w:r>
      <w:r>
        <w:rPr>
          <w:rFonts w:ascii="Times New Roman" w:cs="Times New Roman" w:eastAsia="Times New Roman" w:hAnsi="Times New Roman"/>
          <w:sz w:val="13"/>
          <w:szCs w:val="13"/>
          <w:b w:val="1"/>
          <w:bCs w:val="1"/>
          <w:color w:val="auto"/>
        </w:rPr>
        <w:t>Phase IV Clinical Trial</w:t>
      </w:r>
      <w:r>
        <w:rPr>
          <w:rFonts w:ascii="Times New Roman" w:cs="Times New Roman" w:eastAsia="Times New Roman" w:hAnsi="Times New Roman"/>
          <w:sz w:val="13"/>
          <w:szCs w:val="13"/>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CONFIDENTIAL </w:t>
      </w:r>
      <w:r>
        <w:rPr>
          <w:rFonts w:ascii="Times New Roman" w:cs="Times New Roman" w:eastAsia="Times New Roman" w:hAnsi="Times New Roman"/>
          <w:sz w:val="11"/>
          <w:szCs w:val="11"/>
          <w:color w:val="auto"/>
        </w:rPr>
        <w: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1"/>
          <w:szCs w:val="11"/>
          <w:color w:val="auto"/>
        </w:rPr>
        <w:t>Model 10-2015 Rev 09-2024</w:t>
        <w:tab/>
        <w:t>Page 5 of 25 [FINAL] [BioNTech SE] [20 December 2024]</w:t>
      </w:r>
    </w:p>
    <w:p>
      <w:pPr>
        <w:sectPr>
          <w:pgSz w:w="11900" w:h="16840" w:orient="portrait"/>
          <w:cols w:equalWidth="0" w:num="1">
            <w:col w:w="10540"/>
          </w:cols>
          <w:pgMar w:left="660" w:top="752" w:right="700" w:bottom="1440" w:gutter="0" w:footer="0" w:header="0"/>
        </w:sectPr>
      </w:pPr>
    </w:p>
    <w:bookmarkStart w:id="396" w:name="page397"/>
    <w:bookmarkEnd w:id="396"/>
    <w:p>
      <w:pPr>
        <w:ind w:left="9"/>
        <w:spacing w:after="0"/>
        <w:rPr>
          <w:sz w:val="20"/>
          <w:szCs w:val="20"/>
          <w:color w:val="auto"/>
        </w:rPr>
      </w:pPr>
      <w:r>
        <w:rPr>
          <w:rFonts w:ascii="Times New Roman" w:cs="Times New Roman" w:eastAsia="Times New Roman" w:hAnsi="Times New Roman"/>
          <w:sz w:val="13"/>
          <w:szCs w:val="13"/>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969" w:hanging="484"/>
        <w:spacing w:after="0" w:line="233" w:lineRule="auto"/>
        <w:tabs>
          <w:tab w:leader="none" w:pos="949" w:val="left"/>
        </w:tabs>
        <w:rPr>
          <w:sz w:val="20"/>
          <w:szCs w:val="20"/>
          <w:color w:val="auto"/>
        </w:rPr>
      </w:pPr>
      <w:r>
        <w:rPr>
          <w:rFonts w:ascii="Times New Roman" w:cs="Times New Roman" w:eastAsia="Times New Roman" w:hAnsi="Times New Roman"/>
          <w:sz w:val="13"/>
          <w:szCs w:val="13"/>
          <w:color w:val="auto"/>
        </w:rPr>
        <w:t>2.30</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Practical Application</w:t>
      </w:r>
      <w:r>
        <w:rPr>
          <w:rFonts w:ascii="Times New Roman" w:cs="Times New Roman" w:eastAsia="Times New Roman" w:hAnsi="Times New Roman"/>
          <w:sz w:val="13"/>
          <w:szCs w:val="13"/>
          <w:color w:val="auto"/>
        </w:rPr>
        <w:t xml:space="preserve"> ” means to manufacture in the case of a composition or product, to practice in the case of a process or method, or to operate in the case of a machine or system; and in each case, under these conditions as to establish that the invention is being utilized and that its benefits are to the extent permitted by law or </w:t>
      </w:r>
      <w:r>
        <w:rPr>
          <w:rFonts w:ascii="Times New Roman" w:cs="Times New Roman" w:eastAsia="Times New Roman" w:hAnsi="Times New Roman"/>
          <w:sz w:val="13"/>
          <w:szCs w:val="13"/>
          <w:b w:val="1"/>
          <w:bCs w:val="1"/>
          <w:color w:val="auto"/>
        </w:rPr>
        <w:t>Government</w:t>
      </w:r>
      <w:r>
        <w:rPr>
          <w:rFonts w:ascii="Times New Roman" w:cs="Times New Roman" w:eastAsia="Times New Roman" w:hAnsi="Times New Roman"/>
          <w:sz w:val="13"/>
          <w:szCs w:val="13"/>
          <w:color w:val="auto"/>
        </w:rPr>
        <w:t xml:space="preserve"> regulations available to the public on reasonable terms.</w:t>
      </w:r>
    </w:p>
    <w:p>
      <w:pPr>
        <w:spacing w:after="0" w:line="121" w:lineRule="exact"/>
        <w:rPr>
          <w:sz w:val="20"/>
          <w:szCs w:val="20"/>
          <w:color w:val="auto"/>
        </w:rPr>
      </w:pPr>
    </w:p>
    <w:p>
      <w:pPr>
        <w:ind w:left="489"/>
        <w:spacing w:after="0"/>
        <w:tabs>
          <w:tab w:leader="none" w:pos="949" w:val="left"/>
        </w:tabs>
        <w:rPr>
          <w:sz w:val="20"/>
          <w:szCs w:val="20"/>
          <w:color w:val="auto"/>
        </w:rPr>
      </w:pPr>
      <w:r>
        <w:rPr>
          <w:rFonts w:ascii="Times New Roman" w:cs="Times New Roman" w:eastAsia="Times New Roman" w:hAnsi="Times New Roman"/>
          <w:sz w:val="13"/>
          <w:szCs w:val="13"/>
          <w:color w:val="auto"/>
        </w:rPr>
        <w:t>2.31</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Pro Rata Share</w:t>
      </w:r>
      <w:r>
        <w:rPr>
          <w:rFonts w:ascii="Times New Roman" w:cs="Times New Roman" w:eastAsia="Times New Roman" w:hAnsi="Times New Roman"/>
          <w:sz w:val="13"/>
          <w:szCs w:val="13"/>
          <w:color w:val="auto"/>
        </w:rPr>
        <w:t>” means one of the following:</w:t>
      </w:r>
    </w:p>
    <w:p>
      <w:pPr>
        <w:spacing w:after="0" w:line="144" w:lineRule="exact"/>
        <w:rPr>
          <w:sz w:val="20"/>
          <w:szCs w:val="20"/>
          <w:color w:val="auto"/>
        </w:rPr>
      </w:pPr>
    </w:p>
    <w:p>
      <w:pPr>
        <w:ind w:left="1449" w:hanging="479"/>
        <w:spacing w:after="0"/>
        <w:tabs>
          <w:tab w:leader="none" w:pos="1449" w:val="left"/>
        </w:tabs>
        <w:numPr>
          <w:ilvl w:val="0"/>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instances where the </w:t>
      </w:r>
      <w:r>
        <w:rPr>
          <w:rFonts w:ascii="Times New Roman" w:cs="Times New Roman" w:eastAsia="Times New Roman" w:hAnsi="Times New Roman"/>
          <w:sz w:val="13"/>
          <w:szCs w:val="13"/>
          <w:b w:val="1"/>
          <w:bCs w:val="1"/>
          <w:color w:val="auto"/>
        </w:rPr>
        <w:t>Additional License(s)</w:t>
      </w:r>
      <w:r>
        <w:rPr>
          <w:rFonts w:ascii="Times New Roman" w:cs="Times New Roman" w:eastAsia="Times New Roman" w:hAnsi="Times New Roman"/>
          <w:sz w:val="13"/>
          <w:szCs w:val="13"/>
          <w:color w:val="auto"/>
        </w:rPr>
        <w:t xml:space="preserve"> granted by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recover a predetermined percentage of patent costs, [***];</w:t>
      </w:r>
    </w:p>
    <w:p>
      <w:pPr>
        <w:spacing w:after="0" w:line="143" w:lineRule="exact"/>
        <w:rPr>
          <w:rFonts w:ascii="Times New Roman" w:cs="Times New Roman" w:eastAsia="Times New Roman" w:hAnsi="Times New Roman"/>
          <w:sz w:val="13"/>
          <w:szCs w:val="13"/>
          <w:color w:val="auto"/>
        </w:rPr>
      </w:pPr>
    </w:p>
    <w:p>
      <w:pPr>
        <w:ind w:left="1449" w:hanging="479"/>
        <w:spacing w:after="0"/>
        <w:tabs>
          <w:tab w:leader="none" w:pos="1449" w:val="left"/>
        </w:tabs>
        <w:numPr>
          <w:ilvl w:val="0"/>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instances where the </w:t>
      </w:r>
      <w:r>
        <w:rPr>
          <w:rFonts w:ascii="Times New Roman" w:cs="Times New Roman" w:eastAsia="Times New Roman" w:hAnsi="Times New Roman"/>
          <w:sz w:val="13"/>
          <w:szCs w:val="13"/>
          <w:b w:val="1"/>
          <w:bCs w:val="1"/>
          <w:color w:val="auto"/>
        </w:rPr>
        <w:t>Additional License(s)</w:t>
      </w:r>
      <w:r>
        <w:rPr>
          <w:rFonts w:ascii="Times New Roman" w:cs="Times New Roman" w:eastAsia="Times New Roman" w:hAnsi="Times New Roman"/>
          <w:sz w:val="13"/>
          <w:szCs w:val="13"/>
          <w:color w:val="auto"/>
        </w:rPr>
        <w:t xml:space="preserve"> granted by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recover a full </w:t>
      </w:r>
      <w:r>
        <w:rPr>
          <w:rFonts w:ascii="Times New Roman" w:cs="Times New Roman" w:eastAsia="Times New Roman" w:hAnsi="Times New Roman"/>
          <w:sz w:val="13"/>
          <w:szCs w:val="13"/>
          <w:b w:val="1"/>
          <w:bCs w:val="1"/>
          <w:color w:val="auto"/>
        </w:rPr>
        <w:t>Pro Rata Share</w:t>
      </w:r>
      <w:r>
        <w:rPr>
          <w:rFonts w:ascii="Times New Roman" w:cs="Times New Roman" w:eastAsia="Times New Roman" w:hAnsi="Times New Roman"/>
          <w:sz w:val="13"/>
          <w:szCs w:val="13"/>
          <w:color w:val="auto"/>
        </w:rPr>
        <w:t xml:space="preserve"> of patent prosecution costs, [***]; or</w:t>
      </w:r>
    </w:p>
    <w:p>
      <w:pPr>
        <w:spacing w:after="0" w:line="143" w:lineRule="exact"/>
        <w:rPr>
          <w:rFonts w:ascii="Times New Roman" w:cs="Times New Roman" w:eastAsia="Times New Roman" w:hAnsi="Times New Roman"/>
          <w:sz w:val="13"/>
          <w:szCs w:val="13"/>
          <w:color w:val="auto"/>
        </w:rPr>
      </w:pPr>
    </w:p>
    <w:p>
      <w:pPr>
        <w:ind w:left="1449" w:hanging="479"/>
        <w:spacing w:after="0"/>
        <w:tabs>
          <w:tab w:leader="none" w:pos="1449" w:val="left"/>
        </w:tabs>
        <w:numPr>
          <w:ilvl w:val="0"/>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instances where the </w:t>
      </w:r>
      <w:r>
        <w:rPr>
          <w:rFonts w:ascii="Times New Roman" w:cs="Times New Roman" w:eastAsia="Times New Roman" w:hAnsi="Times New Roman"/>
          <w:sz w:val="13"/>
          <w:szCs w:val="13"/>
          <w:b w:val="1"/>
          <w:bCs w:val="1"/>
          <w:color w:val="auto"/>
        </w:rPr>
        <w:t>Additional License(s)</w:t>
      </w:r>
      <w:r>
        <w:rPr>
          <w:rFonts w:ascii="Times New Roman" w:cs="Times New Roman" w:eastAsia="Times New Roman" w:hAnsi="Times New Roman"/>
          <w:sz w:val="13"/>
          <w:szCs w:val="13"/>
          <w:color w:val="auto"/>
        </w:rPr>
        <w:t xml:space="preserve"> are granted according to the definition of both Paragraph 2.31(a) and Paragraph 2.31(b), [***].</w:t>
      </w:r>
    </w:p>
    <w:p>
      <w:pPr>
        <w:spacing w:after="0" w:line="144" w:lineRule="exact"/>
        <w:rPr>
          <w:sz w:val="20"/>
          <w:szCs w:val="20"/>
          <w:color w:val="auto"/>
        </w:rPr>
      </w:pPr>
    </w:p>
    <w:p>
      <w:pPr>
        <w:ind w:left="969" w:right="100" w:hanging="484"/>
        <w:spacing w:after="0" w:line="233" w:lineRule="auto"/>
        <w:tabs>
          <w:tab w:leader="none" w:pos="949" w:val="left"/>
        </w:tabs>
        <w:rPr>
          <w:sz w:val="20"/>
          <w:szCs w:val="20"/>
          <w:color w:val="auto"/>
        </w:rPr>
      </w:pPr>
      <w:r>
        <w:rPr>
          <w:rFonts w:ascii="Times New Roman" w:cs="Times New Roman" w:eastAsia="Times New Roman" w:hAnsi="Times New Roman"/>
          <w:sz w:val="13"/>
          <w:szCs w:val="13"/>
          <w:color w:val="auto"/>
        </w:rPr>
        <w:t>2.32</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Regulatory Authority</w:t>
      </w:r>
      <w:r>
        <w:rPr>
          <w:rFonts w:ascii="Times New Roman" w:cs="Times New Roman" w:eastAsia="Times New Roman" w:hAnsi="Times New Roman"/>
          <w:sz w:val="13"/>
          <w:szCs w:val="13"/>
          <w:color w:val="auto"/>
        </w:rPr>
        <w:t xml:space="preserve">” means any applicable government regulatory authority involved in granting approvals for the manufacturing, marketing, reimbursement and/or pricing of </w:t>
      </w:r>
      <w:r>
        <w:rPr>
          <w:rFonts w:ascii="Times New Roman" w:cs="Times New Roman" w:eastAsia="Times New Roman" w:hAnsi="Times New Roman"/>
          <w:sz w:val="13"/>
          <w:szCs w:val="13"/>
          <w:b w:val="1"/>
          <w:bCs w:val="1"/>
          <w:color w:val="auto"/>
        </w:rPr>
        <w:t xml:space="preserve">Licensed Products </w:t>
      </w:r>
      <w:r>
        <w:rPr>
          <w:rFonts w:ascii="Times New Roman" w:cs="Times New Roman" w:eastAsia="Times New Roman" w:hAnsi="Times New Roman"/>
          <w:sz w:val="13"/>
          <w:szCs w:val="13"/>
          <w:color w:val="auto"/>
        </w:rPr>
        <w:t>in the</w:t>
      </w:r>
      <w:r>
        <w:rPr>
          <w:rFonts w:ascii="Times New Roman" w:cs="Times New Roman" w:eastAsia="Times New Roman" w:hAnsi="Times New Roman"/>
          <w:sz w:val="13"/>
          <w:szCs w:val="13"/>
          <w:b w:val="1"/>
          <w:bCs w:val="1"/>
          <w:color w:val="auto"/>
        </w:rPr>
        <w:t xml:space="preserve"> Licensed Territory</w:t>
      </w:r>
      <w:r>
        <w:rPr>
          <w:rFonts w:ascii="Times New Roman" w:cs="Times New Roman" w:eastAsia="Times New Roman" w:hAnsi="Times New Roman"/>
          <w:sz w:val="13"/>
          <w:szCs w:val="13"/>
          <w:color w:val="auto"/>
        </w:rPr>
        <w:t>, including, in the United States, the United States Food and Drug Administration and any successor or foreign governmental authority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having substantially the same function.</w:t>
      </w:r>
    </w:p>
    <w:p>
      <w:pPr>
        <w:spacing w:after="0" w:line="121" w:lineRule="exact"/>
        <w:rPr>
          <w:sz w:val="20"/>
          <w:szCs w:val="20"/>
          <w:color w:val="auto"/>
        </w:rPr>
      </w:pPr>
    </w:p>
    <w:p>
      <w:pPr>
        <w:ind w:left="969" w:right="120" w:hanging="484"/>
        <w:spacing w:after="0" w:line="233" w:lineRule="auto"/>
        <w:tabs>
          <w:tab w:leader="none" w:pos="949" w:val="left"/>
        </w:tabs>
        <w:rPr>
          <w:sz w:val="20"/>
          <w:szCs w:val="20"/>
          <w:color w:val="auto"/>
        </w:rPr>
      </w:pPr>
      <w:r>
        <w:rPr>
          <w:rFonts w:ascii="Times New Roman" w:cs="Times New Roman" w:eastAsia="Times New Roman" w:hAnsi="Times New Roman"/>
          <w:sz w:val="13"/>
          <w:szCs w:val="13"/>
          <w:color w:val="auto"/>
        </w:rPr>
        <w:t>2.33</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Sublicense</w:t>
      </w:r>
      <w:r>
        <w:rPr>
          <w:rFonts w:ascii="Times New Roman" w:cs="Times New Roman" w:eastAsia="Times New Roman" w:hAnsi="Times New Roman"/>
          <w:sz w:val="13"/>
          <w:szCs w:val="13"/>
          <w:color w:val="auto"/>
        </w:rPr>
        <w:t xml:space="preserve">” means a license or contract granting to a </w:t>
      </w:r>
      <w:r>
        <w:rPr>
          <w:rFonts w:ascii="Times New Roman" w:cs="Times New Roman" w:eastAsia="Times New Roman" w:hAnsi="Times New Roman"/>
          <w:sz w:val="13"/>
          <w:szCs w:val="13"/>
          <w:b w:val="1"/>
          <w:bCs w:val="1"/>
          <w:color w:val="auto"/>
        </w:rPr>
        <w:t>Third Party</w:t>
      </w:r>
      <w:r>
        <w:rPr>
          <w:rFonts w:ascii="Times New Roman" w:cs="Times New Roman" w:eastAsia="Times New Roman" w:hAnsi="Times New Roman"/>
          <w:sz w:val="13"/>
          <w:szCs w:val="13"/>
          <w:color w:val="auto"/>
        </w:rPr>
        <w:t xml:space="preserve"> a portion or all of the rights granted to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under, as applicable, the license granted by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under the </w:t>
      </w:r>
      <w:r>
        <w:rPr>
          <w:rFonts w:ascii="Times New Roman" w:cs="Times New Roman" w:eastAsia="Times New Roman" w:hAnsi="Times New Roman"/>
          <w:sz w:val="13"/>
          <w:szCs w:val="13"/>
          <w:b w:val="1"/>
          <w:bCs w:val="1"/>
          <w:color w:val="auto"/>
        </w:rPr>
        <w:t>Original Agreement</w:t>
      </w:r>
      <w:r>
        <w:rPr>
          <w:rFonts w:ascii="Times New Roman" w:cs="Times New Roman" w:eastAsia="Times New Roman" w:hAnsi="Times New Roman"/>
          <w:sz w:val="13"/>
          <w:szCs w:val="13"/>
          <w:color w:val="auto"/>
        </w:rPr>
        <w:t xml:space="preserve"> in the case of any such license or contract first granted prior to the</w:t>
      </w:r>
      <w:r>
        <w:rPr>
          <w:rFonts w:ascii="Times New Roman" w:cs="Times New Roman" w:eastAsia="Times New Roman" w:hAnsi="Times New Roman"/>
          <w:sz w:val="13"/>
          <w:szCs w:val="13"/>
          <w:b w:val="1"/>
          <w:bCs w:val="1"/>
          <w:color w:val="auto"/>
        </w:rPr>
        <w:t>Amendment Effective Date</w:t>
      </w:r>
      <w:r>
        <w:rPr>
          <w:rFonts w:ascii="Times New Roman" w:cs="Times New Roman" w:eastAsia="Times New Roman" w:hAnsi="Times New Roman"/>
          <w:sz w:val="13"/>
          <w:szCs w:val="13"/>
          <w:color w:val="auto"/>
        </w:rPr>
        <w:t xml:space="preserve">, or the license granted by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under this </w:t>
      </w:r>
      <w:r>
        <w:rPr>
          <w:rFonts w:ascii="Times New Roman" w:cs="Times New Roman" w:eastAsia="Times New Roman" w:hAnsi="Times New Roman"/>
          <w:sz w:val="13"/>
          <w:szCs w:val="13"/>
          <w:b w:val="1"/>
          <w:bCs w:val="1"/>
          <w:color w:val="auto"/>
        </w:rPr>
        <w:t>Amended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and Restated Agreement</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ind w:left="489"/>
        <w:spacing w:after="0"/>
        <w:tabs>
          <w:tab w:leader="none" w:pos="949" w:val="left"/>
        </w:tabs>
        <w:rPr>
          <w:sz w:val="20"/>
          <w:szCs w:val="20"/>
          <w:color w:val="auto"/>
        </w:rPr>
      </w:pPr>
      <w:r>
        <w:rPr>
          <w:rFonts w:ascii="Times New Roman" w:cs="Times New Roman" w:eastAsia="Times New Roman" w:hAnsi="Times New Roman"/>
          <w:sz w:val="13"/>
          <w:szCs w:val="13"/>
          <w:color w:val="auto"/>
        </w:rPr>
        <w:t>2.34</w:t>
      </w:r>
      <w:r>
        <w:rPr>
          <w:sz w:val="20"/>
          <w:szCs w:val="20"/>
          <w:color w:val="auto"/>
        </w:rPr>
        <w:tab/>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Third Party(ies)</w:t>
      </w:r>
      <w:r>
        <w:rPr>
          <w:rFonts w:ascii="Times New Roman" w:cs="Times New Roman" w:eastAsia="Times New Roman" w:hAnsi="Times New Roman"/>
          <w:sz w:val="13"/>
          <w:szCs w:val="13"/>
          <w:color w:val="auto"/>
        </w:rPr>
        <w:t xml:space="preserve">” means a person or entity other than (i)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(ii) or any of its </w:t>
      </w:r>
      <w:r>
        <w:rPr>
          <w:rFonts w:ascii="Times New Roman" w:cs="Times New Roman" w:eastAsia="Times New Roman" w:hAnsi="Times New Roman"/>
          <w:sz w:val="13"/>
          <w:szCs w:val="13"/>
          <w:b w:val="1"/>
          <w:bCs w:val="1"/>
          <w:color w:val="auto"/>
        </w:rPr>
        <w:t>Affiliates</w:t>
      </w:r>
      <w:r>
        <w:rPr>
          <w:rFonts w:ascii="Times New Roman" w:cs="Times New Roman" w:eastAsia="Times New Roman" w:hAnsi="Times New Roman"/>
          <w:sz w:val="13"/>
          <w:szCs w:val="13"/>
          <w:color w:val="auto"/>
        </w:rPr>
        <w:t xml:space="preserve"> and (iii)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w:t>
      </w:r>
    </w:p>
    <w:p>
      <w:pPr>
        <w:spacing w:after="0" w:line="146" w:lineRule="exact"/>
        <w:rPr>
          <w:sz w:val="20"/>
          <w:szCs w:val="20"/>
          <w:color w:val="auto"/>
        </w:rPr>
      </w:pPr>
    </w:p>
    <w:p>
      <w:pPr>
        <w:ind w:left="489" w:hanging="489"/>
        <w:spacing w:after="0"/>
        <w:tabs>
          <w:tab w:leader="none" w:pos="489" w:val="left"/>
        </w:tabs>
        <w:numPr>
          <w:ilvl w:val="0"/>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GRANT OF RIGHTS</w:t>
      </w:r>
    </w:p>
    <w:p>
      <w:pPr>
        <w:spacing w:after="0" w:line="125" w:lineRule="exact"/>
        <w:rPr>
          <w:sz w:val="20"/>
          <w:szCs w:val="20"/>
          <w:color w:val="auto"/>
        </w:rPr>
      </w:pPr>
    </w:p>
    <w:tbl>
      <w:tblPr>
        <w:tblLayout w:type="fixed"/>
        <w:tblInd w:w="489" w:type="dxa"/>
        <w:tblCellMar>
          <w:top w:w="0" w:type="dxa"/>
          <w:left w:w="0" w:type="dxa"/>
          <w:bottom w:w="0" w:type="dxa"/>
          <w:right w:w="0" w:type="dxa"/>
        </w:tblCellMar>
      </w:tblPr>
      <w:tr>
        <w:trPr>
          <w:trHeight w:val="149"/>
        </w:trPr>
        <w:tc>
          <w:tcPr>
            <w:tcW w:w="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85"/>
              </w:rPr>
              <w:t>3.1</w:t>
            </w:r>
          </w:p>
        </w:tc>
        <w:tc>
          <w:tcPr>
            <w:tcW w:w="96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hereby grants and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accepts, on behalf of itself and its </w:t>
            </w:r>
            <w:r>
              <w:rPr>
                <w:rFonts w:ascii="Times New Roman" w:cs="Times New Roman" w:eastAsia="Times New Roman" w:hAnsi="Times New Roman"/>
                <w:sz w:val="13"/>
                <w:szCs w:val="13"/>
                <w:b w:val="1"/>
                <w:bCs w:val="1"/>
                <w:color w:val="auto"/>
              </w:rPr>
              <w:t>Affiliates</w:t>
            </w:r>
            <w:r>
              <w:rPr>
                <w:rFonts w:ascii="Times New Roman" w:cs="Times New Roman" w:eastAsia="Times New Roman" w:hAnsi="Times New Roman"/>
                <w:sz w:val="13"/>
                <w:szCs w:val="13"/>
                <w:color w:val="auto"/>
              </w:rPr>
              <w:t xml:space="preserve">, subject to the terms and conditions of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a</w:t>
            </w:r>
          </w:p>
        </w:tc>
      </w:tr>
      <w:tr>
        <w:trPr>
          <w:trHeight w:val="131"/>
        </w:trPr>
        <w:tc>
          <w:tcPr>
            <w:tcW w:w="320" w:type="dxa"/>
            <w:vAlign w:val="bottom"/>
          </w:tcPr>
          <w:p>
            <w:pPr>
              <w:spacing w:after="0"/>
              <w:rPr>
                <w:sz w:val="11"/>
                <w:szCs w:val="11"/>
                <w:color w:val="auto"/>
              </w:rPr>
            </w:pPr>
          </w:p>
        </w:tc>
        <w:tc>
          <w:tcPr>
            <w:tcW w:w="9660" w:type="dxa"/>
            <w:vAlign w:val="bottom"/>
          </w:tcPr>
          <w:p>
            <w:pPr>
              <w:ind w:left="160"/>
              <w:spacing w:after="0" w:line="131" w:lineRule="exact"/>
              <w:rPr>
                <w:sz w:val="20"/>
                <w:szCs w:val="20"/>
                <w:color w:val="auto"/>
              </w:rPr>
            </w:pPr>
            <w:r>
              <w:rPr>
                <w:rFonts w:ascii="Times New Roman" w:cs="Times New Roman" w:eastAsia="Times New Roman" w:hAnsi="Times New Roman"/>
                <w:sz w:val="13"/>
                <w:szCs w:val="13"/>
                <w:color w:val="auto"/>
              </w:rPr>
              <w:t xml:space="preserve">nonexclusive license under the </w:t>
            </w:r>
            <w:r>
              <w:rPr>
                <w:rFonts w:ascii="Times New Roman" w:cs="Times New Roman" w:eastAsia="Times New Roman" w:hAnsi="Times New Roman"/>
                <w:sz w:val="13"/>
                <w:szCs w:val="13"/>
                <w:b w:val="1"/>
                <w:bCs w:val="1"/>
                <w:color w:val="auto"/>
              </w:rPr>
              <w:t>Licensed Patent Rights</w:t>
            </w:r>
            <w:r>
              <w:rPr>
                <w:rFonts w:ascii="Times New Roman" w:cs="Times New Roman" w:eastAsia="Times New Roman" w:hAnsi="Times New Roman"/>
                <w:sz w:val="13"/>
                <w:szCs w:val="13"/>
                <w:color w:val="auto"/>
              </w:rPr>
              <w:t xml:space="preserve"> in the </w:t>
            </w:r>
            <w:r>
              <w:rPr>
                <w:rFonts w:ascii="Times New Roman" w:cs="Times New Roman" w:eastAsia="Times New Roman" w:hAnsi="Times New Roman"/>
                <w:sz w:val="13"/>
                <w:szCs w:val="13"/>
                <w:b w:val="1"/>
                <w:bCs w:val="1"/>
                <w:color w:val="auto"/>
              </w:rPr>
              <w:t>Licensed Territory</w:t>
            </w:r>
            <w:r>
              <w:rPr>
                <w:rFonts w:ascii="Times New Roman" w:cs="Times New Roman" w:eastAsia="Times New Roman" w:hAnsi="Times New Roman"/>
                <w:sz w:val="13"/>
                <w:szCs w:val="13"/>
                <w:color w:val="auto"/>
              </w:rPr>
              <w:t xml:space="preserve"> to make and have made, to use and have used, to sell and have sold, to offer to sell, and to import</w:t>
            </w:r>
          </w:p>
        </w:tc>
      </w:tr>
      <w:tr>
        <w:trPr>
          <w:trHeight w:val="173"/>
        </w:trPr>
        <w:tc>
          <w:tcPr>
            <w:tcW w:w="320" w:type="dxa"/>
            <w:vAlign w:val="bottom"/>
          </w:tcPr>
          <w:p>
            <w:pPr>
              <w:spacing w:after="0"/>
              <w:rPr>
                <w:sz w:val="15"/>
                <w:szCs w:val="15"/>
                <w:color w:val="auto"/>
              </w:rPr>
            </w:pPr>
          </w:p>
        </w:tc>
        <w:tc>
          <w:tcPr>
            <w:tcW w:w="96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any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in the </w:t>
            </w:r>
            <w:r>
              <w:rPr>
                <w:rFonts w:ascii="Times New Roman" w:cs="Times New Roman" w:eastAsia="Times New Roman" w:hAnsi="Times New Roman"/>
                <w:sz w:val="13"/>
                <w:szCs w:val="13"/>
                <w:b w:val="1"/>
                <w:bCs w:val="1"/>
                <w:color w:val="auto"/>
              </w:rPr>
              <w:t>Licensed Fields of Use</w:t>
            </w:r>
            <w:r>
              <w:rPr>
                <w:rFonts w:ascii="Times New Roman" w:cs="Times New Roman" w:eastAsia="Times New Roman" w:hAnsi="Times New Roman"/>
                <w:sz w:val="13"/>
                <w:szCs w:val="13"/>
                <w:color w:val="auto"/>
              </w:rPr>
              <w:t xml:space="preserve"> and to practice and have practiced any </w:t>
            </w:r>
            <w:r>
              <w:rPr>
                <w:rFonts w:ascii="Times New Roman" w:cs="Times New Roman" w:eastAsia="Times New Roman" w:hAnsi="Times New Roman"/>
                <w:sz w:val="13"/>
                <w:szCs w:val="13"/>
                <w:b w:val="1"/>
                <w:bCs w:val="1"/>
                <w:color w:val="auto"/>
              </w:rPr>
              <w:t>Licensed Processes</w:t>
            </w:r>
            <w:r>
              <w:rPr>
                <w:rFonts w:ascii="Times New Roman" w:cs="Times New Roman" w:eastAsia="Times New Roman" w:hAnsi="Times New Roman"/>
                <w:sz w:val="13"/>
                <w:szCs w:val="13"/>
                <w:color w:val="auto"/>
              </w:rPr>
              <w:t xml:space="preserve"> in the </w:t>
            </w:r>
            <w:r>
              <w:rPr>
                <w:rFonts w:ascii="Times New Roman" w:cs="Times New Roman" w:eastAsia="Times New Roman" w:hAnsi="Times New Roman"/>
                <w:sz w:val="13"/>
                <w:szCs w:val="13"/>
                <w:b w:val="1"/>
                <w:bCs w:val="1"/>
                <w:color w:val="auto"/>
              </w:rPr>
              <w:t>Licensed Fields of Use</w:t>
            </w:r>
            <w:r>
              <w:rPr>
                <w:rFonts w:ascii="Times New Roman" w:cs="Times New Roman" w:eastAsia="Times New Roman" w:hAnsi="Times New Roman"/>
                <w:sz w:val="13"/>
                <w:szCs w:val="13"/>
                <w:color w:val="auto"/>
              </w:rPr>
              <w:t>.</w:t>
            </w:r>
          </w:p>
        </w:tc>
      </w:tr>
      <w:tr>
        <w:trPr>
          <w:trHeight w:val="251"/>
        </w:trPr>
        <w:tc>
          <w:tcPr>
            <w:tcW w:w="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85"/>
              </w:rPr>
              <w:t>3.2</w:t>
            </w:r>
          </w:p>
        </w:tc>
        <w:tc>
          <w:tcPr>
            <w:tcW w:w="96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confers no license or rights by implication, estoppel, or otherwise under any patent applications or patents of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other than the</w:t>
            </w:r>
          </w:p>
        </w:tc>
      </w:tr>
      <w:tr>
        <w:trPr>
          <w:trHeight w:val="173"/>
        </w:trPr>
        <w:tc>
          <w:tcPr>
            <w:tcW w:w="320" w:type="dxa"/>
            <w:vAlign w:val="bottom"/>
          </w:tcPr>
          <w:p>
            <w:pPr>
              <w:spacing w:after="0"/>
              <w:rPr>
                <w:sz w:val="15"/>
                <w:szCs w:val="15"/>
                <w:color w:val="auto"/>
              </w:rPr>
            </w:pPr>
          </w:p>
        </w:tc>
        <w:tc>
          <w:tcPr>
            <w:tcW w:w="96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 xml:space="preserve">Licensed Patent Rights </w:t>
            </w:r>
            <w:r>
              <w:rPr>
                <w:rFonts w:ascii="Times New Roman" w:cs="Times New Roman" w:eastAsia="Times New Roman" w:hAnsi="Times New Roman"/>
                <w:sz w:val="13"/>
                <w:szCs w:val="13"/>
                <w:color w:val="auto"/>
              </w:rPr>
              <w:t>regardless of whether these patent applications or patents are dominant or subordinate to the</w:t>
            </w:r>
            <w:r>
              <w:rPr>
                <w:rFonts w:ascii="Times New Roman" w:cs="Times New Roman" w:eastAsia="Times New Roman" w:hAnsi="Times New Roman"/>
                <w:sz w:val="13"/>
                <w:szCs w:val="13"/>
                <w:b w:val="1"/>
                <w:bCs w:val="1"/>
                <w:color w:val="auto"/>
              </w:rPr>
              <w:t xml:space="preserve"> Licensed Patent Rights</w:t>
            </w:r>
            <w:r>
              <w:rPr>
                <w:rFonts w:ascii="Times New Roman" w:cs="Times New Roman" w:eastAsia="Times New Roman" w:hAnsi="Times New Roman"/>
                <w:sz w:val="13"/>
                <w:szCs w:val="13"/>
                <w:color w:val="auto"/>
              </w:rPr>
              <w:t>.</w:t>
            </w:r>
          </w:p>
        </w:tc>
      </w:tr>
    </w:tbl>
    <w:p>
      <w:pPr>
        <w:spacing w:after="0" w:line="120" w:lineRule="exact"/>
        <w:rPr>
          <w:sz w:val="20"/>
          <w:szCs w:val="20"/>
          <w:color w:val="auto"/>
        </w:rPr>
      </w:pPr>
    </w:p>
    <w:p>
      <w:pPr>
        <w:ind w:left="489" w:hanging="489"/>
        <w:spacing w:after="0"/>
        <w:tabs>
          <w:tab w:leader="none" w:pos="489"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SUBLICENSING</w:t>
      </w:r>
    </w:p>
    <w:p>
      <w:pPr>
        <w:spacing w:after="0" w:line="125" w:lineRule="exact"/>
        <w:rPr>
          <w:sz w:val="20"/>
          <w:szCs w:val="20"/>
          <w:color w:val="auto"/>
        </w:rPr>
      </w:pPr>
    </w:p>
    <w:tbl>
      <w:tblPr>
        <w:tblLayout w:type="fixed"/>
        <w:tblInd w:w="489" w:type="dxa"/>
        <w:tblCellMar>
          <w:top w:w="0" w:type="dxa"/>
          <w:left w:w="0" w:type="dxa"/>
          <w:bottom w:w="0" w:type="dxa"/>
          <w:right w:w="0" w:type="dxa"/>
        </w:tblCellMar>
      </w:tblPr>
      <w:tr>
        <w:trPr>
          <w:trHeight w:val="149"/>
        </w:trPr>
        <w:tc>
          <w:tcPr>
            <w:tcW w:w="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85"/>
              </w:rPr>
              <w:t>4.1</w:t>
            </w:r>
          </w:p>
        </w:tc>
        <w:tc>
          <w:tcPr>
            <w:tcW w:w="9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Upon written approval, which shall include prior review of any </w:t>
            </w:r>
            <w:r>
              <w:rPr>
                <w:rFonts w:ascii="Times New Roman" w:cs="Times New Roman" w:eastAsia="Times New Roman" w:hAnsi="Times New Roman"/>
                <w:sz w:val="13"/>
                <w:szCs w:val="13"/>
                <w:b w:val="1"/>
                <w:bCs w:val="1"/>
                <w:color w:val="auto"/>
              </w:rPr>
              <w:t>Sublicense</w:t>
            </w:r>
            <w:r>
              <w:rPr>
                <w:rFonts w:ascii="Times New Roman" w:cs="Times New Roman" w:eastAsia="Times New Roman" w:hAnsi="Times New Roman"/>
                <w:sz w:val="13"/>
                <w:szCs w:val="13"/>
                <w:color w:val="auto"/>
              </w:rPr>
              <w:t xml:space="preserve"> agreement by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and which shall not be unreasonably withheld,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may enter into</w:t>
            </w:r>
          </w:p>
        </w:tc>
      </w:tr>
      <w:tr>
        <w:trPr>
          <w:trHeight w:val="131"/>
        </w:trPr>
        <w:tc>
          <w:tcPr>
            <w:tcW w:w="320" w:type="dxa"/>
            <w:vAlign w:val="bottom"/>
          </w:tcPr>
          <w:p>
            <w:pPr>
              <w:spacing w:after="0"/>
              <w:rPr>
                <w:sz w:val="11"/>
                <w:szCs w:val="11"/>
                <w:color w:val="auto"/>
              </w:rPr>
            </w:pPr>
          </w:p>
        </w:tc>
        <w:tc>
          <w:tcPr>
            <w:tcW w:w="9740" w:type="dxa"/>
            <w:vAlign w:val="bottom"/>
          </w:tcPr>
          <w:p>
            <w:pPr>
              <w:ind w:left="160"/>
              <w:spacing w:after="0" w:line="131" w:lineRule="exact"/>
              <w:rPr>
                <w:sz w:val="20"/>
                <w:szCs w:val="20"/>
                <w:color w:val="auto"/>
              </w:rPr>
            </w:pPr>
            <w:r>
              <w:rPr>
                <w:rFonts w:ascii="Times New Roman" w:cs="Times New Roman" w:eastAsia="Times New Roman" w:hAnsi="Times New Roman"/>
                <w:sz w:val="13"/>
                <w:szCs w:val="13"/>
                <w:b w:val="1"/>
                <w:bCs w:val="1"/>
                <w:color w:val="auto"/>
              </w:rPr>
              <w:t xml:space="preserve">Sublicense </w:t>
            </w:r>
            <w:r>
              <w:rPr>
                <w:rFonts w:ascii="Times New Roman" w:cs="Times New Roman" w:eastAsia="Times New Roman" w:hAnsi="Times New Roman"/>
                <w:sz w:val="13"/>
                <w:szCs w:val="13"/>
                <w:color w:val="auto"/>
              </w:rPr>
              <w:t>agreements under the</w:t>
            </w:r>
            <w:r>
              <w:rPr>
                <w:rFonts w:ascii="Times New Roman" w:cs="Times New Roman" w:eastAsia="Times New Roman" w:hAnsi="Times New Roman"/>
                <w:sz w:val="13"/>
                <w:szCs w:val="13"/>
                <w:b w:val="1"/>
                <w:bCs w:val="1"/>
                <w:color w:val="auto"/>
              </w:rPr>
              <w:t xml:space="preserve"> Licensed Patent Rights </w:t>
            </w:r>
            <w:r>
              <w:rPr>
                <w:rFonts w:ascii="Times New Roman" w:cs="Times New Roman" w:eastAsia="Times New Roman" w:hAnsi="Times New Roman"/>
                <w:sz w:val="13"/>
                <w:szCs w:val="13"/>
                <w:color w:val="auto"/>
              </w:rPr>
              <w:t>only when it concurrently licenses proprietary or in-licensed intellectual property rights. For the avoidance of doubt, the</w:t>
            </w:r>
          </w:p>
        </w:tc>
      </w:tr>
      <w:tr>
        <w:trPr>
          <w:trHeight w:val="173"/>
        </w:trPr>
        <w:tc>
          <w:tcPr>
            <w:tcW w:w="320" w:type="dxa"/>
            <w:vAlign w:val="bottom"/>
          </w:tcPr>
          <w:p>
            <w:pPr>
              <w:spacing w:after="0"/>
              <w:rPr>
                <w:sz w:val="15"/>
                <w:szCs w:val="15"/>
                <w:color w:val="auto"/>
              </w:rPr>
            </w:pPr>
          </w:p>
        </w:tc>
        <w:tc>
          <w:tcPr>
            <w:tcW w:w="974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 xml:space="preserve">Licensee </w:t>
            </w:r>
            <w:r>
              <w:rPr>
                <w:rFonts w:ascii="Times New Roman" w:cs="Times New Roman" w:eastAsia="Times New Roman" w:hAnsi="Times New Roman"/>
                <w:sz w:val="13"/>
                <w:szCs w:val="13"/>
                <w:color w:val="auto"/>
              </w:rPr>
              <w:t>does not have the right to solely</w:t>
            </w:r>
            <w:r>
              <w:rPr>
                <w:rFonts w:ascii="Times New Roman" w:cs="Times New Roman" w:eastAsia="Times New Roman" w:hAnsi="Times New Roman"/>
                <w:sz w:val="13"/>
                <w:szCs w:val="13"/>
                <w:b w:val="1"/>
                <w:bCs w:val="1"/>
                <w:color w:val="auto"/>
              </w:rPr>
              <w:t xml:space="preserve"> Sublicense </w:t>
            </w:r>
            <w:r>
              <w:rPr>
                <w:rFonts w:ascii="Times New Roman" w:cs="Times New Roman" w:eastAsia="Times New Roman" w:hAnsi="Times New Roman"/>
                <w:sz w:val="13"/>
                <w:szCs w:val="13"/>
                <w:color w:val="auto"/>
              </w:rPr>
              <w:t>the</w:t>
            </w:r>
            <w:r>
              <w:rPr>
                <w:rFonts w:ascii="Times New Roman" w:cs="Times New Roman" w:eastAsia="Times New Roman" w:hAnsi="Times New Roman"/>
                <w:sz w:val="13"/>
                <w:szCs w:val="13"/>
                <w:b w:val="1"/>
                <w:bCs w:val="1"/>
                <w:color w:val="auto"/>
              </w:rPr>
              <w:t xml:space="preserve"> Licensed Patent Rights</w:t>
            </w:r>
            <w:r>
              <w:rPr>
                <w:rFonts w:ascii="Times New Roman" w:cs="Times New Roman" w:eastAsia="Times New Roman" w:hAnsi="Times New Roman"/>
                <w:sz w:val="13"/>
                <w:szCs w:val="13"/>
                <w:color w:val="auto"/>
              </w:rPr>
              <w:t>.</w:t>
            </w:r>
          </w:p>
        </w:tc>
      </w:tr>
      <w:tr>
        <w:trPr>
          <w:trHeight w:val="251"/>
        </w:trPr>
        <w:tc>
          <w:tcPr>
            <w:tcW w:w="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85"/>
              </w:rPr>
              <w:t>4.2</w:t>
            </w:r>
          </w:p>
        </w:tc>
        <w:tc>
          <w:tcPr>
            <w:tcW w:w="9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agrees that any </w:t>
            </w:r>
            <w:r>
              <w:rPr>
                <w:rFonts w:ascii="Times New Roman" w:cs="Times New Roman" w:eastAsia="Times New Roman" w:hAnsi="Times New Roman"/>
                <w:sz w:val="13"/>
                <w:szCs w:val="13"/>
                <w:b w:val="1"/>
                <w:bCs w:val="1"/>
                <w:color w:val="auto"/>
              </w:rPr>
              <w:t>Sublicense</w:t>
            </w:r>
            <w:r>
              <w:rPr>
                <w:rFonts w:ascii="Times New Roman" w:cs="Times New Roman" w:eastAsia="Times New Roman" w:hAnsi="Times New Roman"/>
                <w:sz w:val="13"/>
                <w:szCs w:val="13"/>
                <w:color w:val="auto"/>
              </w:rPr>
              <w:t xml:space="preserve"> granted by it shall provide that the obligations to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of Paragraphs 5.1, 5.2, 8.1-8.4, 10.1, 10.3, 12.5, and 13.8-13.9 of this </w:t>
            </w:r>
            <w:r>
              <w:rPr>
                <w:rFonts w:ascii="Times New Roman" w:cs="Times New Roman" w:eastAsia="Times New Roman" w:hAnsi="Times New Roman"/>
                <w:sz w:val="13"/>
                <w:szCs w:val="13"/>
                <w:b w:val="1"/>
                <w:bCs w:val="1"/>
                <w:color w:val="auto"/>
              </w:rPr>
              <w:t>Amended</w:t>
            </w:r>
          </w:p>
        </w:tc>
      </w:tr>
      <w:tr>
        <w:trPr>
          <w:trHeight w:val="131"/>
        </w:trPr>
        <w:tc>
          <w:tcPr>
            <w:tcW w:w="320" w:type="dxa"/>
            <w:vAlign w:val="bottom"/>
          </w:tcPr>
          <w:p>
            <w:pPr>
              <w:spacing w:after="0"/>
              <w:rPr>
                <w:sz w:val="11"/>
                <w:szCs w:val="11"/>
                <w:color w:val="auto"/>
              </w:rPr>
            </w:pPr>
          </w:p>
        </w:tc>
        <w:tc>
          <w:tcPr>
            <w:tcW w:w="9740" w:type="dxa"/>
            <w:vAlign w:val="bottom"/>
          </w:tcPr>
          <w:p>
            <w:pPr>
              <w:ind w:left="160"/>
              <w:spacing w:after="0" w:line="131" w:lineRule="exact"/>
              <w:rPr>
                <w:sz w:val="20"/>
                <w:szCs w:val="20"/>
                <w:color w:val="auto"/>
              </w:rPr>
            </w:pPr>
            <w:r>
              <w:rPr>
                <w:rFonts w:ascii="Times New Roman" w:cs="Times New Roman" w:eastAsia="Times New Roman" w:hAnsi="Times New Roman"/>
                <w:sz w:val="13"/>
                <w:szCs w:val="13"/>
                <w:b w:val="1"/>
                <w:bCs w:val="1"/>
                <w:color w:val="auto"/>
              </w:rPr>
              <w:t xml:space="preserve">and Restated Agreement </w:t>
            </w:r>
            <w:r>
              <w:rPr>
                <w:rFonts w:ascii="Times New Roman" w:cs="Times New Roman" w:eastAsia="Times New Roman" w:hAnsi="Times New Roman"/>
                <w:sz w:val="13"/>
                <w:szCs w:val="13"/>
                <w:color w:val="auto"/>
              </w:rPr>
              <w:t>shall be binding upon the sublicensee as if it were a party to this</w:t>
            </w:r>
            <w:r>
              <w:rPr>
                <w:rFonts w:ascii="Times New Roman" w:cs="Times New Roman" w:eastAsia="Times New Roman" w:hAnsi="Times New Roman"/>
                <w:sz w:val="13"/>
                <w:szCs w:val="13"/>
                <w:b w:val="1"/>
                <w:bCs w:val="1"/>
                <w:color w:val="auto"/>
              </w:rPr>
              <w:t xml:space="preserve"> Amended and Restated Agreement</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b w:val="1"/>
                <w:bCs w:val="1"/>
                <w:color w:val="auto"/>
              </w:rPr>
              <w:t xml:space="preserve"> Licensee </w:t>
            </w:r>
            <w:r>
              <w:rPr>
                <w:rFonts w:ascii="Times New Roman" w:cs="Times New Roman" w:eastAsia="Times New Roman" w:hAnsi="Times New Roman"/>
                <w:sz w:val="13"/>
                <w:szCs w:val="13"/>
                <w:color w:val="auto"/>
              </w:rPr>
              <w:t>further agrees to attach copies of these</w:t>
            </w:r>
          </w:p>
        </w:tc>
      </w:tr>
      <w:tr>
        <w:trPr>
          <w:trHeight w:val="131"/>
        </w:trPr>
        <w:tc>
          <w:tcPr>
            <w:tcW w:w="320" w:type="dxa"/>
            <w:vAlign w:val="bottom"/>
          </w:tcPr>
          <w:p>
            <w:pPr>
              <w:spacing w:after="0"/>
              <w:rPr>
                <w:sz w:val="11"/>
                <w:szCs w:val="11"/>
                <w:color w:val="auto"/>
              </w:rPr>
            </w:pPr>
          </w:p>
        </w:tc>
        <w:tc>
          <w:tcPr>
            <w:tcW w:w="9740" w:type="dxa"/>
            <w:vAlign w:val="bottom"/>
          </w:tcPr>
          <w:p>
            <w:pPr>
              <w:ind w:left="160"/>
              <w:spacing w:after="0" w:line="131" w:lineRule="exact"/>
              <w:rPr>
                <w:sz w:val="20"/>
                <w:szCs w:val="20"/>
                <w:color w:val="auto"/>
              </w:rPr>
            </w:pPr>
            <w:r>
              <w:rPr>
                <w:rFonts w:ascii="Times New Roman" w:cs="Times New Roman" w:eastAsia="Times New Roman" w:hAnsi="Times New Roman"/>
                <w:sz w:val="13"/>
                <w:szCs w:val="13"/>
                <w:color w:val="auto"/>
              </w:rPr>
              <w:t xml:space="preserve">Paragraphs to all </w:t>
            </w:r>
            <w:r>
              <w:rPr>
                <w:rFonts w:ascii="Times New Roman" w:cs="Times New Roman" w:eastAsia="Times New Roman" w:hAnsi="Times New Roman"/>
                <w:sz w:val="13"/>
                <w:szCs w:val="13"/>
                <w:b w:val="1"/>
                <w:bCs w:val="1"/>
                <w:color w:val="auto"/>
              </w:rPr>
              <w:t>Sublicense</w:t>
            </w:r>
            <w:r>
              <w:rPr>
                <w:rFonts w:ascii="Times New Roman" w:cs="Times New Roman" w:eastAsia="Times New Roman" w:hAnsi="Times New Roman"/>
                <w:sz w:val="13"/>
                <w:szCs w:val="13"/>
                <w:color w:val="auto"/>
              </w:rPr>
              <w:t xml:space="preserve"> agreements. In the event of a conflict between the terms of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and any </w:t>
            </w:r>
            <w:r>
              <w:rPr>
                <w:rFonts w:ascii="Times New Roman" w:cs="Times New Roman" w:eastAsia="Times New Roman" w:hAnsi="Times New Roman"/>
                <w:sz w:val="13"/>
                <w:szCs w:val="13"/>
                <w:b w:val="1"/>
                <w:bCs w:val="1"/>
                <w:color w:val="auto"/>
              </w:rPr>
              <w:t>Sublicense</w:t>
            </w:r>
            <w:r>
              <w:rPr>
                <w:rFonts w:ascii="Times New Roman" w:cs="Times New Roman" w:eastAsia="Times New Roman" w:hAnsi="Times New Roman"/>
                <w:sz w:val="13"/>
                <w:szCs w:val="13"/>
                <w:color w:val="auto"/>
              </w:rPr>
              <w:t xml:space="preserve"> to the </w:t>
            </w:r>
            <w:r>
              <w:rPr>
                <w:rFonts w:ascii="Times New Roman" w:cs="Times New Roman" w:eastAsia="Times New Roman" w:hAnsi="Times New Roman"/>
                <w:sz w:val="13"/>
                <w:szCs w:val="13"/>
                <w:b w:val="1"/>
                <w:bCs w:val="1"/>
                <w:color w:val="auto"/>
              </w:rPr>
              <w:t>Licensed Patent Rights</w:t>
            </w:r>
            <w:r>
              <w:rPr>
                <w:rFonts w:ascii="Times New Roman" w:cs="Times New Roman" w:eastAsia="Times New Roman" w:hAnsi="Times New Roman"/>
                <w:sz w:val="13"/>
                <w:szCs w:val="13"/>
                <w:color w:val="auto"/>
              </w:rPr>
              <w:t>,</w:t>
            </w:r>
          </w:p>
        </w:tc>
      </w:tr>
      <w:tr>
        <w:trPr>
          <w:trHeight w:val="173"/>
        </w:trPr>
        <w:tc>
          <w:tcPr>
            <w:tcW w:w="320" w:type="dxa"/>
            <w:vAlign w:val="bottom"/>
          </w:tcPr>
          <w:p>
            <w:pPr>
              <w:spacing w:after="0"/>
              <w:rPr>
                <w:sz w:val="15"/>
                <w:szCs w:val="15"/>
                <w:color w:val="auto"/>
              </w:rPr>
            </w:pPr>
          </w:p>
        </w:tc>
        <w:tc>
          <w:tcPr>
            <w:tcW w:w="9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the terms of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shall control.</w:t>
            </w:r>
          </w:p>
        </w:tc>
      </w:tr>
    </w:tbl>
    <w:p>
      <w:pPr>
        <w:spacing w:after="0" w:line="18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b w:val="1"/>
          <w:bCs w:val="1"/>
          <w:color w:val="auto"/>
        </w:rPr>
        <w:t xml:space="preserve">CONFIDENTIAL </w:t>
      </w:r>
      <w:r>
        <w:rPr>
          <w:rFonts w:ascii="Times New Roman" w:cs="Times New Roman" w:eastAsia="Times New Roman" w:hAnsi="Times New Roman"/>
          <w:sz w:val="11"/>
          <w:szCs w:val="11"/>
          <w:color w:val="auto"/>
        </w:rPr>
        <w:t>[***]</w:t>
      </w:r>
    </w:p>
    <w:p>
      <w:pPr>
        <w:spacing w:after="0" w:line="1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ind w:left="9"/>
        <w:spacing w:after="0"/>
        <w:tabs>
          <w:tab w:leader="none" w:pos="1409" w:val="left"/>
        </w:tabs>
        <w:rPr>
          <w:sz w:val="20"/>
          <w:szCs w:val="20"/>
          <w:color w:val="auto"/>
        </w:rPr>
      </w:pPr>
      <w:r>
        <w:rPr>
          <w:rFonts w:ascii="Times New Roman" w:cs="Times New Roman" w:eastAsia="Times New Roman" w:hAnsi="Times New Roman"/>
          <w:sz w:val="11"/>
          <w:szCs w:val="11"/>
          <w:color w:val="auto"/>
        </w:rPr>
        <w:t>Model 10-2015 Rev 09-2024</w:t>
        <w:tab/>
        <w:t>Page 6 of 25 [FINAL] [BioNTech SE] [20 December 2024]</w:t>
      </w:r>
    </w:p>
    <w:p>
      <w:pPr>
        <w:sectPr>
          <w:pgSz w:w="11900" w:h="16840" w:orient="portrait"/>
          <w:cols w:equalWidth="0" w:num="1">
            <w:col w:w="10589"/>
          </w:cols>
          <w:pgMar w:left="651" w:top="752" w:right="660" w:bottom="1440" w:gutter="0" w:footer="0" w:header="0"/>
        </w:sectPr>
      </w:pPr>
    </w:p>
    <w:bookmarkStart w:id="397" w:name="page398"/>
    <w:bookmarkEnd w:id="397"/>
    <w:p>
      <w:pPr>
        <w:ind w:left="9"/>
        <w:spacing w:after="0"/>
        <w:rPr>
          <w:sz w:val="20"/>
          <w:szCs w:val="20"/>
          <w:color w:val="auto"/>
        </w:rPr>
      </w:pPr>
      <w:r>
        <w:rPr>
          <w:rFonts w:ascii="Times New Roman" w:cs="Times New Roman" w:eastAsia="Times New Roman" w:hAnsi="Times New Roman"/>
          <w:sz w:val="13"/>
          <w:szCs w:val="13"/>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69" w:right="200" w:hanging="484"/>
        <w:spacing w:after="0" w:line="233" w:lineRule="auto"/>
        <w:tabs>
          <w:tab w:leader="none" w:pos="949" w:val="left"/>
        </w:tabs>
        <w:rPr>
          <w:sz w:val="20"/>
          <w:szCs w:val="20"/>
          <w:color w:val="auto"/>
        </w:rPr>
      </w:pPr>
      <w:r>
        <w:rPr>
          <w:rFonts w:ascii="Times New Roman" w:cs="Times New Roman" w:eastAsia="Times New Roman" w:hAnsi="Times New Roman"/>
          <w:sz w:val="13"/>
          <w:szCs w:val="13"/>
          <w:color w:val="auto"/>
        </w:rPr>
        <w:t>4.3</w:t>
      </w:r>
      <w:r>
        <w:rPr>
          <w:sz w:val="20"/>
          <w:szCs w:val="20"/>
          <w:color w:val="auto"/>
        </w:rPr>
        <w:tab/>
      </w:r>
      <w:r>
        <w:rPr>
          <w:rFonts w:ascii="Times New Roman" w:cs="Times New Roman" w:eastAsia="Times New Roman" w:hAnsi="Times New Roman"/>
          <w:sz w:val="13"/>
          <w:szCs w:val="13"/>
          <w:color w:val="auto"/>
        </w:rPr>
        <w:t xml:space="preserve">Any </w:t>
      </w:r>
      <w:r>
        <w:rPr>
          <w:rFonts w:ascii="Times New Roman" w:cs="Times New Roman" w:eastAsia="Times New Roman" w:hAnsi="Times New Roman"/>
          <w:sz w:val="13"/>
          <w:szCs w:val="13"/>
          <w:b w:val="1"/>
          <w:bCs w:val="1"/>
          <w:color w:val="auto"/>
        </w:rPr>
        <w:t>Sublicense</w:t>
      </w:r>
      <w:r>
        <w:rPr>
          <w:rFonts w:ascii="Times New Roman" w:cs="Times New Roman" w:eastAsia="Times New Roman" w:hAnsi="Times New Roman"/>
          <w:sz w:val="13"/>
          <w:szCs w:val="13"/>
          <w:color w:val="auto"/>
        </w:rPr>
        <w:t xml:space="preserve"> granted by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shall provide for the termination of such </w:t>
      </w:r>
      <w:r>
        <w:rPr>
          <w:rFonts w:ascii="Times New Roman" w:cs="Times New Roman" w:eastAsia="Times New Roman" w:hAnsi="Times New Roman"/>
          <w:sz w:val="13"/>
          <w:szCs w:val="13"/>
          <w:b w:val="1"/>
          <w:bCs w:val="1"/>
          <w:color w:val="auto"/>
        </w:rPr>
        <w:t>Sublicense</w:t>
      </w:r>
      <w:r>
        <w:rPr>
          <w:rFonts w:ascii="Times New Roman" w:cs="Times New Roman" w:eastAsia="Times New Roman" w:hAnsi="Times New Roman"/>
          <w:sz w:val="13"/>
          <w:szCs w:val="13"/>
          <w:color w:val="auto"/>
        </w:rPr>
        <w:t xml:space="preserve">, or the conversion to a license directly between the grantee of such </w:t>
      </w:r>
      <w:r>
        <w:rPr>
          <w:rFonts w:ascii="Times New Roman" w:cs="Times New Roman" w:eastAsia="Times New Roman" w:hAnsi="Times New Roman"/>
          <w:sz w:val="13"/>
          <w:szCs w:val="13"/>
          <w:b w:val="1"/>
          <w:bCs w:val="1"/>
          <w:color w:val="auto"/>
        </w:rPr>
        <w:t>Sublicense</w:t>
      </w:r>
      <w:r>
        <w:rPr>
          <w:rFonts w:ascii="Times New Roman" w:cs="Times New Roman" w:eastAsia="Times New Roman" w:hAnsi="Times New Roman"/>
          <w:sz w:val="13"/>
          <w:szCs w:val="13"/>
          <w:color w:val="auto"/>
        </w:rPr>
        <w:t xml:space="preserve"> and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at the option of the sublicensee, upon termination of this</w:t>
      </w:r>
      <w:r>
        <w:rPr>
          <w:rFonts w:ascii="Times New Roman" w:cs="Times New Roman" w:eastAsia="Times New Roman" w:hAnsi="Times New Roman"/>
          <w:sz w:val="13"/>
          <w:szCs w:val="13"/>
          <w:b w:val="1"/>
          <w:bCs w:val="1"/>
          <w:color w:val="auto"/>
        </w:rPr>
        <w:t xml:space="preserve"> Amended and Restated Agreement </w:t>
      </w:r>
      <w:r>
        <w:rPr>
          <w:rFonts w:ascii="Times New Roman" w:cs="Times New Roman" w:eastAsia="Times New Roman" w:hAnsi="Times New Roman"/>
          <w:sz w:val="13"/>
          <w:szCs w:val="13"/>
          <w:color w:val="auto"/>
        </w:rPr>
        <w:t>under Article 13. This conversion is subject to the</w:t>
      </w:r>
      <w:r>
        <w:rPr>
          <w:rFonts w:ascii="Times New Roman" w:cs="Times New Roman" w:eastAsia="Times New Roman" w:hAnsi="Times New Roman"/>
          <w:sz w:val="13"/>
          <w:szCs w:val="13"/>
          <w:b w:val="1"/>
          <w:bCs w:val="1"/>
          <w:color w:val="auto"/>
        </w:rPr>
        <w:t xml:space="preserve"> NIAID </w:t>
      </w:r>
      <w:r>
        <w:rPr>
          <w:rFonts w:ascii="Times New Roman" w:cs="Times New Roman" w:eastAsia="Times New Roman" w:hAnsi="Times New Roman"/>
          <w:sz w:val="13"/>
          <w:szCs w:val="13"/>
          <w:color w:val="auto"/>
        </w:rPr>
        <w:t>approval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contingent upon acceptance by the sublicensee of the remaining provisions of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w:t>
      </w:r>
    </w:p>
    <w:p>
      <w:pPr>
        <w:spacing w:after="0" w:line="116" w:lineRule="exact"/>
        <w:rPr>
          <w:sz w:val="20"/>
          <w:szCs w:val="20"/>
          <w:color w:val="auto"/>
        </w:rPr>
      </w:pPr>
    </w:p>
    <w:p>
      <w:pPr>
        <w:ind w:left="489"/>
        <w:spacing w:after="0"/>
        <w:tabs>
          <w:tab w:leader="none" w:pos="949" w:val="left"/>
        </w:tabs>
        <w:rPr>
          <w:sz w:val="20"/>
          <w:szCs w:val="20"/>
          <w:color w:val="auto"/>
        </w:rPr>
      </w:pPr>
      <w:r>
        <w:rPr>
          <w:rFonts w:ascii="Times New Roman" w:cs="Times New Roman" w:eastAsia="Times New Roman" w:hAnsi="Times New Roman"/>
          <w:sz w:val="13"/>
          <w:szCs w:val="13"/>
          <w:color w:val="auto"/>
        </w:rPr>
        <w:t>4.4</w:t>
      </w:r>
      <w:r>
        <w:rPr>
          <w:sz w:val="20"/>
          <w:szCs w:val="20"/>
          <w:color w:val="auto"/>
        </w:rPr>
        <w:tab/>
      </w:r>
      <w:r>
        <w:rPr>
          <w:rFonts w:ascii="Times New Roman" w:cs="Times New Roman" w:eastAsia="Times New Roman" w:hAnsi="Times New Roman"/>
          <w:sz w:val="13"/>
          <w:szCs w:val="13"/>
          <w:b w:val="1"/>
          <w:bCs w:val="1"/>
          <w:color w:val="auto"/>
        </w:rPr>
        <w:t xml:space="preserve">Licensee </w:t>
      </w:r>
      <w:r>
        <w:rPr>
          <w:rFonts w:ascii="Times New Roman" w:cs="Times New Roman" w:eastAsia="Times New Roman" w:hAnsi="Times New Roman"/>
          <w:sz w:val="13"/>
          <w:szCs w:val="13"/>
          <w:color w:val="auto"/>
        </w:rPr>
        <w:t>agrees to forward to the</w:t>
      </w:r>
      <w:r>
        <w:rPr>
          <w:rFonts w:ascii="Times New Roman" w:cs="Times New Roman" w:eastAsia="Times New Roman" w:hAnsi="Times New Roman"/>
          <w:sz w:val="13"/>
          <w:szCs w:val="13"/>
          <w:b w:val="1"/>
          <w:bCs w:val="1"/>
          <w:color w:val="auto"/>
        </w:rPr>
        <w:t xml:space="preserve"> NIAID </w:t>
      </w:r>
      <w:r>
        <w:rPr>
          <w:rFonts w:ascii="Times New Roman" w:cs="Times New Roman" w:eastAsia="Times New Roman" w:hAnsi="Times New Roman"/>
          <w:sz w:val="13"/>
          <w:szCs w:val="13"/>
          <w:color w:val="auto"/>
        </w:rPr>
        <w:t>a complete, copy of each fully executed</w:t>
      </w:r>
      <w:r>
        <w:rPr>
          <w:rFonts w:ascii="Times New Roman" w:cs="Times New Roman" w:eastAsia="Times New Roman" w:hAnsi="Times New Roman"/>
          <w:sz w:val="13"/>
          <w:szCs w:val="13"/>
          <w:b w:val="1"/>
          <w:bCs w:val="1"/>
          <w:color w:val="auto"/>
        </w:rPr>
        <w:t xml:space="preserve"> Sublicense </w:t>
      </w:r>
      <w:r>
        <w:rPr>
          <w:rFonts w:ascii="Times New Roman" w:cs="Times New Roman" w:eastAsia="Times New Roman" w:hAnsi="Times New Roman"/>
          <w:sz w:val="13"/>
          <w:szCs w:val="13"/>
          <w:color w:val="auto"/>
        </w:rPr>
        <w:t>agreement postmarked within [***] days of the execution of such</w:t>
      </w:r>
      <w:r>
        <w:rPr>
          <w:rFonts w:ascii="Times New Roman" w:cs="Times New Roman" w:eastAsia="Times New Roman" w:hAnsi="Times New Roman"/>
          <w:sz w:val="13"/>
          <w:szCs w:val="13"/>
          <w:b w:val="1"/>
          <w:bCs w:val="1"/>
          <w:color w:val="auto"/>
        </w:rPr>
        <w:t xml:space="preserve"> Sublicense </w:t>
      </w:r>
      <w:r>
        <w:rPr>
          <w:rFonts w:ascii="Times New Roman" w:cs="Times New Roman" w:eastAsia="Times New Roman" w:hAnsi="Times New Roman"/>
          <w:sz w:val="13"/>
          <w:szCs w:val="13"/>
          <w:color w:val="auto"/>
        </w:rPr>
        <w:t>agreement.</w:t>
      </w:r>
    </w:p>
    <w:p>
      <w:pPr>
        <w:ind w:left="969"/>
        <w:spacing w:after="0"/>
        <w:rPr>
          <w:sz w:val="20"/>
          <w:szCs w:val="20"/>
          <w:color w:val="auto"/>
        </w:rPr>
      </w:pPr>
      <w:r>
        <w:rPr>
          <w:rFonts w:ascii="Times New Roman" w:cs="Times New Roman" w:eastAsia="Times New Roman" w:hAnsi="Times New Roman"/>
          <w:sz w:val="13"/>
          <w:szCs w:val="13"/>
          <w:color w:val="auto"/>
        </w:rPr>
        <w:t xml:space="preserve">To the extent permitted by law,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agrees to maintain each </w:t>
      </w:r>
      <w:r>
        <w:rPr>
          <w:rFonts w:ascii="Times New Roman" w:cs="Times New Roman" w:eastAsia="Times New Roman" w:hAnsi="Times New Roman"/>
          <w:sz w:val="13"/>
          <w:szCs w:val="13"/>
          <w:b w:val="1"/>
          <w:bCs w:val="1"/>
          <w:color w:val="auto"/>
        </w:rPr>
        <w:t>Sublicense</w:t>
      </w:r>
      <w:r>
        <w:rPr>
          <w:rFonts w:ascii="Times New Roman" w:cs="Times New Roman" w:eastAsia="Times New Roman" w:hAnsi="Times New Roman"/>
          <w:sz w:val="13"/>
          <w:szCs w:val="13"/>
          <w:color w:val="auto"/>
        </w:rPr>
        <w:t xml:space="preserve"> agreement in confidence.</w:t>
      </w:r>
    </w:p>
    <w:p>
      <w:pPr>
        <w:spacing w:after="0" w:line="130" w:lineRule="exact"/>
        <w:rPr>
          <w:sz w:val="20"/>
          <w:szCs w:val="20"/>
          <w:color w:val="auto"/>
        </w:rPr>
      </w:pPr>
    </w:p>
    <w:p>
      <w:pPr>
        <w:ind w:left="489" w:hanging="489"/>
        <w:spacing w:after="0"/>
        <w:tabs>
          <w:tab w:leader="none" w:pos="489"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STATUTORY AND NIH REQUIREMENTS AND RESERVED GOVERNMENT RIGHTS</w:t>
      </w:r>
    </w:p>
    <w:p>
      <w:pPr>
        <w:spacing w:after="0" w:line="141" w:lineRule="exact"/>
        <w:rPr>
          <w:rFonts w:ascii="Times New Roman" w:cs="Times New Roman" w:eastAsia="Times New Roman" w:hAnsi="Times New Roman"/>
          <w:sz w:val="13"/>
          <w:szCs w:val="13"/>
          <w:color w:val="auto"/>
        </w:rPr>
      </w:pPr>
    </w:p>
    <w:p>
      <w:pPr>
        <w:ind w:left="969" w:right="180" w:hanging="485"/>
        <w:spacing w:after="0" w:line="24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5.1Prior to the </w:t>
      </w:r>
      <w:r>
        <w:rPr>
          <w:rFonts w:ascii="Times New Roman" w:cs="Times New Roman" w:eastAsia="Times New Roman" w:hAnsi="Times New Roman"/>
          <w:sz w:val="13"/>
          <w:szCs w:val="13"/>
          <w:b w:val="1"/>
          <w:bCs w:val="1"/>
          <w:color w:val="auto"/>
        </w:rPr>
        <w:t>First Commercial Sale</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agrees to provide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with reasonable quantities of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or materials made through the </w:t>
      </w:r>
      <w:r>
        <w:rPr>
          <w:rFonts w:ascii="Times New Roman" w:cs="Times New Roman" w:eastAsia="Times New Roman" w:hAnsi="Times New Roman"/>
          <w:sz w:val="13"/>
          <w:szCs w:val="13"/>
          <w:b w:val="1"/>
          <w:bCs w:val="1"/>
          <w:color w:val="auto"/>
        </w:rPr>
        <w:t>Licensed Processes</w:t>
      </w:r>
      <w:r>
        <w:rPr>
          <w:rFonts w:ascii="Times New Roman" w:cs="Times New Roman" w:eastAsia="Times New Roman" w:hAnsi="Times New Roman"/>
          <w:sz w:val="13"/>
          <w:szCs w:val="13"/>
          <w:color w:val="auto"/>
        </w:rPr>
        <w:t xml:space="preserve"> for the </w:t>
      </w:r>
      <w:r>
        <w:rPr>
          <w:rFonts w:ascii="Times New Roman" w:cs="Times New Roman" w:eastAsia="Times New Roman" w:hAnsi="Times New Roman"/>
          <w:sz w:val="13"/>
          <w:szCs w:val="13"/>
          <w:b w:val="1"/>
          <w:bCs w:val="1"/>
          <w:color w:val="auto"/>
        </w:rPr>
        <w:t>NIAID’s</w:t>
      </w:r>
      <w:r>
        <w:rPr>
          <w:rFonts w:ascii="Times New Roman" w:cs="Times New Roman" w:eastAsia="Times New Roman" w:hAnsi="Times New Roman"/>
          <w:sz w:val="13"/>
          <w:szCs w:val="13"/>
          <w:color w:val="auto"/>
        </w:rPr>
        <w:t xml:space="preserve"> research use.</w:t>
      </w:r>
    </w:p>
    <w:p>
      <w:pPr>
        <w:spacing w:after="0" w:line="115" w:lineRule="exact"/>
        <w:rPr>
          <w:rFonts w:ascii="Times New Roman" w:cs="Times New Roman" w:eastAsia="Times New Roman" w:hAnsi="Times New Roman"/>
          <w:sz w:val="13"/>
          <w:szCs w:val="13"/>
          <w:color w:val="auto"/>
        </w:rPr>
      </w:pPr>
    </w:p>
    <w:p>
      <w:pPr>
        <w:ind w:left="969" w:right="720" w:hanging="485"/>
        <w:spacing w:after="0" w:line="24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5.2The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agrees that products used or sold in the United States embodying</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or produced through use of </w:t>
      </w:r>
      <w:r>
        <w:rPr>
          <w:rFonts w:ascii="Times New Roman" w:cs="Times New Roman" w:eastAsia="Times New Roman" w:hAnsi="Times New Roman"/>
          <w:sz w:val="13"/>
          <w:szCs w:val="13"/>
          <w:b w:val="1"/>
          <w:bCs w:val="1"/>
          <w:color w:val="auto"/>
        </w:rPr>
        <w:t>Licensed Processes</w:t>
      </w:r>
      <w:r>
        <w:rPr>
          <w:rFonts w:ascii="Times New Roman" w:cs="Times New Roman" w:eastAsia="Times New Roman" w:hAnsi="Times New Roman"/>
          <w:sz w:val="13"/>
          <w:szCs w:val="13"/>
          <w:color w:val="auto"/>
        </w:rPr>
        <w:t xml:space="preserve"> shall be manufactured substantially in the United States, unless a written waiver is obtained in advance from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w:t>
      </w:r>
    </w:p>
    <w:p>
      <w:pPr>
        <w:spacing w:after="0" w:line="117" w:lineRule="exact"/>
        <w:rPr>
          <w:rFonts w:ascii="Times New Roman" w:cs="Times New Roman" w:eastAsia="Times New Roman" w:hAnsi="Times New Roman"/>
          <w:sz w:val="13"/>
          <w:szCs w:val="13"/>
          <w:color w:val="auto"/>
        </w:rPr>
      </w:pPr>
    </w:p>
    <w:p>
      <w:pPr>
        <w:ind w:left="489" w:hanging="489"/>
        <w:spacing w:after="0"/>
        <w:tabs>
          <w:tab w:leader="none" w:pos="489"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ROYALTIES AND REIMBURSEMENT</w:t>
      </w:r>
    </w:p>
    <w:p>
      <w:pPr>
        <w:spacing w:after="0" w:line="141" w:lineRule="exact"/>
        <w:rPr>
          <w:rFonts w:ascii="Times New Roman" w:cs="Times New Roman" w:eastAsia="Times New Roman" w:hAnsi="Times New Roman"/>
          <w:sz w:val="13"/>
          <w:szCs w:val="13"/>
          <w:color w:val="auto"/>
        </w:rPr>
      </w:pPr>
    </w:p>
    <w:p>
      <w:pPr>
        <w:ind w:left="489"/>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6.1The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agrees to pay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a noncreditable, nonrefundable license issue royalty as set forth in Appendix C.</w:t>
      </w:r>
    </w:p>
    <w:p>
      <w:pPr>
        <w:spacing w:after="0" w:line="143" w:lineRule="exact"/>
        <w:rPr>
          <w:rFonts w:ascii="Times New Roman" w:cs="Times New Roman" w:eastAsia="Times New Roman" w:hAnsi="Times New Roman"/>
          <w:sz w:val="13"/>
          <w:szCs w:val="13"/>
          <w:color w:val="auto"/>
        </w:rPr>
      </w:pPr>
    </w:p>
    <w:p>
      <w:pPr>
        <w:ind w:left="489"/>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6.2The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agrees to pay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a minimum annual royalty as set forth in Appendix C.</w:t>
      </w:r>
    </w:p>
    <w:p>
      <w:pPr>
        <w:spacing w:after="0" w:line="143" w:lineRule="exact"/>
        <w:rPr>
          <w:rFonts w:ascii="Times New Roman" w:cs="Times New Roman" w:eastAsia="Times New Roman" w:hAnsi="Times New Roman"/>
          <w:sz w:val="13"/>
          <w:szCs w:val="13"/>
          <w:color w:val="auto"/>
        </w:rPr>
      </w:pPr>
    </w:p>
    <w:p>
      <w:pPr>
        <w:ind w:left="489"/>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6.3The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agrees to pay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earned royalties as set forth in Appendix C.</w:t>
      </w:r>
    </w:p>
    <w:p>
      <w:pPr>
        <w:spacing w:after="0" w:line="143" w:lineRule="exact"/>
        <w:rPr>
          <w:rFonts w:ascii="Times New Roman" w:cs="Times New Roman" w:eastAsia="Times New Roman" w:hAnsi="Times New Roman"/>
          <w:sz w:val="13"/>
          <w:szCs w:val="13"/>
          <w:color w:val="auto"/>
        </w:rPr>
      </w:pPr>
    </w:p>
    <w:p>
      <w:pPr>
        <w:ind w:left="489"/>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6.4The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agrees to pay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benchmark royalties as set forth in Appendix C.</w:t>
      </w:r>
    </w:p>
    <w:p>
      <w:pPr>
        <w:spacing w:after="0" w:line="143" w:lineRule="exact"/>
        <w:rPr>
          <w:rFonts w:ascii="Times New Roman" w:cs="Times New Roman" w:eastAsia="Times New Roman" w:hAnsi="Times New Roman"/>
          <w:sz w:val="13"/>
          <w:szCs w:val="13"/>
          <w:color w:val="auto"/>
        </w:rPr>
      </w:pPr>
    </w:p>
    <w:p>
      <w:pPr>
        <w:ind w:left="969" w:right="340" w:hanging="485"/>
        <w:spacing w:after="0" w:line="24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6.5A patent or patent application licensed under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shall cease to fall within the </w:t>
      </w:r>
      <w:r>
        <w:rPr>
          <w:rFonts w:ascii="Times New Roman" w:cs="Times New Roman" w:eastAsia="Times New Roman" w:hAnsi="Times New Roman"/>
          <w:sz w:val="13"/>
          <w:szCs w:val="13"/>
          <w:b w:val="1"/>
          <w:bCs w:val="1"/>
          <w:color w:val="auto"/>
        </w:rPr>
        <w:t>Licensed Patent Rights</w:t>
      </w:r>
      <w:r>
        <w:rPr>
          <w:rFonts w:ascii="Times New Roman" w:cs="Times New Roman" w:eastAsia="Times New Roman" w:hAnsi="Times New Roman"/>
          <w:sz w:val="13"/>
          <w:szCs w:val="13"/>
          <w:color w:val="auto"/>
        </w:rPr>
        <w:t xml:space="preserve"> for the purpose of computing earned royalty payments in any given country on the earliest of the dates that:</w:t>
      </w:r>
    </w:p>
    <w:p>
      <w:pPr>
        <w:spacing w:after="0" w:line="117" w:lineRule="exact"/>
        <w:rPr>
          <w:rFonts w:ascii="Times New Roman" w:cs="Times New Roman" w:eastAsia="Times New Roman" w:hAnsi="Times New Roman"/>
          <w:sz w:val="13"/>
          <w:szCs w:val="13"/>
          <w:color w:val="auto"/>
        </w:rPr>
      </w:pPr>
    </w:p>
    <w:p>
      <w:pPr>
        <w:ind w:left="1449" w:hanging="479"/>
        <w:spacing w:after="0"/>
        <w:tabs>
          <w:tab w:leader="none" w:pos="1449" w:val="left"/>
        </w:tabs>
        <w:numPr>
          <w:ilvl w:val="1"/>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application has been finally rejected without the possibility of appeal, withdrawn, disclaimed, abandoned or not continued;</w:t>
      </w:r>
    </w:p>
    <w:p>
      <w:pPr>
        <w:spacing w:after="0" w:line="143" w:lineRule="exact"/>
        <w:rPr>
          <w:rFonts w:ascii="Times New Roman" w:cs="Times New Roman" w:eastAsia="Times New Roman" w:hAnsi="Times New Roman"/>
          <w:sz w:val="13"/>
          <w:szCs w:val="13"/>
          <w:color w:val="auto"/>
        </w:rPr>
      </w:pPr>
    </w:p>
    <w:p>
      <w:pPr>
        <w:ind w:left="1449" w:hanging="479"/>
        <w:spacing w:after="0"/>
        <w:tabs>
          <w:tab w:leader="none" w:pos="1449" w:val="left"/>
        </w:tabs>
        <w:numPr>
          <w:ilvl w:val="1"/>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patent expires or irrevocably lapses; or</w:t>
      </w:r>
    </w:p>
    <w:p>
      <w:pPr>
        <w:spacing w:after="0" w:line="143" w:lineRule="exact"/>
        <w:rPr>
          <w:rFonts w:ascii="Times New Roman" w:cs="Times New Roman" w:eastAsia="Times New Roman" w:hAnsi="Times New Roman"/>
          <w:sz w:val="13"/>
          <w:szCs w:val="13"/>
          <w:color w:val="auto"/>
        </w:rPr>
      </w:pPr>
    </w:p>
    <w:p>
      <w:pPr>
        <w:ind w:left="1449" w:hanging="479"/>
        <w:spacing w:after="0"/>
        <w:tabs>
          <w:tab w:leader="none" w:pos="1449" w:val="left"/>
        </w:tabs>
        <w:numPr>
          <w:ilvl w:val="1"/>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patent has been held to be invalid or unenforceable by an unappealed or unappealable decision of a court of competent jurisdiction or administrative agency.</w:t>
      </w:r>
    </w:p>
    <w:p>
      <w:pPr>
        <w:spacing w:after="0" w:line="144" w:lineRule="exact"/>
        <w:rPr>
          <w:sz w:val="20"/>
          <w:szCs w:val="20"/>
          <w:color w:val="auto"/>
        </w:rPr>
      </w:pPr>
    </w:p>
    <w:tbl>
      <w:tblPr>
        <w:tblLayout w:type="fixed"/>
        <w:tblInd w:w="489"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97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t>
            </w:r>
          </w:p>
        </w:tc>
      </w:tr>
      <w:tr>
        <w:trPr>
          <w:trHeight w:val="263"/>
        </w:trPr>
        <w:tc>
          <w:tcPr>
            <w:tcW w:w="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85"/>
              </w:rPr>
              <w:t>6.6</w:t>
            </w:r>
          </w:p>
        </w:tc>
        <w:tc>
          <w:tcPr>
            <w:tcW w:w="97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agrees to pay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sublicensing royalties as set forth in Appendix C.</w:t>
            </w:r>
          </w:p>
        </w:tc>
      </w:tr>
      <w:tr>
        <w:trPr>
          <w:trHeight w:val="293"/>
        </w:trPr>
        <w:tc>
          <w:tcPr>
            <w:tcW w:w="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85"/>
              </w:rPr>
              <w:t>6.7</w:t>
            </w:r>
          </w:p>
        </w:tc>
        <w:tc>
          <w:tcPr>
            <w:tcW w:w="97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No multiple royalties shall be payable because any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b w:val="1"/>
                <w:bCs w:val="1"/>
                <w:color w:val="auto"/>
              </w:rPr>
              <w:t>Licensed Processes</w:t>
            </w:r>
            <w:r>
              <w:rPr>
                <w:rFonts w:ascii="Times New Roman" w:cs="Times New Roman" w:eastAsia="Times New Roman" w:hAnsi="Times New Roman"/>
                <w:sz w:val="13"/>
                <w:szCs w:val="13"/>
                <w:color w:val="auto"/>
              </w:rPr>
              <w:t xml:space="preserve"> are covered by more than one of the </w:t>
            </w:r>
            <w:r>
              <w:rPr>
                <w:rFonts w:ascii="Times New Roman" w:cs="Times New Roman" w:eastAsia="Times New Roman" w:hAnsi="Times New Roman"/>
                <w:sz w:val="13"/>
                <w:szCs w:val="13"/>
                <w:b w:val="1"/>
                <w:bCs w:val="1"/>
                <w:color w:val="auto"/>
              </w:rPr>
              <w:t>Licensed Patent Rights</w:t>
            </w:r>
            <w:r>
              <w:rPr>
                <w:rFonts w:ascii="Times New Roman" w:cs="Times New Roman" w:eastAsia="Times New Roman" w:hAnsi="Times New Roman"/>
                <w:sz w:val="13"/>
                <w:szCs w:val="13"/>
                <w:color w:val="auto"/>
              </w:rPr>
              <w:t>.</w:t>
            </w:r>
          </w:p>
        </w:tc>
      </w:tr>
      <w:tr>
        <w:trPr>
          <w:trHeight w:val="253"/>
        </w:trPr>
        <w:tc>
          <w:tcPr>
            <w:tcW w:w="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85"/>
              </w:rPr>
              <w:t>6.8</w:t>
            </w:r>
          </w:p>
        </w:tc>
        <w:tc>
          <w:tcPr>
            <w:tcW w:w="97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On sales of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by or on behalf of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(including, for clarity, by sublicensees) made in other than an arm’s-length transaction, the value of the</w:t>
            </w:r>
            <w:r>
              <w:rPr>
                <w:rFonts w:ascii="Times New Roman" w:cs="Times New Roman" w:eastAsia="Times New Roman" w:hAnsi="Times New Roman"/>
                <w:sz w:val="13"/>
                <w:szCs w:val="13"/>
                <w:b w:val="1"/>
                <w:bCs w:val="1"/>
                <w:color w:val="auto"/>
              </w:rPr>
              <w:t>Net Sales</w:t>
            </w:r>
          </w:p>
        </w:tc>
      </w:tr>
      <w:tr>
        <w:trPr>
          <w:trHeight w:val="131"/>
        </w:trPr>
        <w:tc>
          <w:tcPr>
            <w:tcW w:w="320" w:type="dxa"/>
            <w:vAlign w:val="bottom"/>
          </w:tcPr>
          <w:p>
            <w:pPr>
              <w:spacing w:after="0"/>
              <w:rPr>
                <w:sz w:val="11"/>
                <w:szCs w:val="11"/>
                <w:color w:val="auto"/>
              </w:rPr>
            </w:pPr>
          </w:p>
        </w:tc>
        <w:tc>
          <w:tcPr>
            <w:tcW w:w="9780" w:type="dxa"/>
            <w:vAlign w:val="bottom"/>
          </w:tcPr>
          <w:p>
            <w:pPr>
              <w:ind w:left="160"/>
              <w:spacing w:after="0" w:line="131" w:lineRule="exact"/>
              <w:rPr>
                <w:sz w:val="20"/>
                <w:szCs w:val="20"/>
                <w:color w:val="auto"/>
              </w:rPr>
            </w:pPr>
            <w:r>
              <w:rPr>
                <w:rFonts w:ascii="Times New Roman" w:cs="Times New Roman" w:eastAsia="Times New Roman" w:hAnsi="Times New Roman"/>
                <w:sz w:val="13"/>
                <w:szCs w:val="13"/>
                <w:color w:val="auto"/>
              </w:rPr>
              <w:t>attributed under this Article 6 to this transaction shall be that which would have been received in an arm’s-length transaction, based on sales of like quantity and quality products on or</w:t>
            </w:r>
          </w:p>
        </w:tc>
      </w:tr>
      <w:tr>
        <w:trPr>
          <w:trHeight w:val="171"/>
        </w:trPr>
        <w:tc>
          <w:tcPr>
            <w:tcW w:w="320" w:type="dxa"/>
            <w:vAlign w:val="bottom"/>
          </w:tcPr>
          <w:p>
            <w:pPr>
              <w:spacing w:after="0"/>
              <w:rPr>
                <w:sz w:val="14"/>
                <w:szCs w:val="14"/>
                <w:color w:val="auto"/>
              </w:rPr>
            </w:pPr>
          </w:p>
        </w:tc>
        <w:tc>
          <w:tcPr>
            <w:tcW w:w="97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about the time of such transaction.</w:t>
            </w:r>
          </w:p>
        </w:tc>
      </w:tr>
    </w:tbl>
    <w:p>
      <w:pPr>
        <w:spacing w:after="0" w:line="1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b w:val="1"/>
          <w:bCs w:val="1"/>
          <w:color w:val="auto"/>
        </w:rPr>
        <w:t xml:space="preserve">CONFIDENTIAL </w:t>
      </w:r>
      <w:r>
        <w:rPr>
          <w:rFonts w:ascii="Times New Roman" w:cs="Times New Roman" w:eastAsia="Times New Roman" w:hAnsi="Times New Roman"/>
          <w:sz w:val="11"/>
          <w:szCs w:val="11"/>
          <w:color w:val="auto"/>
        </w:rPr>
        <w:t>[***]</w:t>
      </w:r>
    </w:p>
    <w:p>
      <w:pPr>
        <w:spacing w:after="0" w:line="1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ind w:left="9"/>
        <w:spacing w:after="0"/>
        <w:tabs>
          <w:tab w:leader="none" w:pos="1409" w:val="left"/>
        </w:tabs>
        <w:rPr>
          <w:sz w:val="20"/>
          <w:szCs w:val="20"/>
          <w:color w:val="auto"/>
        </w:rPr>
      </w:pPr>
      <w:r>
        <w:rPr>
          <w:rFonts w:ascii="Times New Roman" w:cs="Times New Roman" w:eastAsia="Times New Roman" w:hAnsi="Times New Roman"/>
          <w:sz w:val="11"/>
          <w:szCs w:val="11"/>
          <w:color w:val="auto"/>
        </w:rPr>
        <w:t>Model 10-2015 Rev 09-2024</w:t>
        <w:tab/>
        <w:t>Page 7 of 25 [FINAL] [BioNTech SE] [20 December 2024]</w:t>
      </w:r>
    </w:p>
    <w:p>
      <w:pPr>
        <w:sectPr>
          <w:pgSz w:w="11900" w:h="16840" w:orient="portrait"/>
          <w:cols w:equalWidth="0" w:num="1">
            <w:col w:w="10589"/>
          </w:cols>
          <w:pgMar w:left="651" w:top="752" w:right="660" w:bottom="1440" w:gutter="0" w:footer="0" w:header="0"/>
        </w:sectPr>
      </w:pPr>
    </w:p>
    <w:bookmarkStart w:id="398" w:name="page399"/>
    <w:bookmarkEnd w:id="398"/>
    <w:p>
      <w:pPr>
        <w:ind w:left="9"/>
        <w:spacing w:after="0"/>
        <w:rPr>
          <w:sz w:val="20"/>
          <w:szCs w:val="20"/>
          <w:color w:val="auto"/>
        </w:rPr>
      </w:pPr>
      <w:r>
        <w:rPr>
          <w:rFonts w:ascii="Times New Roman" w:cs="Times New Roman" w:eastAsia="Times New Roman" w:hAnsi="Times New Roman"/>
          <w:sz w:val="13"/>
          <w:szCs w:val="13"/>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69" w:right="40" w:hanging="484"/>
        <w:spacing w:after="0" w:line="227" w:lineRule="auto"/>
        <w:tabs>
          <w:tab w:leader="none" w:pos="949" w:val="left"/>
        </w:tabs>
        <w:rPr>
          <w:sz w:val="20"/>
          <w:szCs w:val="20"/>
          <w:color w:val="auto"/>
        </w:rPr>
      </w:pPr>
      <w:r>
        <w:rPr>
          <w:rFonts w:ascii="Times New Roman" w:cs="Times New Roman" w:eastAsia="Times New Roman" w:hAnsi="Times New Roman"/>
          <w:sz w:val="13"/>
          <w:szCs w:val="13"/>
          <w:color w:val="auto"/>
        </w:rPr>
        <w:t>6.9</w:t>
      </w:r>
      <w:r>
        <w:rPr>
          <w:sz w:val="20"/>
          <w:szCs w:val="20"/>
          <w:color w:val="auto"/>
        </w:rPr>
        <w:tab/>
      </w:r>
      <w:r>
        <w:rPr>
          <w:rFonts w:ascii="Times New Roman" w:cs="Times New Roman" w:eastAsia="Times New Roman" w:hAnsi="Times New Roman"/>
          <w:sz w:val="13"/>
          <w:szCs w:val="13"/>
          <w:color w:val="auto"/>
        </w:rPr>
        <w:t>With regard to unreimbursed expenses associated with the preparation, filing, prosecution, and maintenance of all patent applications and patents included within the</w:t>
      </w:r>
      <w:r>
        <w:rPr>
          <w:rFonts w:ascii="Times New Roman" w:cs="Times New Roman" w:eastAsia="Times New Roman" w:hAnsi="Times New Roman"/>
          <w:sz w:val="13"/>
          <w:szCs w:val="13"/>
          <w:b w:val="1"/>
          <w:bCs w:val="1"/>
          <w:color w:val="auto"/>
        </w:rPr>
        <w:t>Licensed Patent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Rights </w:t>
      </w:r>
      <w:r>
        <w:rPr>
          <w:rFonts w:ascii="Times New Roman" w:cs="Times New Roman" w:eastAsia="Times New Roman" w:hAnsi="Times New Roman"/>
          <w:sz w:val="13"/>
          <w:szCs w:val="13"/>
          <w:color w:val="auto"/>
        </w:rPr>
        <w:t>and paid by the</w:t>
      </w:r>
      <w:r>
        <w:rPr>
          <w:rFonts w:ascii="Times New Roman" w:cs="Times New Roman" w:eastAsia="Times New Roman" w:hAnsi="Times New Roman"/>
          <w:sz w:val="13"/>
          <w:szCs w:val="13"/>
          <w:b w:val="1"/>
          <w:bCs w:val="1"/>
          <w:color w:val="auto"/>
        </w:rPr>
        <w:t xml:space="preserve"> NIAID </w:t>
      </w:r>
      <w:r>
        <w:rPr>
          <w:rFonts w:ascii="Times New Roman" w:cs="Times New Roman" w:eastAsia="Times New Roman" w:hAnsi="Times New Roman"/>
          <w:sz w:val="13"/>
          <w:szCs w:val="13"/>
          <w:color w:val="auto"/>
        </w:rPr>
        <w:t>prior to the</w:t>
      </w:r>
      <w:r>
        <w:rPr>
          <w:rFonts w:ascii="Times New Roman" w:cs="Times New Roman" w:eastAsia="Times New Roman" w:hAnsi="Times New Roman"/>
          <w:sz w:val="13"/>
          <w:szCs w:val="13"/>
          <w:b w:val="1"/>
          <w:bCs w:val="1"/>
          <w:color w:val="auto"/>
        </w:rPr>
        <w:t xml:space="preserve"> Effective Date </w:t>
      </w:r>
      <w:r>
        <w:rPr>
          <w:rFonts w:ascii="Times New Roman" w:cs="Times New Roman" w:eastAsia="Times New Roman" w:hAnsi="Times New Roman"/>
          <w:sz w:val="13"/>
          <w:szCs w:val="13"/>
          <w:color w:val="auto"/>
        </w:rPr>
        <w:t>of this</w:t>
      </w:r>
      <w:r>
        <w:rPr>
          <w:rFonts w:ascii="Times New Roman" w:cs="Times New Roman" w:eastAsia="Times New Roman" w:hAnsi="Times New Roman"/>
          <w:sz w:val="13"/>
          <w:szCs w:val="13"/>
          <w:b w:val="1"/>
          <w:bCs w:val="1"/>
          <w:color w:val="auto"/>
        </w:rPr>
        <w:t xml:space="preserve"> Agreement</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b w:val="1"/>
          <w:bCs w:val="1"/>
          <w:color w:val="auto"/>
        </w:rPr>
        <w:t xml:space="preserve"> Licensee </w:t>
      </w:r>
      <w:r>
        <w:rPr>
          <w:rFonts w:ascii="Times New Roman" w:cs="Times New Roman" w:eastAsia="Times New Roman" w:hAnsi="Times New Roman"/>
          <w:sz w:val="13"/>
          <w:szCs w:val="13"/>
          <w:color w:val="auto"/>
        </w:rPr>
        <w:t>shall pay the</w:t>
      </w:r>
      <w:r>
        <w:rPr>
          <w:rFonts w:ascii="Times New Roman" w:cs="Times New Roman" w:eastAsia="Times New Roman" w:hAnsi="Times New Roman"/>
          <w:sz w:val="13"/>
          <w:szCs w:val="13"/>
          <w:b w:val="1"/>
          <w:bCs w:val="1"/>
          <w:color w:val="auto"/>
        </w:rPr>
        <w:t xml:space="preserve"> NIAID</w:t>
      </w:r>
      <w:r>
        <w:rPr>
          <w:rFonts w:ascii="Times New Roman" w:cs="Times New Roman" w:eastAsia="Times New Roman" w:hAnsi="Times New Roman"/>
          <w:sz w:val="13"/>
          <w:szCs w:val="13"/>
          <w:color w:val="auto"/>
        </w:rPr>
        <w:t>, as an additional royalty, within [***] days of the</w:t>
      </w:r>
      <w:r>
        <w:rPr>
          <w:rFonts w:ascii="Times New Roman" w:cs="Times New Roman" w:eastAsia="Times New Roman" w:hAnsi="Times New Roman"/>
          <w:sz w:val="13"/>
          <w:szCs w:val="13"/>
          <w:b w:val="1"/>
          <w:bCs w:val="1"/>
          <w:color w:val="auto"/>
        </w:rPr>
        <w:t xml:space="preserve"> NIAID’s </w:t>
      </w:r>
      <w:r>
        <w:rPr>
          <w:rFonts w:ascii="Times New Roman" w:cs="Times New Roman" w:eastAsia="Times New Roman" w:hAnsi="Times New Roman"/>
          <w:sz w:val="13"/>
          <w:szCs w:val="13"/>
          <w:color w:val="auto"/>
        </w:rPr>
        <w:t xml:space="preserve">submission of a statement and request for payment to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 an amount equivalent to a </w:t>
      </w:r>
      <w:r>
        <w:rPr>
          <w:rFonts w:ascii="Times New Roman" w:cs="Times New Roman" w:eastAsia="Times New Roman" w:hAnsi="Times New Roman"/>
          <w:sz w:val="13"/>
          <w:szCs w:val="13"/>
          <w:b w:val="1"/>
          <w:bCs w:val="1"/>
          <w:color w:val="auto"/>
        </w:rPr>
        <w:t>Pro Rata Share</w:t>
      </w:r>
      <w:r>
        <w:rPr>
          <w:rFonts w:ascii="Times New Roman" w:cs="Times New Roman" w:eastAsia="Times New Roman" w:hAnsi="Times New Roman"/>
          <w:sz w:val="13"/>
          <w:szCs w:val="13"/>
          <w:color w:val="auto"/>
        </w:rPr>
        <w:t xml:space="preserve"> of the unreimbursed patent expenses previously paid by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’s obligation under this clause shall not exceed [***] of said unreimbursed expenses previously paid by</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969" w:right="40" w:hanging="484"/>
        <w:spacing w:after="0" w:line="248" w:lineRule="auto"/>
        <w:tabs>
          <w:tab w:leader="none" w:pos="949" w:val="left"/>
        </w:tabs>
        <w:rPr>
          <w:sz w:val="20"/>
          <w:szCs w:val="20"/>
          <w:color w:val="auto"/>
        </w:rPr>
      </w:pPr>
      <w:r>
        <w:rPr>
          <w:rFonts w:ascii="Times New Roman" w:cs="Times New Roman" w:eastAsia="Times New Roman" w:hAnsi="Times New Roman"/>
          <w:sz w:val="13"/>
          <w:szCs w:val="13"/>
          <w:color w:val="auto"/>
        </w:rPr>
        <w:t>6.10</w:t>
      </w:r>
      <w:r>
        <w:rPr>
          <w:sz w:val="20"/>
          <w:szCs w:val="20"/>
          <w:color w:val="auto"/>
        </w:rPr>
        <w:tab/>
      </w:r>
      <w:r>
        <w:rPr>
          <w:rFonts w:ascii="Times New Roman" w:cs="Times New Roman" w:eastAsia="Times New Roman" w:hAnsi="Times New Roman"/>
          <w:sz w:val="13"/>
          <w:szCs w:val="13"/>
          <w:color w:val="auto"/>
        </w:rPr>
        <w:t>With regard to unreimbursed expenses associated with the preparation, filing, prosecution, and maintenance of all patent applications and patents included within the</w:t>
      </w:r>
      <w:r>
        <w:rPr>
          <w:rFonts w:ascii="Times New Roman" w:cs="Times New Roman" w:eastAsia="Times New Roman" w:hAnsi="Times New Roman"/>
          <w:sz w:val="13"/>
          <w:szCs w:val="13"/>
          <w:b w:val="1"/>
          <w:bCs w:val="1"/>
          <w:color w:val="auto"/>
        </w:rPr>
        <w:t>Licensed Patent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Rights </w:t>
      </w:r>
      <w:r>
        <w:rPr>
          <w:rFonts w:ascii="Times New Roman" w:cs="Times New Roman" w:eastAsia="Times New Roman" w:hAnsi="Times New Roman"/>
          <w:sz w:val="13"/>
          <w:szCs w:val="13"/>
          <w:color w:val="auto"/>
        </w:rPr>
        <w:t>and paid by the</w:t>
      </w:r>
      <w:r>
        <w:rPr>
          <w:rFonts w:ascii="Times New Roman" w:cs="Times New Roman" w:eastAsia="Times New Roman" w:hAnsi="Times New Roman"/>
          <w:sz w:val="13"/>
          <w:szCs w:val="13"/>
          <w:b w:val="1"/>
          <w:bCs w:val="1"/>
          <w:color w:val="auto"/>
        </w:rPr>
        <w:t xml:space="preserve"> NIAID </w:t>
      </w:r>
      <w:r>
        <w:rPr>
          <w:rFonts w:ascii="Times New Roman" w:cs="Times New Roman" w:eastAsia="Times New Roman" w:hAnsi="Times New Roman"/>
          <w:sz w:val="13"/>
          <w:szCs w:val="13"/>
          <w:color w:val="auto"/>
        </w:rPr>
        <w:t>on or after the</w:t>
      </w:r>
      <w:r>
        <w:rPr>
          <w:rFonts w:ascii="Times New Roman" w:cs="Times New Roman" w:eastAsia="Times New Roman" w:hAnsi="Times New Roman"/>
          <w:sz w:val="13"/>
          <w:szCs w:val="13"/>
          <w:b w:val="1"/>
          <w:bCs w:val="1"/>
          <w:color w:val="auto"/>
        </w:rPr>
        <w:t xml:space="preserve"> Effective Date</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b w:val="1"/>
          <w:bCs w:val="1"/>
          <w:color w:val="auto"/>
        </w:rPr>
        <w:t xml:space="preserve"> NIAID</w:t>
      </w:r>
      <w:r>
        <w:rPr>
          <w:rFonts w:ascii="Times New Roman" w:cs="Times New Roman" w:eastAsia="Times New Roman" w:hAnsi="Times New Roman"/>
          <w:sz w:val="13"/>
          <w:szCs w:val="13"/>
          <w:color w:val="auto"/>
        </w:rPr>
        <w:t>, at its sole option, may require the</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w:t>
      </w:r>
    </w:p>
    <w:p>
      <w:pPr>
        <w:spacing w:after="0" w:line="116" w:lineRule="exact"/>
        <w:rPr>
          <w:sz w:val="20"/>
          <w:szCs w:val="20"/>
          <w:color w:val="auto"/>
        </w:rPr>
      </w:pPr>
    </w:p>
    <w:p>
      <w:pPr>
        <w:ind w:left="1449" w:right="20" w:hanging="479"/>
        <w:spacing w:after="0" w:line="248" w:lineRule="auto"/>
        <w:tabs>
          <w:tab w:leader="none" w:pos="1439" w:val="left"/>
        </w:tabs>
        <w:numPr>
          <w:ilvl w:val="0"/>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pay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on an annual basis, within [***] days of the </w:t>
      </w:r>
      <w:r>
        <w:rPr>
          <w:rFonts w:ascii="Times New Roman" w:cs="Times New Roman" w:eastAsia="Times New Roman" w:hAnsi="Times New Roman"/>
          <w:sz w:val="13"/>
          <w:szCs w:val="13"/>
          <w:b w:val="1"/>
          <w:bCs w:val="1"/>
          <w:color w:val="auto"/>
        </w:rPr>
        <w:t>NIAID's</w:t>
      </w:r>
      <w:r>
        <w:rPr>
          <w:rFonts w:ascii="Times New Roman" w:cs="Times New Roman" w:eastAsia="Times New Roman" w:hAnsi="Times New Roman"/>
          <w:sz w:val="13"/>
          <w:szCs w:val="13"/>
          <w:color w:val="auto"/>
        </w:rPr>
        <w:t xml:space="preserve"> submission of a statement and request for payment, a royalty amount equivalent to a </w:t>
      </w:r>
      <w:r>
        <w:rPr>
          <w:rFonts w:ascii="Times New Roman" w:cs="Times New Roman" w:eastAsia="Times New Roman" w:hAnsi="Times New Roman"/>
          <w:sz w:val="13"/>
          <w:szCs w:val="13"/>
          <w:b w:val="1"/>
          <w:bCs w:val="1"/>
          <w:color w:val="auto"/>
        </w:rPr>
        <w:t>Pro Rata Share</w:t>
      </w:r>
      <w:r>
        <w:rPr>
          <w:rFonts w:ascii="Times New Roman" w:cs="Times New Roman" w:eastAsia="Times New Roman" w:hAnsi="Times New Roman"/>
          <w:sz w:val="13"/>
          <w:szCs w:val="13"/>
          <w:color w:val="auto"/>
        </w:rPr>
        <w:t xml:space="preserve"> of these unreimbursed expenses paid during the previous calendar year(s);</w:t>
      </w:r>
    </w:p>
    <w:p>
      <w:pPr>
        <w:spacing w:after="0" w:line="115" w:lineRule="exact"/>
        <w:rPr>
          <w:rFonts w:ascii="Times New Roman" w:cs="Times New Roman" w:eastAsia="Times New Roman" w:hAnsi="Times New Roman"/>
          <w:sz w:val="13"/>
          <w:szCs w:val="13"/>
          <w:color w:val="auto"/>
        </w:rPr>
      </w:pPr>
    </w:p>
    <w:p>
      <w:pPr>
        <w:ind w:left="1449" w:right="20" w:hanging="479"/>
        <w:spacing w:after="0" w:line="248" w:lineRule="auto"/>
        <w:tabs>
          <w:tab w:leader="none" w:pos="1439" w:val="left"/>
        </w:tabs>
        <w:numPr>
          <w:ilvl w:val="0"/>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pay these unreimbursed expenses directly to the law firm employed by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to handle these functions. However, in this event,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and not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shall be the client of the law firm; or</w:t>
      </w:r>
    </w:p>
    <w:p>
      <w:pPr>
        <w:spacing w:after="0" w:line="115" w:lineRule="exact"/>
        <w:rPr>
          <w:rFonts w:ascii="Times New Roman" w:cs="Times New Roman" w:eastAsia="Times New Roman" w:hAnsi="Times New Roman"/>
          <w:sz w:val="13"/>
          <w:szCs w:val="13"/>
          <w:color w:val="auto"/>
        </w:rPr>
      </w:pPr>
    </w:p>
    <w:p>
      <w:pPr>
        <w:ind w:left="1449" w:right="100" w:hanging="479"/>
        <w:spacing w:after="0" w:line="227" w:lineRule="auto"/>
        <w:tabs>
          <w:tab w:leader="none" w:pos="1439" w:val="left"/>
        </w:tabs>
        <w:numPr>
          <w:ilvl w:val="0"/>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under exceptional circumstances,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may be given the right to assume responsibility for the preparation, filing, prosecution, or maintenance of any patent application or patent included with the </w:t>
      </w:r>
      <w:r>
        <w:rPr>
          <w:rFonts w:ascii="Times New Roman" w:cs="Times New Roman" w:eastAsia="Times New Roman" w:hAnsi="Times New Roman"/>
          <w:sz w:val="13"/>
          <w:szCs w:val="13"/>
          <w:b w:val="1"/>
          <w:bCs w:val="1"/>
          <w:color w:val="auto"/>
        </w:rPr>
        <w:t>Licensed Patent Rights</w:t>
      </w:r>
      <w:r>
        <w:rPr>
          <w:rFonts w:ascii="Times New Roman" w:cs="Times New Roman" w:eastAsia="Times New Roman" w:hAnsi="Times New Roman"/>
          <w:sz w:val="13"/>
          <w:szCs w:val="13"/>
          <w:color w:val="auto"/>
        </w:rPr>
        <w:t xml:space="preserve">. In that event,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shall directly pay the attorneys or agents engaged to prepare, file, prosecute, or maintain these patent applications or patents and shall provide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with copies of each invoice associated with these services as well as documentation that these invoices have been paid.</w:t>
      </w:r>
    </w:p>
    <w:p>
      <w:pPr>
        <w:spacing w:after="0" w:line="122" w:lineRule="exact"/>
        <w:rPr>
          <w:sz w:val="20"/>
          <w:szCs w:val="20"/>
          <w:color w:val="auto"/>
        </w:rPr>
      </w:pPr>
    </w:p>
    <w:p>
      <w:pPr>
        <w:jc w:val="both"/>
        <w:ind w:left="969" w:hanging="484"/>
        <w:spacing w:after="0" w:line="233" w:lineRule="auto"/>
        <w:tabs>
          <w:tab w:leader="none" w:pos="949" w:val="left"/>
        </w:tabs>
        <w:rPr>
          <w:sz w:val="20"/>
          <w:szCs w:val="20"/>
          <w:color w:val="auto"/>
        </w:rPr>
      </w:pPr>
      <w:r>
        <w:rPr>
          <w:rFonts w:ascii="Times New Roman" w:cs="Times New Roman" w:eastAsia="Times New Roman" w:hAnsi="Times New Roman"/>
          <w:sz w:val="13"/>
          <w:szCs w:val="13"/>
          <w:color w:val="auto"/>
        </w:rPr>
        <w:t>6.11</w:t>
      </w:r>
      <w:r>
        <w:rPr>
          <w:sz w:val="20"/>
          <w:szCs w:val="20"/>
          <w:color w:val="auto"/>
        </w:rPr>
        <w:tab/>
      </w: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agrees, upon written request, to provide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with summaries of patent prosecution invoices for which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has requested payment from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under Paragraph 6.9 or 6.10.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agrees that all information provided by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related to patent prosecution costs shall be treated as confidential commercial information and shall not be released to a </w:t>
      </w:r>
      <w:r>
        <w:rPr>
          <w:rFonts w:ascii="Times New Roman" w:cs="Times New Roman" w:eastAsia="Times New Roman" w:hAnsi="Times New Roman"/>
          <w:sz w:val="13"/>
          <w:szCs w:val="13"/>
          <w:b w:val="1"/>
          <w:bCs w:val="1"/>
          <w:color w:val="auto"/>
        </w:rPr>
        <w:t>Third Party</w:t>
      </w:r>
      <w:r>
        <w:rPr>
          <w:rFonts w:ascii="Times New Roman" w:cs="Times New Roman" w:eastAsia="Times New Roman" w:hAnsi="Times New Roman"/>
          <w:sz w:val="13"/>
          <w:szCs w:val="13"/>
          <w:color w:val="auto"/>
        </w:rPr>
        <w:t xml:space="preserve"> except as required by law or a court of competent jurisdiction.</w:t>
      </w:r>
    </w:p>
    <w:p>
      <w:pPr>
        <w:spacing w:after="0" w:line="121" w:lineRule="exact"/>
        <w:rPr>
          <w:sz w:val="20"/>
          <w:szCs w:val="20"/>
          <w:color w:val="auto"/>
        </w:rPr>
      </w:pPr>
    </w:p>
    <w:p>
      <w:pPr>
        <w:ind w:left="969" w:right="180" w:hanging="484"/>
        <w:spacing w:after="0" w:line="248" w:lineRule="auto"/>
        <w:tabs>
          <w:tab w:leader="none" w:pos="949" w:val="left"/>
        </w:tabs>
        <w:rPr>
          <w:sz w:val="20"/>
          <w:szCs w:val="20"/>
          <w:color w:val="auto"/>
        </w:rPr>
      </w:pPr>
      <w:r>
        <w:rPr>
          <w:rFonts w:ascii="Times New Roman" w:cs="Times New Roman" w:eastAsia="Times New Roman" w:hAnsi="Times New Roman"/>
          <w:sz w:val="13"/>
          <w:szCs w:val="13"/>
          <w:color w:val="auto"/>
        </w:rPr>
        <w:t>6.12</w:t>
      </w:r>
      <w:r>
        <w:rPr>
          <w:sz w:val="20"/>
          <w:szCs w:val="20"/>
          <w:color w:val="auto"/>
        </w:rPr>
        <w:tab/>
      </w: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may elect to surrender its rights in any country of the </w:t>
      </w:r>
      <w:r>
        <w:rPr>
          <w:rFonts w:ascii="Times New Roman" w:cs="Times New Roman" w:eastAsia="Times New Roman" w:hAnsi="Times New Roman"/>
          <w:sz w:val="13"/>
          <w:szCs w:val="13"/>
          <w:b w:val="1"/>
          <w:bCs w:val="1"/>
          <w:color w:val="auto"/>
        </w:rPr>
        <w:t>Licensed Territory</w:t>
      </w:r>
      <w:r>
        <w:rPr>
          <w:rFonts w:ascii="Times New Roman" w:cs="Times New Roman" w:eastAsia="Times New Roman" w:hAnsi="Times New Roman"/>
          <w:sz w:val="13"/>
          <w:szCs w:val="13"/>
          <w:color w:val="auto"/>
        </w:rPr>
        <w:t xml:space="preserve"> under any of the </w:t>
      </w:r>
      <w:r>
        <w:rPr>
          <w:rFonts w:ascii="Times New Roman" w:cs="Times New Roman" w:eastAsia="Times New Roman" w:hAnsi="Times New Roman"/>
          <w:sz w:val="13"/>
          <w:szCs w:val="13"/>
          <w:b w:val="1"/>
          <w:bCs w:val="1"/>
          <w:color w:val="auto"/>
        </w:rPr>
        <w:t>Licensed Patent Rights</w:t>
      </w:r>
      <w:r>
        <w:rPr>
          <w:rFonts w:ascii="Times New Roman" w:cs="Times New Roman" w:eastAsia="Times New Roman" w:hAnsi="Times New Roman"/>
          <w:sz w:val="13"/>
          <w:szCs w:val="13"/>
          <w:color w:val="auto"/>
        </w:rPr>
        <w:t xml:space="preserve"> upon [***] days written notice to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and owe no payment obligation under Paragraph 6.9 or 6.10 for patent-related expenses paid in that country after the effective date of the written notice.</w:t>
      </w:r>
    </w:p>
    <w:p>
      <w:pPr>
        <w:spacing w:after="0" w:line="116" w:lineRule="exact"/>
        <w:rPr>
          <w:sz w:val="20"/>
          <w:szCs w:val="20"/>
          <w:color w:val="auto"/>
        </w:rPr>
      </w:pPr>
    </w:p>
    <w:p>
      <w:pPr>
        <w:ind w:left="969" w:right="120" w:hanging="484"/>
        <w:spacing w:after="0" w:line="248" w:lineRule="auto"/>
        <w:tabs>
          <w:tab w:leader="none" w:pos="949" w:val="left"/>
        </w:tabs>
        <w:rPr>
          <w:sz w:val="20"/>
          <w:szCs w:val="20"/>
          <w:color w:val="auto"/>
        </w:rPr>
      </w:pPr>
      <w:r>
        <w:rPr>
          <w:rFonts w:ascii="Times New Roman" w:cs="Times New Roman" w:eastAsia="Times New Roman" w:hAnsi="Times New Roman"/>
          <w:sz w:val="13"/>
          <w:szCs w:val="13"/>
          <w:color w:val="auto"/>
        </w:rPr>
        <w:t>6.13</w:t>
      </w:r>
      <w:r>
        <w:rPr>
          <w:sz w:val="20"/>
          <w:szCs w:val="20"/>
          <w:color w:val="auto"/>
        </w:rPr>
        <w:tab/>
      </w:r>
      <w:r>
        <w:rPr>
          <w:rFonts w:ascii="Times New Roman" w:cs="Times New Roman" w:eastAsia="Times New Roman" w:hAnsi="Times New Roman"/>
          <w:sz w:val="13"/>
          <w:szCs w:val="13"/>
          <w:color w:val="auto"/>
        </w:rPr>
        <w:t xml:space="preserve">All royalty payments required under Paragraphs 6.26.36.46.66.9 and 6.10 shall be due within [***] days of the date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provides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notice of the payment due and upon receipt of an invoice.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shall send electronically to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 No other form of transmission of an invoice can be accepted by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w:t>
      </w:r>
    </w:p>
    <w:p>
      <w:pPr>
        <w:spacing w:after="0" w:line="118" w:lineRule="exact"/>
        <w:rPr>
          <w:sz w:val="20"/>
          <w:szCs w:val="20"/>
          <w:color w:val="auto"/>
        </w:rPr>
      </w:pPr>
    </w:p>
    <w:p>
      <w:pPr>
        <w:ind w:left="489" w:hanging="489"/>
        <w:spacing w:after="0"/>
        <w:tabs>
          <w:tab w:leader="none" w:pos="489"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PATENT FILING, PROSECUTION, AND MAINTENANCE</w:t>
      </w:r>
    </w:p>
    <w:p>
      <w:pPr>
        <w:spacing w:after="0" w:line="141" w:lineRule="exact"/>
        <w:rPr>
          <w:rFonts w:ascii="Times New Roman" w:cs="Times New Roman" w:eastAsia="Times New Roman" w:hAnsi="Times New Roman"/>
          <w:sz w:val="13"/>
          <w:szCs w:val="13"/>
          <w:color w:val="auto"/>
        </w:rPr>
      </w:pPr>
    </w:p>
    <w:p>
      <w:pPr>
        <w:ind w:left="489"/>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7.1[***] agrees to take responsibility for the preparation, filing, prosecution, and maintenance of any and all patent applications or patents included in the</w:t>
      </w:r>
      <w:r>
        <w:rPr>
          <w:rFonts w:ascii="Times New Roman" w:cs="Times New Roman" w:eastAsia="Times New Roman" w:hAnsi="Times New Roman"/>
          <w:sz w:val="13"/>
          <w:szCs w:val="13"/>
          <w:b w:val="1"/>
          <w:bCs w:val="1"/>
          <w:color w:val="auto"/>
        </w:rPr>
        <w:t>Licensed Patent Rights</w:t>
      </w:r>
      <w:r>
        <w:rPr>
          <w:rFonts w:ascii="Times New Roman" w:cs="Times New Roman" w:eastAsia="Times New Roman" w:hAnsi="Times New Roman"/>
          <w:sz w:val="13"/>
          <w:szCs w:val="13"/>
          <w:color w:val="auto"/>
        </w:rPr>
        <w:t>.</w:t>
      </w:r>
    </w:p>
    <w:p>
      <w:pPr>
        <w:spacing w:after="0" w:line="145" w:lineRule="exact"/>
        <w:rPr>
          <w:rFonts w:ascii="Times New Roman" w:cs="Times New Roman" w:eastAsia="Times New Roman" w:hAnsi="Times New Roman"/>
          <w:sz w:val="13"/>
          <w:szCs w:val="13"/>
          <w:color w:val="auto"/>
        </w:rPr>
      </w:pPr>
    </w:p>
    <w:p>
      <w:pPr>
        <w:ind w:left="489" w:hanging="489"/>
        <w:spacing w:after="0"/>
        <w:tabs>
          <w:tab w:leader="none" w:pos="489"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RECORD KEEPING</w:t>
      </w:r>
    </w:p>
    <w:p>
      <w:pPr>
        <w:spacing w:after="0" w:line="141" w:lineRule="exact"/>
        <w:rPr>
          <w:rFonts w:ascii="Times New Roman" w:cs="Times New Roman" w:eastAsia="Times New Roman" w:hAnsi="Times New Roman"/>
          <w:sz w:val="13"/>
          <w:szCs w:val="13"/>
          <w:color w:val="auto"/>
        </w:rPr>
      </w:pPr>
    </w:p>
    <w:p>
      <w:pPr>
        <w:ind w:left="969" w:right="20" w:hanging="485"/>
        <w:spacing w:after="0" w:line="22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8.1The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agrees to keep accurate and correct records of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made, used, sold, or imported and </w:t>
      </w:r>
      <w:r>
        <w:rPr>
          <w:rFonts w:ascii="Times New Roman" w:cs="Times New Roman" w:eastAsia="Times New Roman" w:hAnsi="Times New Roman"/>
          <w:sz w:val="13"/>
          <w:szCs w:val="13"/>
          <w:b w:val="1"/>
          <w:bCs w:val="1"/>
          <w:color w:val="auto"/>
        </w:rPr>
        <w:t>Licensed Processes</w:t>
      </w:r>
      <w:r>
        <w:rPr>
          <w:rFonts w:ascii="Times New Roman" w:cs="Times New Roman" w:eastAsia="Times New Roman" w:hAnsi="Times New Roman"/>
          <w:sz w:val="13"/>
          <w:szCs w:val="13"/>
          <w:color w:val="auto"/>
        </w:rPr>
        <w:t xml:space="preserve"> practiced under this </w:t>
      </w:r>
      <w:r>
        <w:rPr>
          <w:rFonts w:ascii="Times New Roman" w:cs="Times New Roman" w:eastAsia="Times New Roman" w:hAnsi="Times New Roman"/>
          <w:sz w:val="13"/>
          <w:szCs w:val="13"/>
          <w:b w:val="1"/>
          <w:bCs w:val="1"/>
          <w:color w:val="auto"/>
        </w:rPr>
        <w:t>Amended and Restated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Agreement </w:t>
      </w:r>
      <w:r>
        <w:rPr>
          <w:rFonts w:ascii="Times New Roman" w:cs="Times New Roman" w:eastAsia="Times New Roman" w:hAnsi="Times New Roman"/>
          <w:sz w:val="13"/>
          <w:szCs w:val="13"/>
          <w:color w:val="auto"/>
        </w:rPr>
        <w:t>appropriate to determine the amount of royalties due to the</w:t>
      </w:r>
      <w:r>
        <w:rPr>
          <w:rFonts w:ascii="Times New Roman" w:cs="Times New Roman" w:eastAsia="Times New Roman" w:hAnsi="Times New Roman"/>
          <w:sz w:val="13"/>
          <w:szCs w:val="13"/>
          <w:b w:val="1"/>
          <w:bCs w:val="1"/>
          <w:color w:val="auto"/>
        </w:rPr>
        <w:t xml:space="preserve"> NIAID</w:t>
      </w:r>
      <w:r>
        <w:rPr>
          <w:rFonts w:ascii="Times New Roman" w:cs="Times New Roman" w:eastAsia="Times New Roman" w:hAnsi="Times New Roman"/>
          <w:sz w:val="13"/>
          <w:szCs w:val="13"/>
          <w:color w:val="auto"/>
        </w:rPr>
        <w:t>. These records shall be retained for at least [***] following a given reporting period and shall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available during normal business hours for inspection by an independent audit firm, not more than [***] per calendar year, for the sole purpose of verifying reports and royalty payments hereunder. Any accountant or auditor engaged hereunder shall only disclose to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information relating to the accuracy of reports and royalty payments made under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in as much detail as is required within the royalty report as described in Paragraph 9.4 and Appendix F. [***]</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b w:val="1"/>
          <w:bCs w:val="1"/>
          <w:color w:val="auto"/>
        </w:rPr>
        <w:t xml:space="preserve">CONFIDENTIAL </w:t>
      </w:r>
      <w:r>
        <w:rPr>
          <w:rFonts w:ascii="Times New Roman" w:cs="Times New Roman" w:eastAsia="Times New Roman" w:hAnsi="Times New Roman"/>
          <w:sz w:val="11"/>
          <w:szCs w:val="11"/>
          <w:color w:val="auto"/>
        </w:rPr>
        <w:t>[***]</w:t>
      </w:r>
    </w:p>
    <w:p>
      <w:pPr>
        <w:spacing w:after="0" w:line="1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ind w:left="9"/>
        <w:spacing w:after="0"/>
        <w:tabs>
          <w:tab w:leader="none" w:pos="1409" w:val="left"/>
        </w:tabs>
        <w:rPr>
          <w:sz w:val="20"/>
          <w:szCs w:val="20"/>
          <w:color w:val="auto"/>
        </w:rPr>
      </w:pPr>
      <w:r>
        <w:rPr>
          <w:rFonts w:ascii="Times New Roman" w:cs="Times New Roman" w:eastAsia="Times New Roman" w:hAnsi="Times New Roman"/>
          <w:sz w:val="11"/>
          <w:szCs w:val="11"/>
          <w:color w:val="auto"/>
        </w:rPr>
        <w:t>Model 10-2015 Rev 09-2024</w:t>
        <w:tab/>
        <w:t>Page 8 of 25 [FINAL] [BioNTech SE] [20 December 2024]</w:t>
      </w:r>
    </w:p>
    <w:p>
      <w:pPr>
        <w:sectPr>
          <w:pgSz w:w="11900" w:h="16840" w:orient="portrait"/>
          <w:cols w:equalWidth="0" w:num="1">
            <w:col w:w="10549"/>
          </w:cols>
          <w:pgMar w:left="651" w:top="752" w:right="700" w:bottom="1440" w:gutter="0" w:footer="0" w:header="0"/>
        </w:sectPr>
      </w:pPr>
    </w:p>
    <w:bookmarkStart w:id="399" w:name="page400"/>
    <w:bookmarkEnd w:id="399"/>
    <w:p>
      <w:pPr>
        <w:ind w:left="9"/>
        <w:spacing w:after="0"/>
        <w:rPr>
          <w:sz w:val="20"/>
          <w:szCs w:val="20"/>
          <w:color w:val="auto"/>
        </w:rPr>
      </w:pPr>
      <w:r>
        <w:rPr>
          <w:rFonts w:ascii="Times New Roman" w:cs="Times New Roman" w:eastAsia="Times New Roman" w:hAnsi="Times New Roman"/>
          <w:sz w:val="13"/>
          <w:szCs w:val="13"/>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9"/>
        <w:spacing w:after="0"/>
        <w:tabs>
          <w:tab w:leader="none" w:pos="949" w:val="left"/>
        </w:tabs>
        <w:rPr>
          <w:sz w:val="20"/>
          <w:szCs w:val="20"/>
          <w:color w:val="auto"/>
        </w:rPr>
      </w:pPr>
      <w:r>
        <w:rPr>
          <w:rFonts w:ascii="Times New Roman" w:cs="Times New Roman" w:eastAsia="Times New Roman" w:hAnsi="Times New Roman"/>
          <w:sz w:val="13"/>
          <w:szCs w:val="13"/>
          <w:color w:val="auto"/>
        </w:rPr>
        <w:t>8.2</w:t>
      </w:r>
      <w:r>
        <w:rPr>
          <w:sz w:val="20"/>
          <w:szCs w:val="20"/>
          <w:color w:val="auto"/>
        </w:rPr>
        <w:tab/>
      </w:r>
      <w:r>
        <w:rPr>
          <w:rFonts w:ascii="Times New Roman" w:cs="Times New Roman" w:eastAsia="Times New Roman" w:hAnsi="Times New Roman"/>
          <w:sz w:val="12"/>
          <w:szCs w:val="12"/>
          <w:color w:val="auto"/>
        </w:rPr>
        <w:t>[***]</w:t>
      </w:r>
    </w:p>
    <w:p>
      <w:pPr>
        <w:spacing w:after="0" w:line="144" w:lineRule="exact"/>
        <w:rPr>
          <w:sz w:val="20"/>
          <w:szCs w:val="20"/>
          <w:color w:val="auto"/>
        </w:rPr>
      </w:pPr>
    </w:p>
    <w:p>
      <w:pPr>
        <w:ind w:left="489"/>
        <w:spacing w:after="0"/>
        <w:tabs>
          <w:tab w:leader="none" w:pos="949" w:val="left"/>
        </w:tabs>
        <w:rPr>
          <w:sz w:val="20"/>
          <w:szCs w:val="20"/>
          <w:color w:val="auto"/>
        </w:rPr>
      </w:pPr>
      <w:r>
        <w:rPr>
          <w:rFonts w:ascii="Times New Roman" w:cs="Times New Roman" w:eastAsia="Times New Roman" w:hAnsi="Times New Roman"/>
          <w:sz w:val="13"/>
          <w:szCs w:val="13"/>
          <w:color w:val="auto"/>
        </w:rPr>
        <w:t>8.3</w:t>
      </w:r>
      <w:r>
        <w:rPr>
          <w:sz w:val="20"/>
          <w:szCs w:val="20"/>
          <w:color w:val="auto"/>
        </w:rPr>
        <w:tab/>
      </w:r>
      <w:r>
        <w:rPr>
          <w:rFonts w:ascii="Times New Roman" w:cs="Times New Roman" w:eastAsia="Times New Roman" w:hAnsi="Times New Roman"/>
          <w:sz w:val="12"/>
          <w:szCs w:val="12"/>
          <w:color w:val="auto"/>
        </w:rPr>
        <w:t>[***]</w:t>
      </w:r>
    </w:p>
    <w:p>
      <w:pPr>
        <w:spacing w:after="0" w:line="140" w:lineRule="exact"/>
        <w:rPr>
          <w:sz w:val="20"/>
          <w:szCs w:val="20"/>
          <w:color w:val="auto"/>
        </w:rPr>
      </w:pPr>
    </w:p>
    <w:p>
      <w:pPr>
        <w:ind w:left="489"/>
        <w:spacing w:after="0"/>
        <w:tabs>
          <w:tab w:leader="none" w:pos="949" w:val="left"/>
        </w:tabs>
        <w:rPr>
          <w:sz w:val="20"/>
          <w:szCs w:val="20"/>
          <w:color w:val="auto"/>
        </w:rPr>
      </w:pPr>
      <w:r>
        <w:rPr>
          <w:rFonts w:ascii="Times New Roman" w:cs="Times New Roman" w:eastAsia="Times New Roman" w:hAnsi="Times New Roman"/>
          <w:sz w:val="13"/>
          <w:szCs w:val="13"/>
          <w:color w:val="auto"/>
        </w:rPr>
        <w:t>8.4</w:t>
      </w:r>
      <w:r>
        <w:rPr>
          <w:sz w:val="20"/>
          <w:szCs w:val="20"/>
          <w:color w:val="auto"/>
        </w:rPr>
        <w:tab/>
      </w:r>
      <w:r>
        <w:rPr>
          <w:rFonts w:ascii="Times New Roman" w:cs="Times New Roman" w:eastAsia="Times New Roman" w:hAnsi="Times New Roman"/>
          <w:sz w:val="13"/>
          <w:szCs w:val="13"/>
          <w:color w:val="auto"/>
        </w:rPr>
        <w:t>All royalty payments determined to be due as a result of an audit conducted under Paragraph 8.1, and any additional royalties due with respect to any of the foregoing under Paragraph</w:t>
      </w:r>
    </w:p>
    <w:p>
      <w:pPr>
        <w:ind w:left="969"/>
        <w:spacing w:after="0"/>
        <w:rPr>
          <w:sz w:val="20"/>
          <w:szCs w:val="20"/>
          <w:color w:val="auto"/>
        </w:rPr>
      </w:pPr>
      <w:r>
        <w:rPr>
          <w:rFonts w:ascii="Times New Roman" w:cs="Times New Roman" w:eastAsia="Times New Roman" w:hAnsi="Times New Roman"/>
          <w:sz w:val="13"/>
          <w:szCs w:val="13"/>
          <w:color w:val="auto"/>
        </w:rPr>
        <w:t xml:space="preserve">9.7 shall be due within [***] days of the date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provides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notice of the payment due. [***]</w:t>
      </w:r>
    </w:p>
    <w:p>
      <w:pPr>
        <w:spacing w:after="0" w:line="130" w:lineRule="exact"/>
        <w:rPr>
          <w:sz w:val="20"/>
          <w:szCs w:val="20"/>
          <w:color w:val="auto"/>
        </w:rPr>
      </w:pPr>
    </w:p>
    <w:p>
      <w:pPr>
        <w:ind w:left="489" w:hanging="489"/>
        <w:spacing w:after="0"/>
        <w:tabs>
          <w:tab w:leader="none" w:pos="489" w:val="left"/>
        </w:tabs>
        <w:numPr>
          <w:ilvl w:val="0"/>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REPORTS ON PROGRESS, BENCHMARKS, SALES, AND PAYMENTS</w:t>
      </w:r>
    </w:p>
    <w:p>
      <w:pPr>
        <w:spacing w:after="0" w:line="141" w:lineRule="exact"/>
        <w:rPr>
          <w:rFonts w:ascii="Times New Roman" w:cs="Times New Roman" w:eastAsia="Times New Roman" w:hAnsi="Times New Roman"/>
          <w:sz w:val="13"/>
          <w:szCs w:val="13"/>
          <w:color w:val="auto"/>
        </w:rPr>
      </w:pPr>
    </w:p>
    <w:p>
      <w:pPr>
        <w:ind w:left="969" w:right="120" w:hanging="485"/>
        <w:spacing w:after="0" w:line="23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9.1Prior to signing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has provided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with the </w:t>
      </w:r>
      <w:r>
        <w:rPr>
          <w:rFonts w:ascii="Times New Roman" w:cs="Times New Roman" w:eastAsia="Times New Roman" w:hAnsi="Times New Roman"/>
          <w:sz w:val="13"/>
          <w:szCs w:val="13"/>
          <w:b w:val="1"/>
          <w:bCs w:val="1"/>
          <w:color w:val="auto"/>
        </w:rPr>
        <w:t>Commercial Development Plan</w:t>
      </w:r>
      <w:r>
        <w:rPr>
          <w:rFonts w:ascii="Times New Roman" w:cs="Times New Roman" w:eastAsia="Times New Roman" w:hAnsi="Times New Roman"/>
          <w:sz w:val="13"/>
          <w:szCs w:val="13"/>
          <w:color w:val="auto"/>
        </w:rPr>
        <w:t xml:space="preserve"> in Appendix E, under which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intends to bring the subject matter of the </w:t>
      </w:r>
      <w:r>
        <w:rPr>
          <w:rFonts w:ascii="Times New Roman" w:cs="Times New Roman" w:eastAsia="Times New Roman" w:hAnsi="Times New Roman"/>
          <w:sz w:val="13"/>
          <w:szCs w:val="13"/>
          <w:b w:val="1"/>
          <w:bCs w:val="1"/>
          <w:color w:val="auto"/>
        </w:rPr>
        <w:t>Licensed Patent Rights</w:t>
      </w:r>
      <w:r>
        <w:rPr>
          <w:rFonts w:ascii="Times New Roman" w:cs="Times New Roman" w:eastAsia="Times New Roman" w:hAnsi="Times New Roman"/>
          <w:sz w:val="13"/>
          <w:szCs w:val="13"/>
          <w:color w:val="auto"/>
        </w:rPr>
        <w:t xml:space="preserve"> to the point of </w:t>
      </w:r>
      <w:r>
        <w:rPr>
          <w:rFonts w:ascii="Times New Roman" w:cs="Times New Roman" w:eastAsia="Times New Roman" w:hAnsi="Times New Roman"/>
          <w:sz w:val="13"/>
          <w:szCs w:val="13"/>
          <w:b w:val="1"/>
          <w:bCs w:val="1"/>
          <w:color w:val="auto"/>
        </w:rPr>
        <w:t>Practical Application</w:t>
      </w:r>
      <w:r>
        <w:rPr>
          <w:rFonts w:ascii="Times New Roman" w:cs="Times New Roman" w:eastAsia="Times New Roman" w:hAnsi="Times New Roman"/>
          <w:sz w:val="13"/>
          <w:szCs w:val="13"/>
          <w:color w:val="auto"/>
        </w:rPr>
        <w:t xml:space="preserve">. This </w:t>
      </w:r>
      <w:r>
        <w:rPr>
          <w:rFonts w:ascii="Times New Roman" w:cs="Times New Roman" w:eastAsia="Times New Roman" w:hAnsi="Times New Roman"/>
          <w:sz w:val="13"/>
          <w:szCs w:val="13"/>
          <w:b w:val="1"/>
          <w:bCs w:val="1"/>
          <w:color w:val="auto"/>
        </w:rPr>
        <w:t>Commercial Development Plan</w:t>
      </w:r>
      <w:r>
        <w:rPr>
          <w:rFonts w:ascii="Times New Roman" w:cs="Times New Roman" w:eastAsia="Times New Roman" w:hAnsi="Times New Roman"/>
          <w:sz w:val="13"/>
          <w:szCs w:val="13"/>
          <w:color w:val="auto"/>
        </w:rPr>
        <w:t xml:space="preserve"> is hereby incorporated by reference into 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xml:space="preserve">. Based on this plan, performance </w:t>
      </w:r>
      <w:r>
        <w:rPr>
          <w:rFonts w:ascii="Times New Roman" w:cs="Times New Roman" w:eastAsia="Times New Roman" w:hAnsi="Times New Roman"/>
          <w:sz w:val="13"/>
          <w:szCs w:val="13"/>
          <w:b w:val="1"/>
          <w:bCs w:val="1"/>
          <w:color w:val="auto"/>
        </w:rPr>
        <w:t>Benchmarks</w:t>
      </w:r>
      <w:r>
        <w:rPr>
          <w:rFonts w:ascii="Times New Roman" w:cs="Times New Roman" w:eastAsia="Times New Roman" w:hAnsi="Times New Roman"/>
          <w:sz w:val="13"/>
          <w:szCs w:val="13"/>
          <w:color w:val="auto"/>
        </w:rPr>
        <w:t xml:space="preserve"> are determined as specified in Appendix D.</w:t>
      </w:r>
    </w:p>
    <w:p>
      <w:pPr>
        <w:spacing w:after="0" w:line="120" w:lineRule="exact"/>
        <w:rPr>
          <w:rFonts w:ascii="Times New Roman" w:cs="Times New Roman" w:eastAsia="Times New Roman" w:hAnsi="Times New Roman"/>
          <w:sz w:val="13"/>
          <w:szCs w:val="13"/>
          <w:color w:val="auto"/>
        </w:rPr>
      </w:pPr>
    </w:p>
    <w:p>
      <w:pPr>
        <w:ind w:left="969" w:right="40" w:hanging="485"/>
        <w:spacing w:after="0" w:line="22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9.2The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shall provide written annual reports on its product development progress or efforts to commercialize under the </w:t>
      </w:r>
      <w:r>
        <w:rPr>
          <w:rFonts w:ascii="Times New Roman" w:cs="Times New Roman" w:eastAsia="Times New Roman" w:hAnsi="Times New Roman"/>
          <w:sz w:val="13"/>
          <w:szCs w:val="13"/>
          <w:b w:val="1"/>
          <w:bCs w:val="1"/>
          <w:color w:val="auto"/>
        </w:rPr>
        <w:t>Commercial Development Plan</w:t>
      </w:r>
      <w:r>
        <w:rPr>
          <w:rFonts w:ascii="Times New Roman" w:cs="Times New Roman" w:eastAsia="Times New Roman" w:hAnsi="Times New Roman"/>
          <w:sz w:val="13"/>
          <w:szCs w:val="13"/>
          <w:color w:val="auto"/>
        </w:rPr>
        <w:t xml:space="preserve"> for each of the </w:t>
      </w:r>
      <w:r>
        <w:rPr>
          <w:rFonts w:ascii="Times New Roman" w:cs="Times New Roman" w:eastAsia="Times New Roman" w:hAnsi="Times New Roman"/>
          <w:sz w:val="13"/>
          <w:szCs w:val="13"/>
          <w:b w:val="1"/>
          <w:bCs w:val="1"/>
          <w:color w:val="auto"/>
        </w:rPr>
        <w:t xml:space="preserve">Licensed Fields of Use </w:t>
      </w:r>
      <w:r>
        <w:rPr>
          <w:rFonts w:ascii="Times New Roman" w:cs="Times New Roman" w:eastAsia="Times New Roman" w:hAnsi="Times New Roman"/>
          <w:sz w:val="13"/>
          <w:szCs w:val="13"/>
          <w:color w:val="auto"/>
        </w:rPr>
        <w:t>within [***] days after December 31 of each calendar year. These progress reports shall include, but not be limited to: [***]. [***] In any annual report, the</w:t>
      </w:r>
      <w:r>
        <w:rPr>
          <w:rFonts w:ascii="Times New Roman" w:cs="Times New Roman" w:eastAsia="Times New Roman" w:hAnsi="Times New Roman"/>
          <w:sz w:val="13"/>
          <w:szCs w:val="13"/>
          <w:b w:val="1"/>
          <w:bCs w:val="1"/>
          <w:color w:val="auto"/>
        </w:rPr>
        <w:t xml:space="preserve"> Licensee </w:t>
      </w:r>
      <w:r>
        <w:rPr>
          <w:rFonts w:ascii="Times New Roman" w:cs="Times New Roman" w:eastAsia="Times New Roman" w:hAnsi="Times New Roman"/>
          <w:sz w:val="13"/>
          <w:szCs w:val="13"/>
          <w:color w:val="auto"/>
        </w:rPr>
        <w:t>may propose amendments to the</w:t>
      </w:r>
      <w:r>
        <w:rPr>
          <w:rFonts w:ascii="Times New Roman" w:cs="Times New Roman" w:eastAsia="Times New Roman" w:hAnsi="Times New Roman"/>
          <w:sz w:val="13"/>
          <w:szCs w:val="13"/>
          <w:b w:val="1"/>
          <w:bCs w:val="1"/>
          <w:color w:val="auto"/>
        </w:rPr>
        <w:t xml:space="preserve"> Commercial Development Plan</w:t>
      </w:r>
      <w:r>
        <w:rPr>
          <w:rFonts w:ascii="Times New Roman" w:cs="Times New Roman" w:eastAsia="Times New Roman" w:hAnsi="Times New Roman"/>
          <w:sz w:val="13"/>
          <w:szCs w:val="13"/>
          <w:color w:val="auto"/>
        </w:rPr>
        <w:t>, acceptance of which by the</w:t>
      </w:r>
      <w:r>
        <w:rPr>
          <w:rFonts w:ascii="Times New Roman" w:cs="Times New Roman" w:eastAsia="Times New Roman" w:hAnsi="Times New Roman"/>
          <w:sz w:val="13"/>
          <w:szCs w:val="13"/>
          <w:b w:val="1"/>
          <w:bCs w:val="1"/>
          <w:color w:val="auto"/>
        </w:rPr>
        <w:t xml:space="preserve"> NIAID </w:t>
      </w:r>
      <w:r>
        <w:rPr>
          <w:rFonts w:ascii="Times New Roman" w:cs="Times New Roman" w:eastAsia="Times New Roman" w:hAnsi="Times New Roman"/>
          <w:sz w:val="13"/>
          <w:szCs w:val="13"/>
          <w:color w:val="auto"/>
        </w:rPr>
        <w:t>may not be denied unreasonably. The</w:t>
      </w:r>
      <w:r>
        <w:rPr>
          <w:rFonts w:ascii="Times New Roman" w:cs="Times New Roman" w:eastAsia="Times New Roman" w:hAnsi="Times New Roman"/>
          <w:sz w:val="13"/>
          <w:szCs w:val="13"/>
          <w:b w:val="1"/>
          <w:bCs w:val="1"/>
          <w:color w:val="auto"/>
        </w:rPr>
        <w:t xml:space="preserve"> Licensee </w:t>
      </w:r>
      <w:r>
        <w:rPr>
          <w:rFonts w:ascii="Times New Roman" w:cs="Times New Roman" w:eastAsia="Times New Roman" w:hAnsi="Times New Roman"/>
          <w:sz w:val="13"/>
          <w:szCs w:val="13"/>
          <w:color w:val="auto"/>
        </w:rPr>
        <w:t>agrees to provide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additional information reasonably required by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to evaluate the </w:t>
      </w:r>
      <w:r>
        <w:rPr>
          <w:rFonts w:ascii="Times New Roman" w:cs="Times New Roman" w:eastAsia="Times New Roman" w:hAnsi="Times New Roman"/>
          <w:sz w:val="13"/>
          <w:szCs w:val="13"/>
          <w:b w:val="1"/>
          <w:bCs w:val="1"/>
          <w:color w:val="auto"/>
        </w:rPr>
        <w:t>Licensee’s</w:t>
      </w:r>
      <w:r>
        <w:rPr>
          <w:rFonts w:ascii="Times New Roman" w:cs="Times New Roman" w:eastAsia="Times New Roman" w:hAnsi="Times New Roman"/>
          <w:sz w:val="13"/>
          <w:szCs w:val="13"/>
          <w:color w:val="auto"/>
        </w:rPr>
        <w:t xml:space="preserve"> performance under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may amend the </w:t>
      </w:r>
      <w:r>
        <w:rPr>
          <w:rFonts w:ascii="Times New Roman" w:cs="Times New Roman" w:eastAsia="Times New Roman" w:hAnsi="Times New Roman"/>
          <w:sz w:val="13"/>
          <w:szCs w:val="13"/>
          <w:b w:val="1"/>
          <w:bCs w:val="1"/>
          <w:color w:val="auto"/>
        </w:rPr>
        <w:t xml:space="preserve">Benchmarks </w:t>
      </w:r>
      <w:r>
        <w:rPr>
          <w:rFonts w:ascii="Times New Roman" w:cs="Times New Roman" w:eastAsia="Times New Roman" w:hAnsi="Times New Roman"/>
          <w:sz w:val="13"/>
          <w:szCs w:val="13"/>
          <w:color w:val="auto"/>
        </w:rPr>
        <w:t>at any time upon written approval by the</w:t>
      </w:r>
      <w:r>
        <w:rPr>
          <w:rFonts w:ascii="Times New Roman" w:cs="Times New Roman" w:eastAsia="Times New Roman" w:hAnsi="Times New Roman"/>
          <w:sz w:val="13"/>
          <w:szCs w:val="13"/>
          <w:b w:val="1"/>
          <w:bCs w:val="1"/>
          <w:color w:val="auto"/>
        </w:rPr>
        <w:t xml:space="preserve"> NIAID</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b w:val="1"/>
          <w:bCs w:val="1"/>
          <w:color w:val="auto"/>
        </w:rPr>
        <w:t xml:space="preserve"> NIAID </w:t>
      </w:r>
      <w:r>
        <w:rPr>
          <w:rFonts w:ascii="Times New Roman" w:cs="Times New Roman" w:eastAsia="Times New Roman" w:hAnsi="Times New Roman"/>
          <w:sz w:val="13"/>
          <w:szCs w:val="13"/>
          <w:color w:val="auto"/>
        </w:rPr>
        <w:t>shall not unreasonably withhold approval of any request of the</w:t>
      </w:r>
      <w:r>
        <w:rPr>
          <w:rFonts w:ascii="Times New Roman" w:cs="Times New Roman" w:eastAsia="Times New Roman" w:hAnsi="Times New Roman"/>
          <w:sz w:val="13"/>
          <w:szCs w:val="13"/>
          <w:b w:val="1"/>
          <w:bCs w:val="1"/>
          <w:color w:val="auto"/>
        </w:rPr>
        <w:t xml:space="preserve"> Licensee </w:t>
      </w:r>
      <w:r>
        <w:rPr>
          <w:rFonts w:ascii="Times New Roman" w:cs="Times New Roman" w:eastAsia="Times New Roman" w:hAnsi="Times New Roman"/>
          <w:sz w:val="13"/>
          <w:szCs w:val="13"/>
          <w:color w:val="auto"/>
        </w:rPr>
        <w:t>to extend the time periods of this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schedule if the request is supported by a reasonable showing by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of diligence in its performance under the </w:t>
      </w:r>
      <w:r>
        <w:rPr>
          <w:rFonts w:ascii="Times New Roman" w:cs="Times New Roman" w:eastAsia="Times New Roman" w:hAnsi="Times New Roman"/>
          <w:sz w:val="13"/>
          <w:szCs w:val="13"/>
          <w:b w:val="1"/>
          <w:bCs w:val="1"/>
          <w:color w:val="auto"/>
        </w:rPr>
        <w:t>Commercial Development Plan</w:t>
      </w:r>
      <w:r>
        <w:rPr>
          <w:rFonts w:ascii="Times New Roman" w:cs="Times New Roman" w:eastAsia="Times New Roman" w:hAnsi="Times New Roman"/>
          <w:sz w:val="13"/>
          <w:szCs w:val="13"/>
          <w:color w:val="auto"/>
        </w:rPr>
        <w:t xml:space="preserve"> and toward bringing the </w:t>
      </w:r>
      <w:r>
        <w:rPr>
          <w:rFonts w:ascii="Times New Roman" w:cs="Times New Roman" w:eastAsia="Times New Roman" w:hAnsi="Times New Roman"/>
          <w:sz w:val="13"/>
          <w:szCs w:val="13"/>
          <w:b w:val="1"/>
          <w:bCs w:val="1"/>
          <w:color w:val="auto"/>
        </w:rPr>
        <w:t xml:space="preserve">Licensed Products </w:t>
      </w:r>
      <w:r>
        <w:rPr>
          <w:rFonts w:ascii="Times New Roman" w:cs="Times New Roman" w:eastAsia="Times New Roman" w:hAnsi="Times New Roman"/>
          <w:sz w:val="13"/>
          <w:szCs w:val="13"/>
          <w:color w:val="auto"/>
        </w:rPr>
        <w:t>to the point of</w:t>
      </w:r>
      <w:r>
        <w:rPr>
          <w:rFonts w:ascii="Times New Roman" w:cs="Times New Roman" w:eastAsia="Times New Roman" w:hAnsi="Times New Roman"/>
          <w:sz w:val="13"/>
          <w:szCs w:val="13"/>
          <w:b w:val="1"/>
          <w:bCs w:val="1"/>
          <w:color w:val="auto"/>
        </w:rPr>
        <w:t xml:space="preserve"> Practical Application</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969" w:right="300" w:hanging="485"/>
        <w:spacing w:after="0" w:line="24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9.3The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shall report to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the dates for achieving </w:t>
      </w:r>
      <w:r>
        <w:rPr>
          <w:rFonts w:ascii="Times New Roman" w:cs="Times New Roman" w:eastAsia="Times New Roman" w:hAnsi="Times New Roman"/>
          <w:sz w:val="13"/>
          <w:szCs w:val="13"/>
          <w:b w:val="1"/>
          <w:bCs w:val="1"/>
          <w:color w:val="auto"/>
        </w:rPr>
        <w:t>Benchmarks</w:t>
      </w:r>
      <w:r>
        <w:rPr>
          <w:rFonts w:ascii="Times New Roman" w:cs="Times New Roman" w:eastAsia="Times New Roman" w:hAnsi="Times New Roman"/>
          <w:sz w:val="13"/>
          <w:szCs w:val="13"/>
          <w:color w:val="auto"/>
        </w:rPr>
        <w:t xml:space="preserve"> specified in Appendix D and the </w:t>
      </w:r>
      <w:r>
        <w:rPr>
          <w:rFonts w:ascii="Times New Roman" w:cs="Times New Roman" w:eastAsia="Times New Roman" w:hAnsi="Times New Roman"/>
          <w:sz w:val="13"/>
          <w:szCs w:val="13"/>
          <w:b w:val="1"/>
          <w:bCs w:val="1"/>
          <w:color w:val="auto"/>
        </w:rPr>
        <w:t>First Commercial Sale</w:t>
      </w:r>
      <w:r>
        <w:rPr>
          <w:rFonts w:ascii="Times New Roman" w:cs="Times New Roman" w:eastAsia="Times New Roman" w:hAnsi="Times New Roman"/>
          <w:sz w:val="13"/>
          <w:szCs w:val="13"/>
          <w:color w:val="auto"/>
        </w:rPr>
        <w:t xml:space="preserve"> in each country in the </w:t>
      </w:r>
      <w:r>
        <w:rPr>
          <w:rFonts w:ascii="Times New Roman" w:cs="Times New Roman" w:eastAsia="Times New Roman" w:hAnsi="Times New Roman"/>
          <w:sz w:val="13"/>
          <w:szCs w:val="13"/>
          <w:b w:val="1"/>
          <w:bCs w:val="1"/>
          <w:color w:val="auto"/>
        </w:rPr>
        <w:t>Licensed Territory</w:t>
      </w:r>
      <w:r>
        <w:rPr>
          <w:rFonts w:ascii="Times New Roman" w:cs="Times New Roman" w:eastAsia="Times New Roman" w:hAnsi="Times New Roman"/>
          <w:sz w:val="13"/>
          <w:szCs w:val="13"/>
          <w:color w:val="auto"/>
        </w:rPr>
        <w:t xml:space="preserve"> within [***] days of such occurrences.</w:t>
      </w:r>
    </w:p>
    <w:p>
      <w:pPr>
        <w:spacing w:after="0" w:line="115" w:lineRule="exact"/>
        <w:rPr>
          <w:rFonts w:ascii="Times New Roman" w:cs="Times New Roman" w:eastAsia="Times New Roman" w:hAnsi="Times New Roman"/>
          <w:sz w:val="13"/>
          <w:szCs w:val="13"/>
          <w:color w:val="auto"/>
        </w:rPr>
      </w:pPr>
    </w:p>
    <w:p>
      <w:pPr>
        <w:ind w:left="969" w:right="60" w:hanging="485"/>
        <w:spacing w:after="0" w:line="23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9.4The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shall submit to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within [***] days after each calendar half-year ending June 30, and December 31, a royalty report, as described in the example in Appendix F, setting forth [***]. With each royalty report,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shall submit payment of earned royalties due. If no earned royalties are due to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for any reporting period, the written report shall so state. [***]</w:t>
      </w:r>
    </w:p>
    <w:p>
      <w:pPr>
        <w:spacing w:after="0" w:line="122" w:lineRule="exact"/>
        <w:rPr>
          <w:rFonts w:ascii="Times New Roman" w:cs="Times New Roman" w:eastAsia="Times New Roman" w:hAnsi="Times New Roman"/>
          <w:sz w:val="13"/>
          <w:szCs w:val="13"/>
          <w:color w:val="auto"/>
        </w:rPr>
      </w:pPr>
    </w:p>
    <w:p>
      <w:pPr>
        <w:ind w:left="969" w:right="40" w:hanging="485"/>
        <w:spacing w:after="0" w:line="22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9.5Royalties due under Article 6 shall be paid in U.S. dollars and payment options are listed in Appendix G. For conversion of foreign currency to U.S. dollars, the conversion rate shall be the New York foreign exchange rate quoted in </w:t>
      </w:r>
      <w:r>
        <w:rPr>
          <w:rFonts w:ascii="Times New Roman" w:cs="Times New Roman" w:eastAsia="Times New Roman" w:hAnsi="Times New Roman"/>
          <w:sz w:val="13"/>
          <w:szCs w:val="13"/>
          <w:i w:val="1"/>
          <w:iCs w:val="1"/>
          <w:color w:val="auto"/>
        </w:rPr>
        <w:t>The Wall Street Journal</w:t>
      </w:r>
      <w:r>
        <w:rPr>
          <w:rFonts w:ascii="Times New Roman" w:cs="Times New Roman" w:eastAsia="Times New Roman" w:hAnsi="Times New Roman"/>
          <w:sz w:val="13"/>
          <w:szCs w:val="13"/>
          <w:color w:val="auto"/>
        </w:rPr>
        <w:t xml:space="preserve"> on the day that the payment is due, and any loss of exchange, value, taxes, or other expenses incurred in the transfer or conversion to U.S. dollars shall be paid entirely by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The royalty report required by Paragraph 9.4 shall be mailed to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at its address for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xml:space="preserve"> Notices indicated on the Signature Page or electronically mailed to the email address indicated on the Signature Page.</w:t>
      </w:r>
    </w:p>
    <w:p>
      <w:pPr>
        <w:spacing w:after="0" w:line="106" w:lineRule="exact"/>
        <w:rPr>
          <w:sz w:val="20"/>
          <w:szCs w:val="20"/>
          <w:color w:val="auto"/>
        </w:rPr>
      </w:pPr>
    </w:p>
    <w:tbl>
      <w:tblPr>
        <w:tblLayout w:type="fixed"/>
        <w:tblInd w:w="489" w:type="dxa"/>
        <w:tblCellMar>
          <w:top w:w="0" w:type="dxa"/>
          <w:left w:w="0" w:type="dxa"/>
          <w:bottom w:w="0" w:type="dxa"/>
          <w:right w:w="0" w:type="dxa"/>
        </w:tblCellMar>
      </w:tblPr>
      <w:tr>
        <w:trPr>
          <w:trHeight w:val="149"/>
        </w:trPr>
        <w:tc>
          <w:tcPr>
            <w:tcW w:w="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85"/>
              </w:rPr>
              <w:t>9.6</w:t>
            </w:r>
          </w:p>
        </w:tc>
        <w:tc>
          <w:tcPr>
            <w:tcW w:w="9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shall be solely responsible for determining if any tax on royalty income is owed outside the United States and shall pay this tax and be responsible for all filings with</w:t>
            </w:r>
          </w:p>
        </w:tc>
      </w:tr>
      <w:tr>
        <w:trPr>
          <w:trHeight w:val="171"/>
        </w:trPr>
        <w:tc>
          <w:tcPr>
            <w:tcW w:w="320" w:type="dxa"/>
            <w:vAlign w:val="bottom"/>
          </w:tcPr>
          <w:p>
            <w:pPr>
              <w:spacing w:after="0"/>
              <w:rPr>
                <w:sz w:val="14"/>
                <w:szCs w:val="14"/>
                <w:color w:val="auto"/>
              </w:rPr>
            </w:pPr>
          </w:p>
        </w:tc>
        <w:tc>
          <w:tcPr>
            <w:tcW w:w="9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appropriate agencies of foreign governments.</w:t>
            </w:r>
          </w:p>
        </w:tc>
      </w:tr>
      <w:tr>
        <w:trPr>
          <w:trHeight w:val="253"/>
        </w:trPr>
        <w:tc>
          <w:tcPr>
            <w:tcW w:w="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85"/>
              </w:rPr>
              <w:t>9.7</w:t>
            </w:r>
          </w:p>
        </w:tc>
        <w:tc>
          <w:tcPr>
            <w:tcW w:w="9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Additional royalties may be assessed by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on any payment that is more than [***] days overdue at the rate of [***]. This [***] rate may be applied retroactively from the</w:t>
            </w:r>
          </w:p>
        </w:tc>
      </w:tr>
      <w:tr>
        <w:trPr>
          <w:trHeight w:val="132"/>
        </w:trPr>
        <w:tc>
          <w:tcPr>
            <w:tcW w:w="320" w:type="dxa"/>
            <w:vAlign w:val="bottom"/>
          </w:tcPr>
          <w:p>
            <w:pPr>
              <w:spacing w:after="0"/>
              <w:rPr>
                <w:sz w:val="11"/>
                <w:szCs w:val="11"/>
                <w:color w:val="auto"/>
              </w:rPr>
            </w:pPr>
          </w:p>
        </w:tc>
        <w:tc>
          <w:tcPr>
            <w:tcW w:w="9580" w:type="dxa"/>
            <w:vAlign w:val="bottom"/>
          </w:tcPr>
          <w:p>
            <w:pPr>
              <w:ind w:left="160"/>
              <w:spacing w:after="0" w:line="132" w:lineRule="exact"/>
              <w:rPr>
                <w:sz w:val="20"/>
                <w:szCs w:val="20"/>
                <w:color w:val="auto"/>
              </w:rPr>
            </w:pPr>
            <w:r>
              <w:rPr>
                <w:rFonts w:ascii="Times New Roman" w:cs="Times New Roman" w:eastAsia="Times New Roman" w:hAnsi="Times New Roman"/>
                <w:sz w:val="13"/>
                <w:szCs w:val="13"/>
                <w:color w:val="auto"/>
              </w:rPr>
              <w:t xml:space="preserve">original due date until the date of receipt by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of the overdue payment and additional royalties. The payment of any additional royalties shall not prevent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from</w:t>
            </w:r>
          </w:p>
        </w:tc>
      </w:tr>
      <w:tr>
        <w:trPr>
          <w:trHeight w:val="171"/>
        </w:trPr>
        <w:tc>
          <w:tcPr>
            <w:tcW w:w="320" w:type="dxa"/>
            <w:vAlign w:val="bottom"/>
          </w:tcPr>
          <w:p>
            <w:pPr>
              <w:spacing w:after="0"/>
              <w:rPr>
                <w:sz w:val="14"/>
                <w:szCs w:val="14"/>
                <w:color w:val="auto"/>
              </w:rPr>
            </w:pPr>
          </w:p>
        </w:tc>
        <w:tc>
          <w:tcPr>
            <w:tcW w:w="9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exercising any other rights it may have as a consequence of the lateness of any payment.</w:t>
            </w:r>
          </w:p>
        </w:tc>
      </w:tr>
    </w:tbl>
    <w:p>
      <w:pPr>
        <w:spacing w:after="0" w:line="1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b w:val="1"/>
          <w:bCs w:val="1"/>
          <w:color w:val="auto"/>
        </w:rPr>
        <w:t xml:space="preserve">CONFIDENTIAL </w:t>
      </w:r>
      <w:r>
        <w:rPr>
          <w:rFonts w:ascii="Times New Roman" w:cs="Times New Roman" w:eastAsia="Times New Roman" w:hAnsi="Times New Roman"/>
          <w:sz w:val="11"/>
          <w:szCs w:val="11"/>
          <w:color w:val="auto"/>
        </w:rPr>
        <w:t>[***]</w:t>
      </w:r>
    </w:p>
    <w:p>
      <w:pPr>
        <w:spacing w:after="0" w:line="1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ind w:left="9"/>
        <w:spacing w:after="0"/>
        <w:tabs>
          <w:tab w:leader="none" w:pos="1409" w:val="left"/>
        </w:tabs>
        <w:rPr>
          <w:sz w:val="20"/>
          <w:szCs w:val="20"/>
          <w:color w:val="auto"/>
        </w:rPr>
      </w:pPr>
      <w:r>
        <w:rPr>
          <w:rFonts w:ascii="Times New Roman" w:cs="Times New Roman" w:eastAsia="Times New Roman" w:hAnsi="Times New Roman"/>
          <w:sz w:val="11"/>
          <w:szCs w:val="11"/>
          <w:color w:val="auto"/>
        </w:rPr>
        <w:t>Model 10-2015 Rev 09-2024</w:t>
        <w:tab/>
        <w:t>Page 9 of 25 [FINAL] [BioNTech SE] [20 December 2024]</w:t>
      </w:r>
    </w:p>
    <w:p>
      <w:pPr>
        <w:sectPr>
          <w:pgSz w:w="11900" w:h="16840" w:orient="portrait"/>
          <w:cols w:equalWidth="0" w:num="1">
            <w:col w:w="10569"/>
          </w:cols>
          <w:pgMar w:left="651" w:top="752" w:right="680" w:bottom="1440" w:gutter="0" w:footer="0" w:header="0"/>
        </w:sectPr>
      </w:pPr>
    </w:p>
    <w:bookmarkStart w:id="400" w:name="page401"/>
    <w:bookmarkEnd w:id="400"/>
    <w:p>
      <w:pPr>
        <w:ind w:left="9"/>
        <w:spacing w:after="0"/>
        <w:rPr>
          <w:sz w:val="20"/>
          <w:szCs w:val="20"/>
          <w:color w:val="auto"/>
        </w:rPr>
      </w:pPr>
      <w:r>
        <w:rPr>
          <w:rFonts w:ascii="Times New Roman" w:cs="Times New Roman" w:eastAsia="Times New Roman" w:hAnsi="Times New Roman"/>
          <w:sz w:val="13"/>
          <w:szCs w:val="13"/>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969" w:right="160" w:hanging="484"/>
        <w:spacing w:after="0" w:line="233" w:lineRule="auto"/>
        <w:tabs>
          <w:tab w:leader="none" w:pos="949" w:val="left"/>
        </w:tabs>
        <w:rPr>
          <w:sz w:val="20"/>
          <w:szCs w:val="20"/>
          <w:color w:val="auto"/>
        </w:rPr>
      </w:pPr>
      <w:r>
        <w:rPr>
          <w:rFonts w:ascii="Times New Roman" w:cs="Times New Roman" w:eastAsia="Times New Roman" w:hAnsi="Times New Roman"/>
          <w:sz w:val="13"/>
          <w:szCs w:val="13"/>
          <w:color w:val="auto"/>
        </w:rPr>
        <w:t>9.8</w:t>
      </w:r>
      <w:r>
        <w:rPr>
          <w:sz w:val="20"/>
          <w:szCs w:val="20"/>
          <w:color w:val="auto"/>
        </w:rPr>
        <w:tab/>
      </w:r>
      <w:r>
        <w:rPr>
          <w:rFonts w:ascii="Times New Roman" w:cs="Times New Roman" w:eastAsia="Times New Roman" w:hAnsi="Times New Roman"/>
          <w:sz w:val="13"/>
          <w:szCs w:val="13"/>
          <w:color w:val="auto"/>
        </w:rPr>
        <w:t xml:space="preserve">All plans and reports required by this Article 9 and marked “confidential” by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shall, to the extent permitted by law, be treated by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as commercial and financial information obtained from a person and as privileged and confidential, and any proposed disclosure of these records by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under the Freedom of Information Act (FOIA), 5 U.S.C. §552 shall be subject to the predisclosure notification requirements of 45 CFR §5.65(d).</w:t>
      </w:r>
    </w:p>
    <w:p>
      <w:pPr>
        <w:spacing w:after="0" w:line="123" w:lineRule="exact"/>
        <w:rPr>
          <w:sz w:val="20"/>
          <w:szCs w:val="20"/>
          <w:color w:val="auto"/>
        </w:rPr>
      </w:pPr>
    </w:p>
    <w:p>
      <w:pPr>
        <w:ind w:left="469" w:hanging="469"/>
        <w:spacing w:after="0"/>
        <w:tabs>
          <w:tab w:leader="none" w:pos="469"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PERFORMANCE</w:t>
      </w:r>
    </w:p>
    <w:p>
      <w:pPr>
        <w:spacing w:after="0" w:line="141" w:lineRule="exact"/>
        <w:rPr>
          <w:rFonts w:ascii="Times New Roman" w:cs="Times New Roman" w:eastAsia="Times New Roman" w:hAnsi="Times New Roman"/>
          <w:sz w:val="13"/>
          <w:szCs w:val="13"/>
          <w:color w:val="auto"/>
        </w:rPr>
      </w:pPr>
    </w:p>
    <w:p>
      <w:pPr>
        <w:ind w:left="969" w:right="120" w:hanging="485"/>
        <w:spacing w:after="0" w:line="24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10.1The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shall use its reasonable commercial efforts to bring the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color w:val="auto"/>
        </w:rPr>
        <w:t>Licensed Processes</w:t>
      </w:r>
      <w:r>
        <w:rPr>
          <w:rFonts w:ascii="Times New Roman" w:cs="Times New Roman" w:eastAsia="Times New Roman" w:hAnsi="Times New Roman"/>
          <w:sz w:val="13"/>
          <w:szCs w:val="13"/>
          <w:color w:val="auto"/>
        </w:rPr>
        <w:t xml:space="preserve"> to </w:t>
      </w:r>
      <w:r>
        <w:rPr>
          <w:rFonts w:ascii="Times New Roman" w:cs="Times New Roman" w:eastAsia="Times New Roman" w:hAnsi="Times New Roman"/>
          <w:sz w:val="13"/>
          <w:szCs w:val="13"/>
          <w:b w:val="1"/>
          <w:bCs w:val="1"/>
          <w:color w:val="auto"/>
        </w:rPr>
        <w:t>Practical Application</w:t>
      </w:r>
      <w:r>
        <w:rPr>
          <w:rFonts w:ascii="Times New Roman" w:cs="Times New Roman" w:eastAsia="Times New Roman" w:hAnsi="Times New Roman"/>
          <w:sz w:val="13"/>
          <w:szCs w:val="13"/>
          <w:color w:val="auto"/>
        </w:rPr>
        <w:t xml:space="preserve">. “Reasonable commercial efforts” for the purposes of this provision shall include adherence to the </w:t>
      </w:r>
      <w:r>
        <w:rPr>
          <w:rFonts w:ascii="Times New Roman" w:cs="Times New Roman" w:eastAsia="Times New Roman" w:hAnsi="Times New Roman"/>
          <w:sz w:val="13"/>
          <w:szCs w:val="13"/>
          <w:b w:val="1"/>
          <w:bCs w:val="1"/>
          <w:color w:val="auto"/>
        </w:rPr>
        <w:t>Commercial Development Plan</w:t>
      </w:r>
      <w:r>
        <w:rPr>
          <w:rFonts w:ascii="Times New Roman" w:cs="Times New Roman" w:eastAsia="Times New Roman" w:hAnsi="Times New Roman"/>
          <w:sz w:val="13"/>
          <w:szCs w:val="13"/>
          <w:color w:val="auto"/>
        </w:rPr>
        <w:t xml:space="preserve"> in Appendix E and performance of the </w:t>
      </w:r>
      <w:r>
        <w:rPr>
          <w:rFonts w:ascii="Times New Roman" w:cs="Times New Roman" w:eastAsia="Times New Roman" w:hAnsi="Times New Roman"/>
          <w:sz w:val="13"/>
          <w:szCs w:val="13"/>
          <w:b w:val="1"/>
          <w:bCs w:val="1"/>
          <w:color w:val="auto"/>
        </w:rPr>
        <w:t>Benchmarks</w:t>
      </w:r>
      <w:r>
        <w:rPr>
          <w:rFonts w:ascii="Times New Roman" w:cs="Times New Roman" w:eastAsia="Times New Roman" w:hAnsi="Times New Roman"/>
          <w:sz w:val="13"/>
          <w:szCs w:val="13"/>
          <w:color w:val="auto"/>
        </w:rPr>
        <w:t xml:space="preserve"> in Appendix D.</w:t>
      </w:r>
    </w:p>
    <w:p>
      <w:pPr>
        <w:spacing w:after="0" w:line="115" w:lineRule="exact"/>
        <w:rPr>
          <w:rFonts w:ascii="Times New Roman" w:cs="Times New Roman" w:eastAsia="Times New Roman" w:hAnsi="Times New Roman"/>
          <w:sz w:val="13"/>
          <w:szCs w:val="13"/>
          <w:color w:val="auto"/>
        </w:rPr>
      </w:pPr>
    </w:p>
    <w:p>
      <w:pPr>
        <w:ind w:left="969" w:right="240" w:hanging="485"/>
        <w:spacing w:after="0" w:line="24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10.2Upon the </w:t>
      </w:r>
      <w:r>
        <w:rPr>
          <w:rFonts w:ascii="Times New Roman" w:cs="Times New Roman" w:eastAsia="Times New Roman" w:hAnsi="Times New Roman"/>
          <w:sz w:val="13"/>
          <w:szCs w:val="13"/>
          <w:b w:val="1"/>
          <w:bCs w:val="1"/>
          <w:color w:val="auto"/>
        </w:rPr>
        <w:t>First Commercial Sale</w:t>
      </w:r>
      <w:r>
        <w:rPr>
          <w:rFonts w:ascii="Times New Roman" w:cs="Times New Roman" w:eastAsia="Times New Roman" w:hAnsi="Times New Roman"/>
          <w:sz w:val="13"/>
          <w:szCs w:val="13"/>
          <w:color w:val="auto"/>
        </w:rPr>
        <w:t xml:space="preserve">, until the expiration or termination of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shall use its reasonable commercial efforts to make </w:t>
      </w:r>
      <w:r>
        <w:rPr>
          <w:rFonts w:ascii="Times New Roman" w:cs="Times New Roman" w:eastAsia="Times New Roman" w:hAnsi="Times New Roman"/>
          <w:sz w:val="13"/>
          <w:szCs w:val="13"/>
          <w:b w:val="1"/>
          <w:bCs w:val="1"/>
          <w:color w:val="auto"/>
        </w:rPr>
        <w:t xml:space="preserve">Licensed Products </w:t>
      </w:r>
      <w:r>
        <w:rPr>
          <w:rFonts w:ascii="Times New Roman" w:cs="Times New Roman" w:eastAsia="Times New Roman" w:hAnsi="Times New Roman"/>
          <w:sz w:val="13"/>
          <w:szCs w:val="13"/>
          <w:color w:val="auto"/>
        </w:rPr>
        <w:t>and</w:t>
      </w:r>
      <w:r>
        <w:rPr>
          <w:rFonts w:ascii="Times New Roman" w:cs="Times New Roman" w:eastAsia="Times New Roman" w:hAnsi="Times New Roman"/>
          <w:sz w:val="13"/>
          <w:szCs w:val="13"/>
          <w:b w:val="1"/>
          <w:bCs w:val="1"/>
          <w:color w:val="auto"/>
        </w:rPr>
        <w:t xml:space="preserve"> Licensed Processes </w:t>
      </w:r>
      <w:r>
        <w:rPr>
          <w:rFonts w:ascii="Times New Roman" w:cs="Times New Roman" w:eastAsia="Times New Roman" w:hAnsi="Times New Roman"/>
          <w:sz w:val="13"/>
          <w:szCs w:val="13"/>
          <w:color w:val="auto"/>
        </w:rPr>
        <w:t>reasonably accessible to the United States public.</w:t>
      </w:r>
    </w:p>
    <w:p>
      <w:pPr>
        <w:spacing w:after="0" w:line="115" w:lineRule="exact"/>
        <w:rPr>
          <w:rFonts w:ascii="Times New Roman" w:cs="Times New Roman" w:eastAsia="Times New Roman" w:hAnsi="Times New Roman"/>
          <w:sz w:val="13"/>
          <w:szCs w:val="13"/>
          <w:color w:val="auto"/>
        </w:rPr>
      </w:pPr>
    </w:p>
    <w:p>
      <w:pPr>
        <w:ind w:left="969" w:right="200" w:hanging="485"/>
        <w:spacing w:after="0" w:line="24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10.3The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agrees, after its </w:t>
      </w:r>
      <w:r>
        <w:rPr>
          <w:rFonts w:ascii="Times New Roman" w:cs="Times New Roman" w:eastAsia="Times New Roman" w:hAnsi="Times New Roman"/>
          <w:sz w:val="13"/>
          <w:szCs w:val="13"/>
          <w:b w:val="1"/>
          <w:bCs w:val="1"/>
          <w:color w:val="auto"/>
        </w:rPr>
        <w:t>First Commercial Sale,</w:t>
      </w:r>
      <w:r>
        <w:rPr>
          <w:rFonts w:ascii="Times New Roman" w:cs="Times New Roman" w:eastAsia="Times New Roman" w:hAnsi="Times New Roman"/>
          <w:sz w:val="13"/>
          <w:szCs w:val="13"/>
          <w:color w:val="auto"/>
        </w:rPr>
        <w:t xml:space="preserve"> to make reasonable quantities of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or materials produced through the use old </w:t>
      </w:r>
      <w:r>
        <w:rPr>
          <w:rFonts w:ascii="Times New Roman" w:cs="Times New Roman" w:eastAsia="Times New Roman" w:hAnsi="Times New Roman"/>
          <w:sz w:val="13"/>
          <w:szCs w:val="13"/>
          <w:b w:val="1"/>
          <w:bCs w:val="1"/>
          <w:color w:val="auto"/>
        </w:rPr>
        <w:t>Licensed Processes</w:t>
      </w:r>
      <w:r>
        <w:rPr>
          <w:rFonts w:ascii="Times New Roman" w:cs="Times New Roman" w:eastAsia="Times New Roman" w:hAnsi="Times New Roman"/>
          <w:sz w:val="13"/>
          <w:szCs w:val="13"/>
          <w:color w:val="auto"/>
        </w:rPr>
        <w:t xml:space="preserve"> available to patient assistance programs.</w:t>
      </w:r>
    </w:p>
    <w:p>
      <w:pPr>
        <w:spacing w:after="0" w:line="115" w:lineRule="exact"/>
        <w:rPr>
          <w:rFonts w:ascii="Times New Roman" w:cs="Times New Roman" w:eastAsia="Times New Roman" w:hAnsi="Times New Roman"/>
          <w:sz w:val="13"/>
          <w:szCs w:val="13"/>
          <w:color w:val="auto"/>
        </w:rPr>
      </w:pPr>
    </w:p>
    <w:p>
      <w:pPr>
        <w:ind w:left="969" w:right="140" w:hanging="485"/>
        <w:spacing w:after="0" w:line="23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10.4The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agrees, after its </w:t>
      </w:r>
      <w:r>
        <w:rPr>
          <w:rFonts w:ascii="Times New Roman" w:cs="Times New Roman" w:eastAsia="Times New Roman" w:hAnsi="Times New Roman"/>
          <w:sz w:val="13"/>
          <w:szCs w:val="13"/>
          <w:b w:val="1"/>
          <w:bCs w:val="1"/>
          <w:color w:val="auto"/>
        </w:rPr>
        <w:t>First Commercial Sale</w:t>
      </w:r>
      <w:r>
        <w:rPr>
          <w:rFonts w:ascii="Times New Roman" w:cs="Times New Roman" w:eastAsia="Times New Roman" w:hAnsi="Times New Roman"/>
          <w:sz w:val="13"/>
          <w:szCs w:val="13"/>
          <w:color w:val="auto"/>
        </w:rPr>
        <w:t xml:space="preserve"> and as part of its marketing and product promotion, to develop digital educational materials (e.g., brochures, website, etc.) directed to patients and physicians detailing the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or medical aspects of the prophylactic and therapeutic uses of the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under </w:t>
      </w:r>
      <w:r>
        <w:rPr>
          <w:rFonts w:ascii="Times New Roman" w:cs="Times New Roman" w:eastAsia="Times New Roman" w:hAnsi="Times New Roman"/>
          <w:sz w:val="13"/>
          <w:szCs w:val="13"/>
          <w:b w:val="1"/>
          <w:bCs w:val="1"/>
          <w:color w:val="auto"/>
        </w:rPr>
        <w:t>Licensee’s</w:t>
      </w:r>
      <w:r>
        <w:rPr>
          <w:rFonts w:ascii="Times New Roman" w:cs="Times New Roman" w:eastAsia="Times New Roman" w:hAnsi="Times New Roman"/>
          <w:sz w:val="13"/>
          <w:szCs w:val="13"/>
          <w:color w:val="auto"/>
        </w:rPr>
        <w:t xml:space="preserve"> branding and trademark. Paperform educational materials shall not be owed by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w:t>
      </w:r>
    </w:p>
    <w:p>
      <w:pPr>
        <w:spacing w:after="0" w:line="120" w:lineRule="exact"/>
        <w:rPr>
          <w:rFonts w:ascii="Times New Roman" w:cs="Times New Roman" w:eastAsia="Times New Roman" w:hAnsi="Times New Roman"/>
          <w:sz w:val="13"/>
          <w:szCs w:val="13"/>
          <w:color w:val="auto"/>
        </w:rPr>
      </w:pPr>
    </w:p>
    <w:p>
      <w:pPr>
        <w:ind w:left="969" w:right="160" w:hanging="485"/>
        <w:spacing w:after="0" w:line="24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10.5The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agrees to supply, to the Technology Transfer and Intellectual Property Office,</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at the mailing address 5601 Fishers Lane, Suite 2G, Rockville, MD 20852-3804 U.S.A., with inert samples of the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b w:val="1"/>
          <w:bCs w:val="1"/>
          <w:color w:val="auto"/>
        </w:rPr>
        <w:t>Licensed Processes</w:t>
      </w:r>
      <w:r>
        <w:rPr>
          <w:rFonts w:ascii="Times New Roman" w:cs="Times New Roman" w:eastAsia="Times New Roman" w:hAnsi="Times New Roman"/>
          <w:sz w:val="13"/>
          <w:szCs w:val="13"/>
          <w:color w:val="auto"/>
        </w:rPr>
        <w:t xml:space="preserve"> or their packaging for educational and display purposes only.</w:t>
      </w:r>
    </w:p>
    <w:p>
      <w:pPr>
        <w:spacing w:after="0" w:line="117" w:lineRule="exact"/>
        <w:rPr>
          <w:rFonts w:ascii="Times New Roman" w:cs="Times New Roman" w:eastAsia="Times New Roman" w:hAnsi="Times New Roman"/>
          <w:sz w:val="13"/>
          <w:szCs w:val="13"/>
          <w:color w:val="auto"/>
        </w:rPr>
      </w:pPr>
    </w:p>
    <w:p>
      <w:pPr>
        <w:ind w:left="469" w:hanging="469"/>
        <w:spacing w:after="0"/>
        <w:tabs>
          <w:tab w:leader="none" w:pos="469"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INFRINGEMENT AND PATENT ENFORCEMENT</w:t>
      </w:r>
    </w:p>
    <w:p>
      <w:pPr>
        <w:spacing w:after="0" w:line="141" w:lineRule="exact"/>
        <w:rPr>
          <w:rFonts w:ascii="Times New Roman" w:cs="Times New Roman" w:eastAsia="Times New Roman" w:hAnsi="Times New Roman"/>
          <w:sz w:val="13"/>
          <w:szCs w:val="13"/>
          <w:color w:val="auto"/>
        </w:rPr>
      </w:pPr>
    </w:p>
    <w:p>
      <w:pPr>
        <w:ind w:left="969" w:right="120" w:hanging="485"/>
        <w:spacing w:after="0" w:line="24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11.1The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and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agree to notify each other promptly of each infringement or possible infringement of the </w:t>
      </w:r>
      <w:r>
        <w:rPr>
          <w:rFonts w:ascii="Times New Roman" w:cs="Times New Roman" w:eastAsia="Times New Roman" w:hAnsi="Times New Roman"/>
          <w:sz w:val="13"/>
          <w:szCs w:val="13"/>
          <w:b w:val="1"/>
          <w:bCs w:val="1"/>
          <w:color w:val="auto"/>
        </w:rPr>
        <w:t>Licensed Patent Rights</w:t>
      </w:r>
      <w:r>
        <w:rPr>
          <w:rFonts w:ascii="Times New Roman" w:cs="Times New Roman" w:eastAsia="Times New Roman" w:hAnsi="Times New Roman"/>
          <w:sz w:val="13"/>
          <w:szCs w:val="13"/>
          <w:color w:val="auto"/>
        </w:rPr>
        <w:t xml:space="preserve">, as well as any facts which may affect the validity, scope, or enforceability of the </w:t>
      </w:r>
      <w:r>
        <w:rPr>
          <w:rFonts w:ascii="Times New Roman" w:cs="Times New Roman" w:eastAsia="Times New Roman" w:hAnsi="Times New Roman"/>
          <w:sz w:val="13"/>
          <w:szCs w:val="13"/>
          <w:b w:val="1"/>
          <w:bCs w:val="1"/>
          <w:color w:val="auto"/>
        </w:rPr>
        <w:t>Licensed Patent Rights</w:t>
      </w:r>
      <w:r>
        <w:rPr>
          <w:rFonts w:ascii="Times New Roman" w:cs="Times New Roman" w:eastAsia="Times New Roman" w:hAnsi="Times New Roman"/>
          <w:sz w:val="13"/>
          <w:szCs w:val="13"/>
          <w:color w:val="auto"/>
        </w:rPr>
        <w:t xml:space="preserve"> of which either party becomes aware.</w:t>
      </w:r>
    </w:p>
    <w:p>
      <w:pPr>
        <w:spacing w:after="0" w:line="115" w:lineRule="exact"/>
        <w:rPr>
          <w:rFonts w:ascii="Times New Roman" w:cs="Times New Roman" w:eastAsia="Times New Roman" w:hAnsi="Times New Roman"/>
          <w:sz w:val="13"/>
          <w:szCs w:val="13"/>
          <w:color w:val="auto"/>
        </w:rPr>
      </w:pPr>
    </w:p>
    <w:p>
      <w:pPr>
        <w:ind w:left="969" w:hanging="485"/>
        <w:spacing w:after="0" w:line="22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11.2In the event that a declaratory judgment action alleging invalidity of any of the </w:t>
      </w:r>
      <w:r>
        <w:rPr>
          <w:rFonts w:ascii="Times New Roman" w:cs="Times New Roman" w:eastAsia="Times New Roman" w:hAnsi="Times New Roman"/>
          <w:sz w:val="13"/>
          <w:szCs w:val="13"/>
          <w:b w:val="1"/>
          <w:bCs w:val="1"/>
          <w:color w:val="auto"/>
        </w:rPr>
        <w:t>Licensed Patent Rights</w:t>
      </w:r>
      <w:r>
        <w:rPr>
          <w:rFonts w:ascii="Times New Roman" w:cs="Times New Roman" w:eastAsia="Times New Roman" w:hAnsi="Times New Roman"/>
          <w:sz w:val="13"/>
          <w:szCs w:val="13"/>
          <w:color w:val="auto"/>
        </w:rPr>
        <w:t xml:space="preserve"> shall be brought against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agrees to notify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that an action alleging invalidity has been brought.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does not represent that it shall commence legal action to defend against a declaratory action alleging invalidity. The </w:t>
      </w:r>
      <w:r>
        <w:rPr>
          <w:rFonts w:ascii="Times New Roman" w:cs="Times New Roman" w:eastAsia="Times New Roman" w:hAnsi="Times New Roman"/>
          <w:sz w:val="13"/>
          <w:szCs w:val="13"/>
          <w:b w:val="1"/>
          <w:bCs w:val="1"/>
          <w:color w:val="auto"/>
        </w:rPr>
        <w:t xml:space="preserve">Licensee </w:t>
      </w:r>
      <w:r>
        <w:rPr>
          <w:rFonts w:ascii="Times New Roman" w:cs="Times New Roman" w:eastAsia="Times New Roman" w:hAnsi="Times New Roman"/>
          <w:sz w:val="13"/>
          <w:szCs w:val="13"/>
          <w:color w:val="auto"/>
        </w:rPr>
        <w:t>shall take no action to compel the</w:t>
      </w:r>
      <w:r>
        <w:rPr>
          <w:rFonts w:ascii="Times New Roman" w:cs="Times New Roman" w:eastAsia="Times New Roman" w:hAnsi="Times New Roman"/>
          <w:sz w:val="13"/>
          <w:szCs w:val="13"/>
          <w:b w:val="1"/>
          <w:bCs w:val="1"/>
          <w:color w:val="auto"/>
        </w:rPr>
        <w:t xml:space="preserve"> Government </w:t>
      </w:r>
      <w:r>
        <w:rPr>
          <w:rFonts w:ascii="Times New Roman" w:cs="Times New Roman" w:eastAsia="Times New Roman" w:hAnsi="Times New Roman"/>
          <w:sz w:val="13"/>
          <w:szCs w:val="13"/>
          <w:color w:val="auto"/>
        </w:rPr>
        <w:t>either to initiate or to join in any declaratory judgment action. Should the</w:t>
      </w:r>
      <w:r>
        <w:rPr>
          <w:rFonts w:ascii="Times New Roman" w:cs="Times New Roman" w:eastAsia="Times New Roman" w:hAnsi="Times New Roman"/>
          <w:sz w:val="13"/>
          <w:szCs w:val="13"/>
          <w:b w:val="1"/>
          <w:bCs w:val="1"/>
          <w:color w:val="auto"/>
        </w:rPr>
        <w:t xml:space="preserve"> Government </w:t>
      </w:r>
      <w:r>
        <w:rPr>
          <w:rFonts w:ascii="Times New Roman" w:cs="Times New Roman" w:eastAsia="Times New Roman" w:hAnsi="Times New Roman"/>
          <w:sz w:val="13"/>
          <w:szCs w:val="13"/>
          <w:color w:val="auto"/>
        </w:rPr>
        <w:t>be made a party to any suit by motion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or any other action of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shall reimburse the </w:t>
      </w:r>
      <w:r>
        <w:rPr>
          <w:rFonts w:ascii="Times New Roman" w:cs="Times New Roman" w:eastAsia="Times New Roman" w:hAnsi="Times New Roman"/>
          <w:sz w:val="13"/>
          <w:szCs w:val="13"/>
          <w:b w:val="1"/>
          <w:bCs w:val="1"/>
          <w:color w:val="auto"/>
        </w:rPr>
        <w:t>Government</w:t>
      </w:r>
      <w:r>
        <w:rPr>
          <w:rFonts w:ascii="Times New Roman" w:cs="Times New Roman" w:eastAsia="Times New Roman" w:hAnsi="Times New Roman"/>
          <w:sz w:val="13"/>
          <w:szCs w:val="13"/>
          <w:color w:val="auto"/>
        </w:rPr>
        <w:t xml:space="preserve"> for any costs, expenses, or fees, which the </w:t>
      </w:r>
      <w:r>
        <w:rPr>
          <w:rFonts w:ascii="Times New Roman" w:cs="Times New Roman" w:eastAsia="Times New Roman" w:hAnsi="Times New Roman"/>
          <w:sz w:val="13"/>
          <w:szCs w:val="13"/>
          <w:b w:val="1"/>
          <w:bCs w:val="1"/>
          <w:color w:val="auto"/>
        </w:rPr>
        <w:t>Government</w:t>
      </w:r>
      <w:r>
        <w:rPr>
          <w:rFonts w:ascii="Times New Roman" w:cs="Times New Roman" w:eastAsia="Times New Roman" w:hAnsi="Times New Roman"/>
          <w:sz w:val="13"/>
          <w:szCs w:val="13"/>
          <w:color w:val="auto"/>
        </w:rPr>
        <w:t xml:space="preserve"> incurs as a result of the motion or other action. Upon the </w:t>
      </w:r>
      <w:r>
        <w:rPr>
          <w:rFonts w:ascii="Times New Roman" w:cs="Times New Roman" w:eastAsia="Times New Roman" w:hAnsi="Times New Roman"/>
          <w:sz w:val="13"/>
          <w:szCs w:val="13"/>
          <w:b w:val="1"/>
          <w:bCs w:val="1"/>
          <w:color w:val="auto"/>
        </w:rPr>
        <w:t>Licensee's</w:t>
      </w:r>
      <w:r>
        <w:rPr>
          <w:rFonts w:ascii="Times New Roman" w:cs="Times New Roman" w:eastAsia="Times New Roman" w:hAnsi="Times New Roman"/>
          <w:sz w:val="13"/>
          <w:szCs w:val="13"/>
          <w:color w:val="auto"/>
        </w:rPr>
        <w:t xml:space="preserve"> payment of all costs incurred by the </w:t>
      </w:r>
      <w:r>
        <w:rPr>
          <w:rFonts w:ascii="Times New Roman" w:cs="Times New Roman" w:eastAsia="Times New Roman" w:hAnsi="Times New Roman"/>
          <w:sz w:val="13"/>
          <w:szCs w:val="13"/>
          <w:b w:val="1"/>
          <w:bCs w:val="1"/>
          <w:color w:val="auto"/>
        </w:rPr>
        <w:t>Government</w:t>
      </w:r>
      <w:r>
        <w:rPr>
          <w:rFonts w:ascii="Times New Roman" w:cs="Times New Roman" w:eastAsia="Times New Roman" w:hAnsi="Times New Roman"/>
          <w:sz w:val="13"/>
          <w:szCs w:val="13"/>
          <w:color w:val="auto"/>
        </w:rPr>
        <w:t xml:space="preserve"> as a result of the </w:t>
      </w:r>
      <w:r>
        <w:rPr>
          <w:rFonts w:ascii="Times New Roman" w:cs="Times New Roman" w:eastAsia="Times New Roman" w:hAnsi="Times New Roman"/>
          <w:sz w:val="13"/>
          <w:szCs w:val="13"/>
          <w:b w:val="1"/>
          <w:bCs w:val="1"/>
          <w:color w:val="auto"/>
        </w:rPr>
        <w:t>Licensee's</w:t>
      </w:r>
      <w:r>
        <w:rPr>
          <w:rFonts w:ascii="Times New Roman" w:cs="Times New Roman" w:eastAsia="Times New Roman" w:hAnsi="Times New Roman"/>
          <w:sz w:val="13"/>
          <w:szCs w:val="13"/>
          <w:color w:val="auto"/>
        </w:rPr>
        <w:t xml:space="preserve"> joinder motion or other action, these actions by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shall not be considered a default in the performance of any material obligation under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469" w:hanging="469"/>
        <w:spacing w:after="0"/>
        <w:tabs>
          <w:tab w:leader="none" w:pos="469"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NEGATION OF WARRANTIES AND INDEMNIFICATION</w:t>
      </w:r>
    </w:p>
    <w:p>
      <w:pPr>
        <w:spacing w:after="0" w:line="141" w:lineRule="exact"/>
        <w:rPr>
          <w:rFonts w:ascii="Times New Roman" w:cs="Times New Roman" w:eastAsia="Times New Roman" w:hAnsi="Times New Roman"/>
          <w:sz w:val="13"/>
          <w:szCs w:val="13"/>
          <w:color w:val="auto"/>
        </w:rPr>
      </w:pPr>
    </w:p>
    <w:p>
      <w:pPr>
        <w:ind w:left="489"/>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12.1The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offers no warranties other than those specified in Article 1.</w:t>
      </w:r>
    </w:p>
    <w:p>
      <w:pPr>
        <w:spacing w:after="0" w:line="143" w:lineRule="exact"/>
        <w:rPr>
          <w:rFonts w:ascii="Times New Roman" w:cs="Times New Roman" w:eastAsia="Times New Roman" w:hAnsi="Times New Roman"/>
          <w:sz w:val="13"/>
          <w:szCs w:val="13"/>
          <w:color w:val="auto"/>
        </w:rPr>
      </w:pPr>
    </w:p>
    <w:p>
      <w:pPr>
        <w:ind w:left="969" w:right="120" w:hanging="485"/>
        <w:spacing w:after="0" w:line="24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12.2The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does not warrant the validity of the </w:t>
      </w:r>
      <w:r>
        <w:rPr>
          <w:rFonts w:ascii="Times New Roman" w:cs="Times New Roman" w:eastAsia="Times New Roman" w:hAnsi="Times New Roman"/>
          <w:sz w:val="13"/>
          <w:szCs w:val="13"/>
          <w:b w:val="1"/>
          <w:bCs w:val="1"/>
          <w:color w:val="auto"/>
        </w:rPr>
        <w:t>Licensed Patent Rights</w:t>
      </w:r>
      <w:r>
        <w:rPr>
          <w:rFonts w:ascii="Times New Roman" w:cs="Times New Roman" w:eastAsia="Times New Roman" w:hAnsi="Times New Roman"/>
          <w:sz w:val="13"/>
          <w:szCs w:val="13"/>
          <w:color w:val="auto"/>
        </w:rPr>
        <w:t xml:space="preserve"> and makes no representations whatsoever with regard to the scope of the </w:t>
      </w:r>
      <w:r>
        <w:rPr>
          <w:rFonts w:ascii="Times New Roman" w:cs="Times New Roman" w:eastAsia="Times New Roman" w:hAnsi="Times New Roman"/>
          <w:sz w:val="13"/>
          <w:szCs w:val="13"/>
          <w:b w:val="1"/>
          <w:bCs w:val="1"/>
          <w:color w:val="auto"/>
        </w:rPr>
        <w:t>Licensed Patent Rights</w:t>
      </w:r>
      <w:r>
        <w:rPr>
          <w:rFonts w:ascii="Times New Roman" w:cs="Times New Roman" w:eastAsia="Times New Roman" w:hAnsi="Times New Roman"/>
          <w:sz w:val="13"/>
          <w:szCs w:val="13"/>
          <w:color w:val="auto"/>
        </w:rPr>
        <w:t xml:space="preserve">, or that the </w:t>
      </w:r>
      <w:r>
        <w:rPr>
          <w:rFonts w:ascii="Times New Roman" w:cs="Times New Roman" w:eastAsia="Times New Roman" w:hAnsi="Times New Roman"/>
          <w:sz w:val="13"/>
          <w:szCs w:val="13"/>
          <w:b w:val="1"/>
          <w:bCs w:val="1"/>
          <w:color w:val="auto"/>
        </w:rPr>
        <w:t xml:space="preserve">Licensed Patent Rights </w:t>
      </w:r>
      <w:r>
        <w:rPr>
          <w:rFonts w:ascii="Times New Roman" w:cs="Times New Roman" w:eastAsia="Times New Roman" w:hAnsi="Times New Roman"/>
          <w:sz w:val="13"/>
          <w:szCs w:val="13"/>
          <w:color w:val="auto"/>
        </w:rPr>
        <w:t>may be exploited without infringing other patents or other intellectual property rights of third parties.</w:t>
      </w:r>
    </w:p>
    <w:p>
      <w:pPr>
        <w:spacing w:after="0" w:line="18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b w:val="1"/>
          <w:bCs w:val="1"/>
          <w:color w:val="auto"/>
        </w:rPr>
        <w:t xml:space="preserve">CONFIDENTIAL </w:t>
      </w:r>
      <w:r>
        <w:rPr>
          <w:rFonts w:ascii="Times New Roman" w:cs="Times New Roman" w:eastAsia="Times New Roman" w:hAnsi="Times New Roman"/>
          <w:sz w:val="11"/>
          <w:szCs w:val="11"/>
          <w:color w:val="auto"/>
        </w:rPr>
        <w:t>[***]</w:t>
      </w:r>
    </w:p>
    <w:p>
      <w:pPr>
        <w:spacing w:after="0" w:line="1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ind w:left="9"/>
        <w:spacing w:after="0"/>
        <w:tabs>
          <w:tab w:leader="none" w:pos="1409" w:val="left"/>
        </w:tabs>
        <w:rPr>
          <w:sz w:val="20"/>
          <w:szCs w:val="20"/>
          <w:color w:val="auto"/>
        </w:rPr>
      </w:pPr>
      <w:r>
        <w:rPr>
          <w:rFonts w:ascii="Times New Roman" w:cs="Times New Roman" w:eastAsia="Times New Roman" w:hAnsi="Times New Roman"/>
          <w:sz w:val="11"/>
          <w:szCs w:val="11"/>
          <w:color w:val="auto"/>
        </w:rPr>
        <w:t>Model 10-2015 Rev 09-2024</w:t>
        <w:tab/>
        <w:t>Page 10 of 25 [FINAL] [BioNTech SE] [20 December 2024]</w:t>
      </w:r>
    </w:p>
    <w:p>
      <w:pPr>
        <w:sectPr>
          <w:pgSz w:w="11900" w:h="16840" w:orient="portrait"/>
          <w:cols w:equalWidth="0" w:num="1">
            <w:col w:w="10609"/>
          </w:cols>
          <w:pgMar w:left="651" w:top="752" w:right="640" w:bottom="1440" w:gutter="0" w:footer="0" w:header="0"/>
        </w:sectPr>
      </w:pPr>
    </w:p>
    <w:bookmarkStart w:id="401" w:name="page402"/>
    <w:bookmarkEnd w:id="401"/>
    <w:p>
      <w:pPr>
        <w:ind w:left="9"/>
        <w:spacing w:after="0"/>
        <w:rPr>
          <w:sz w:val="20"/>
          <w:szCs w:val="20"/>
          <w:color w:val="auto"/>
        </w:rPr>
      </w:pPr>
      <w:r>
        <w:rPr>
          <w:rFonts w:ascii="Times New Roman" w:cs="Times New Roman" w:eastAsia="Times New Roman" w:hAnsi="Times New Roman"/>
          <w:sz w:val="13"/>
          <w:szCs w:val="13"/>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69" w:right="480" w:hanging="484"/>
        <w:spacing w:after="0" w:line="248" w:lineRule="auto"/>
        <w:tabs>
          <w:tab w:leader="none" w:pos="949" w:val="left"/>
        </w:tabs>
        <w:rPr>
          <w:sz w:val="20"/>
          <w:szCs w:val="20"/>
          <w:color w:val="auto"/>
        </w:rPr>
      </w:pPr>
      <w:r>
        <w:rPr>
          <w:rFonts w:ascii="Times New Roman" w:cs="Times New Roman" w:eastAsia="Times New Roman" w:hAnsi="Times New Roman"/>
          <w:sz w:val="13"/>
          <w:szCs w:val="13"/>
          <w:color w:val="auto"/>
        </w:rPr>
        <w:t>12.3</w:t>
      </w:r>
      <w:r>
        <w:rPr>
          <w:sz w:val="20"/>
          <w:szCs w:val="20"/>
          <w:color w:val="auto"/>
        </w:rPr>
        <w:tab/>
      </w: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MAKES NO WARRANTIES, EXPRESSED OR IMPLIED, OF MERCHANTABILITY OR FITNESS FOR A PARTICULAR PURPOSE OF ANY SUBJECT MATTER DEFINED BY THE CLAIMS OF THE </w:t>
      </w:r>
      <w:r>
        <w:rPr>
          <w:rFonts w:ascii="Times New Roman" w:cs="Times New Roman" w:eastAsia="Times New Roman" w:hAnsi="Times New Roman"/>
          <w:sz w:val="13"/>
          <w:szCs w:val="13"/>
          <w:b w:val="1"/>
          <w:bCs w:val="1"/>
          <w:color w:val="auto"/>
        </w:rPr>
        <w:t>LICENSED PATENT RIGHTS</w:t>
      </w:r>
      <w:r>
        <w:rPr>
          <w:rFonts w:ascii="Times New Roman" w:cs="Times New Roman" w:eastAsia="Times New Roman" w:hAnsi="Times New Roman"/>
          <w:sz w:val="13"/>
          <w:szCs w:val="13"/>
          <w:color w:val="auto"/>
        </w:rPr>
        <w:t xml:space="preserve"> OR TANGIBLE MATERIALS RELATED THERETO.</w:t>
      </w:r>
    </w:p>
    <w:p>
      <w:pPr>
        <w:spacing w:after="0" w:line="116" w:lineRule="exact"/>
        <w:rPr>
          <w:sz w:val="20"/>
          <w:szCs w:val="20"/>
          <w:color w:val="auto"/>
        </w:rPr>
      </w:pPr>
    </w:p>
    <w:p>
      <w:pPr>
        <w:ind w:left="489"/>
        <w:spacing w:after="0"/>
        <w:tabs>
          <w:tab w:leader="none" w:pos="949" w:val="left"/>
        </w:tabs>
        <w:rPr>
          <w:sz w:val="20"/>
          <w:szCs w:val="20"/>
          <w:color w:val="auto"/>
        </w:rPr>
      </w:pPr>
      <w:r>
        <w:rPr>
          <w:rFonts w:ascii="Times New Roman" w:cs="Times New Roman" w:eastAsia="Times New Roman" w:hAnsi="Times New Roman"/>
          <w:sz w:val="13"/>
          <w:szCs w:val="13"/>
          <w:color w:val="auto"/>
        </w:rPr>
        <w:t>12.4</w:t>
      </w:r>
      <w:r>
        <w:rPr>
          <w:sz w:val="20"/>
          <w:szCs w:val="20"/>
          <w:color w:val="auto"/>
        </w:rPr>
        <w:tab/>
      </w: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does not represent that it shall commence legal actions against third parties infringing the </w:t>
      </w:r>
      <w:r>
        <w:rPr>
          <w:rFonts w:ascii="Times New Roman" w:cs="Times New Roman" w:eastAsia="Times New Roman" w:hAnsi="Times New Roman"/>
          <w:sz w:val="13"/>
          <w:szCs w:val="13"/>
          <w:b w:val="1"/>
          <w:bCs w:val="1"/>
          <w:color w:val="auto"/>
        </w:rPr>
        <w:t>Licensed Patent Rights</w:t>
      </w:r>
      <w:r>
        <w:rPr>
          <w:rFonts w:ascii="Times New Roman" w:cs="Times New Roman" w:eastAsia="Times New Roman" w:hAnsi="Times New Roman"/>
          <w:sz w:val="13"/>
          <w:szCs w:val="13"/>
          <w:color w:val="auto"/>
        </w:rPr>
        <w:t>.</w:t>
      </w:r>
    </w:p>
    <w:p>
      <w:pPr>
        <w:spacing w:after="0" w:line="144" w:lineRule="exact"/>
        <w:rPr>
          <w:sz w:val="20"/>
          <w:szCs w:val="20"/>
          <w:color w:val="auto"/>
        </w:rPr>
      </w:pPr>
    </w:p>
    <w:p>
      <w:pPr>
        <w:ind w:left="969" w:right="40" w:hanging="484"/>
        <w:spacing w:after="0" w:line="248" w:lineRule="auto"/>
        <w:tabs>
          <w:tab w:leader="none" w:pos="949" w:val="left"/>
        </w:tabs>
        <w:rPr>
          <w:sz w:val="20"/>
          <w:szCs w:val="20"/>
          <w:color w:val="auto"/>
        </w:rPr>
      </w:pPr>
      <w:r>
        <w:rPr>
          <w:rFonts w:ascii="Times New Roman" w:cs="Times New Roman" w:eastAsia="Times New Roman" w:hAnsi="Times New Roman"/>
          <w:sz w:val="13"/>
          <w:szCs w:val="13"/>
          <w:color w:val="auto"/>
        </w:rPr>
        <w:t>12.5</w:t>
      </w:r>
      <w:r>
        <w:rPr>
          <w:sz w:val="20"/>
          <w:szCs w:val="20"/>
          <w:color w:val="auto"/>
        </w:rPr>
        <w:tab/>
      </w: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shall indemnify and hold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its employees, students, fellows, agents, and consultants, harmless from and against all liability, demands, damages, expenses, and losses, including but not limited to death, personal injury, illness, or property damage in connection with or arising out of:</w:t>
      </w:r>
    </w:p>
    <w:p>
      <w:pPr>
        <w:spacing w:after="0" w:line="116" w:lineRule="exact"/>
        <w:rPr>
          <w:sz w:val="20"/>
          <w:szCs w:val="20"/>
          <w:color w:val="auto"/>
        </w:rPr>
      </w:pPr>
    </w:p>
    <w:p>
      <w:pPr>
        <w:ind w:left="1449" w:hanging="479"/>
        <w:spacing w:after="0"/>
        <w:tabs>
          <w:tab w:leader="none" w:pos="1449" w:val="left"/>
        </w:tabs>
        <w:numPr>
          <w:ilvl w:val="0"/>
          <w:numId w:val="2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use by or on behalf of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directors, employees, or </w:t>
      </w:r>
      <w:r>
        <w:rPr>
          <w:rFonts w:ascii="Times New Roman" w:cs="Times New Roman" w:eastAsia="Times New Roman" w:hAnsi="Times New Roman"/>
          <w:sz w:val="13"/>
          <w:szCs w:val="13"/>
          <w:b w:val="1"/>
          <w:bCs w:val="1"/>
          <w:color w:val="auto"/>
        </w:rPr>
        <w:t>Third Parties</w:t>
      </w:r>
      <w:r>
        <w:rPr>
          <w:rFonts w:ascii="Times New Roman" w:cs="Times New Roman" w:eastAsia="Times New Roman" w:hAnsi="Times New Roman"/>
          <w:sz w:val="13"/>
          <w:szCs w:val="13"/>
          <w:color w:val="auto"/>
        </w:rPr>
        <w:t xml:space="preserve"> of any </w:t>
      </w:r>
      <w:r>
        <w:rPr>
          <w:rFonts w:ascii="Times New Roman" w:cs="Times New Roman" w:eastAsia="Times New Roman" w:hAnsi="Times New Roman"/>
          <w:sz w:val="13"/>
          <w:szCs w:val="13"/>
          <w:b w:val="1"/>
          <w:bCs w:val="1"/>
          <w:color w:val="auto"/>
        </w:rPr>
        <w:t>Licensed Patent Rights</w:t>
      </w:r>
      <w:r>
        <w:rPr>
          <w:rFonts w:ascii="Times New Roman" w:cs="Times New Roman" w:eastAsia="Times New Roman" w:hAnsi="Times New Roman"/>
          <w:sz w:val="13"/>
          <w:szCs w:val="13"/>
          <w:color w:val="auto"/>
        </w:rPr>
        <w:t>; or</w:t>
      </w:r>
    </w:p>
    <w:p>
      <w:pPr>
        <w:spacing w:after="0" w:line="143" w:lineRule="exact"/>
        <w:rPr>
          <w:rFonts w:ascii="Times New Roman" w:cs="Times New Roman" w:eastAsia="Times New Roman" w:hAnsi="Times New Roman"/>
          <w:sz w:val="13"/>
          <w:szCs w:val="13"/>
          <w:color w:val="auto"/>
        </w:rPr>
      </w:pPr>
    </w:p>
    <w:p>
      <w:pPr>
        <w:ind w:left="1449" w:right="80" w:hanging="479"/>
        <w:spacing w:after="0" w:line="248" w:lineRule="auto"/>
        <w:tabs>
          <w:tab w:leader="none" w:pos="1439" w:val="left"/>
        </w:tabs>
        <w:numPr>
          <w:ilvl w:val="0"/>
          <w:numId w:val="2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design, manufacture, distribution, or use of any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b w:val="1"/>
          <w:bCs w:val="1"/>
          <w:color w:val="auto"/>
        </w:rPr>
        <w:t>Licensed Processes</w:t>
      </w:r>
      <w:r>
        <w:rPr>
          <w:rFonts w:ascii="Times New Roman" w:cs="Times New Roman" w:eastAsia="Times New Roman" w:hAnsi="Times New Roman"/>
          <w:sz w:val="13"/>
          <w:szCs w:val="13"/>
          <w:color w:val="auto"/>
        </w:rPr>
        <w:t xml:space="preserve"> by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or other products or processes developed in connection with or arising out of the </w:t>
      </w:r>
      <w:r>
        <w:rPr>
          <w:rFonts w:ascii="Times New Roman" w:cs="Times New Roman" w:eastAsia="Times New Roman" w:hAnsi="Times New Roman"/>
          <w:sz w:val="13"/>
          <w:szCs w:val="13"/>
          <w:b w:val="1"/>
          <w:bCs w:val="1"/>
          <w:color w:val="auto"/>
        </w:rPr>
        <w:t>Licensed Patent Rights</w:t>
      </w:r>
      <w:r>
        <w:rPr>
          <w:rFonts w:ascii="Times New Roman" w:cs="Times New Roman" w:eastAsia="Times New Roman" w:hAnsi="Times New Roman"/>
          <w:sz w:val="13"/>
          <w:szCs w:val="13"/>
          <w:color w:val="auto"/>
        </w:rPr>
        <w:t>.</w:t>
      </w:r>
    </w:p>
    <w:p>
      <w:pPr>
        <w:spacing w:after="0" w:line="116" w:lineRule="exact"/>
        <w:rPr>
          <w:sz w:val="20"/>
          <w:szCs w:val="20"/>
          <w:color w:val="auto"/>
        </w:rPr>
      </w:pPr>
    </w:p>
    <w:p>
      <w:pPr>
        <w:ind w:left="489"/>
        <w:spacing w:after="0"/>
        <w:tabs>
          <w:tab w:leader="none" w:pos="949" w:val="left"/>
        </w:tabs>
        <w:rPr>
          <w:sz w:val="20"/>
          <w:szCs w:val="20"/>
          <w:color w:val="auto"/>
        </w:rPr>
      </w:pPr>
      <w:r>
        <w:rPr>
          <w:rFonts w:ascii="Times New Roman" w:cs="Times New Roman" w:eastAsia="Times New Roman" w:hAnsi="Times New Roman"/>
          <w:sz w:val="13"/>
          <w:szCs w:val="13"/>
          <w:color w:val="auto"/>
        </w:rPr>
        <w:t>12.6</w:t>
      </w:r>
      <w:r>
        <w:rPr>
          <w:sz w:val="20"/>
          <w:szCs w:val="20"/>
          <w:color w:val="auto"/>
        </w:rPr>
        <w:tab/>
      </w: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agrees to maintain a liability insurance program consistent with sound business practice.</w:t>
      </w:r>
    </w:p>
    <w:p>
      <w:pPr>
        <w:spacing w:after="0" w:line="146" w:lineRule="exact"/>
        <w:rPr>
          <w:sz w:val="20"/>
          <w:szCs w:val="20"/>
          <w:color w:val="auto"/>
        </w:rPr>
      </w:pPr>
    </w:p>
    <w:p>
      <w:pPr>
        <w:ind w:left="469" w:hanging="469"/>
        <w:spacing w:after="0"/>
        <w:tabs>
          <w:tab w:leader="none" w:pos="469"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 TERMINATION, AND MODIFICATION OF RIGHTS</w:t>
      </w:r>
    </w:p>
    <w:p>
      <w:pPr>
        <w:spacing w:after="0" w:line="141" w:lineRule="exact"/>
        <w:rPr>
          <w:rFonts w:ascii="Times New Roman" w:cs="Times New Roman" w:eastAsia="Times New Roman" w:hAnsi="Times New Roman"/>
          <w:sz w:val="13"/>
          <w:szCs w:val="13"/>
          <w:color w:val="auto"/>
        </w:rPr>
      </w:pPr>
    </w:p>
    <w:p>
      <w:pPr>
        <w:ind w:left="969" w:hanging="485"/>
        <w:spacing w:after="0" w:line="23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13.1On the </w:t>
      </w:r>
      <w:r>
        <w:rPr>
          <w:rFonts w:ascii="Times New Roman" w:cs="Times New Roman" w:eastAsia="Times New Roman" w:hAnsi="Times New Roman"/>
          <w:sz w:val="13"/>
          <w:szCs w:val="13"/>
          <w:b w:val="1"/>
          <w:bCs w:val="1"/>
          <w:color w:val="auto"/>
        </w:rPr>
        <w:t>Amendment Signing Date</w:t>
      </w:r>
      <w:r>
        <w:rPr>
          <w:rFonts w:ascii="Times New Roman" w:cs="Times New Roman" w:eastAsia="Times New Roman" w:hAnsi="Times New Roman"/>
          <w:sz w:val="13"/>
          <w:szCs w:val="13"/>
          <w:color w:val="auto"/>
        </w:rPr>
        <w:t xml:space="preserve">,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shall be, and is, effective as of the </w:t>
      </w:r>
      <w:r>
        <w:rPr>
          <w:rFonts w:ascii="Times New Roman" w:cs="Times New Roman" w:eastAsia="Times New Roman" w:hAnsi="Times New Roman"/>
          <w:sz w:val="13"/>
          <w:szCs w:val="13"/>
          <w:b w:val="1"/>
          <w:bCs w:val="1"/>
          <w:color w:val="auto"/>
        </w:rPr>
        <w:t>Amendment Effective Date</w:t>
      </w:r>
      <w:r>
        <w:rPr>
          <w:rFonts w:ascii="Times New Roman" w:cs="Times New Roman" w:eastAsia="Times New Roman" w:hAnsi="Times New Roman"/>
          <w:sz w:val="13"/>
          <w:szCs w:val="13"/>
          <w:color w:val="auto"/>
        </w:rPr>
        <w:t xml:space="preserve"> and shall extend on a country-by-country basis until the expiration of the last to expire of the </w:t>
      </w:r>
      <w:r>
        <w:rPr>
          <w:rFonts w:ascii="Times New Roman" w:cs="Times New Roman" w:eastAsia="Times New Roman" w:hAnsi="Times New Roman"/>
          <w:sz w:val="13"/>
          <w:szCs w:val="13"/>
          <w:b w:val="1"/>
          <w:bCs w:val="1"/>
          <w:color w:val="auto"/>
        </w:rPr>
        <w:t>Licensed Patent Rights</w:t>
      </w:r>
      <w:r>
        <w:rPr>
          <w:rFonts w:ascii="Times New Roman" w:cs="Times New Roman" w:eastAsia="Times New Roman" w:hAnsi="Times New Roman"/>
          <w:sz w:val="13"/>
          <w:szCs w:val="13"/>
          <w:color w:val="auto"/>
        </w:rPr>
        <w:t xml:space="preserve"> unless sooner terminated as provided in this Article 13, unless the provisions of Paragraph 14.14 are not fulfilled.</w:t>
      </w:r>
    </w:p>
    <w:p>
      <w:pPr>
        <w:spacing w:after="0" w:line="120" w:lineRule="exact"/>
        <w:rPr>
          <w:rFonts w:ascii="Times New Roman" w:cs="Times New Roman" w:eastAsia="Times New Roman" w:hAnsi="Times New Roman"/>
          <w:sz w:val="13"/>
          <w:szCs w:val="13"/>
          <w:color w:val="auto"/>
        </w:rPr>
      </w:pPr>
    </w:p>
    <w:p>
      <w:pPr>
        <w:ind w:left="969" w:right="100" w:hanging="485"/>
        <w:spacing w:after="0" w:line="23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13.2In the event that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is in default in the performance of any material obligations under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including but not limited to the obligations listed in Paragraph 13.5, and if the default has not been remedied within [***] days after the date of notice in writing of the default,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may terminate this </w:t>
      </w:r>
      <w:r>
        <w:rPr>
          <w:rFonts w:ascii="Times New Roman" w:cs="Times New Roman" w:eastAsia="Times New Roman" w:hAnsi="Times New Roman"/>
          <w:sz w:val="13"/>
          <w:szCs w:val="13"/>
          <w:b w:val="1"/>
          <w:bCs w:val="1"/>
          <w:color w:val="auto"/>
        </w:rPr>
        <w:t>Amended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Restated Agreement </w:t>
      </w:r>
      <w:r>
        <w:rPr>
          <w:rFonts w:ascii="Times New Roman" w:cs="Times New Roman" w:eastAsia="Times New Roman" w:hAnsi="Times New Roman"/>
          <w:sz w:val="13"/>
          <w:szCs w:val="13"/>
          <w:color w:val="auto"/>
        </w:rPr>
        <w:t>by written notice and pursue outstanding royalties owed through procedures provided by the Federal Debt Collection Act.</w:t>
      </w:r>
    </w:p>
    <w:p>
      <w:pPr>
        <w:spacing w:after="0" w:line="120" w:lineRule="exact"/>
        <w:rPr>
          <w:rFonts w:ascii="Times New Roman" w:cs="Times New Roman" w:eastAsia="Times New Roman" w:hAnsi="Times New Roman"/>
          <w:sz w:val="13"/>
          <w:szCs w:val="13"/>
          <w:color w:val="auto"/>
        </w:rPr>
      </w:pPr>
    </w:p>
    <w:p>
      <w:pPr>
        <w:ind w:left="969" w:right="160" w:hanging="485"/>
        <w:spacing w:after="0" w:line="24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13.3In the event that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becomes insolvent, files a petition in bankruptcy, has such a petition filed against it, determines to file a petition in bankruptcy, or receives notice of a </w:t>
      </w:r>
      <w:r>
        <w:rPr>
          <w:rFonts w:ascii="Times New Roman" w:cs="Times New Roman" w:eastAsia="Times New Roman" w:hAnsi="Times New Roman"/>
          <w:sz w:val="13"/>
          <w:szCs w:val="13"/>
          <w:b w:val="1"/>
          <w:bCs w:val="1"/>
          <w:color w:val="auto"/>
        </w:rPr>
        <w:t xml:space="preserve">Third Party’s </w:t>
      </w:r>
      <w:r>
        <w:rPr>
          <w:rFonts w:ascii="Times New Roman" w:cs="Times New Roman" w:eastAsia="Times New Roman" w:hAnsi="Times New Roman"/>
          <w:sz w:val="13"/>
          <w:szCs w:val="13"/>
          <w:color w:val="auto"/>
        </w:rPr>
        <w:t>intention to file an involuntary petition in bankruptcy, the</w:t>
      </w:r>
      <w:r>
        <w:rPr>
          <w:rFonts w:ascii="Times New Roman" w:cs="Times New Roman" w:eastAsia="Times New Roman" w:hAnsi="Times New Roman"/>
          <w:sz w:val="13"/>
          <w:szCs w:val="13"/>
          <w:b w:val="1"/>
          <w:bCs w:val="1"/>
          <w:color w:val="auto"/>
        </w:rPr>
        <w:t xml:space="preserve"> Licensee </w:t>
      </w:r>
      <w:r>
        <w:rPr>
          <w:rFonts w:ascii="Times New Roman" w:cs="Times New Roman" w:eastAsia="Times New Roman" w:hAnsi="Times New Roman"/>
          <w:sz w:val="13"/>
          <w:szCs w:val="13"/>
          <w:color w:val="auto"/>
        </w:rPr>
        <w:t>shall immediately notify the</w:t>
      </w:r>
      <w:r>
        <w:rPr>
          <w:rFonts w:ascii="Times New Roman" w:cs="Times New Roman" w:eastAsia="Times New Roman" w:hAnsi="Times New Roman"/>
          <w:sz w:val="13"/>
          <w:szCs w:val="13"/>
          <w:b w:val="1"/>
          <w:bCs w:val="1"/>
          <w:color w:val="auto"/>
        </w:rPr>
        <w:t xml:space="preserve"> NIAID </w:t>
      </w:r>
      <w:r>
        <w:rPr>
          <w:rFonts w:ascii="Times New Roman" w:cs="Times New Roman" w:eastAsia="Times New Roman" w:hAnsi="Times New Roman"/>
          <w:sz w:val="13"/>
          <w:szCs w:val="13"/>
          <w:color w:val="auto"/>
        </w:rPr>
        <w:t>in writing.</w:t>
      </w:r>
    </w:p>
    <w:p>
      <w:pPr>
        <w:spacing w:after="0" w:line="115" w:lineRule="exact"/>
        <w:rPr>
          <w:rFonts w:ascii="Times New Roman" w:cs="Times New Roman" w:eastAsia="Times New Roman" w:hAnsi="Times New Roman"/>
          <w:sz w:val="13"/>
          <w:szCs w:val="13"/>
          <w:color w:val="auto"/>
        </w:rPr>
      </w:pPr>
    </w:p>
    <w:p>
      <w:pPr>
        <w:ind w:left="969" w:right="120" w:hanging="485"/>
        <w:spacing w:after="0" w:line="24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13.4The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shall have a unilateral right to terminate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in any country or territory by giving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sixty (60) days written notice to that effect.</w:t>
      </w:r>
    </w:p>
    <w:p>
      <w:pPr>
        <w:spacing w:after="0" w:line="115" w:lineRule="exact"/>
        <w:rPr>
          <w:rFonts w:ascii="Times New Roman" w:cs="Times New Roman" w:eastAsia="Times New Roman" w:hAnsi="Times New Roman"/>
          <w:sz w:val="13"/>
          <w:szCs w:val="13"/>
          <w:color w:val="auto"/>
        </w:rPr>
      </w:pPr>
    </w:p>
    <w:p>
      <w:pPr>
        <w:ind w:left="489"/>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13.5The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shall specifically have the right to terminate or modify, at its option,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if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determines that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w:t>
      </w:r>
    </w:p>
    <w:p>
      <w:pPr>
        <w:spacing w:after="0" w:line="143" w:lineRule="exact"/>
        <w:rPr>
          <w:rFonts w:ascii="Times New Roman" w:cs="Times New Roman" w:eastAsia="Times New Roman" w:hAnsi="Times New Roman"/>
          <w:sz w:val="13"/>
          <w:szCs w:val="13"/>
          <w:color w:val="auto"/>
        </w:rPr>
      </w:pPr>
    </w:p>
    <w:p>
      <w:pPr>
        <w:ind w:left="1449" w:right="40" w:hanging="479"/>
        <w:spacing w:after="0" w:line="233" w:lineRule="auto"/>
        <w:tabs>
          <w:tab w:leader="none" w:pos="1439" w:val="left"/>
        </w:tabs>
        <w:numPr>
          <w:ilvl w:val="1"/>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is not executing the </w:t>
      </w:r>
      <w:r>
        <w:rPr>
          <w:rFonts w:ascii="Times New Roman" w:cs="Times New Roman" w:eastAsia="Times New Roman" w:hAnsi="Times New Roman"/>
          <w:sz w:val="13"/>
          <w:szCs w:val="13"/>
          <w:b w:val="1"/>
          <w:bCs w:val="1"/>
          <w:color w:val="auto"/>
        </w:rPr>
        <w:t>Commercial Development Plan</w:t>
      </w:r>
      <w:r>
        <w:rPr>
          <w:rFonts w:ascii="Times New Roman" w:cs="Times New Roman" w:eastAsia="Times New Roman" w:hAnsi="Times New Roman"/>
          <w:sz w:val="13"/>
          <w:szCs w:val="13"/>
          <w:color w:val="auto"/>
        </w:rPr>
        <w:t xml:space="preserve"> submitted with its request for a license and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cannot otherwise demonstrate to the </w:t>
      </w:r>
      <w:r>
        <w:rPr>
          <w:rFonts w:ascii="Times New Roman" w:cs="Times New Roman" w:eastAsia="Times New Roman" w:hAnsi="Times New Roman"/>
          <w:sz w:val="13"/>
          <w:szCs w:val="13"/>
          <w:b w:val="1"/>
          <w:bCs w:val="1"/>
          <w:color w:val="auto"/>
        </w:rPr>
        <w:t>NIAID’s</w:t>
      </w:r>
      <w:r>
        <w:rPr>
          <w:rFonts w:ascii="Times New Roman" w:cs="Times New Roman" w:eastAsia="Times New Roman" w:hAnsi="Times New Roman"/>
          <w:sz w:val="13"/>
          <w:szCs w:val="13"/>
          <w:color w:val="auto"/>
        </w:rPr>
        <w:t xml:space="preserve"> satisfaction that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has taken, or can be expected to take within a reasonable time, effective steps to achieve</w:t>
      </w:r>
      <w:r>
        <w:rPr>
          <w:rFonts w:ascii="Times New Roman" w:cs="Times New Roman" w:eastAsia="Times New Roman" w:hAnsi="Times New Roman"/>
          <w:sz w:val="13"/>
          <w:szCs w:val="13"/>
          <w:b w:val="1"/>
          <w:bCs w:val="1"/>
          <w:color w:val="auto"/>
        </w:rPr>
        <w:t>Practical Application</w:t>
      </w:r>
      <w:r>
        <w:rPr>
          <w:rFonts w:ascii="Times New Roman" w:cs="Times New Roman" w:eastAsia="Times New Roman" w:hAnsi="Times New Roman"/>
          <w:sz w:val="13"/>
          <w:szCs w:val="13"/>
          <w:color w:val="auto"/>
        </w:rPr>
        <w:t xml:space="preserve"> of the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b w:val="1"/>
          <w:bCs w:val="1"/>
          <w:color w:val="auto"/>
        </w:rPr>
        <w:t>Licensed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Processes</w:t>
      </w:r>
      <w:r>
        <w:rPr>
          <w:rFonts w:ascii="Times New Roman" w:cs="Times New Roman" w:eastAsia="Times New Roman" w:hAnsi="Times New Roman"/>
          <w:sz w:val="13"/>
          <w:szCs w:val="13"/>
          <w:color w:val="auto"/>
        </w:rPr>
        <w:t>;</w:t>
      </w:r>
    </w:p>
    <w:p>
      <w:pPr>
        <w:spacing w:after="0" w:line="120" w:lineRule="exact"/>
        <w:rPr>
          <w:rFonts w:ascii="Times New Roman" w:cs="Times New Roman" w:eastAsia="Times New Roman" w:hAnsi="Times New Roman"/>
          <w:sz w:val="13"/>
          <w:szCs w:val="13"/>
          <w:color w:val="auto"/>
        </w:rPr>
      </w:pPr>
    </w:p>
    <w:p>
      <w:pPr>
        <w:ind w:left="1449" w:hanging="479"/>
        <w:spacing w:after="0"/>
        <w:tabs>
          <w:tab w:leader="none" w:pos="1449" w:val="left"/>
        </w:tabs>
        <w:numPr>
          <w:ilvl w:val="1"/>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has not achieved the </w:t>
      </w:r>
      <w:r>
        <w:rPr>
          <w:rFonts w:ascii="Times New Roman" w:cs="Times New Roman" w:eastAsia="Times New Roman" w:hAnsi="Times New Roman"/>
          <w:sz w:val="13"/>
          <w:szCs w:val="13"/>
          <w:b w:val="1"/>
          <w:bCs w:val="1"/>
          <w:color w:val="auto"/>
        </w:rPr>
        <w:t>Benchmarks</w:t>
      </w:r>
      <w:r>
        <w:rPr>
          <w:rFonts w:ascii="Times New Roman" w:cs="Times New Roman" w:eastAsia="Times New Roman" w:hAnsi="Times New Roman"/>
          <w:sz w:val="13"/>
          <w:szCs w:val="13"/>
          <w:color w:val="auto"/>
        </w:rPr>
        <w:t xml:space="preserve"> as may be modified under Paragraph 9.2;</w:t>
      </w:r>
    </w:p>
    <w:p>
      <w:pPr>
        <w:spacing w:after="0" w:line="143" w:lineRule="exact"/>
        <w:rPr>
          <w:rFonts w:ascii="Times New Roman" w:cs="Times New Roman" w:eastAsia="Times New Roman" w:hAnsi="Times New Roman"/>
          <w:sz w:val="13"/>
          <w:szCs w:val="13"/>
          <w:color w:val="auto"/>
        </w:rPr>
      </w:pPr>
    </w:p>
    <w:p>
      <w:pPr>
        <w:ind w:left="1449" w:hanging="479"/>
        <w:spacing w:after="0"/>
        <w:tabs>
          <w:tab w:leader="none" w:pos="1449" w:val="left"/>
        </w:tabs>
        <w:numPr>
          <w:ilvl w:val="1"/>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has willfully made a false statement of, or willfully omitted, a material fact in the license application or in any report required by this</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w:t>
      </w:r>
    </w:p>
    <w:p>
      <w:pPr>
        <w:spacing w:after="0" w:line="143" w:lineRule="exact"/>
        <w:rPr>
          <w:rFonts w:ascii="Times New Roman" w:cs="Times New Roman" w:eastAsia="Times New Roman" w:hAnsi="Times New Roman"/>
          <w:sz w:val="13"/>
          <w:szCs w:val="13"/>
          <w:color w:val="auto"/>
        </w:rPr>
      </w:pPr>
    </w:p>
    <w:p>
      <w:pPr>
        <w:ind w:left="1449" w:hanging="479"/>
        <w:spacing w:after="0"/>
        <w:tabs>
          <w:tab w:leader="none" w:pos="1449" w:val="left"/>
        </w:tabs>
        <w:numPr>
          <w:ilvl w:val="1"/>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has committed a material breach of a covenant or agreement contained in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w:t>
      </w:r>
    </w:p>
    <w:p>
      <w:pPr>
        <w:spacing w:after="0" w:line="21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b w:val="1"/>
          <w:bCs w:val="1"/>
          <w:color w:val="auto"/>
        </w:rPr>
        <w:t xml:space="preserve">CONFIDENTIAL </w:t>
      </w:r>
      <w:r>
        <w:rPr>
          <w:rFonts w:ascii="Times New Roman" w:cs="Times New Roman" w:eastAsia="Times New Roman" w:hAnsi="Times New Roman"/>
          <w:sz w:val="11"/>
          <w:szCs w:val="11"/>
          <w:color w:val="auto"/>
        </w:rPr>
        <w:t>[***]</w:t>
      </w:r>
    </w:p>
    <w:p>
      <w:pPr>
        <w:spacing w:after="0" w:line="1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ind w:left="9"/>
        <w:spacing w:after="0"/>
        <w:tabs>
          <w:tab w:leader="none" w:pos="1409" w:val="left"/>
        </w:tabs>
        <w:rPr>
          <w:sz w:val="20"/>
          <w:szCs w:val="20"/>
          <w:color w:val="auto"/>
        </w:rPr>
      </w:pPr>
      <w:r>
        <w:rPr>
          <w:rFonts w:ascii="Times New Roman" w:cs="Times New Roman" w:eastAsia="Times New Roman" w:hAnsi="Times New Roman"/>
          <w:sz w:val="11"/>
          <w:szCs w:val="11"/>
          <w:color w:val="auto"/>
        </w:rPr>
        <w:t>Model 10-2015 Rev 09-2024</w:t>
        <w:tab/>
        <w:t>Page 11 of 25 [FINAL] [BioNTech SE] [20 December 2024]</w:t>
      </w:r>
    </w:p>
    <w:p>
      <w:pPr>
        <w:sectPr>
          <w:pgSz w:w="11900" w:h="16840" w:orient="portrait"/>
          <w:cols w:equalWidth="0" w:num="1">
            <w:col w:w="10569"/>
          </w:cols>
          <w:pgMar w:left="651" w:top="752" w:right="680" w:bottom="1440" w:gutter="0" w:footer="0" w:header="0"/>
        </w:sectPr>
      </w:pPr>
    </w:p>
    <w:bookmarkStart w:id="402" w:name="page403"/>
    <w:bookmarkEnd w:id="402"/>
    <w:p>
      <w:pPr>
        <w:ind w:left="9"/>
        <w:spacing w:after="0"/>
        <w:rPr>
          <w:sz w:val="20"/>
          <w:szCs w:val="20"/>
          <w:color w:val="auto"/>
        </w:rPr>
      </w:pPr>
      <w:r>
        <w:rPr>
          <w:rFonts w:ascii="Times New Roman" w:cs="Times New Roman" w:eastAsia="Times New Roman" w:hAnsi="Times New Roman"/>
          <w:sz w:val="13"/>
          <w:szCs w:val="13"/>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49" w:hanging="479"/>
        <w:spacing w:after="0"/>
        <w:tabs>
          <w:tab w:leader="none" w:pos="1449"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is not keeping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b w:val="1"/>
          <w:bCs w:val="1"/>
          <w:color w:val="auto"/>
        </w:rPr>
        <w:t>Licensed Processes</w:t>
      </w:r>
      <w:r>
        <w:rPr>
          <w:rFonts w:ascii="Times New Roman" w:cs="Times New Roman" w:eastAsia="Times New Roman" w:hAnsi="Times New Roman"/>
          <w:sz w:val="13"/>
          <w:szCs w:val="13"/>
          <w:color w:val="auto"/>
        </w:rPr>
        <w:t xml:space="preserve"> reasonably available to the public after commercial use commences;</w:t>
      </w:r>
    </w:p>
    <w:p>
      <w:pPr>
        <w:spacing w:after="0" w:line="145" w:lineRule="exact"/>
        <w:rPr>
          <w:rFonts w:ascii="Times New Roman" w:cs="Times New Roman" w:eastAsia="Times New Roman" w:hAnsi="Times New Roman"/>
          <w:sz w:val="13"/>
          <w:szCs w:val="13"/>
          <w:color w:val="auto"/>
        </w:rPr>
      </w:pPr>
    </w:p>
    <w:p>
      <w:pPr>
        <w:ind w:left="1449" w:hanging="479"/>
        <w:spacing w:after="0"/>
        <w:tabs>
          <w:tab w:leader="none" w:pos="1449"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cannot reasonably satisfy unmet health and safety needs;</w:t>
      </w:r>
    </w:p>
    <w:p>
      <w:pPr>
        <w:spacing w:after="0" w:line="143" w:lineRule="exact"/>
        <w:rPr>
          <w:rFonts w:ascii="Times New Roman" w:cs="Times New Roman" w:eastAsia="Times New Roman" w:hAnsi="Times New Roman"/>
          <w:sz w:val="13"/>
          <w:szCs w:val="13"/>
          <w:color w:val="auto"/>
        </w:rPr>
      </w:pPr>
    </w:p>
    <w:p>
      <w:pPr>
        <w:ind w:left="1449" w:hanging="479"/>
        <w:spacing w:after="0"/>
        <w:tabs>
          <w:tab w:leader="none" w:pos="1449"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cannot reasonably justify a failure to comply with the domestic production requirement of Paragraph 5.2, unless waived; or</w:t>
      </w:r>
    </w:p>
    <w:p>
      <w:pPr>
        <w:spacing w:after="0" w:line="143" w:lineRule="exact"/>
        <w:rPr>
          <w:rFonts w:ascii="Times New Roman" w:cs="Times New Roman" w:eastAsia="Times New Roman" w:hAnsi="Times New Roman"/>
          <w:sz w:val="13"/>
          <w:szCs w:val="13"/>
          <w:color w:val="auto"/>
        </w:rPr>
      </w:pPr>
    </w:p>
    <w:p>
      <w:pPr>
        <w:ind w:left="1449" w:right="900" w:hanging="479"/>
        <w:spacing w:after="0" w:line="245" w:lineRule="auto"/>
        <w:tabs>
          <w:tab w:leader="none" w:pos="1439"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has been finally found by a court of competent jurisdiction to have violated the Federal antitrust laws, without the possibility of appeal, in connection with its performance under this </w:t>
      </w:r>
      <w:r>
        <w:rPr>
          <w:rFonts w:ascii="Times New Roman" w:cs="Times New Roman" w:eastAsia="Times New Roman" w:hAnsi="Times New Roman"/>
          <w:sz w:val="13"/>
          <w:szCs w:val="13"/>
          <w:b w:val="1"/>
          <w:bCs w:val="1"/>
          <w:color w:val="auto"/>
        </w:rPr>
        <w:t>Amended and Restated Agreement.</w:t>
      </w:r>
    </w:p>
    <w:p>
      <w:pPr>
        <w:spacing w:after="0" w:line="117" w:lineRule="exact"/>
        <w:rPr>
          <w:sz w:val="20"/>
          <w:szCs w:val="20"/>
          <w:color w:val="auto"/>
        </w:rPr>
      </w:pPr>
    </w:p>
    <w:p>
      <w:pPr>
        <w:ind w:left="969" w:hanging="484"/>
        <w:spacing w:after="0" w:line="224" w:lineRule="auto"/>
        <w:tabs>
          <w:tab w:leader="none" w:pos="949" w:val="left"/>
        </w:tabs>
        <w:rPr>
          <w:sz w:val="20"/>
          <w:szCs w:val="20"/>
          <w:color w:val="auto"/>
        </w:rPr>
      </w:pPr>
      <w:r>
        <w:rPr>
          <w:rFonts w:ascii="Times New Roman" w:cs="Times New Roman" w:eastAsia="Times New Roman" w:hAnsi="Times New Roman"/>
          <w:sz w:val="13"/>
          <w:szCs w:val="13"/>
          <w:color w:val="auto"/>
        </w:rPr>
        <w:t>13.6</w:t>
      </w:r>
      <w:r>
        <w:rPr>
          <w:sz w:val="20"/>
          <w:szCs w:val="20"/>
          <w:color w:val="auto"/>
        </w:rPr>
        <w:tab/>
      </w:r>
      <w:r>
        <w:rPr>
          <w:rFonts w:ascii="Times New Roman" w:cs="Times New Roman" w:eastAsia="Times New Roman" w:hAnsi="Times New Roman"/>
          <w:sz w:val="13"/>
          <w:szCs w:val="13"/>
          <w:color w:val="auto"/>
        </w:rPr>
        <w:t xml:space="preserve">In making the determination referenced in Paragraph 13.5,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shall take into account the normal course of such commercial development programs conducted with sound and reasonable business practices and judgment and the annual reports submitted by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under Paragraph 9.2. Prior to invoking termination or modification of this </w:t>
      </w:r>
      <w:r>
        <w:rPr>
          <w:rFonts w:ascii="Times New Roman" w:cs="Times New Roman" w:eastAsia="Times New Roman" w:hAnsi="Times New Roman"/>
          <w:sz w:val="13"/>
          <w:szCs w:val="13"/>
          <w:b w:val="1"/>
          <w:bCs w:val="1"/>
          <w:color w:val="auto"/>
        </w:rPr>
        <w:t>Amended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Restated Agreement </w:t>
      </w:r>
      <w:r>
        <w:rPr>
          <w:rFonts w:ascii="Times New Roman" w:cs="Times New Roman" w:eastAsia="Times New Roman" w:hAnsi="Times New Roman"/>
          <w:sz w:val="13"/>
          <w:szCs w:val="13"/>
          <w:color w:val="auto"/>
        </w:rPr>
        <w:t>under Paragraph 13.5, the</w:t>
      </w:r>
      <w:r>
        <w:rPr>
          <w:rFonts w:ascii="Times New Roman" w:cs="Times New Roman" w:eastAsia="Times New Roman" w:hAnsi="Times New Roman"/>
          <w:sz w:val="13"/>
          <w:szCs w:val="13"/>
          <w:b w:val="1"/>
          <w:bCs w:val="1"/>
          <w:color w:val="auto"/>
        </w:rPr>
        <w:t xml:space="preserve"> NIAID </w:t>
      </w:r>
      <w:r>
        <w:rPr>
          <w:rFonts w:ascii="Times New Roman" w:cs="Times New Roman" w:eastAsia="Times New Roman" w:hAnsi="Times New Roman"/>
          <w:sz w:val="13"/>
          <w:szCs w:val="13"/>
          <w:color w:val="auto"/>
        </w:rPr>
        <w:t>shall give written notice to the</w:t>
      </w:r>
      <w:r>
        <w:rPr>
          <w:rFonts w:ascii="Times New Roman" w:cs="Times New Roman" w:eastAsia="Times New Roman" w:hAnsi="Times New Roman"/>
          <w:sz w:val="13"/>
          <w:szCs w:val="13"/>
          <w:b w:val="1"/>
          <w:bCs w:val="1"/>
          <w:color w:val="auto"/>
        </w:rPr>
        <w:t xml:space="preserve"> Licensee </w:t>
      </w:r>
      <w:r>
        <w:rPr>
          <w:rFonts w:ascii="Times New Roman" w:cs="Times New Roman" w:eastAsia="Times New Roman" w:hAnsi="Times New Roman"/>
          <w:sz w:val="13"/>
          <w:szCs w:val="13"/>
          <w:color w:val="auto"/>
        </w:rPr>
        <w:t>providing the</w:t>
      </w:r>
      <w:r>
        <w:rPr>
          <w:rFonts w:ascii="Times New Roman" w:cs="Times New Roman" w:eastAsia="Times New Roman" w:hAnsi="Times New Roman"/>
          <w:sz w:val="13"/>
          <w:szCs w:val="13"/>
          <w:b w:val="1"/>
          <w:bCs w:val="1"/>
          <w:color w:val="auto"/>
        </w:rPr>
        <w:t xml:space="preserve"> Licensee </w:t>
      </w:r>
      <w:r>
        <w:rPr>
          <w:rFonts w:ascii="Times New Roman" w:cs="Times New Roman" w:eastAsia="Times New Roman" w:hAnsi="Times New Roman"/>
          <w:sz w:val="13"/>
          <w:szCs w:val="13"/>
          <w:color w:val="auto"/>
        </w:rPr>
        <w:t>specific notice of, and a [***] day opportunity to respond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b w:val="1"/>
          <w:bCs w:val="1"/>
          <w:color w:val="auto"/>
        </w:rPr>
        <w:t>NIAID’s</w:t>
      </w:r>
      <w:r>
        <w:rPr>
          <w:rFonts w:ascii="Times New Roman" w:cs="Times New Roman" w:eastAsia="Times New Roman" w:hAnsi="Times New Roman"/>
          <w:sz w:val="13"/>
          <w:szCs w:val="13"/>
          <w:color w:val="auto"/>
        </w:rPr>
        <w:t xml:space="preserve"> concerns as to the items referenced in Paragraphs 13.5(a)-13.5(h). If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fails to alleviate the </w:t>
      </w:r>
      <w:r>
        <w:rPr>
          <w:rFonts w:ascii="Times New Roman" w:cs="Times New Roman" w:eastAsia="Times New Roman" w:hAnsi="Times New Roman"/>
          <w:sz w:val="13"/>
          <w:szCs w:val="13"/>
          <w:b w:val="1"/>
          <w:bCs w:val="1"/>
          <w:color w:val="auto"/>
        </w:rPr>
        <w:t>NIAID’s</w:t>
      </w:r>
      <w:r>
        <w:rPr>
          <w:rFonts w:ascii="Times New Roman" w:cs="Times New Roman" w:eastAsia="Times New Roman" w:hAnsi="Times New Roman"/>
          <w:sz w:val="13"/>
          <w:szCs w:val="13"/>
          <w:color w:val="auto"/>
        </w:rPr>
        <w:t xml:space="preserve"> concerns as to the items referenced in 13.5(a)-13.5(h) or fails to initiate corrective action to the </w:t>
      </w:r>
      <w:r>
        <w:rPr>
          <w:rFonts w:ascii="Times New Roman" w:cs="Times New Roman" w:eastAsia="Times New Roman" w:hAnsi="Times New Roman"/>
          <w:sz w:val="13"/>
          <w:szCs w:val="13"/>
          <w:b w:val="1"/>
          <w:bCs w:val="1"/>
          <w:color w:val="auto"/>
        </w:rPr>
        <w:t>NIAID’s</w:t>
      </w:r>
      <w:r>
        <w:rPr>
          <w:rFonts w:ascii="Times New Roman" w:cs="Times New Roman" w:eastAsia="Times New Roman" w:hAnsi="Times New Roman"/>
          <w:sz w:val="13"/>
          <w:szCs w:val="13"/>
          <w:color w:val="auto"/>
        </w:rPr>
        <w:t xml:space="preserve"> satisfaction,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may terminate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ind w:left="969" w:right="40" w:hanging="484"/>
        <w:spacing w:after="0" w:line="248" w:lineRule="auto"/>
        <w:tabs>
          <w:tab w:leader="none" w:pos="949" w:val="left"/>
        </w:tabs>
        <w:rPr>
          <w:sz w:val="20"/>
          <w:szCs w:val="20"/>
          <w:color w:val="auto"/>
        </w:rPr>
      </w:pPr>
      <w:r>
        <w:rPr>
          <w:rFonts w:ascii="Times New Roman" w:cs="Times New Roman" w:eastAsia="Times New Roman" w:hAnsi="Times New Roman"/>
          <w:sz w:val="13"/>
          <w:szCs w:val="13"/>
          <w:color w:val="auto"/>
        </w:rPr>
        <w:t>13.7</w:t>
      </w:r>
      <w:r>
        <w:rPr>
          <w:sz w:val="20"/>
          <w:szCs w:val="20"/>
          <w:color w:val="auto"/>
        </w:rPr>
        <w:tab/>
      </w: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reserves the right according to 35 U.S.C. §209(d)(3) to terminate or modify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if it is determined that the action is necessary to meet the requirements for public use specified by federal regulations issued after the date of the license and these requirements are not reasonably satisfied by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w:t>
      </w:r>
    </w:p>
    <w:p>
      <w:pPr>
        <w:spacing w:after="0" w:line="116" w:lineRule="exact"/>
        <w:rPr>
          <w:sz w:val="20"/>
          <w:szCs w:val="20"/>
          <w:color w:val="auto"/>
        </w:rPr>
      </w:pPr>
    </w:p>
    <w:p>
      <w:pPr>
        <w:ind w:left="969" w:right="100" w:hanging="484"/>
        <w:spacing w:after="0" w:line="233" w:lineRule="auto"/>
        <w:tabs>
          <w:tab w:leader="none" w:pos="949" w:val="left"/>
        </w:tabs>
        <w:rPr>
          <w:sz w:val="20"/>
          <w:szCs w:val="20"/>
          <w:color w:val="auto"/>
        </w:rPr>
      </w:pPr>
      <w:r>
        <w:rPr>
          <w:rFonts w:ascii="Times New Roman" w:cs="Times New Roman" w:eastAsia="Times New Roman" w:hAnsi="Times New Roman"/>
          <w:sz w:val="13"/>
          <w:szCs w:val="13"/>
          <w:color w:val="auto"/>
        </w:rPr>
        <w:t>13.8</w:t>
      </w:r>
      <w:r>
        <w:rPr>
          <w:sz w:val="20"/>
          <w:szCs w:val="20"/>
          <w:color w:val="auto"/>
        </w:rPr>
        <w:tab/>
      </w:r>
      <w:r>
        <w:rPr>
          <w:rFonts w:ascii="Times New Roman" w:cs="Times New Roman" w:eastAsia="Times New Roman" w:hAnsi="Times New Roman"/>
          <w:sz w:val="13"/>
          <w:szCs w:val="13"/>
          <w:color w:val="auto"/>
        </w:rPr>
        <w:t xml:space="preserve">Within [***] days of receipt of written notice of the </w:t>
      </w:r>
      <w:r>
        <w:rPr>
          <w:rFonts w:ascii="Times New Roman" w:cs="Times New Roman" w:eastAsia="Times New Roman" w:hAnsi="Times New Roman"/>
          <w:sz w:val="13"/>
          <w:szCs w:val="13"/>
          <w:b w:val="1"/>
          <w:bCs w:val="1"/>
          <w:color w:val="auto"/>
        </w:rPr>
        <w:t>NIAID’s</w:t>
      </w:r>
      <w:r>
        <w:rPr>
          <w:rFonts w:ascii="Times New Roman" w:cs="Times New Roman" w:eastAsia="Times New Roman" w:hAnsi="Times New Roman"/>
          <w:sz w:val="13"/>
          <w:szCs w:val="13"/>
          <w:color w:val="auto"/>
        </w:rPr>
        <w:t xml:space="preserve"> unilateral decision to modify or terminate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may, consistent with the provisions of 37 CFR §404.11, appeal the decision by written submission to the designated the </w:t>
      </w:r>
      <w:r>
        <w:rPr>
          <w:rFonts w:ascii="Times New Roman" w:cs="Times New Roman" w:eastAsia="Times New Roman" w:hAnsi="Times New Roman"/>
          <w:sz w:val="13"/>
          <w:szCs w:val="13"/>
          <w:b w:val="1"/>
          <w:bCs w:val="1"/>
          <w:color w:val="auto"/>
        </w:rPr>
        <w:t>NIH</w:t>
      </w:r>
      <w:r>
        <w:rPr>
          <w:rFonts w:ascii="Times New Roman" w:cs="Times New Roman" w:eastAsia="Times New Roman" w:hAnsi="Times New Roman"/>
          <w:sz w:val="13"/>
          <w:szCs w:val="13"/>
          <w:color w:val="auto"/>
        </w:rPr>
        <w:t xml:space="preserve"> official. The decision of the designated </w:t>
      </w:r>
      <w:r>
        <w:rPr>
          <w:rFonts w:ascii="Times New Roman" w:cs="Times New Roman" w:eastAsia="Times New Roman" w:hAnsi="Times New Roman"/>
          <w:sz w:val="13"/>
          <w:szCs w:val="13"/>
          <w:b w:val="1"/>
          <w:bCs w:val="1"/>
          <w:color w:val="auto"/>
        </w:rPr>
        <w:t>NIH</w:t>
      </w:r>
      <w:r>
        <w:rPr>
          <w:rFonts w:ascii="Times New Roman" w:cs="Times New Roman" w:eastAsia="Times New Roman" w:hAnsi="Times New Roman"/>
          <w:sz w:val="13"/>
          <w:szCs w:val="13"/>
          <w:color w:val="auto"/>
        </w:rPr>
        <w:t xml:space="preserve"> official shall be the final agency decision.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may thereafter exercise any and all administrative or judicial remedies that may be available.</w:t>
      </w:r>
    </w:p>
    <w:p>
      <w:pPr>
        <w:spacing w:after="0" w:line="121" w:lineRule="exact"/>
        <w:rPr>
          <w:sz w:val="20"/>
          <w:szCs w:val="20"/>
          <w:color w:val="auto"/>
        </w:rPr>
      </w:pPr>
    </w:p>
    <w:p>
      <w:pPr>
        <w:ind w:left="969" w:right="160" w:hanging="484"/>
        <w:spacing w:after="0" w:line="224" w:lineRule="auto"/>
        <w:tabs>
          <w:tab w:leader="none" w:pos="949" w:val="left"/>
        </w:tabs>
        <w:rPr>
          <w:sz w:val="20"/>
          <w:szCs w:val="20"/>
          <w:color w:val="auto"/>
        </w:rPr>
      </w:pPr>
      <w:r>
        <w:rPr>
          <w:rFonts w:ascii="Times New Roman" w:cs="Times New Roman" w:eastAsia="Times New Roman" w:hAnsi="Times New Roman"/>
          <w:sz w:val="13"/>
          <w:szCs w:val="13"/>
          <w:color w:val="auto"/>
        </w:rPr>
        <w:t>13.9</w:t>
      </w:r>
      <w:r>
        <w:rPr>
          <w:sz w:val="20"/>
          <w:szCs w:val="20"/>
          <w:color w:val="auto"/>
        </w:rPr>
        <w:tab/>
      </w:r>
      <w:r>
        <w:rPr>
          <w:rFonts w:ascii="Times New Roman" w:cs="Times New Roman" w:eastAsia="Times New Roman" w:hAnsi="Times New Roman"/>
          <w:sz w:val="13"/>
          <w:szCs w:val="13"/>
          <w:color w:val="auto"/>
        </w:rPr>
        <w:t xml:space="preserve">Within [***] days of expiration or termination of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under this Article 13, a final report shall be submitted by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Any royalty payments, including those incurred but not yet paid (such as the full minimum annual royalty), and those related to patent expense, due to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shall become immediately due and payable upon termination or expiration. Unless otherwise specifically provided for under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upon termination or expiration of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b w:val="1"/>
          <w:bCs w:val="1"/>
          <w:color w:val="auto"/>
        </w:rPr>
        <w:t xml:space="preserve"> Licensee </w:t>
      </w:r>
      <w:r>
        <w:rPr>
          <w:rFonts w:ascii="Times New Roman" w:cs="Times New Roman" w:eastAsia="Times New Roman" w:hAnsi="Times New Roman"/>
          <w:sz w:val="13"/>
          <w:szCs w:val="13"/>
          <w:color w:val="auto"/>
        </w:rPr>
        <w:t>shall return all</w:t>
      </w:r>
      <w:r>
        <w:rPr>
          <w:rFonts w:ascii="Times New Roman" w:cs="Times New Roman" w:eastAsia="Times New Roman" w:hAnsi="Times New Roman"/>
          <w:sz w:val="13"/>
          <w:szCs w:val="13"/>
          <w:b w:val="1"/>
          <w:bCs w:val="1"/>
          <w:color w:val="auto"/>
        </w:rPr>
        <w:t xml:space="preserve"> Licensed Products </w:t>
      </w:r>
      <w:r>
        <w:rPr>
          <w:rFonts w:ascii="Times New Roman" w:cs="Times New Roman" w:eastAsia="Times New Roman" w:hAnsi="Times New Roman"/>
          <w:sz w:val="13"/>
          <w:szCs w:val="13"/>
          <w:color w:val="auto"/>
        </w:rPr>
        <w:t>or other materials included within the</w:t>
      </w:r>
      <w:r>
        <w:rPr>
          <w:rFonts w:ascii="Times New Roman" w:cs="Times New Roman" w:eastAsia="Times New Roman" w:hAnsi="Times New Roman"/>
          <w:sz w:val="13"/>
          <w:szCs w:val="13"/>
          <w:b w:val="1"/>
          <w:bCs w:val="1"/>
          <w:color w:val="auto"/>
        </w:rPr>
        <w:t xml:space="preserve"> Licensed Patent Rights </w:t>
      </w:r>
      <w:r>
        <w:rPr>
          <w:rFonts w:ascii="Times New Roman" w:cs="Times New Roman" w:eastAsia="Times New Roman" w:hAnsi="Times New Roman"/>
          <w:sz w:val="13"/>
          <w:szCs w:val="13"/>
          <w:color w:val="auto"/>
        </w:rPr>
        <w:t>to the</w:t>
      </w:r>
      <w:r>
        <w:rPr>
          <w:rFonts w:ascii="Times New Roman" w:cs="Times New Roman" w:eastAsia="Times New Roman" w:hAnsi="Times New Roman"/>
          <w:sz w:val="13"/>
          <w:szCs w:val="13"/>
          <w:b w:val="1"/>
          <w:bCs w:val="1"/>
          <w:color w:val="auto"/>
        </w:rPr>
        <w:t xml:space="preserve"> NIAID </w:t>
      </w:r>
      <w:r>
        <w:rPr>
          <w:rFonts w:ascii="Times New Roman" w:cs="Times New Roman" w:eastAsia="Times New Roman" w:hAnsi="Times New Roman"/>
          <w:sz w:val="13"/>
          <w:szCs w:val="13"/>
          <w:color w:val="auto"/>
        </w:rPr>
        <w:t>or provide the</w:t>
      </w:r>
      <w:r>
        <w:rPr>
          <w:rFonts w:ascii="Times New Roman" w:cs="Times New Roman" w:eastAsia="Times New Roman" w:hAnsi="Times New Roman"/>
          <w:sz w:val="13"/>
          <w:szCs w:val="13"/>
          <w:b w:val="1"/>
          <w:bCs w:val="1"/>
          <w:color w:val="auto"/>
        </w:rPr>
        <w:t xml:space="preserve"> NIAID </w:t>
      </w:r>
      <w:r>
        <w:rPr>
          <w:rFonts w:ascii="Times New Roman" w:cs="Times New Roman" w:eastAsia="Times New Roman" w:hAnsi="Times New Roman"/>
          <w:sz w:val="13"/>
          <w:szCs w:val="13"/>
          <w:color w:val="auto"/>
        </w:rPr>
        <w:t>with written certification of the destruction thereof. The</w:t>
      </w:r>
      <w:r>
        <w:rPr>
          <w:rFonts w:ascii="Times New Roman" w:cs="Times New Roman" w:eastAsia="Times New Roman" w:hAnsi="Times New Roman"/>
          <w:sz w:val="13"/>
          <w:szCs w:val="13"/>
          <w:b w:val="1"/>
          <w:bCs w:val="1"/>
          <w:color w:val="auto"/>
        </w:rPr>
        <w:t xml:space="preserve"> Licensee </w:t>
      </w:r>
      <w:r>
        <w:rPr>
          <w:rFonts w:ascii="Times New Roman" w:cs="Times New Roman" w:eastAsia="Times New Roman" w:hAnsi="Times New Roman"/>
          <w:sz w:val="13"/>
          <w:szCs w:val="13"/>
          <w:color w:val="auto"/>
        </w:rPr>
        <w:t>may not be granted additional the</w:t>
      </w:r>
      <w:r>
        <w:rPr>
          <w:rFonts w:ascii="Times New Roman" w:cs="Times New Roman" w:eastAsia="Times New Roman" w:hAnsi="Times New Roman"/>
          <w:sz w:val="13"/>
          <w:szCs w:val="13"/>
          <w:b w:val="1"/>
          <w:bCs w:val="1"/>
          <w:color w:val="auto"/>
        </w:rPr>
        <w:t xml:space="preserve"> NIAID </w:t>
      </w:r>
      <w:r>
        <w:rPr>
          <w:rFonts w:ascii="Times New Roman" w:cs="Times New Roman" w:eastAsia="Times New Roman" w:hAnsi="Times New Roman"/>
          <w:sz w:val="13"/>
          <w:szCs w:val="13"/>
          <w:color w:val="auto"/>
        </w:rPr>
        <w:t>licenses if the final reporting requirement is not fulfilled.</w:t>
      </w:r>
    </w:p>
    <w:p>
      <w:pPr>
        <w:spacing w:after="0" w:line="123" w:lineRule="exact"/>
        <w:rPr>
          <w:sz w:val="20"/>
          <w:szCs w:val="20"/>
          <w:color w:val="auto"/>
        </w:rPr>
      </w:pPr>
    </w:p>
    <w:p>
      <w:pPr>
        <w:ind w:left="469" w:hanging="469"/>
        <w:spacing w:after="0"/>
        <w:tabs>
          <w:tab w:leader="none" w:pos="469"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GENERAL PROVISIONS</w:t>
      </w:r>
    </w:p>
    <w:p>
      <w:pPr>
        <w:spacing w:after="0" w:line="141" w:lineRule="exact"/>
        <w:rPr>
          <w:rFonts w:ascii="Times New Roman" w:cs="Times New Roman" w:eastAsia="Times New Roman" w:hAnsi="Times New Roman"/>
          <w:sz w:val="13"/>
          <w:szCs w:val="13"/>
          <w:color w:val="auto"/>
        </w:rPr>
      </w:pPr>
    </w:p>
    <w:p>
      <w:pPr>
        <w:ind w:left="969" w:right="40" w:hanging="485"/>
        <w:spacing w:after="0" w:line="23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14.1Neither party may waive or release any of its rights or interests in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except in writing. The failure of the </w:t>
      </w:r>
      <w:r>
        <w:rPr>
          <w:rFonts w:ascii="Times New Roman" w:cs="Times New Roman" w:eastAsia="Times New Roman" w:hAnsi="Times New Roman"/>
          <w:sz w:val="13"/>
          <w:szCs w:val="13"/>
          <w:b w:val="1"/>
          <w:bCs w:val="1"/>
          <w:color w:val="auto"/>
        </w:rPr>
        <w:t>Government</w:t>
      </w:r>
      <w:r>
        <w:rPr>
          <w:rFonts w:ascii="Times New Roman" w:cs="Times New Roman" w:eastAsia="Times New Roman" w:hAnsi="Times New Roman"/>
          <w:sz w:val="13"/>
          <w:szCs w:val="13"/>
          <w:color w:val="auto"/>
        </w:rPr>
        <w:t xml:space="preserve"> to assert a right hereunder or to insist upon compliance with any term or condition of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shall not constitute a waiver of that right by the </w:t>
      </w:r>
      <w:r>
        <w:rPr>
          <w:rFonts w:ascii="Times New Roman" w:cs="Times New Roman" w:eastAsia="Times New Roman" w:hAnsi="Times New Roman"/>
          <w:sz w:val="13"/>
          <w:szCs w:val="13"/>
          <w:b w:val="1"/>
          <w:bCs w:val="1"/>
          <w:color w:val="auto"/>
        </w:rPr>
        <w:t>Government</w:t>
      </w:r>
      <w:r>
        <w:rPr>
          <w:rFonts w:ascii="Times New Roman" w:cs="Times New Roman" w:eastAsia="Times New Roman" w:hAnsi="Times New Roman"/>
          <w:sz w:val="13"/>
          <w:szCs w:val="13"/>
          <w:color w:val="auto"/>
        </w:rPr>
        <w:t xml:space="preserve"> or excuse a similar subsequent failure to perform any of these terms or conditions by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w:t>
      </w:r>
    </w:p>
    <w:p>
      <w:pPr>
        <w:spacing w:after="0" w:line="120" w:lineRule="exact"/>
        <w:rPr>
          <w:rFonts w:ascii="Times New Roman" w:cs="Times New Roman" w:eastAsia="Times New Roman" w:hAnsi="Times New Roman"/>
          <w:sz w:val="13"/>
          <w:szCs w:val="13"/>
          <w:color w:val="auto"/>
        </w:rPr>
      </w:pPr>
    </w:p>
    <w:p>
      <w:pPr>
        <w:ind w:left="969" w:right="260" w:hanging="485"/>
        <w:spacing w:after="0" w:line="22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14.2This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(including all Appendices hereto, which are hereby incorporated by reference into this</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 constitute the entire agreement as from the </w:t>
      </w:r>
      <w:r>
        <w:rPr>
          <w:rFonts w:ascii="Times New Roman" w:cs="Times New Roman" w:eastAsia="Times New Roman" w:hAnsi="Times New Roman"/>
          <w:sz w:val="13"/>
          <w:szCs w:val="13"/>
          <w:b w:val="1"/>
          <w:bCs w:val="1"/>
          <w:color w:val="auto"/>
        </w:rPr>
        <w:t>Amendment Effective Date</w:t>
      </w:r>
      <w:r>
        <w:rPr>
          <w:rFonts w:ascii="Times New Roman" w:cs="Times New Roman" w:eastAsia="Times New Roman" w:hAnsi="Times New Roman"/>
          <w:sz w:val="13"/>
          <w:szCs w:val="13"/>
          <w:color w:val="auto"/>
        </w:rPr>
        <w:t xml:space="preserve"> between the Parties relating to the subject matter of the </w:t>
      </w:r>
      <w:r>
        <w:rPr>
          <w:rFonts w:ascii="Times New Roman" w:cs="Times New Roman" w:eastAsia="Times New Roman" w:hAnsi="Times New Roman"/>
          <w:sz w:val="13"/>
          <w:szCs w:val="13"/>
          <w:b w:val="1"/>
          <w:bCs w:val="1"/>
          <w:color w:val="auto"/>
        </w:rPr>
        <w:t>Licensed Patent Rights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color w:val="auto"/>
        </w:rPr>
        <w:t>Licensed Processes</w:t>
      </w:r>
      <w:r>
        <w:rPr>
          <w:rFonts w:ascii="Times New Roman" w:cs="Times New Roman" w:eastAsia="Times New Roman" w:hAnsi="Times New Roman"/>
          <w:sz w:val="13"/>
          <w:szCs w:val="13"/>
          <w:color w:val="auto"/>
        </w:rPr>
        <w:t>, and all prior negotiations, representations, agreements, and understandings are merged into, extinguished by, and completely expressed by this</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b w:val="1"/>
          <w:bCs w:val="1"/>
          <w:color w:val="auto"/>
        </w:rPr>
        <w:t xml:space="preserve">CONFIDENTIAL </w:t>
      </w:r>
      <w:r>
        <w:rPr>
          <w:rFonts w:ascii="Times New Roman" w:cs="Times New Roman" w:eastAsia="Times New Roman" w:hAnsi="Times New Roman"/>
          <w:sz w:val="11"/>
          <w:szCs w:val="11"/>
          <w:color w:val="auto"/>
        </w:rPr>
        <w:t>[***]</w:t>
      </w:r>
    </w:p>
    <w:p>
      <w:pPr>
        <w:spacing w:after="0" w:line="1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ind w:left="9"/>
        <w:spacing w:after="0"/>
        <w:tabs>
          <w:tab w:leader="none" w:pos="1409" w:val="left"/>
        </w:tabs>
        <w:rPr>
          <w:sz w:val="20"/>
          <w:szCs w:val="20"/>
          <w:color w:val="auto"/>
        </w:rPr>
      </w:pPr>
      <w:r>
        <w:rPr>
          <w:rFonts w:ascii="Times New Roman" w:cs="Times New Roman" w:eastAsia="Times New Roman" w:hAnsi="Times New Roman"/>
          <w:sz w:val="11"/>
          <w:szCs w:val="11"/>
          <w:color w:val="auto"/>
        </w:rPr>
        <w:t>Model 10-2015 Rev 09-2024</w:t>
        <w:tab/>
        <w:t>Page 12 of 25 [FINAL] [BioNTech SE] [20 December 2024]</w:t>
      </w:r>
    </w:p>
    <w:p>
      <w:pPr>
        <w:sectPr>
          <w:pgSz w:w="11900" w:h="16840" w:orient="portrait"/>
          <w:cols w:equalWidth="0" w:num="1">
            <w:col w:w="10609"/>
          </w:cols>
          <w:pgMar w:left="651" w:top="752" w:right="640"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3"/>
          <w:szCs w:val="13"/>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60" w:right="100" w:hanging="484"/>
        <w:spacing w:after="0" w:line="233" w:lineRule="auto"/>
        <w:tabs>
          <w:tab w:leader="none" w:pos="940" w:val="left"/>
        </w:tabs>
        <w:rPr>
          <w:sz w:val="20"/>
          <w:szCs w:val="20"/>
          <w:color w:val="auto"/>
        </w:rPr>
      </w:pPr>
      <w:r>
        <w:rPr>
          <w:rFonts w:ascii="Times New Roman" w:cs="Times New Roman" w:eastAsia="Times New Roman" w:hAnsi="Times New Roman"/>
          <w:sz w:val="13"/>
          <w:szCs w:val="13"/>
          <w:color w:val="auto"/>
        </w:rPr>
        <w:t>14.3</w:t>
      </w:r>
      <w:r>
        <w:rPr>
          <w:sz w:val="20"/>
          <w:szCs w:val="20"/>
          <w:color w:val="auto"/>
        </w:rPr>
        <w:tab/>
      </w:r>
      <w:r>
        <w:rPr>
          <w:rFonts w:ascii="Times New Roman" w:cs="Times New Roman" w:eastAsia="Times New Roman" w:hAnsi="Times New Roman"/>
          <w:sz w:val="13"/>
          <w:szCs w:val="13"/>
          <w:color w:val="auto"/>
        </w:rPr>
        <w:t xml:space="preserve">The provisions of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are severable, and in the event that any provision of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shall be determined to be invalid or unenforceable under any controlling body of law, this determination shall not in any way affect the validity or enforceability of the remaining provisions of this </w:t>
      </w:r>
      <w:r>
        <w:rPr>
          <w:rFonts w:ascii="Times New Roman" w:cs="Times New Roman" w:eastAsia="Times New Roman" w:hAnsi="Times New Roman"/>
          <w:sz w:val="13"/>
          <w:szCs w:val="13"/>
          <w:b w:val="1"/>
          <w:bCs w:val="1"/>
          <w:color w:val="auto"/>
        </w:rPr>
        <w:t>Amended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and Restated Agreement</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ind w:left="960" w:right="340" w:hanging="484"/>
        <w:spacing w:after="0" w:line="233" w:lineRule="auto"/>
        <w:tabs>
          <w:tab w:leader="none" w:pos="940" w:val="left"/>
        </w:tabs>
        <w:rPr>
          <w:sz w:val="20"/>
          <w:szCs w:val="20"/>
          <w:color w:val="auto"/>
        </w:rPr>
      </w:pPr>
      <w:r>
        <w:rPr>
          <w:rFonts w:ascii="Times New Roman" w:cs="Times New Roman" w:eastAsia="Times New Roman" w:hAnsi="Times New Roman"/>
          <w:sz w:val="13"/>
          <w:szCs w:val="13"/>
          <w:color w:val="auto"/>
        </w:rPr>
        <w:t>14.4</w:t>
      </w:r>
      <w:r>
        <w:rPr>
          <w:sz w:val="20"/>
          <w:szCs w:val="20"/>
          <w:color w:val="auto"/>
        </w:rPr>
        <w:tab/>
      </w:r>
      <w:r>
        <w:rPr>
          <w:rFonts w:ascii="Times New Roman" w:cs="Times New Roman" w:eastAsia="Times New Roman" w:hAnsi="Times New Roman"/>
          <w:sz w:val="13"/>
          <w:szCs w:val="13"/>
          <w:color w:val="auto"/>
        </w:rPr>
        <w:t xml:space="preserve">If either party desires a modification to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the Parties shall, upon reasonable notice of the proposed modification by the party desiring the change, confer in good faith to determine the desirability of the modification. No modification shall be effective until a written amendment is signed by the signatories to this </w:t>
      </w:r>
      <w:r>
        <w:rPr>
          <w:rFonts w:ascii="Times New Roman" w:cs="Times New Roman" w:eastAsia="Times New Roman" w:hAnsi="Times New Roman"/>
          <w:sz w:val="13"/>
          <w:szCs w:val="13"/>
          <w:b w:val="1"/>
          <w:bCs w:val="1"/>
          <w:color w:val="auto"/>
        </w:rPr>
        <w:t xml:space="preserve">Amended and Restated Agreement </w:t>
      </w:r>
      <w:r>
        <w:rPr>
          <w:rFonts w:ascii="Times New Roman" w:cs="Times New Roman" w:eastAsia="Times New Roman" w:hAnsi="Times New Roman"/>
          <w:sz w:val="13"/>
          <w:szCs w:val="13"/>
          <w:color w:val="auto"/>
        </w:rPr>
        <w:t>or their designees.</w:t>
      </w:r>
    </w:p>
    <w:p>
      <w:pPr>
        <w:spacing w:after="0" w:line="121" w:lineRule="exact"/>
        <w:rPr>
          <w:sz w:val="20"/>
          <w:szCs w:val="20"/>
          <w:color w:val="auto"/>
        </w:rPr>
      </w:pPr>
    </w:p>
    <w:p>
      <w:pPr>
        <w:ind w:left="960" w:hanging="484"/>
        <w:spacing w:after="0" w:line="222" w:lineRule="auto"/>
        <w:tabs>
          <w:tab w:leader="none" w:pos="940" w:val="left"/>
        </w:tabs>
        <w:rPr>
          <w:sz w:val="20"/>
          <w:szCs w:val="20"/>
          <w:color w:val="auto"/>
        </w:rPr>
      </w:pPr>
      <w:r>
        <w:rPr>
          <w:rFonts w:ascii="Times New Roman" w:cs="Times New Roman" w:eastAsia="Times New Roman" w:hAnsi="Times New Roman"/>
          <w:sz w:val="13"/>
          <w:szCs w:val="13"/>
          <w:color w:val="auto"/>
        </w:rPr>
        <w:t>14.5</w:t>
      </w:r>
      <w:r>
        <w:rPr>
          <w:sz w:val="20"/>
          <w:szCs w:val="20"/>
          <w:color w:val="auto"/>
        </w:rPr>
        <w:tab/>
      </w:r>
      <w:r>
        <w:rPr>
          <w:rFonts w:ascii="Times New Roman" w:cs="Times New Roman" w:eastAsia="Times New Roman" w:hAnsi="Times New Roman"/>
          <w:sz w:val="13"/>
          <w:szCs w:val="13"/>
          <w:color w:val="auto"/>
        </w:rPr>
        <w:t xml:space="preserve">The construction, validity, performance, and effect of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shall be governed by Federal law as applied by the Federal courts in the District of Columbia. Any disputes relating to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and/or the </w:t>
      </w:r>
      <w:r>
        <w:rPr>
          <w:rFonts w:ascii="Times New Roman" w:cs="Times New Roman" w:eastAsia="Times New Roman" w:hAnsi="Times New Roman"/>
          <w:sz w:val="13"/>
          <w:szCs w:val="13"/>
          <w:b w:val="1"/>
          <w:bCs w:val="1"/>
          <w:color w:val="auto"/>
        </w:rPr>
        <w:t>Original Agreement</w:t>
      </w:r>
      <w:r>
        <w:rPr>
          <w:rFonts w:ascii="Times New Roman" w:cs="Times New Roman" w:eastAsia="Times New Roman" w:hAnsi="Times New Roman"/>
          <w:sz w:val="13"/>
          <w:szCs w:val="13"/>
          <w:color w:val="auto"/>
        </w:rPr>
        <w:t xml:space="preserve"> shall be governed by Federal law as applied by the Federal courts in the District of Columbia without regard to conflicts of law provisions. The United States District Court for the District of Columbia shall have exclusive jurisdiction over any suit, action, proceeding, or dispute arising out of or relating to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and/or the </w:t>
      </w:r>
      <w:r>
        <w:rPr>
          <w:rFonts w:ascii="Times New Roman" w:cs="Times New Roman" w:eastAsia="Times New Roman" w:hAnsi="Times New Roman"/>
          <w:sz w:val="13"/>
          <w:szCs w:val="13"/>
          <w:b w:val="1"/>
          <w:bCs w:val="1"/>
          <w:color w:val="auto"/>
        </w:rPr>
        <w:t>Original Agreement</w:t>
      </w:r>
      <w:r>
        <w:rPr>
          <w:rFonts w:ascii="Times New Roman" w:cs="Times New Roman" w:eastAsia="Times New Roman" w:hAnsi="Times New Roman"/>
          <w:sz w:val="13"/>
          <w:szCs w:val="13"/>
          <w:color w:val="auto"/>
        </w:rPr>
        <w:t xml:space="preserve"> or the applicability of this </w:t>
      </w:r>
      <w:r>
        <w:rPr>
          <w:rFonts w:ascii="Times New Roman" w:cs="Times New Roman" w:eastAsia="Times New Roman" w:hAnsi="Times New Roman"/>
          <w:sz w:val="13"/>
          <w:szCs w:val="13"/>
          <w:b w:val="1"/>
          <w:bCs w:val="1"/>
          <w:color w:val="auto"/>
        </w:rPr>
        <w:t>Amended and Restated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Agreement </w:t>
      </w:r>
      <w:r>
        <w:rPr>
          <w:rFonts w:ascii="Times New Roman" w:cs="Times New Roman" w:eastAsia="Times New Roman" w:hAnsi="Times New Roman"/>
          <w:sz w:val="13"/>
          <w:szCs w:val="13"/>
          <w:color w:val="auto"/>
        </w:rPr>
        <w:t>and/or the</w:t>
      </w:r>
      <w:r>
        <w:rPr>
          <w:rFonts w:ascii="Times New Roman" w:cs="Times New Roman" w:eastAsia="Times New Roman" w:hAnsi="Times New Roman"/>
          <w:sz w:val="13"/>
          <w:szCs w:val="13"/>
          <w:b w:val="1"/>
          <w:bCs w:val="1"/>
          <w:color w:val="auto"/>
        </w:rPr>
        <w:t xml:space="preserve"> Original Agreement </w:t>
      </w:r>
      <w:r>
        <w:rPr>
          <w:rFonts w:ascii="Times New Roman" w:cs="Times New Roman" w:eastAsia="Times New Roman" w:hAnsi="Times New Roman"/>
          <w:sz w:val="13"/>
          <w:szCs w:val="13"/>
          <w:color w:val="auto"/>
        </w:rPr>
        <w:t>that cannot be resolved by negotiation and agreement by the Parties. The Parties agree, however, to explore non-binding mediation before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 mediator mutually agreed upon by the Parties before instituting any such suit, action or proceeding.</w:t>
      </w:r>
    </w:p>
    <w:p>
      <w:pPr>
        <w:spacing w:after="0" w:line="121" w:lineRule="exact"/>
        <w:rPr>
          <w:sz w:val="20"/>
          <w:szCs w:val="20"/>
          <w:color w:val="auto"/>
        </w:rPr>
      </w:pPr>
    </w:p>
    <w:p>
      <w:pPr>
        <w:ind w:left="960" w:hanging="484"/>
        <w:spacing w:after="0"/>
        <w:tabs>
          <w:tab w:leader="none" w:pos="940" w:val="left"/>
        </w:tabs>
        <w:rPr>
          <w:sz w:val="20"/>
          <w:szCs w:val="20"/>
          <w:color w:val="auto"/>
        </w:rPr>
      </w:pPr>
      <w:r>
        <w:rPr>
          <w:rFonts w:ascii="Times New Roman" w:cs="Times New Roman" w:eastAsia="Times New Roman" w:hAnsi="Times New Roman"/>
          <w:sz w:val="13"/>
          <w:szCs w:val="13"/>
          <w:color w:val="auto"/>
        </w:rPr>
        <w:t>14.6</w:t>
      </w:r>
      <w:r>
        <w:rPr>
          <w:sz w:val="20"/>
          <w:szCs w:val="20"/>
          <w:color w:val="auto"/>
        </w:rPr>
        <w:tab/>
      </w:r>
      <w:r>
        <w:rPr>
          <w:rFonts w:ascii="Times New Roman" w:cs="Times New Roman" w:eastAsia="Times New Roman" w:hAnsi="Times New Roman"/>
          <w:sz w:val="13"/>
          <w:szCs w:val="13"/>
          <w:color w:val="auto"/>
        </w:rPr>
        <w:t xml:space="preserve">All notices required or permitted by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shall be given either by email notice with read receipt, or prepaid or first class, registered or certified mail, or by an express/overnight delivery service provided by a commercial carrier, each properly addressed to the other party at the address designated on the Signature Page, or to any other address as may be designated in writing by such other party. Notices shall be considered timely if such notices are received on or before the established deadline date or sent on or before the deadline date as verifiable either by the read receipt, U.S. Postal Service postmark or dated receipt from a commercial carrier. Parties should request a legibly dated U.S. Postal Service postmark or obtain a dated receipt from a commercial carrier or the U.S. Postal Service. Private metered postmarks shall not be acceptable as proof of timely mailing.</w:t>
      </w:r>
    </w:p>
    <w:p>
      <w:pPr>
        <w:spacing w:after="0" w:line="203" w:lineRule="exact"/>
        <w:rPr>
          <w:sz w:val="20"/>
          <w:szCs w:val="20"/>
          <w:color w:val="auto"/>
        </w:rPr>
      </w:pPr>
    </w:p>
    <w:p>
      <w:pPr>
        <w:ind w:left="960" w:right="20" w:hanging="484"/>
        <w:spacing w:after="0" w:line="224" w:lineRule="auto"/>
        <w:tabs>
          <w:tab w:leader="none" w:pos="940" w:val="left"/>
        </w:tabs>
        <w:rPr>
          <w:sz w:val="20"/>
          <w:szCs w:val="20"/>
          <w:color w:val="auto"/>
        </w:rPr>
      </w:pPr>
      <w:r>
        <w:rPr>
          <w:rFonts w:ascii="Times New Roman" w:cs="Times New Roman" w:eastAsia="Times New Roman" w:hAnsi="Times New Roman"/>
          <w:sz w:val="13"/>
          <w:szCs w:val="13"/>
          <w:color w:val="auto"/>
        </w:rPr>
        <w:t>14.7</w:t>
      </w:r>
      <w:r>
        <w:rPr>
          <w:sz w:val="20"/>
          <w:szCs w:val="20"/>
          <w:color w:val="auto"/>
        </w:rPr>
        <w:tab/>
      </w: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shall not be assigned or otherwise transferred (including any transfer by legal process or by operation of law, and any transfer in bankruptcy or insolvency, or in any other compulsory procedure or order of court) except to the </w:t>
      </w:r>
      <w:r>
        <w:rPr>
          <w:rFonts w:ascii="Times New Roman" w:cs="Times New Roman" w:eastAsia="Times New Roman" w:hAnsi="Times New Roman"/>
          <w:sz w:val="13"/>
          <w:szCs w:val="13"/>
          <w:b w:val="1"/>
          <w:bCs w:val="1"/>
          <w:color w:val="auto"/>
        </w:rPr>
        <w:t>Licensee’s Affiliate(s)</w:t>
      </w:r>
      <w:r>
        <w:rPr>
          <w:rFonts w:ascii="Times New Roman" w:cs="Times New Roman" w:eastAsia="Times New Roman" w:hAnsi="Times New Roman"/>
          <w:sz w:val="13"/>
          <w:szCs w:val="13"/>
          <w:color w:val="auto"/>
        </w:rPr>
        <w:t xml:space="preserve"> without the prior written consent of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The Parties agree that the identity of the Parties is material to the formation of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and that the obligations under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are nondelegable. In the event that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approves a proposed assignment,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shall pay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as an additional royalty, [***] of the fair market value of any consideration received for any assignment of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within [***] days of the assignment.</w:t>
      </w:r>
    </w:p>
    <w:p>
      <w:pPr>
        <w:spacing w:after="0" w:line="121" w:lineRule="exact"/>
        <w:rPr>
          <w:sz w:val="20"/>
          <w:szCs w:val="20"/>
          <w:color w:val="auto"/>
        </w:rPr>
      </w:pPr>
    </w:p>
    <w:p>
      <w:pPr>
        <w:ind w:left="960" w:right="20" w:hanging="484"/>
        <w:spacing w:after="0" w:line="227" w:lineRule="auto"/>
        <w:tabs>
          <w:tab w:leader="none" w:pos="940" w:val="left"/>
        </w:tabs>
        <w:rPr>
          <w:sz w:val="20"/>
          <w:szCs w:val="20"/>
          <w:color w:val="auto"/>
        </w:rPr>
      </w:pPr>
      <w:r>
        <w:rPr>
          <w:rFonts w:ascii="Times New Roman" w:cs="Times New Roman" w:eastAsia="Times New Roman" w:hAnsi="Times New Roman"/>
          <w:sz w:val="13"/>
          <w:szCs w:val="13"/>
          <w:color w:val="auto"/>
        </w:rPr>
        <w:t>14.8</w:t>
      </w:r>
      <w:r>
        <w:rPr>
          <w:sz w:val="20"/>
          <w:szCs w:val="20"/>
          <w:color w:val="auto"/>
        </w:rPr>
        <w:tab/>
      </w: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acknowledges that it is subject to and agrees to abide by the United States laws and regulations (including the Export Administration Act of 1979 and Arms Export Control Act) controlling the export of technical data, computer software, laboratory prototypes, biological materials, and other commodities. The transfer of these items may require a license from the appropriate agency of the </w:t>
      </w:r>
      <w:r>
        <w:rPr>
          <w:rFonts w:ascii="Times New Roman" w:cs="Times New Roman" w:eastAsia="Times New Roman" w:hAnsi="Times New Roman"/>
          <w:sz w:val="13"/>
          <w:szCs w:val="13"/>
          <w:b w:val="1"/>
          <w:bCs w:val="1"/>
          <w:color w:val="auto"/>
        </w:rPr>
        <w:t>Government</w:t>
      </w:r>
      <w:r>
        <w:rPr>
          <w:rFonts w:ascii="Times New Roman" w:cs="Times New Roman" w:eastAsia="Times New Roman" w:hAnsi="Times New Roman"/>
          <w:sz w:val="13"/>
          <w:szCs w:val="13"/>
          <w:color w:val="auto"/>
        </w:rPr>
        <w:t xml:space="preserve"> or written assurances by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that it shall not export these items to certain foreign countries without prior approval of the agency.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neither represents that a license is or is not required or that, if required, it shall be issued.</w:t>
      </w:r>
    </w:p>
    <w:p>
      <w:pPr>
        <w:spacing w:after="0" w:line="122" w:lineRule="exact"/>
        <w:rPr>
          <w:sz w:val="20"/>
          <w:szCs w:val="20"/>
          <w:color w:val="auto"/>
        </w:rPr>
      </w:pPr>
    </w:p>
    <w:p>
      <w:pPr>
        <w:ind w:left="960" w:right="180" w:hanging="484"/>
        <w:spacing w:after="0" w:line="248" w:lineRule="auto"/>
        <w:tabs>
          <w:tab w:leader="none" w:pos="940" w:val="left"/>
        </w:tabs>
        <w:rPr>
          <w:sz w:val="20"/>
          <w:szCs w:val="20"/>
          <w:color w:val="auto"/>
        </w:rPr>
      </w:pPr>
      <w:r>
        <w:rPr>
          <w:rFonts w:ascii="Times New Roman" w:cs="Times New Roman" w:eastAsia="Times New Roman" w:hAnsi="Times New Roman"/>
          <w:sz w:val="13"/>
          <w:szCs w:val="13"/>
          <w:color w:val="auto"/>
        </w:rPr>
        <w:t>14.9</w:t>
      </w:r>
      <w:r>
        <w:rPr>
          <w:sz w:val="20"/>
          <w:szCs w:val="20"/>
          <w:color w:val="auto"/>
        </w:rPr>
        <w:tab/>
      </w: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agrees to mark the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or their packaging sold in the United States with all applicable U.S. patent numbers and similarly to indicate “Patent Pending” status. All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manufactured in, shipped to, or sold in other countries shall be marked in a manner to preserve the</w:t>
      </w:r>
      <w:r>
        <w:rPr>
          <w:rFonts w:ascii="Times New Roman" w:cs="Times New Roman" w:eastAsia="Times New Roman" w:hAnsi="Times New Roman"/>
          <w:sz w:val="13"/>
          <w:szCs w:val="13"/>
          <w:b w:val="1"/>
          <w:bCs w:val="1"/>
          <w:color w:val="auto"/>
        </w:rPr>
        <w:t>Licensed Patent Rights</w:t>
      </w:r>
      <w:r>
        <w:rPr>
          <w:rFonts w:ascii="Times New Roman" w:cs="Times New Roman" w:eastAsia="Times New Roman" w:hAnsi="Times New Roman"/>
          <w:sz w:val="13"/>
          <w:szCs w:val="13"/>
          <w:color w:val="auto"/>
        </w:rPr>
        <w:t xml:space="preserve"> in those countries.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CONFIDENTIAL </w:t>
      </w:r>
      <w:r>
        <w:rPr>
          <w:rFonts w:ascii="Times New Roman" w:cs="Times New Roman" w:eastAsia="Times New Roman" w:hAnsi="Times New Roman"/>
          <w:sz w:val="11"/>
          <w:szCs w:val="11"/>
          <w:color w:val="auto"/>
        </w:rPr>
        <w: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1"/>
          <w:szCs w:val="11"/>
          <w:color w:val="auto"/>
        </w:rPr>
        <w:t>Model 10-2015 Rev 09-2024</w:t>
        <w:tab/>
        <w:t>Page 13 of 25 [FINAL] [BioNTech SE] [20 December 2024]</w:t>
      </w:r>
    </w:p>
    <w:p>
      <w:pPr>
        <w:sectPr>
          <w:pgSz w:w="11900" w:h="16840" w:orient="portrait"/>
          <w:cols w:equalWidth="0" w:num="1">
            <w:col w:w="10560"/>
          </w:cols>
          <w:pgMar w:left="660" w:top="752" w:right="680"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3"/>
          <w:szCs w:val="13"/>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60" w:right="200" w:hanging="484"/>
        <w:spacing w:after="0" w:line="227" w:lineRule="auto"/>
        <w:tabs>
          <w:tab w:leader="none" w:pos="940" w:val="left"/>
        </w:tabs>
        <w:rPr>
          <w:sz w:val="20"/>
          <w:szCs w:val="20"/>
          <w:color w:val="auto"/>
        </w:rPr>
      </w:pPr>
      <w:r>
        <w:rPr>
          <w:rFonts w:ascii="Times New Roman" w:cs="Times New Roman" w:eastAsia="Times New Roman" w:hAnsi="Times New Roman"/>
          <w:sz w:val="13"/>
          <w:szCs w:val="13"/>
          <w:color w:val="auto"/>
        </w:rPr>
        <w:t>14.10</w:t>
        <w:tab/>
        <w:t xml:space="preserve">By entering into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does not directly or indirectly endorse any product or service provided, or to be provided, by the</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whether directly or indirectly related to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shall not state or imply that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is an endorsement by the </w:t>
      </w:r>
      <w:r>
        <w:rPr>
          <w:rFonts w:ascii="Times New Roman" w:cs="Times New Roman" w:eastAsia="Times New Roman" w:hAnsi="Times New Roman"/>
          <w:sz w:val="13"/>
          <w:szCs w:val="13"/>
          <w:b w:val="1"/>
          <w:bCs w:val="1"/>
          <w:color w:val="auto"/>
        </w:rPr>
        <w:t>Government</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any other </w:t>
      </w:r>
      <w:r>
        <w:rPr>
          <w:rFonts w:ascii="Times New Roman" w:cs="Times New Roman" w:eastAsia="Times New Roman" w:hAnsi="Times New Roman"/>
          <w:sz w:val="13"/>
          <w:szCs w:val="13"/>
          <w:b w:val="1"/>
          <w:bCs w:val="1"/>
          <w:color w:val="auto"/>
        </w:rPr>
        <w:t>Government</w:t>
      </w:r>
      <w:r>
        <w:rPr>
          <w:rFonts w:ascii="Times New Roman" w:cs="Times New Roman" w:eastAsia="Times New Roman" w:hAnsi="Times New Roman"/>
          <w:sz w:val="13"/>
          <w:szCs w:val="13"/>
          <w:color w:val="auto"/>
        </w:rPr>
        <w:t xml:space="preserve"> organizational unit, or any </w:t>
      </w:r>
      <w:r>
        <w:rPr>
          <w:rFonts w:ascii="Times New Roman" w:cs="Times New Roman" w:eastAsia="Times New Roman" w:hAnsi="Times New Roman"/>
          <w:sz w:val="13"/>
          <w:szCs w:val="13"/>
          <w:b w:val="1"/>
          <w:bCs w:val="1"/>
          <w:color w:val="auto"/>
        </w:rPr>
        <w:t>Government</w:t>
      </w:r>
      <w:r>
        <w:rPr>
          <w:rFonts w:ascii="Times New Roman" w:cs="Times New Roman" w:eastAsia="Times New Roman" w:hAnsi="Times New Roman"/>
          <w:sz w:val="13"/>
          <w:szCs w:val="13"/>
          <w:color w:val="auto"/>
        </w:rPr>
        <w:t xml:space="preserve"> employee. Additionally,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shall not use the names of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NIH</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FDA </w:t>
      </w:r>
      <w:r>
        <w:rPr>
          <w:rFonts w:ascii="Times New Roman" w:cs="Times New Roman" w:eastAsia="Times New Roman" w:hAnsi="Times New Roman"/>
          <w:sz w:val="13"/>
          <w:szCs w:val="13"/>
          <w:color w:val="auto"/>
        </w:rPr>
        <w:t>or</w:t>
      </w:r>
      <w:r>
        <w:rPr>
          <w:rFonts w:ascii="Times New Roman" w:cs="Times New Roman" w:eastAsia="Times New Roman" w:hAnsi="Times New Roman"/>
          <w:sz w:val="13"/>
          <w:szCs w:val="13"/>
          <w:b w:val="1"/>
          <w:bCs w:val="1"/>
          <w:color w:val="auto"/>
        </w:rPr>
        <w:t xml:space="preserve"> HHS </w:t>
      </w:r>
      <w:r>
        <w:rPr>
          <w:rFonts w:ascii="Times New Roman" w:cs="Times New Roman" w:eastAsia="Times New Roman" w:hAnsi="Times New Roman"/>
          <w:sz w:val="13"/>
          <w:szCs w:val="13"/>
          <w:color w:val="auto"/>
        </w:rPr>
        <w:t>or the</w:t>
      </w:r>
      <w:r>
        <w:rPr>
          <w:rFonts w:ascii="Times New Roman" w:cs="Times New Roman" w:eastAsia="Times New Roman" w:hAnsi="Times New Roman"/>
          <w:sz w:val="13"/>
          <w:szCs w:val="13"/>
          <w:b w:val="1"/>
          <w:bCs w:val="1"/>
          <w:color w:val="auto"/>
        </w:rPr>
        <w:t xml:space="preserve"> Government </w:t>
      </w:r>
      <w:r>
        <w:rPr>
          <w:rFonts w:ascii="Times New Roman" w:cs="Times New Roman" w:eastAsia="Times New Roman" w:hAnsi="Times New Roman"/>
          <w:sz w:val="13"/>
          <w:szCs w:val="13"/>
          <w:color w:val="auto"/>
        </w:rPr>
        <w:t>or their employees in any advertising, promotional, or sales literature without the prior written approval of the</w:t>
      </w:r>
      <w:r>
        <w:rPr>
          <w:rFonts w:ascii="Times New Roman" w:cs="Times New Roman" w:eastAsia="Times New Roman" w:hAnsi="Times New Roman"/>
          <w:sz w:val="13"/>
          <w:szCs w:val="13"/>
          <w:b w:val="1"/>
          <w:bCs w:val="1"/>
          <w:color w:val="auto"/>
        </w:rPr>
        <w:t xml:space="preserve"> NIAID</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960" w:right="100" w:hanging="484"/>
        <w:spacing w:after="0" w:line="227" w:lineRule="auto"/>
        <w:tabs>
          <w:tab w:leader="none" w:pos="940" w:val="left"/>
        </w:tabs>
        <w:rPr>
          <w:sz w:val="20"/>
          <w:szCs w:val="20"/>
          <w:color w:val="auto"/>
        </w:rPr>
      </w:pPr>
      <w:r>
        <w:rPr>
          <w:rFonts w:ascii="Times New Roman" w:cs="Times New Roman" w:eastAsia="Times New Roman" w:hAnsi="Times New Roman"/>
          <w:sz w:val="13"/>
          <w:szCs w:val="13"/>
          <w:color w:val="auto"/>
        </w:rPr>
        <w:t>14.11</w:t>
        <w:tab/>
        <w:t>The Parties agree to attempt to settle amicably any controversy or claim arising under this</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or a breach of this </w:t>
      </w:r>
      <w:r>
        <w:rPr>
          <w:rFonts w:ascii="Times New Roman" w:cs="Times New Roman" w:eastAsia="Times New Roman" w:hAnsi="Times New Roman"/>
          <w:sz w:val="13"/>
          <w:szCs w:val="13"/>
          <w:b w:val="1"/>
          <w:bCs w:val="1"/>
          <w:color w:val="auto"/>
        </w:rPr>
        <w:t>Amended and Restated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except for appeals of modifications or termination decisions provided for in Article 13. The</w:t>
      </w:r>
      <w:r>
        <w:rPr>
          <w:rFonts w:ascii="Times New Roman" w:cs="Times New Roman" w:eastAsia="Times New Roman" w:hAnsi="Times New Roman"/>
          <w:sz w:val="13"/>
          <w:szCs w:val="13"/>
          <w:b w:val="1"/>
          <w:bCs w:val="1"/>
          <w:color w:val="auto"/>
        </w:rPr>
        <w:t xml:space="preserve"> Licensee </w:t>
      </w:r>
      <w:r>
        <w:rPr>
          <w:rFonts w:ascii="Times New Roman" w:cs="Times New Roman" w:eastAsia="Times New Roman" w:hAnsi="Times New Roman"/>
          <w:sz w:val="13"/>
          <w:szCs w:val="13"/>
          <w:color w:val="auto"/>
        </w:rPr>
        <w:t>agrees first to appeal any unsettled claims or controversies to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designated the </w:t>
      </w:r>
      <w:r>
        <w:rPr>
          <w:rFonts w:ascii="Times New Roman" w:cs="Times New Roman" w:eastAsia="Times New Roman" w:hAnsi="Times New Roman"/>
          <w:sz w:val="13"/>
          <w:szCs w:val="13"/>
          <w:b w:val="1"/>
          <w:bCs w:val="1"/>
          <w:color w:val="auto"/>
        </w:rPr>
        <w:t>NIH</w:t>
      </w:r>
      <w:r>
        <w:rPr>
          <w:rFonts w:ascii="Times New Roman" w:cs="Times New Roman" w:eastAsia="Times New Roman" w:hAnsi="Times New Roman"/>
          <w:sz w:val="13"/>
          <w:szCs w:val="13"/>
          <w:color w:val="auto"/>
        </w:rPr>
        <w:t xml:space="preserve"> official, or designee, whose decision shall be considered the final agency decision. Thereafter,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may exercise any administrative or judicial remedies that may be available.</w:t>
      </w:r>
    </w:p>
    <w:p>
      <w:pPr>
        <w:spacing w:after="0" w:line="124" w:lineRule="exact"/>
        <w:rPr>
          <w:sz w:val="20"/>
          <w:szCs w:val="20"/>
          <w:color w:val="auto"/>
        </w:rPr>
      </w:pPr>
    </w:p>
    <w:p>
      <w:pPr>
        <w:ind w:left="960" w:right="20" w:hanging="484"/>
        <w:spacing w:after="0" w:line="245" w:lineRule="auto"/>
        <w:tabs>
          <w:tab w:leader="none" w:pos="940" w:val="left"/>
        </w:tabs>
        <w:rPr>
          <w:sz w:val="20"/>
          <w:szCs w:val="20"/>
          <w:color w:val="auto"/>
        </w:rPr>
      </w:pPr>
      <w:r>
        <w:rPr>
          <w:rFonts w:ascii="Times New Roman" w:cs="Times New Roman" w:eastAsia="Times New Roman" w:hAnsi="Times New Roman"/>
          <w:sz w:val="13"/>
          <w:szCs w:val="13"/>
          <w:color w:val="auto"/>
        </w:rPr>
        <w:t>14.12</w:t>
        <w:tab/>
        <w:t>Nothing relating to the grant of a license, nor the grant itself, shall be construed to confer upon any person any immunity from or defenses under the antitrust laws or from a charge of patent misuse, and the acquisition and use of rights pursuant to 37 CFR Part 404 shall not be immunized from the operation of state or Federal law by reason of the source of the grant.</w:t>
      </w:r>
    </w:p>
    <w:p>
      <w:pPr>
        <w:spacing w:after="0" w:line="117" w:lineRule="exact"/>
        <w:rPr>
          <w:sz w:val="20"/>
          <w:szCs w:val="20"/>
          <w:color w:val="auto"/>
        </w:rPr>
      </w:pPr>
    </w:p>
    <w:p>
      <w:pPr>
        <w:ind w:left="960" w:right="340" w:hanging="484"/>
        <w:spacing w:after="0" w:line="233" w:lineRule="auto"/>
        <w:tabs>
          <w:tab w:leader="none" w:pos="940" w:val="left"/>
        </w:tabs>
        <w:rPr>
          <w:sz w:val="20"/>
          <w:szCs w:val="20"/>
          <w:color w:val="auto"/>
        </w:rPr>
      </w:pPr>
      <w:r>
        <w:rPr>
          <w:rFonts w:ascii="Times New Roman" w:cs="Times New Roman" w:eastAsia="Times New Roman" w:hAnsi="Times New Roman"/>
          <w:sz w:val="13"/>
          <w:szCs w:val="13"/>
          <w:color w:val="auto"/>
        </w:rPr>
        <w:t>14.13</w:t>
        <w:tab/>
        <w:t>Article 12, Article 8, and Paragraphs 9.4 (but Paragraph 9.4 shall only survive until the last royalties having accrued hereunder during the term of this</w:t>
      </w:r>
      <w:r>
        <w:rPr>
          <w:rFonts w:ascii="Times New Roman" w:cs="Times New Roman" w:eastAsia="Times New Roman" w:hAnsi="Times New Roman"/>
          <w:sz w:val="13"/>
          <w:szCs w:val="13"/>
          <w:b w:val="1"/>
          <w:bCs w:val="1"/>
          <w:color w:val="auto"/>
        </w:rPr>
        <w:t>Amended and Restated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Agreement </w:t>
      </w:r>
      <w:r>
        <w:rPr>
          <w:rFonts w:ascii="Times New Roman" w:cs="Times New Roman" w:eastAsia="Times New Roman" w:hAnsi="Times New Roman"/>
          <w:sz w:val="13"/>
          <w:szCs w:val="13"/>
          <w:color w:val="auto"/>
        </w:rPr>
        <w:t>have been paid), 9.5, 9.6, 9.7, 9.8, 13.8, 13.9, 14.1, 14.2, 14.5, 14.6, 14.7, 14.11 and 14.13 of this</w:t>
      </w:r>
      <w:r>
        <w:rPr>
          <w:rFonts w:ascii="Times New Roman" w:cs="Times New Roman" w:eastAsia="Times New Roman" w:hAnsi="Times New Roman"/>
          <w:sz w:val="13"/>
          <w:szCs w:val="13"/>
          <w:b w:val="1"/>
          <w:bCs w:val="1"/>
          <w:color w:val="auto"/>
        </w:rPr>
        <w:t xml:space="preserve"> Amended and Restated Agreement </w:t>
      </w:r>
      <w:r>
        <w:rPr>
          <w:rFonts w:ascii="Times New Roman" w:cs="Times New Roman" w:eastAsia="Times New Roman" w:hAnsi="Times New Roman"/>
          <w:sz w:val="13"/>
          <w:szCs w:val="13"/>
          <w:color w:val="auto"/>
        </w:rPr>
        <w:t>shall survive the expiration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termination of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ind w:left="960" w:hanging="484"/>
        <w:spacing w:after="0" w:line="224" w:lineRule="auto"/>
        <w:tabs>
          <w:tab w:leader="none" w:pos="940" w:val="left"/>
        </w:tabs>
        <w:rPr>
          <w:sz w:val="20"/>
          <w:szCs w:val="20"/>
          <w:color w:val="auto"/>
        </w:rPr>
      </w:pPr>
      <w:r>
        <w:rPr>
          <w:rFonts w:ascii="Times New Roman" w:cs="Times New Roman" w:eastAsia="Times New Roman" w:hAnsi="Times New Roman"/>
          <w:sz w:val="13"/>
          <w:szCs w:val="13"/>
          <w:color w:val="auto"/>
        </w:rPr>
        <w:t>14.14</w:t>
        <w:tab/>
        <w:t xml:space="preserve">The terms and conditions of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shall, at the </w:t>
      </w:r>
      <w:r>
        <w:rPr>
          <w:rFonts w:ascii="Times New Roman" w:cs="Times New Roman" w:eastAsia="Times New Roman" w:hAnsi="Times New Roman"/>
          <w:sz w:val="13"/>
          <w:szCs w:val="13"/>
          <w:b w:val="1"/>
          <w:bCs w:val="1"/>
          <w:color w:val="auto"/>
        </w:rPr>
        <w:t>NIAID’s</w:t>
      </w:r>
      <w:r>
        <w:rPr>
          <w:rFonts w:ascii="Times New Roman" w:cs="Times New Roman" w:eastAsia="Times New Roman" w:hAnsi="Times New Roman"/>
          <w:sz w:val="13"/>
          <w:szCs w:val="13"/>
          <w:color w:val="auto"/>
        </w:rPr>
        <w:t xml:space="preserve"> sole option, be considered by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to be withdrawn from the </w:t>
      </w:r>
      <w:r>
        <w:rPr>
          <w:rFonts w:ascii="Times New Roman" w:cs="Times New Roman" w:eastAsia="Times New Roman" w:hAnsi="Times New Roman"/>
          <w:sz w:val="13"/>
          <w:szCs w:val="13"/>
          <w:b w:val="1"/>
          <w:bCs w:val="1"/>
          <w:color w:val="auto"/>
        </w:rPr>
        <w:t>Licensee’s</w:t>
      </w:r>
      <w:r>
        <w:rPr>
          <w:rFonts w:ascii="Times New Roman" w:cs="Times New Roman" w:eastAsia="Times New Roman" w:hAnsi="Times New Roman"/>
          <w:sz w:val="13"/>
          <w:szCs w:val="13"/>
          <w:color w:val="auto"/>
        </w:rPr>
        <w:t xml:space="preserve"> consideration and the terms and conditions of this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and the </w:t>
      </w:r>
      <w:r>
        <w:rPr>
          <w:rFonts w:ascii="Times New Roman" w:cs="Times New Roman" w:eastAsia="Times New Roman" w:hAnsi="Times New Roman"/>
          <w:sz w:val="13"/>
          <w:szCs w:val="13"/>
          <w:b w:val="1"/>
          <w:bCs w:val="1"/>
          <w:color w:val="auto"/>
        </w:rPr>
        <w:t>Amended and Restated Agreement</w:t>
      </w:r>
      <w:r>
        <w:rPr>
          <w:rFonts w:ascii="Times New Roman" w:cs="Times New Roman" w:eastAsia="Times New Roman" w:hAnsi="Times New Roman"/>
          <w:sz w:val="13"/>
          <w:szCs w:val="13"/>
          <w:color w:val="auto"/>
        </w:rPr>
        <w:t xml:space="preserve"> itself to be null and void, unless this </w:t>
      </w:r>
      <w:r>
        <w:rPr>
          <w:rFonts w:ascii="Times New Roman" w:cs="Times New Roman" w:eastAsia="Times New Roman" w:hAnsi="Times New Roman"/>
          <w:sz w:val="13"/>
          <w:szCs w:val="13"/>
          <w:b w:val="1"/>
          <w:bCs w:val="1"/>
          <w:color w:val="auto"/>
        </w:rPr>
        <w:t>Amended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and Restated Agreement </w:t>
      </w:r>
      <w:r>
        <w:rPr>
          <w:rFonts w:ascii="Times New Roman" w:cs="Times New Roman" w:eastAsia="Times New Roman" w:hAnsi="Times New Roman"/>
          <w:sz w:val="13"/>
          <w:szCs w:val="13"/>
          <w:color w:val="auto"/>
        </w:rPr>
        <w:t>is executed by the</w:t>
      </w:r>
      <w:r>
        <w:rPr>
          <w:rFonts w:ascii="Times New Roman" w:cs="Times New Roman" w:eastAsia="Times New Roman" w:hAnsi="Times New Roman"/>
          <w:sz w:val="13"/>
          <w:szCs w:val="13"/>
          <w:b w:val="1"/>
          <w:bCs w:val="1"/>
          <w:color w:val="auto"/>
        </w:rPr>
        <w:t xml:space="preserve"> Licensee </w:t>
      </w:r>
      <w:r>
        <w:rPr>
          <w:rFonts w:ascii="Times New Roman" w:cs="Times New Roman" w:eastAsia="Times New Roman" w:hAnsi="Times New Roman"/>
          <w:sz w:val="13"/>
          <w:szCs w:val="13"/>
          <w:color w:val="auto"/>
        </w:rPr>
        <w:t>and a fully executed original is received by the</w:t>
      </w:r>
      <w:r>
        <w:rPr>
          <w:rFonts w:ascii="Times New Roman" w:cs="Times New Roman" w:eastAsia="Times New Roman" w:hAnsi="Times New Roman"/>
          <w:sz w:val="13"/>
          <w:szCs w:val="13"/>
          <w:b w:val="1"/>
          <w:bCs w:val="1"/>
          <w:color w:val="auto"/>
        </w:rPr>
        <w:t xml:space="preserve"> NIAID </w:t>
      </w:r>
      <w:r>
        <w:rPr>
          <w:rFonts w:ascii="Times New Roman" w:cs="Times New Roman" w:eastAsia="Times New Roman" w:hAnsi="Times New Roman"/>
          <w:sz w:val="13"/>
          <w:szCs w:val="13"/>
          <w:color w:val="auto"/>
        </w:rPr>
        <w:t>within [***] days from the date of the</w:t>
      </w:r>
      <w:r>
        <w:rPr>
          <w:rFonts w:ascii="Times New Roman" w:cs="Times New Roman" w:eastAsia="Times New Roman" w:hAnsi="Times New Roman"/>
          <w:sz w:val="13"/>
          <w:szCs w:val="13"/>
          <w:b w:val="1"/>
          <w:bCs w:val="1"/>
          <w:color w:val="auto"/>
        </w:rPr>
        <w:t xml:space="preserve"> NIAID </w:t>
      </w:r>
      <w:r>
        <w:rPr>
          <w:rFonts w:ascii="Times New Roman" w:cs="Times New Roman" w:eastAsia="Times New Roman" w:hAnsi="Times New Roman"/>
          <w:sz w:val="13"/>
          <w:szCs w:val="13"/>
          <w:color w:val="auto"/>
        </w:rPr>
        <w:t>signature found at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Signature Page. Signatures delivered by electronic transmission, including in portable document format (.pdf) sent by electronic mail or by any other electronic means (e.g., DocuSign) agreed by the Parties, will have the same effect as physical delivery of the paper document bearing the original signatures, and will be deemed original signatures.</w:t>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SIGNATURES BEGIN ON NEXT PAGE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CONFIDENTIAL </w:t>
      </w:r>
      <w:r>
        <w:rPr>
          <w:rFonts w:ascii="Times New Roman" w:cs="Times New Roman" w:eastAsia="Times New Roman" w:hAnsi="Times New Roman"/>
          <w:sz w:val="11"/>
          <w:szCs w:val="11"/>
          <w:color w:val="auto"/>
        </w:rPr>
        <w: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1"/>
          <w:szCs w:val="11"/>
          <w:color w:val="auto"/>
        </w:rPr>
        <w:t>Model 10-2015 Rev 09-2024</w:t>
        <w:tab/>
        <w:t>Page 14 of 25 [FINAL] [BioNTech SE] [20 December 2024]</w:t>
      </w:r>
    </w:p>
    <w:p>
      <w:pPr>
        <w:sectPr>
          <w:pgSz w:w="11900" w:h="16840" w:orient="portrait"/>
          <w:cols w:equalWidth="0" w:num="1">
            <w:col w:w="10600"/>
          </w:cols>
          <w:pgMar w:left="660" w:top="752" w:right="640"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3"/>
          <w:szCs w:val="13"/>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3"/>
          <w:szCs w:val="13"/>
          <w:b w:val="1"/>
          <w:bCs w:val="1"/>
          <w:u w:val="single" w:color="auto"/>
          <w:color w:val="auto"/>
        </w:rPr>
        <w:t>SIGNATURE PAGE</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xml:space="preserve">For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637"/>
        </w:trPr>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/s/ Surekha Vathyam</w:t>
            </w: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2024.</w:t>
            </w:r>
            <w:r>
              <w:rPr>
                <w:rFonts w:ascii="Times New Roman" w:cs="Times New Roman" w:eastAsia="Times New Roman" w:hAnsi="Times New Roman"/>
                <w:sz w:val="13"/>
                <w:szCs w:val="13"/>
                <w:u w:val="single" w:color="auto"/>
                <w:color w:val="auto"/>
              </w:rPr>
              <w:t>12.20</w:t>
            </w:r>
          </w:p>
        </w:tc>
      </w:tr>
      <w:tr>
        <w:trPr>
          <w:trHeight w:val="20"/>
        </w:trPr>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42"/>
        </w:trPr>
        <w:tc>
          <w:tcPr>
            <w:tcW w:w="13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auto"/>
              </w:rPr>
              <w:t>Surekha Vathyam, Ph.D.</w:t>
            </w:r>
          </w:p>
        </w:tc>
        <w:tc>
          <w:tcPr>
            <w:tcW w:w="40" w:type="dxa"/>
            <w:vAlign w:val="bottom"/>
          </w:tcPr>
          <w:p>
            <w:pPr>
              <w:spacing w:after="0"/>
              <w:rPr>
                <w:sz w:val="12"/>
                <w:szCs w:val="12"/>
                <w:color w:val="auto"/>
              </w:rPr>
            </w:pPr>
          </w:p>
        </w:tc>
        <w:tc>
          <w:tcPr>
            <w:tcW w:w="600" w:type="dxa"/>
            <w:vAlign w:val="bottom"/>
          </w:tcPr>
          <w:p>
            <w:pPr>
              <w:jc w:val="right"/>
              <w:ind w:right="74"/>
              <w:spacing w:after="0" w:line="143" w:lineRule="exact"/>
              <w:rPr>
                <w:sz w:val="20"/>
                <w:szCs w:val="20"/>
                <w:color w:val="auto"/>
              </w:rPr>
            </w:pPr>
            <w:r>
              <w:rPr>
                <w:rFonts w:ascii="Times New Roman" w:cs="Times New Roman" w:eastAsia="Times New Roman" w:hAnsi="Times New Roman"/>
                <w:sz w:val="13"/>
                <w:szCs w:val="13"/>
                <w:color w:val="auto"/>
              </w:rPr>
              <w:t>Date</w:t>
            </w:r>
          </w:p>
        </w:tc>
      </w:tr>
      <w:tr>
        <w:trPr>
          <w:trHeight w:val="166"/>
        </w:trPr>
        <w:tc>
          <w:tcPr>
            <w:tcW w:w="1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Director</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rPr>
          <w:sz w:val="20"/>
          <w:szCs w:val="20"/>
          <w:color w:val="auto"/>
        </w:rPr>
      </w:pPr>
      <w:r>
        <w:rPr>
          <w:rFonts w:ascii="Times New Roman" w:cs="Times New Roman" w:eastAsia="Times New Roman" w:hAnsi="Times New Roman"/>
          <w:sz w:val="13"/>
          <w:szCs w:val="13"/>
          <w:color w:val="auto"/>
        </w:rPr>
        <w:t>Technology and Intellectual Property Office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National Institute of Allergy and Infectious Diseases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Address for Agreement notices and reports: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E-mail: [***] (preferred)</w:t>
      </w:r>
    </w:p>
    <w:p>
      <w:pPr>
        <w:spacing w:after="0" w:line="32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3"/>
          <w:szCs w:val="13"/>
          <w:color w:val="auto"/>
        </w:rPr>
        <w:t>Mail:</w:t>
      </w:r>
      <w:r>
        <w:rPr>
          <w:sz w:val="20"/>
          <w:szCs w:val="20"/>
          <w:color w:val="auto"/>
        </w:rPr>
        <w:tab/>
      </w:r>
      <w:r>
        <w:rPr>
          <w:rFonts w:ascii="Times New Roman" w:cs="Times New Roman" w:eastAsia="Times New Roman" w:hAnsi="Times New Roman"/>
          <w:sz w:val="13"/>
          <w:szCs w:val="13"/>
          <w:color w:val="auto"/>
        </w:rPr>
        <w:t>License Compliance and Administration</w:t>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Monitoring &amp; Enforcement</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Office of Technology Transfer</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National Institutes of Health</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6701 Rockledge Drive, Suite 700, MS 7788</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Bethesda, Maryland 20892 U.S.A.</w:t>
      </w:r>
    </w:p>
    <w:p>
      <w:pPr>
        <w:spacing w:after="0" w:line="1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(For courier deliveries please check https://www.ott.nih.gov/licensing/license-noticesreports)</w:t>
      </w:r>
    </w:p>
    <w:p>
      <w:pPr>
        <w:spacing w:after="0" w:line="200" w:lineRule="exact"/>
        <w:rPr>
          <w:sz w:val="20"/>
          <w:szCs w:val="20"/>
          <w:color w:val="auto"/>
        </w:rPr>
      </w:pPr>
    </w:p>
    <w:p>
      <w:pPr>
        <w:spacing w:after="0" w:line="30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 xml:space="preserve">For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(Upon, information and belief, the undersigned expressly certifies or affirms that the contents of any statements of the</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made or referred to in this document are truthful and accurate.):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/s/ James Ryan</w:t>
            </w:r>
          </w:p>
        </w:tc>
        <w:tc>
          <w:tcPr>
            <w:tcW w:w="1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20 December 2024</w:t>
            </w:r>
          </w:p>
        </w:tc>
      </w:tr>
      <w:tr>
        <w:trPr>
          <w:trHeight w:val="20"/>
        </w:trPr>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62"/>
        </w:trPr>
        <w:tc>
          <w:tcPr>
            <w:tcW w:w="1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Signature of Authorized Official</w:t>
            </w: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w w:val="89"/>
              </w:rPr>
              <w:t>Date</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Dr. James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09600" cy="63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29">
                      <a:extLst>
                        <a:ext uri="{28A0092B-C50C-407E-A947-70E740481C1C}"/>
                      </a:extLst>
                    </a:blip>
                    <a:srcRect/>
                    <a:stretch>
                      <a:fillRect/>
                    </a:stretch>
                  </pic:blipFill>
                  <pic:spPr bwMode="auto">
                    <a:xfrm>
                      <a:off x="0" y="0"/>
                      <a:ext cx="609600"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Printed Name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Chief Legal Officer &amp; Chief Business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610995" cy="63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30">
                      <a:extLst>
                        <a:ext uri="{28A0092B-C50C-407E-A947-70E740481C1C}"/>
                      </a:extLst>
                    </a:blip>
                    <a:srcRect/>
                    <a:stretch>
                      <a:fillRect/>
                    </a:stretch>
                  </pic:blipFill>
                  <pic:spPr bwMode="auto">
                    <a:xfrm>
                      <a:off x="0" y="0"/>
                      <a:ext cx="1610995"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Title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w:t>
      </w:r>
    </w:p>
    <w:p>
      <w:pPr>
        <w:spacing w:after="0" w:line="164"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3"/>
          <w:szCs w:val="13"/>
          <w:color w:val="auto"/>
        </w:rPr>
        <w:t>ppa. /s/ Tom Thormeyer</w:t>
      </w:r>
      <w:r>
        <w:rPr>
          <w:sz w:val="20"/>
          <w:szCs w:val="20"/>
          <w:color w:val="auto"/>
        </w:rPr>
        <w:tab/>
      </w:r>
      <w:r>
        <w:rPr>
          <w:rFonts w:ascii="Times New Roman" w:cs="Times New Roman" w:eastAsia="Times New Roman" w:hAnsi="Times New Roman"/>
          <w:sz w:val="13"/>
          <w:szCs w:val="13"/>
          <w:u w:val="single" w:color="auto"/>
          <w:color w:val="auto"/>
        </w:rPr>
        <w:t>20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92175" cy="63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31">
                      <a:extLst>
                        <a:ext uri="{28A0092B-C50C-407E-A947-70E740481C1C}"/>
                      </a:extLst>
                    </a:blip>
                    <a:srcRect/>
                    <a:stretch>
                      <a:fillRect/>
                    </a:stretch>
                  </pic:blipFill>
                  <pic:spPr bwMode="auto">
                    <a:xfrm>
                      <a:off x="0" y="0"/>
                      <a:ext cx="892175" cy="6350"/>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CONFIDENTIAL </w:t>
      </w:r>
      <w:r>
        <w:rPr>
          <w:rFonts w:ascii="Times New Roman" w:cs="Times New Roman" w:eastAsia="Times New Roman" w:hAnsi="Times New Roman"/>
          <w:sz w:val="11"/>
          <w:szCs w:val="11"/>
          <w:color w:val="auto"/>
        </w:rPr>
        <w: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1"/>
          <w:szCs w:val="11"/>
          <w:color w:val="auto"/>
        </w:rPr>
        <w:t>Model 10-2015 Rev 09-2024</w:t>
        <w:tab/>
        <w:t>Page 15 of 25 [FINAL] [BioNTech SE] [20 December 2024]</w:t>
      </w:r>
    </w:p>
    <w:p>
      <w:pPr>
        <w:sectPr>
          <w:pgSz w:w="11900" w:h="16840" w:orient="portrait"/>
          <w:cols w:equalWidth="0" w:num="1">
            <w:col w:w="10380"/>
          </w:cols>
          <w:pgMar w:left="660" w:top="752" w:right="860"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3"/>
          <w:szCs w:val="13"/>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3"/>
          <w:szCs w:val="13"/>
          <w:color w:val="auto"/>
        </w:rPr>
        <w:t>Signature of Authorized Official</w:t>
      </w:r>
      <w:r>
        <w:rPr>
          <w:sz w:val="20"/>
          <w:szCs w:val="20"/>
          <w:color w:val="auto"/>
        </w:rPr>
        <w:tab/>
      </w:r>
      <w:r>
        <w:rPr>
          <w:rFonts w:ascii="Times New Roman" w:cs="Times New Roman" w:eastAsia="Times New Roman" w:hAnsi="Times New Roman"/>
          <w:sz w:val="12"/>
          <w:szCs w:val="12"/>
          <w:color w:val="auto"/>
        </w:rPr>
        <w:t>Date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Tom Thormeyer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35635" cy="635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32">
                      <a:extLst>
                        <a:ext uri="{28A0092B-C50C-407E-A947-70E740481C1C}"/>
                      </a:extLst>
                    </a:blip>
                    <a:srcRect/>
                    <a:stretch>
                      <a:fillRect/>
                    </a:stretch>
                  </pic:blipFill>
                  <pic:spPr bwMode="auto">
                    <a:xfrm>
                      <a:off x="0" y="0"/>
                      <a:ext cx="635635"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Printed Name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Prokurist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91795" cy="63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33">
                      <a:extLst>
                        <a:ext uri="{28A0092B-C50C-407E-A947-70E740481C1C}"/>
                      </a:extLst>
                    </a:blip>
                    <a:srcRect/>
                    <a:stretch>
                      <a:fillRect/>
                    </a:stretch>
                  </pic:blipFill>
                  <pic:spPr bwMode="auto">
                    <a:xfrm>
                      <a:off x="0" y="0"/>
                      <a:ext cx="391795"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Title</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 xml:space="preserve">I. Official and Mailing Address for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xml:space="preserve"> notices: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u w:val="single" w:color="auto"/>
          <w:color w:val="auto"/>
        </w:rPr>
        <w:t>BioNTech SE</w:t>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u w:val="single" w:color="auto"/>
          <w:color w:val="auto"/>
        </w:rPr>
        <w:t>Legal Department / Rechtsabteilung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Mailing Address</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An der Goldgrube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-4445</wp:posOffset>
            </wp:positionV>
            <wp:extent cx="795655" cy="63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34">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55131 Mainz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-4445</wp:posOffset>
            </wp:positionV>
            <wp:extent cx="526415" cy="635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35">
                      <a:extLst>
                        <a:ext uri="{28A0092B-C50C-407E-A947-70E740481C1C}"/>
                      </a:extLst>
                    </a:blip>
                    <a:srcRect/>
                    <a:stretch>
                      <a:fillRect/>
                    </a:stretch>
                  </pic:blipFill>
                  <pic:spPr bwMode="auto">
                    <a:xfrm>
                      <a:off x="0" y="0"/>
                      <a:ext cx="526415" cy="6350"/>
                    </a:xfrm>
                    <a:prstGeom prst="rect">
                      <a:avLst/>
                    </a:prstGeom>
                    <a:noFill/>
                  </pic:spPr>
                </pic:pic>
              </a:graphicData>
            </a:graphic>
          </wp:anchor>
        </w:drawing>
      </w:r>
    </w:p>
    <w:p>
      <w:pPr>
        <w:spacing w:after="0" w:line="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-4445</wp:posOffset>
            </wp:positionV>
            <wp:extent cx="391795" cy="635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36">
                      <a:extLst>
                        <a:ext uri="{28A0092B-C50C-407E-A947-70E740481C1C}"/>
                      </a:extLst>
                    </a:blip>
                    <a:srcRect/>
                    <a:stretch>
                      <a:fillRect/>
                    </a:stretch>
                  </pic:blipFill>
                  <pic:spPr bwMode="auto">
                    <a:xfrm>
                      <a:off x="0" y="0"/>
                      <a:ext cx="391795" cy="6350"/>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135890</wp:posOffset>
            </wp:positionV>
            <wp:extent cx="83185" cy="635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37">
                      <a:extLst>
                        <a:ext uri="{28A0092B-C50C-407E-A947-70E740481C1C}"/>
                      </a:extLst>
                    </a:blip>
                    <a:srcRect/>
                    <a:stretch>
                      <a:fillRect/>
                    </a:stretch>
                  </pic:blipFill>
                  <pic:spPr bwMode="auto">
                    <a:xfrm>
                      <a:off x="0" y="0"/>
                      <a:ext cx="83185" cy="635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80"/>
        <w:spacing w:after="0"/>
        <w:tabs>
          <w:tab w:leader="none" w:pos="1400" w:val="left"/>
        </w:tabs>
        <w:rPr>
          <w:sz w:val="20"/>
          <w:szCs w:val="20"/>
          <w:color w:val="auto"/>
        </w:rPr>
      </w:pPr>
      <w:r>
        <w:rPr>
          <w:rFonts w:ascii="Times New Roman" w:cs="Times New Roman" w:eastAsia="Times New Roman" w:hAnsi="Times New Roman"/>
          <w:sz w:val="13"/>
          <w:szCs w:val="13"/>
          <w:color w:val="auto"/>
        </w:rPr>
        <w:t>Email Address:</w:t>
      </w:r>
      <w:r>
        <w:rPr>
          <w:sz w:val="20"/>
          <w:szCs w:val="20"/>
          <w:color w:val="auto"/>
        </w:rPr>
        <w:tab/>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 xml:space="preserve">II.Official and Mailing Address for Financial notices (the </w:t>
      </w:r>
      <w:r>
        <w:rPr>
          <w:rFonts w:ascii="Times New Roman" w:cs="Times New Roman" w:eastAsia="Times New Roman" w:hAnsi="Times New Roman"/>
          <w:sz w:val="13"/>
          <w:szCs w:val="13"/>
          <w:b w:val="1"/>
          <w:bCs w:val="1"/>
          <w:color w:val="auto"/>
        </w:rPr>
        <w:t>Licensee’s</w:t>
      </w:r>
      <w:r>
        <w:rPr>
          <w:rFonts w:ascii="Times New Roman" w:cs="Times New Roman" w:eastAsia="Times New Roman" w:hAnsi="Times New Roman"/>
          <w:sz w:val="13"/>
          <w:szCs w:val="13"/>
          <w:color w:val="auto"/>
        </w:rPr>
        <w:t xml:space="preserve"> contact person for royalty payments)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-4445</wp:posOffset>
            </wp:positionV>
            <wp:extent cx="262890" cy="63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38">
                      <a:extLst>
                        <a:ext uri="{28A0092B-C50C-407E-A947-70E740481C1C}"/>
                      </a:extLst>
                    </a:blip>
                    <a:srcRect/>
                    <a:stretch>
                      <a:fillRect/>
                    </a:stretch>
                  </pic:blipFill>
                  <pic:spPr bwMode="auto">
                    <a:xfrm>
                      <a:off x="0" y="0"/>
                      <a:ext cx="262890" cy="635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3"/>
          <w:szCs w:val="13"/>
          <w:color w:val="auto"/>
        </w:rPr>
        <w:t>Name</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-4445</wp:posOffset>
            </wp:positionV>
            <wp:extent cx="262890" cy="635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39">
                      <a:extLst>
                        <a:ext uri="{28A0092B-C50C-407E-A947-70E740481C1C}"/>
                      </a:extLst>
                    </a:blip>
                    <a:srcRect/>
                    <a:stretch>
                      <a:fillRect/>
                    </a:stretch>
                  </pic:blipFill>
                  <pic:spPr bwMode="auto">
                    <a:xfrm>
                      <a:off x="0" y="0"/>
                      <a:ext cx="262890" cy="635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3"/>
          <w:szCs w:val="13"/>
          <w:color w:val="auto"/>
        </w:rPr>
        <w:t>Title</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Mailing Address: [***]</w:t>
      </w:r>
    </w:p>
    <w:p>
      <w:pPr>
        <w:spacing w:after="0" w:line="194" w:lineRule="exact"/>
        <w:rPr>
          <w:sz w:val="20"/>
          <w:szCs w:val="20"/>
          <w:color w:val="auto"/>
        </w:rPr>
      </w:pPr>
    </w:p>
    <w:p>
      <w:pPr>
        <w:ind w:left="480"/>
        <w:spacing w:after="0"/>
        <w:tabs>
          <w:tab w:leader="none" w:pos="1400" w:val="left"/>
        </w:tabs>
        <w:rPr>
          <w:sz w:val="20"/>
          <w:szCs w:val="20"/>
          <w:color w:val="auto"/>
        </w:rPr>
      </w:pPr>
      <w:r>
        <w:rPr>
          <w:rFonts w:ascii="Times New Roman" w:cs="Times New Roman" w:eastAsia="Times New Roman" w:hAnsi="Times New Roman"/>
          <w:sz w:val="13"/>
          <w:szCs w:val="13"/>
          <w:color w:val="auto"/>
        </w:rPr>
        <w:t>Email Address:</w:t>
      </w:r>
      <w:r>
        <w:rPr>
          <w:sz w:val="20"/>
          <w:szCs w:val="20"/>
          <w:color w:val="auto"/>
        </w:rPr>
        <w:tab/>
      </w:r>
      <w:r>
        <w:rPr>
          <w:rFonts w:ascii="Times New Roman" w:cs="Times New Roman" w:eastAsia="Times New Roman" w:hAnsi="Times New Roman"/>
          <w:sz w:val="12"/>
          <w:szCs w:val="12"/>
          <w:color w:val="auto"/>
        </w:rPr>
        <w:t>[***]</w:t>
      </w:r>
    </w:p>
    <w:p>
      <w:pPr>
        <w:spacing w:after="0" w:line="235" w:lineRule="exact"/>
        <w:rPr>
          <w:sz w:val="20"/>
          <w:szCs w:val="20"/>
          <w:color w:val="auto"/>
        </w:rPr>
      </w:pPr>
    </w:p>
    <w:p>
      <w:pPr>
        <w:ind w:left="480"/>
        <w:spacing w:after="0"/>
        <w:tabs>
          <w:tab w:leader="none" w:pos="1400" w:val="left"/>
        </w:tabs>
        <w:rPr>
          <w:sz w:val="20"/>
          <w:szCs w:val="20"/>
          <w:color w:val="auto"/>
        </w:rPr>
      </w:pPr>
      <w:r>
        <w:rPr>
          <w:rFonts w:ascii="Times New Roman" w:cs="Times New Roman" w:eastAsia="Times New Roman" w:hAnsi="Times New Roman"/>
          <w:sz w:val="13"/>
          <w:szCs w:val="13"/>
          <w:color w:val="auto"/>
        </w:rPr>
        <w:t>Email Address:</w:t>
      </w:r>
      <w:r>
        <w:rPr>
          <w:sz w:val="20"/>
          <w:szCs w:val="20"/>
          <w:color w:val="auto"/>
        </w:rPr>
        <w:tab/>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3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 xml:space="preserve">Any false or misleading statements made, presented, or submitted to the </w:t>
      </w:r>
      <w:r>
        <w:rPr>
          <w:rFonts w:ascii="Times New Roman" w:cs="Times New Roman" w:eastAsia="Times New Roman" w:hAnsi="Times New Roman"/>
          <w:sz w:val="13"/>
          <w:szCs w:val="13"/>
          <w:b w:val="1"/>
          <w:bCs w:val="1"/>
          <w:color w:val="auto"/>
        </w:rPr>
        <w:t>Government</w:t>
      </w:r>
      <w:r>
        <w:rPr>
          <w:rFonts w:ascii="Times New Roman" w:cs="Times New Roman" w:eastAsia="Times New Roman" w:hAnsi="Times New Roman"/>
          <w:sz w:val="13"/>
          <w:szCs w:val="13"/>
          <w:color w:val="auto"/>
        </w:rPr>
        <w:t xml:space="preserve">, including any relevant omissions, under 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xml:space="preserve"> and during the course of negotiation of 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xml:space="preserve"> are subject to all applicable civil and criminal statutes including Federal statutes 31 U.S.C. §§3801-3812 (civil liability) and 18 U.S.C. §1001 (criminal liability including fine(s) and/or imprisonment).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CONFIDENTIAL </w:t>
      </w:r>
      <w:r>
        <w:rPr>
          <w:rFonts w:ascii="Times New Roman" w:cs="Times New Roman" w:eastAsia="Times New Roman" w:hAnsi="Times New Roman"/>
          <w:sz w:val="11"/>
          <w:szCs w:val="11"/>
          <w:color w:val="auto"/>
        </w:rPr>
        <w: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1"/>
          <w:szCs w:val="11"/>
          <w:color w:val="auto"/>
        </w:rPr>
        <w:t>Model 10-2015 Rev 09-2024</w:t>
        <w:tab/>
        <w:t>Page 16 of 25 [FINAL] [BioNTech SE] [20 December 2024]</w:t>
      </w:r>
    </w:p>
    <w:p>
      <w:pPr>
        <w:sectPr>
          <w:pgSz w:w="11900" w:h="16840" w:orient="portrait"/>
          <w:cols w:equalWidth="0" w:num="1">
            <w:col w:w="10480"/>
          </w:cols>
          <w:pgMar w:left="660" w:top="752" w:right="760"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3"/>
          <w:szCs w:val="13"/>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2740"/>
        <w:spacing w:after="0"/>
        <w:rPr>
          <w:sz w:val="20"/>
          <w:szCs w:val="20"/>
          <w:color w:val="auto"/>
        </w:rPr>
      </w:pPr>
      <w:r>
        <w:rPr>
          <w:rFonts w:ascii="Times New Roman" w:cs="Times New Roman" w:eastAsia="Times New Roman" w:hAnsi="Times New Roman"/>
          <w:sz w:val="13"/>
          <w:szCs w:val="13"/>
          <w:b w:val="1"/>
          <w:bCs w:val="1"/>
          <w:u w:val="single" w:color="auto"/>
          <w:color w:val="auto"/>
        </w:rPr>
        <w:t>APPENDIX A – PATENT(S) OR PATENT APPLICATION(S)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Patent(s) or Patent Application(s):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CONFIDENTIAL </w:t>
      </w:r>
      <w:r>
        <w:rPr>
          <w:rFonts w:ascii="Times New Roman" w:cs="Times New Roman" w:eastAsia="Times New Roman" w:hAnsi="Times New Roman"/>
          <w:sz w:val="11"/>
          <w:szCs w:val="11"/>
          <w:color w:val="auto"/>
        </w:rPr>
        <w: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1"/>
          <w:szCs w:val="11"/>
          <w:color w:val="auto"/>
        </w:rPr>
        <w:t>Model 10-2015 Rev 09-2024</w:t>
        <w:tab/>
        <w:t>Page 17 of 25 [FINAL] [BioNTech SE] [20 December 2024]</w:t>
      </w:r>
    </w:p>
    <w:p>
      <w:pPr>
        <w:sectPr>
          <w:pgSz w:w="11900" w:h="16840" w:orient="portrait"/>
          <w:cols w:equalWidth="0" w:num="1">
            <w:col w:w="9800"/>
          </w:cols>
          <w:pgMar w:left="660" w:top="752" w:right="1440" w:bottom="1440" w:gutter="0" w:footer="0" w:header="0"/>
        </w:sectPr>
      </w:pPr>
    </w:p>
    <w:bookmarkStart w:id="408" w:name="page409"/>
    <w:bookmarkEnd w:id="408"/>
    <w:p>
      <w:pPr>
        <w:ind w:left="9"/>
        <w:spacing w:after="0"/>
        <w:rPr>
          <w:sz w:val="20"/>
          <w:szCs w:val="20"/>
          <w:color w:val="auto"/>
        </w:rPr>
      </w:pPr>
      <w:r>
        <w:rPr>
          <w:rFonts w:ascii="Times New Roman" w:cs="Times New Roman" w:eastAsia="Times New Roman" w:hAnsi="Times New Roman"/>
          <w:sz w:val="13"/>
          <w:szCs w:val="13"/>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29"/>
        <w:spacing w:after="0"/>
        <w:rPr>
          <w:sz w:val="20"/>
          <w:szCs w:val="20"/>
          <w:color w:val="auto"/>
        </w:rPr>
      </w:pPr>
      <w:r>
        <w:rPr>
          <w:rFonts w:ascii="Times New Roman" w:cs="Times New Roman" w:eastAsia="Times New Roman" w:hAnsi="Times New Roman"/>
          <w:sz w:val="13"/>
          <w:szCs w:val="13"/>
          <w:b w:val="1"/>
          <w:bCs w:val="1"/>
          <w:u w:val="single" w:color="auto"/>
          <w:color w:val="auto"/>
        </w:rPr>
        <w:t>APPENDIX B – LICENSED FIELDS OF USE AND TERRITORY</w:t>
      </w:r>
    </w:p>
    <w:p>
      <w:pPr>
        <w:spacing w:after="0" w:line="200" w:lineRule="exact"/>
        <w:rPr>
          <w:sz w:val="20"/>
          <w:szCs w:val="20"/>
          <w:color w:val="auto"/>
        </w:rPr>
      </w:pPr>
    </w:p>
    <w:p>
      <w:pPr>
        <w:spacing w:after="0" w:line="308" w:lineRule="exact"/>
        <w:rPr>
          <w:sz w:val="20"/>
          <w:szCs w:val="20"/>
          <w:color w:val="auto"/>
        </w:rPr>
      </w:pPr>
    </w:p>
    <w:p>
      <w:pPr>
        <w:ind w:left="209" w:hanging="209"/>
        <w:spacing w:after="0"/>
        <w:tabs>
          <w:tab w:leader="none" w:pos="209" w:val="left"/>
        </w:tabs>
        <w:numPr>
          <w:ilvl w:val="0"/>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Licensed Fields of Use:</w:t>
      </w:r>
    </w:p>
    <w:p>
      <w:pPr>
        <w:spacing w:after="0" w:line="113" w:lineRule="exact"/>
        <w:rPr>
          <w:sz w:val="20"/>
          <w:szCs w:val="20"/>
          <w:color w:val="auto"/>
        </w:rPr>
      </w:pPr>
    </w:p>
    <w:p>
      <w:pPr>
        <w:jc w:val="right"/>
        <w:ind w:right="1960"/>
        <w:spacing w:after="0"/>
        <w:rPr>
          <w:sz w:val="20"/>
          <w:szCs w:val="20"/>
          <w:color w:val="auto"/>
        </w:rPr>
      </w:pPr>
      <w:r>
        <w:rPr>
          <w:rFonts w:ascii="Times New Roman" w:cs="Times New Roman" w:eastAsia="Times New Roman" w:hAnsi="Times New Roman"/>
          <w:sz w:val="13"/>
          <w:szCs w:val="13"/>
          <w:color w:val="auto"/>
        </w:rPr>
        <w:t xml:space="preserve">Vaccines against SARS-CoV-2 using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’s proprietary mRNA technology (including if used in a </w:t>
      </w:r>
      <w:r>
        <w:rPr>
          <w:rFonts w:ascii="Times New Roman" w:cs="Times New Roman" w:eastAsia="Times New Roman" w:hAnsi="Times New Roman"/>
          <w:sz w:val="13"/>
          <w:szCs w:val="13"/>
          <w:b w:val="1"/>
          <w:bCs w:val="1"/>
          <w:color w:val="auto"/>
        </w:rPr>
        <w:t>Combination Product</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37" w:lineRule="exact"/>
        <w:rPr>
          <w:sz w:val="20"/>
          <w:szCs w:val="20"/>
          <w:color w:val="auto"/>
        </w:rPr>
      </w:pPr>
    </w:p>
    <w:p>
      <w:pPr>
        <w:ind w:left="969" w:right="8240" w:hanging="969"/>
        <w:spacing w:after="0" w:line="459" w:lineRule="auto"/>
        <w:tabs>
          <w:tab w:leader="none" w:pos="252"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Licensed Territory: </w:t>
      </w:r>
      <w:r>
        <w:rPr>
          <w:rFonts w:ascii="Times New Roman" w:cs="Times New Roman" w:eastAsia="Times New Roman" w:hAnsi="Times New Roman"/>
          <w:sz w:val="13"/>
          <w:szCs w:val="13"/>
          <w:color w:val="auto"/>
        </w:rPr>
        <w:t>Worldwide</w:t>
      </w:r>
    </w:p>
    <w:p>
      <w:pPr>
        <w:spacing w:after="0" w:line="277" w:lineRule="exact"/>
        <w:rPr>
          <w:sz w:val="20"/>
          <w:szCs w:val="20"/>
          <w:color w:val="auto"/>
        </w:rPr>
      </w:pPr>
    </w:p>
    <w:p>
      <w:pPr>
        <w:ind w:left="489" w:right="7980" w:hanging="489"/>
        <w:spacing w:after="0" w:line="459" w:lineRule="auto"/>
        <w:tabs>
          <w:tab w:leader="none" w:pos="297"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Least Developed Countries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t>
      </w:r>
    </w:p>
    <w:p>
      <w:pPr>
        <w:spacing w:after="0" w:line="2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b w:val="1"/>
          <w:bCs w:val="1"/>
          <w:color w:val="auto"/>
        </w:rPr>
        <w:t xml:space="preserve">CONFIDENTIAL </w:t>
      </w:r>
      <w:r>
        <w:rPr>
          <w:rFonts w:ascii="Times New Roman" w:cs="Times New Roman" w:eastAsia="Times New Roman" w:hAnsi="Times New Roman"/>
          <w:sz w:val="11"/>
          <w:szCs w:val="11"/>
          <w:color w:val="auto"/>
        </w:rPr>
        <w:t>[***]</w:t>
      </w:r>
    </w:p>
    <w:p>
      <w:pPr>
        <w:spacing w:after="0" w:line="1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ind w:left="9"/>
        <w:spacing w:after="0"/>
        <w:tabs>
          <w:tab w:leader="none" w:pos="1409" w:val="left"/>
        </w:tabs>
        <w:rPr>
          <w:sz w:val="20"/>
          <w:szCs w:val="20"/>
          <w:color w:val="auto"/>
        </w:rPr>
      </w:pPr>
      <w:r>
        <w:rPr>
          <w:rFonts w:ascii="Times New Roman" w:cs="Times New Roman" w:eastAsia="Times New Roman" w:hAnsi="Times New Roman"/>
          <w:sz w:val="11"/>
          <w:szCs w:val="11"/>
          <w:color w:val="auto"/>
        </w:rPr>
        <w:t>Model 10-2015 Rev 09-2024</w:t>
        <w:tab/>
        <w:t>Page 18 of 25 [FINAL] [BioNTech SE] [20 December 2024]</w:t>
      </w:r>
    </w:p>
    <w:p>
      <w:pPr>
        <w:sectPr>
          <w:pgSz w:w="11900" w:h="16840" w:orient="portrait"/>
          <w:cols w:equalWidth="0" w:num="1">
            <w:col w:w="9809"/>
          </w:cols>
          <w:pgMar w:left="651" w:top="752" w:right="1440" w:bottom="1440" w:gutter="0" w:footer="0" w:header="0"/>
        </w:sectPr>
      </w:pPr>
    </w:p>
    <w:bookmarkStart w:id="409" w:name="page410"/>
    <w:bookmarkEnd w:id="409"/>
    <w:p>
      <w:pPr>
        <w:ind w:left="9"/>
        <w:spacing w:after="0"/>
        <w:rPr>
          <w:sz w:val="20"/>
          <w:szCs w:val="20"/>
          <w:color w:val="auto"/>
        </w:rPr>
      </w:pPr>
      <w:r>
        <w:rPr>
          <w:rFonts w:ascii="Times New Roman" w:cs="Times New Roman" w:eastAsia="Times New Roman" w:hAnsi="Times New Roman"/>
          <w:sz w:val="13"/>
          <w:szCs w:val="13"/>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3"/>
          <w:szCs w:val="13"/>
          <w:b w:val="1"/>
          <w:bCs w:val="1"/>
          <w:u w:val="single" w:color="auto"/>
          <w:color w:val="auto"/>
        </w:rPr>
        <w:t>APPENDIX C – ROYALTIES</w:t>
      </w:r>
    </w:p>
    <w:p>
      <w:pPr>
        <w:spacing w:after="0" w:line="32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3"/>
          <w:szCs w:val="13"/>
          <w:b w:val="1"/>
          <w:bCs w:val="1"/>
          <w:color w:val="auto"/>
        </w:rPr>
        <w:t>Royalties:</w:t>
      </w:r>
    </w:p>
    <w:p>
      <w:pPr>
        <w:spacing w:after="0" w:line="315" w:lineRule="exact"/>
        <w:rPr>
          <w:sz w:val="20"/>
          <w:szCs w:val="20"/>
          <w:color w:val="auto"/>
        </w:rPr>
      </w:pPr>
    </w:p>
    <w:p>
      <w:pPr>
        <w:ind w:left="489" w:right="220" w:hanging="489"/>
        <w:spacing w:after="0" w:line="248" w:lineRule="auto"/>
        <w:tabs>
          <w:tab w:leader="none" w:pos="212" w:val="left"/>
        </w:tabs>
        <w:numPr>
          <w:ilvl w:val="0"/>
          <w:numId w:val="2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Parties acknowledge that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previously paid to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a noncreditable, nonrefundable license issue royalty in the amount of [***] within [***] days from the</w:t>
      </w:r>
      <w:r>
        <w:rPr>
          <w:rFonts w:ascii="Times New Roman" w:cs="Times New Roman" w:eastAsia="Times New Roman" w:hAnsi="Times New Roman"/>
          <w:sz w:val="13"/>
          <w:szCs w:val="13"/>
          <w:b w:val="1"/>
          <w:bCs w:val="1"/>
          <w:color w:val="auto"/>
        </w:rPr>
        <w:t>Effective Date</w:t>
      </w:r>
      <w:r>
        <w:rPr>
          <w:rFonts w:ascii="Times New Roman" w:cs="Times New Roman" w:eastAsia="Times New Roman" w:hAnsi="Times New Roman"/>
          <w:sz w:val="13"/>
          <w:szCs w:val="13"/>
          <w:color w:val="auto"/>
        </w:rPr>
        <w:t xml:space="preserve"> of the </w:t>
      </w:r>
      <w:r>
        <w:rPr>
          <w:rFonts w:ascii="Times New Roman" w:cs="Times New Roman" w:eastAsia="Times New Roman" w:hAnsi="Times New Roman"/>
          <w:sz w:val="13"/>
          <w:szCs w:val="13"/>
          <w:b w:val="1"/>
          <w:bCs w:val="1"/>
          <w:color w:val="auto"/>
        </w:rPr>
        <w:t>Original Agreement</w:t>
      </w:r>
      <w:r>
        <w:rPr>
          <w:rFonts w:ascii="Times New Roman" w:cs="Times New Roman" w:eastAsia="Times New Roman" w:hAnsi="Times New Roman"/>
          <w:sz w:val="13"/>
          <w:szCs w:val="13"/>
          <w:color w:val="auto"/>
        </w:rPr>
        <w:t>.</w:t>
      </w:r>
    </w:p>
    <w:p>
      <w:pPr>
        <w:spacing w:after="0" w:line="148" w:lineRule="exact"/>
        <w:rPr>
          <w:sz w:val="20"/>
          <w:szCs w:val="20"/>
          <w:color w:val="auto"/>
        </w:rPr>
      </w:pPr>
    </w:p>
    <w:p>
      <w:pPr>
        <w:ind w:left="969" w:right="5360" w:hanging="969"/>
        <w:spacing w:after="0" w:line="421" w:lineRule="auto"/>
        <w:tabs>
          <w:tab w:leader="none" w:pos="251" w:val="left"/>
        </w:tabs>
        <w:numPr>
          <w:ilvl w:val="0"/>
          <w:numId w:val="2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Licensee agrees to pay to the NIAID a nonrefundable minimum annual royalty as follows: [***]</w:t>
      </w:r>
    </w:p>
    <w:p>
      <w:pPr>
        <w:spacing w:after="0" w:line="1" w:lineRule="exact"/>
        <w:rPr>
          <w:sz w:val="20"/>
          <w:szCs w:val="20"/>
          <w:color w:val="auto"/>
        </w:rPr>
      </w:pPr>
    </w:p>
    <w:p>
      <w:pPr>
        <w:ind w:left="289" w:hanging="289"/>
        <w:spacing w:after="0"/>
        <w:tabs>
          <w:tab w:leader="none" w:pos="289"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Earned Royalties:</w:t>
      </w:r>
    </w:p>
    <w:p>
      <w:pPr>
        <w:spacing w:after="0" w:line="111" w:lineRule="exact"/>
        <w:rPr>
          <w:rFonts w:ascii="Times New Roman" w:cs="Times New Roman" w:eastAsia="Times New Roman" w:hAnsi="Times New Roman"/>
          <w:sz w:val="13"/>
          <w:szCs w:val="13"/>
          <w:color w:val="auto"/>
        </w:rPr>
      </w:pPr>
    </w:p>
    <w:p>
      <w:pPr>
        <w:ind w:left="969" w:hanging="484"/>
        <w:spacing w:after="0"/>
        <w:tabs>
          <w:tab w:leader="none" w:pos="969" w:val="left"/>
        </w:tabs>
        <w:numPr>
          <w:ilvl w:val="1"/>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the period starting from the </w:t>
      </w:r>
      <w:r>
        <w:rPr>
          <w:rFonts w:ascii="Times New Roman" w:cs="Times New Roman" w:eastAsia="Times New Roman" w:hAnsi="Times New Roman"/>
          <w:sz w:val="13"/>
          <w:szCs w:val="13"/>
          <w:b w:val="1"/>
          <w:bCs w:val="1"/>
          <w:color w:val="auto"/>
        </w:rPr>
        <w:t>Effective Date</w:t>
      </w:r>
      <w:r>
        <w:rPr>
          <w:rFonts w:ascii="Times New Roman" w:cs="Times New Roman" w:eastAsia="Times New Roman" w:hAnsi="Times New Roman"/>
          <w:sz w:val="13"/>
          <w:szCs w:val="13"/>
          <w:color w:val="auto"/>
        </w:rPr>
        <w:t xml:space="preserve"> and ending immediately prior to the </w:t>
      </w:r>
      <w:r>
        <w:rPr>
          <w:rFonts w:ascii="Times New Roman" w:cs="Times New Roman" w:eastAsia="Times New Roman" w:hAnsi="Times New Roman"/>
          <w:sz w:val="13"/>
          <w:szCs w:val="13"/>
          <w:b w:val="1"/>
          <w:bCs w:val="1"/>
          <w:color w:val="auto"/>
        </w:rPr>
        <w:t>Amendment Effective Date</w:t>
      </w:r>
      <w:r>
        <w:rPr>
          <w:rFonts w:ascii="Times New Roman" w:cs="Times New Roman" w:eastAsia="Times New Roman" w:hAnsi="Times New Roman"/>
          <w:sz w:val="13"/>
          <w:szCs w:val="13"/>
          <w:color w:val="auto"/>
        </w:rPr>
        <w:t>:</w:t>
      </w:r>
    </w:p>
    <w:p>
      <w:pPr>
        <w:spacing w:after="0" w:line="113" w:lineRule="exact"/>
        <w:rPr>
          <w:rFonts w:ascii="Times New Roman" w:cs="Times New Roman" w:eastAsia="Times New Roman" w:hAnsi="Times New Roman"/>
          <w:sz w:val="13"/>
          <w:szCs w:val="13"/>
          <w:color w:val="auto"/>
        </w:rPr>
      </w:pPr>
    </w:p>
    <w:p>
      <w:pPr>
        <w:ind w:left="1249" w:hanging="279"/>
        <w:spacing w:after="0"/>
        <w:tabs>
          <w:tab w:leader="none" w:pos="1249" w:val="left"/>
        </w:tabs>
        <w:numPr>
          <w:ilvl w:val="2"/>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agrees to pay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earned royalties on </w:t>
      </w:r>
      <w:r>
        <w:rPr>
          <w:rFonts w:ascii="Times New Roman" w:cs="Times New Roman" w:eastAsia="Times New Roman" w:hAnsi="Times New Roman"/>
          <w:sz w:val="13"/>
          <w:szCs w:val="13"/>
          <w:b w:val="1"/>
          <w:bCs w:val="1"/>
          <w:color w:val="auto"/>
        </w:rPr>
        <w:t>Net Sales</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in the </w:t>
      </w:r>
      <w:r>
        <w:rPr>
          <w:rFonts w:ascii="Times New Roman" w:cs="Times New Roman" w:eastAsia="Times New Roman" w:hAnsi="Times New Roman"/>
          <w:sz w:val="13"/>
          <w:szCs w:val="13"/>
          <w:b w:val="1"/>
          <w:bCs w:val="1"/>
          <w:color w:val="auto"/>
        </w:rPr>
        <w:t>Licensed Territory</w:t>
      </w:r>
      <w:r>
        <w:rPr>
          <w:rFonts w:ascii="Times New Roman" w:cs="Times New Roman" w:eastAsia="Times New Roman" w:hAnsi="Times New Roman"/>
          <w:sz w:val="13"/>
          <w:szCs w:val="13"/>
          <w:color w:val="auto"/>
        </w:rPr>
        <w:t xml:space="preserve"> by or on behalf of 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as follows:</w:t>
      </w:r>
    </w:p>
    <w:p>
      <w:pPr>
        <w:spacing w:after="0" w:line="123" w:lineRule="exact"/>
        <w:rPr>
          <w:rFonts w:ascii="Times New Roman" w:cs="Times New Roman" w:eastAsia="Times New Roman" w:hAnsi="Times New Roman"/>
          <w:sz w:val="13"/>
          <w:szCs w:val="13"/>
          <w:color w:val="auto"/>
        </w:rPr>
      </w:pPr>
    </w:p>
    <w:p>
      <w:pPr>
        <w:ind w:left="1989" w:hanging="534"/>
        <w:spacing w:after="0"/>
        <w:tabs>
          <w:tab w:leader="none" w:pos="1989" w:val="left"/>
        </w:tabs>
        <w:numPr>
          <w:ilvl w:val="3"/>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on the portion of </w:t>
      </w:r>
      <w:r>
        <w:rPr>
          <w:rFonts w:ascii="Times New Roman" w:cs="Times New Roman" w:eastAsia="Times New Roman" w:hAnsi="Times New Roman"/>
          <w:sz w:val="13"/>
          <w:szCs w:val="13"/>
          <w:b w:val="1"/>
          <w:bCs w:val="1"/>
          <w:color w:val="auto"/>
        </w:rPr>
        <w:t>Net Sales</w:t>
      </w:r>
      <w:r>
        <w:rPr>
          <w:rFonts w:ascii="Times New Roman" w:cs="Times New Roman" w:eastAsia="Times New Roman" w:hAnsi="Times New Roman"/>
          <w:sz w:val="13"/>
          <w:szCs w:val="13"/>
          <w:color w:val="auto"/>
        </w:rPr>
        <w:t xml:space="preserve"> of the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in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(No royalty stacking to apply).</w:t>
      </w:r>
    </w:p>
    <w:p>
      <w:pPr>
        <w:spacing w:after="0" w:line="18" w:lineRule="exact"/>
        <w:rPr>
          <w:rFonts w:ascii="Times New Roman" w:cs="Times New Roman" w:eastAsia="Times New Roman" w:hAnsi="Times New Roman"/>
          <w:sz w:val="13"/>
          <w:szCs w:val="13"/>
          <w:color w:val="auto"/>
        </w:rPr>
      </w:pPr>
    </w:p>
    <w:p>
      <w:pPr>
        <w:ind w:left="1989" w:hanging="534"/>
        <w:spacing w:after="0"/>
        <w:tabs>
          <w:tab w:leader="none" w:pos="1989" w:val="left"/>
        </w:tabs>
        <w:numPr>
          <w:ilvl w:val="3"/>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on </w:t>
      </w:r>
      <w:r>
        <w:rPr>
          <w:rFonts w:ascii="Times New Roman" w:cs="Times New Roman" w:eastAsia="Times New Roman" w:hAnsi="Times New Roman"/>
          <w:sz w:val="13"/>
          <w:szCs w:val="13"/>
          <w:b w:val="1"/>
          <w:bCs w:val="1"/>
          <w:color w:val="auto"/>
        </w:rPr>
        <w:t>Net Sales</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outside of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up to [***];</w:t>
      </w:r>
    </w:p>
    <w:p>
      <w:pPr>
        <w:spacing w:after="0" w:line="178" w:lineRule="exact"/>
        <w:rPr>
          <w:rFonts w:ascii="Times New Roman" w:cs="Times New Roman" w:eastAsia="Times New Roman" w:hAnsi="Times New Roman"/>
          <w:sz w:val="13"/>
          <w:szCs w:val="13"/>
          <w:color w:val="auto"/>
        </w:rPr>
      </w:pPr>
    </w:p>
    <w:p>
      <w:pPr>
        <w:ind w:left="1989" w:hanging="534"/>
        <w:spacing w:after="0"/>
        <w:tabs>
          <w:tab w:leader="none" w:pos="1989" w:val="left"/>
        </w:tabs>
        <w:numPr>
          <w:ilvl w:val="3"/>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on </w:t>
      </w:r>
      <w:r>
        <w:rPr>
          <w:rFonts w:ascii="Times New Roman" w:cs="Times New Roman" w:eastAsia="Times New Roman" w:hAnsi="Times New Roman"/>
          <w:sz w:val="13"/>
          <w:szCs w:val="13"/>
          <w:b w:val="1"/>
          <w:bCs w:val="1"/>
          <w:color w:val="auto"/>
        </w:rPr>
        <w:t>Net Sales</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outside of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over [***].</w:t>
      </w:r>
    </w:p>
    <w:p>
      <w:pPr>
        <w:spacing w:after="0" w:line="194" w:lineRule="exact"/>
        <w:rPr>
          <w:sz w:val="20"/>
          <w:szCs w:val="20"/>
          <w:color w:val="auto"/>
        </w:rPr>
      </w:pPr>
    </w:p>
    <w:p>
      <w:pPr>
        <w:jc w:val="both"/>
        <w:ind w:left="969"/>
        <w:spacing w:after="0" w:line="262" w:lineRule="auto"/>
        <w:rPr>
          <w:sz w:val="20"/>
          <w:szCs w:val="20"/>
          <w:color w:val="auto"/>
        </w:rPr>
      </w:pPr>
      <w:r>
        <w:rPr>
          <w:rFonts w:ascii="Times New Roman" w:cs="Times New Roman" w:eastAsia="Times New Roman" w:hAnsi="Times New Roman"/>
          <w:sz w:val="13"/>
          <w:szCs w:val="13"/>
          <w:color w:val="auto"/>
        </w:rPr>
        <w:t xml:space="preserve">For royalties payable under Paragraphs III(a)(1)ii and III(a)(1)iii above,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may deduct from any royalty payments due to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an amount equal to [***] of any royalty paid by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to a </w:t>
      </w:r>
      <w:r>
        <w:rPr>
          <w:rFonts w:ascii="Times New Roman" w:cs="Times New Roman" w:eastAsia="Times New Roman" w:hAnsi="Times New Roman"/>
          <w:sz w:val="13"/>
          <w:szCs w:val="13"/>
          <w:b w:val="1"/>
          <w:bCs w:val="1"/>
          <w:color w:val="auto"/>
        </w:rPr>
        <w:t>Third Party</w:t>
      </w:r>
      <w:r>
        <w:rPr>
          <w:rFonts w:ascii="Times New Roman" w:cs="Times New Roman" w:eastAsia="Times New Roman" w:hAnsi="Times New Roman"/>
          <w:sz w:val="13"/>
          <w:szCs w:val="13"/>
          <w:color w:val="auto"/>
        </w:rPr>
        <w:t xml:space="preserve"> on </w:t>
      </w:r>
      <w:r>
        <w:rPr>
          <w:rFonts w:ascii="Times New Roman" w:cs="Times New Roman" w:eastAsia="Times New Roman" w:hAnsi="Times New Roman"/>
          <w:sz w:val="13"/>
          <w:szCs w:val="13"/>
          <w:b w:val="1"/>
          <w:bCs w:val="1"/>
          <w:color w:val="auto"/>
        </w:rPr>
        <w:t>Net Sales</w:t>
      </w:r>
      <w:r>
        <w:rPr>
          <w:rFonts w:ascii="Times New Roman" w:cs="Times New Roman" w:eastAsia="Times New Roman" w:hAnsi="Times New Roman"/>
          <w:sz w:val="13"/>
          <w:szCs w:val="13"/>
          <w:color w:val="auto"/>
        </w:rPr>
        <w:t xml:space="preserve"> for the </w:t>
      </w:r>
      <w:r>
        <w:rPr>
          <w:rFonts w:ascii="Times New Roman" w:cs="Times New Roman" w:eastAsia="Times New Roman" w:hAnsi="Times New Roman"/>
          <w:sz w:val="13"/>
          <w:szCs w:val="13"/>
          <w:b w:val="1"/>
          <w:bCs w:val="1"/>
          <w:color w:val="auto"/>
        </w:rPr>
        <w:t>Licensed Product</w:t>
      </w:r>
      <w:r>
        <w:rPr>
          <w:rFonts w:ascii="Times New Roman" w:cs="Times New Roman" w:eastAsia="Times New Roman" w:hAnsi="Times New Roman"/>
          <w:sz w:val="13"/>
          <w:szCs w:val="13"/>
          <w:color w:val="auto"/>
        </w:rPr>
        <w:t xml:space="preserve"> under a </w:t>
      </w:r>
      <w:r>
        <w:rPr>
          <w:rFonts w:ascii="Times New Roman" w:cs="Times New Roman" w:eastAsia="Times New Roman" w:hAnsi="Times New Roman"/>
          <w:sz w:val="13"/>
          <w:szCs w:val="13"/>
          <w:b w:val="1"/>
          <w:bCs w:val="1"/>
          <w:color w:val="auto"/>
        </w:rPr>
        <w:t>Third Party</w:t>
      </w:r>
      <w:r>
        <w:rPr>
          <w:rFonts w:ascii="Times New Roman" w:cs="Times New Roman" w:eastAsia="Times New Roman" w:hAnsi="Times New Roman"/>
          <w:sz w:val="13"/>
          <w:szCs w:val="13"/>
          <w:color w:val="auto"/>
        </w:rPr>
        <w:t xml:space="preserve"> license obtained by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provided that the royalty deductions shall not reduce the royalty payable to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to less than a floor of [***] for</w:t>
      </w:r>
      <w:r>
        <w:rPr>
          <w:rFonts w:ascii="Times New Roman" w:cs="Times New Roman" w:eastAsia="Times New Roman" w:hAnsi="Times New Roman"/>
          <w:sz w:val="13"/>
          <w:szCs w:val="13"/>
          <w:b w:val="1"/>
          <w:bCs w:val="1"/>
          <w:color w:val="auto"/>
        </w:rPr>
        <w:t>Net Sales</w:t>
      </w:r>
      <w:r>
        <w:rPr>
          <w:rFonts w:ascii="Times New Roman" w:cs="Times New Roman" w:eastAsia="Times New Roman" w:hAnsi="Times New Roman"/>
          <w:sz w:val="13"/>
          <w:szCs w:val="13"/>
          <w:color w:val="auto"/>
        </w:rPr>
        <w:t xml:space="preserve"> up to [***] and a floor of [***] for </w:t>
      </w:r>
      <w:r>
        <w:rPr>
          <w:rFonts w:ascii="Times New Roman" w:cs="Times New Roman" w:eastAsia="Times New Roman" w:hAnsi="Times New Roman"/>
          <w:sz w:val="13"/>
          <w:szCs w:val="13"/>
          <w:b w:val="1"/>
          <w:bCs w:val="1"/>
          <w:color w:val="auto"/>
        </w:rPr>
        <w:t>Net Sales</w:t>
      </w:r>
      <w:r>
        <w:rPr>
          <w:rFonts w:ascii="Times New Roman" w:cs="Times New Roman" w:eastAsia="Times New Roman" w:hAnsi="Times New Roman"/>
          <w:sz w:val="13"/>
          <w:szCs w:val="13"/>
          <w:color w:val="auto"/>
        </w:rPr>
        <w:t xml:space="preserve"> over [***].</w:t>
      </w:r>
    </w:p>
    <w:p>
      <w:pPr>
        <w:spacing w:after="0" w:line="147" w:lineRule="exact"/>
        <w:rPr>
          <w:sz w:val="20"/>
          <w:szCs w:val="20"/>
          <w:color w:val="auto"/>
        </w:rPr>
      </w:pPr>
    </w:p>
    <w:p>
      <w:pPr>
        <w:ind w:left="969" w:hanging="484"/>
        <w:spacing w:after="0"/>
        <w:tabs>
          <w:tab w:leader="none" w:pos="969"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From and after the </w:t>
      </w:r>
      <w:r>
        <w:rPr>
          <w:rFonts w:ascii="Times New Roman" w:cs="Times New Roman" w:eastAsia="Times New Roman" w:hAnsi="Times New Roman"/>
          <w:sz w:val="13"/>
          <w:szCs w:val="13"/>
          <w:b w:val="1"/>
          <w:bCs w:val="1"/>
          <w:color w:val="auto"/>
        </w:rPr>
        <w:t>Amendment Effective Date</w:t>
      </w:r>
      <w:r>
        <w:rPr>
          <w:rFonts w:ascii="Times New Roman" w:cs="Times New Roman" w:eastAsia="Times New Roman" w:hAnsi="Times New Roman"/>
          <w:sz w:val="13"/>
          <w:szCs w:val="13"/>
          <w:color w:val="auto"/>
        </w:rPr>
        <w:t>:</w:t>
      </w:r>
    </w:p>
    <w:p>
      <w:pPr>
        <w:spacing w:after="0" w:line="113" w:lineRule="exact"/>
        <w:rPr>
          <w:rFonts w:ascii="Times New Roman" w:cs="Times New Roman" w:eastAsia="Times New Roman" w:hAnsi="Times New Roman"/>
          <w:sz w:val="13"/>
          <w:szCs w:val="13"/>
          <w:color w:val="auto"/>
        </w:rPr>
      </w:pPr>
    </w:p>
    <w:p>
      <w:pPr>
        <w:ind w:left="1449" w:right="80" w:hanging="479"/>
        <w:spacing w:after="0" w:line="227" w:lineRule="auto"/>
        <w:tabs>
          <w:tab w:leader="none" w:pos="1249" w:val="left"/>
        </w:tabs>
        <w:numPr>
          <w:ilvl w:val="1"/>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agrees to pay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with respect to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that are manufactured in a country in which there is a </w:t>
      </w:r>
      <w:r>
        <w:rPr>
          <w:rFonts w:ascii="Times New Roman" w:cs="Times New Roman" w:eastAsia="Times New Roman" w:hAnsi="Times New Roman"/>
          <w:sz w:val="13"/>
          <w:szCs w:val="13"/>
          <w:b w:val="1"/>
          <w:bCs w:val="1"/>
          <w:color w:val="auto"/>
        </w:rPr>
        <w:t>Licensed Patent Right</w:t>
      </w:r>
      <w:r>
        <w:rPr>
          <w:rFonts w:ascii="Times New Roman" w:cs="Times New Roman" w:eastAsia="Times New Roman" w:hAnsi="Times New Roman"/>
          <w:sz w:val="13"/>
          <w:szCs w:val="13"/>
          <w:color w:val="auto"/>
        </w:rPr>
        <w:t xml:space="preserve"> covering the manufacture, use, sale, offer for sale, or import of such </w:t>
      </w:r>
      <w:r>
        <w:rPr>
          <w:rFonts w:ascii="Times New Roman" w:cs="Times New Roman" w:eastAsia="Times New Roman" w:hAnsi="Times New Roman"/>
          <w:sz w:val="13"/>
          <w:szCs w:val="13"/>
          <w:b w:val="1"/>
          <w:bCs w:val="1"/>
          <w:color w:val="auto"/>
        </w:rPr>
        <w:t>Licensed Product</w:t>
      </w:r>
      <w:r>
        <w:rPr>
          <w:rFonts w:ascii="Times New Roman" w:cs="Times New Roman" w:eastAsia="Times New Roman" w:hAnsi="Times New Roman"/>
          <w:sz w:val="13"/>
          <w:szCs w:val="13"/>
          <w:color w:val="auto"/>
        </w:rPr>
        <w:t xml:space="preserve"> in such country of manufacture and/or that are sold in a country in which there is a </w:t>
      </w:r>
      <w:r>
        <w:rPr>
          <w:rFonts w:ascii="Times New Roman" w:cs="Times New Roman" w:eastAsia="Times New Roman" w:hAnsi="Times New Roman"/>
          <w:sz w:val="13"/>
          <w:szCs w:val="13"/>
          <w:b w:val="1"/>
          <w:bCs w:val="1"/>
          <w:color w:val="auto"/>
        </w:rPr>
        <w:t>Licensed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Patent Right </w:t>
      </w:r>
      <w:r>
        <w:rPr>
          <w:rFonts w:ascii="Times New Roman" w:cs="Times New Roman" w:eastAsia="Times New Roman" w:hAnsi="Times New Roman"/>
          <w:sz w:val="13"/>
          <w:szCs w:val="13"/>
          <w:color w:val="auto"/>
        </w:rPr>
        <w:t>covering the manufacture, use, sale, offer for sale, or import of such</w:t>
      </w:r>
      <w:r>
        <w:rPr>
          <w:rFonts w:ascii="Times New Roman" w:cs="Times New Roman" w:eastAsia="Times New Roman" w:hAnsi="Times New Roman"/>
          <w:sz w:val="13"/>
          <w:szCs w:val="13"/>
          <w:b w:val="1"/>
          <w:bCs w:val="1"/>
          <w:color w:val="auto"/>
        </w:rPr>
        <w:t xml:space="preserve">Licensed Product </w:t>
      </w:r>
      <w:r>
        <w:rPr>
          <w:rFonts w:ascii="Times New Roman" w:cs="Times New Roman" w:eastAsia="Times New Roman" w:hAnsi="Times New Roman"/>
          <w:sz w:val="13"/>
          <w:szCs w:val="13"/>
          <w:color w:val="auto"/>
        </w:rPr>
        <w:t>in such country of sale, earned royalties on</w:t>
      </w:r>
      <w:r>
        <w:rPr>
          <w:rFonts w:ascii="Times New Roman" w:cs="Times New Roman" w:eastAsia="Times New Roman" w:hAnsi="Times New Roman"/>
          <w:sz w:val="13"/>
          <w:szCs w:val="13"/>
          <w:b w:val="1"/>
          <w:bCs w:val="1"/>
          <w:color w:val="auto"/>
        </w:rPr>
        <w:t xml:space="preserve"> Net Sales </w:t>
      </w:r>
      <w:r>
        <w:rPr>
          <w:rFonts w:ascii="Times New Roman" w:cs="Times New Roman" w:eastAsia="Times New Roman" w:hAnsi="Times New Roman"/>
          <w:sz w:val="13"/>
          <w:szCs w:val="13"/>
          <w:color w:val="auto"/>
        </w:rPr>
        <w:t>of such</w:t>
      </w:r>
      <w:r>
        <w:rPr>
          <w:rFonts w:ascii="Times New Roman" w:cs="Times New Roman" w:eastAsia="Times New Roman" w:hAnsi="Times New Roman"/>
          <w:sz w:val="13"/>
          <w:szCs w:val="13"/>
          <w:b w:val="1"/>
          <w:bCs w:val="1"/>
          <w:color w:val="auto"/>
        </w:rPr>
        <w:t xml:space="preserve"> Licensed Products </w:t>
      </w:r>
      <w:r>
        <w:rPr>
          <w:rFonts w:ascii="Times New Roman" w:cs="Times New Roman" w:eastAsia="Times New Roman" w:hAnsi="Times New Roman"/>
          <w:sz w:val="13"/>
          <w:szCs w:val="13"/>
          <w:color w:val="auto"/>
        </w:rPr>
        <w:t>by or on behalf of the</w:t>
      </w:r>
      <w:r>
        <w:rPr>
          <w:rFonts w:ascii="Times New Roman" w:cs="Times New Roman" w:eastAsia="Times New Roman" w:hAnsi="Times New Roman"/>
          <w:sz w:val="13"/>
          <w:szCs w:val="13"/>
          <w:b w:val="1"/>
          <w:bCs w:val="1"/>
          <w:color w:val="auto"/>
        </w:rPr>
        <w:t xml:space="preserve"> Licensee </w:t>
      </w:r>
      <w:r>
        <w:rPr>
          <w:rFonts w:ascii="Times New Roman" w:cs="Times New Roman" w:eastAsia="Times New Roman" w:hAnsi="Times New Roman"/>
          <w:sz w:val="13"/>
          <w:szCs w:val="13"/>
          <w:color w:val="auto"/>
        </w:rPr>
        <w:t>and all sublicensees in the</w:t>
      </w:r>
      <w:r>
        <w:rPr>
          <w:rFonts w:ascii="Times New Roman" w:cs="Times New Roman" w:eastAsia="Times New Roman" w:hAnsi="Times New Roman"/>
          <w:sz w:val="13"/>
          <w:szCs w:val="13"/>
          <w:b w:val="1"/>
          <w:bCs w:val="1"/>
          <w:color w:val="auto"/>
        </w:rPr>
        <w:t xml:space="preserve"> Licensed Territory </w:t>
      </w:r>
      <w:r>
        <w:rPr>
          <w:rFonts w:ascii="Times New Roman" w:cs="Times New Roman" w:eastAsia="Times New Roman" w:hAnsi="Times New Roman"/>
          <w:sz w:val="13"/>
          <w:szCs w:val="13"/>
          <w:color w:val="auto"/>
        </w:rPr>
        <w:t>as follows:</w:t>
      </w:r>
    </w:p>
    <w:p>
      <w:pPr>
        <w:spacing w:after="0" w:line="162" w:lineRule="exact"/>
        <w:rPr>
          <w:rFonts w:ascii="Times New Roman" w:cs="Times New Roman" w:eastAsia="Times New Roman" w:hAnsi="Times New Roman"/>
          <w:sz w:val="13"/>
          <w:szCs w:val="13"/>
          <w:color w:val="auto"/>
        </w:rPr>
      </w:pPr>
    </w:p>
    <w:p>
      <w:pPr>
        <w:ind w:left="1929" w:hanging="474"/>
        <w:spacing w:after="0"/>
        <w:tabs>
          <w:tab w:leader="none" w:pos="1929" w:val="left"/>
        </w:tabs>
        <w:numPr>
          <w:ilvl w:val="2"/>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on a [***] basis, [***] on </w:t>
      </w:r>
      <w:r>
        <w:rPr>
          <w:rFonts w:ascii="Times New Roman" w:cs="Times New Roman" w:eastAsia="Times New Roman" w:hAnsi="Times New Roman"/>
          <w:sz w:val="13"/>
          <w:szCs w:val="13"/>
          <w:b w:val="1"/>
          <w:bCs w:val="1"/>
          <w:color w:val="auto"/>
        </w:rPr>
        <w:t>Net Sales</w:t>
      </w:r>
      <w:r>
        <w:rPr>
          <w:rFonts w:ascii="Times New Roman" w:cs="Times New Roman" w:eastAsia="Times New Roman" w:hAnsi="Times New Roman"/>
          <w:sz w:val="13"/>
          <w:szCs w:val="13"/>
          <w:color w:val="auto"/>
        </w:rPr>
        <w:t xml:space="preserve"> of the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in each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t>
      </w:r>
    </w:p>
    <w:p>
      <w:pPr>
        <w:spacing w:after="0" w:line="133" w:lineRule="exact"/>
        <w:rPr>
          <w:rFonts w:ascii="Times New Roman" w:cs="Times New Roman" w:eastAsia="Times New Roman" w:hAnsi="Times New Roman"/>
          <w:sz w:val="13"/>
          <w:szCs w:val="13"/>
          <w:color w:val="auto"/>
        </w:rPr>
      </w:pPr>
    </w:p>
    <w:p>
      <w:pPr>
        <w:ind w:left="1929" w:hanging="474"/>
        <w:spacing w:after="0"/>
        <w:tabs>
          <w:tab w:leader="none" w:pos="1929" w:val="left"/>
        </w:tabs>
        <w:numPr>
          <w:ilvl w:val="2"/>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Outside of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on a [***] basis, [***] on </w:t>
      </w:r>
      <w:r>
        <w:rPr>
          <w:rFonts w:ascii="Times New Roman" w:cs="Times New Roman" w:eastAsia="Times New Roman" w:hAnsi="Times New Roman"/>
          <w:sz w:val="13"/>
          <w:szCs w:val="13"/>
          <w:b w:val="1"/>
          <w:bCs w:val="1"/>
          <w:color w:val="auto"/>
        </w:rPr>
        <w:t>Net Sales</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in each [***].</w:t>
      </w:r>
    </w:p>
    <w:p>
      <w:pPr>
        <w:spacing w:after="0" w:line="184" w:lineRule="exact"/>
        <w:rPr>
          <w:rFonts w:ascii="Times New Roman" w:cs="Times New Roman" w:eastAsia="Times New Roman" w:hAnsi="Times New Roman"/>
          <w:sz w:val="13"/>
          <w:szCs w:val="13"/>
          <w:color w:val="auto"/>
        </w:rPr>
      </w:pPr>
    </w:p>
    <w:p>
      <w:pPr>
        <w:ind w:left="1449" w:right="60" w:hanging="479"/>
        <w:spacing w:after="0" w:line="227" w:lineRule="auto"/>
        <w:tabs>
          <w:tab w:leader="none" w:pos="1249" w:val="left"/>
        </w:tabs>
        <w:numPr>
          <w:ilvl w:val="1"/>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Solely for royalties payable on </w:t>
      </w:r>
      <w:r>
        <w:rPr>
          <w:rFonts w:ascii="Times New Roman" w:cs="Times New Roman" w:eastAsia="Times New Roman" w:hAnsi="Times New Roman"/>
          <w:sz w:val="13"/>
          <w:szCs w:val="13"/>
          <w:b w:val="1"/>
          <w:bCs w:val="1"/>
          <w:color w:val="auto"/>
        </w:rPr>
        <w:t>Net Sales</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outside of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under Paragraph III(b)(1)ii above,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may, on a [***] and [***] basis, deduct from any earned royalty payments due to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on </w:t>
      </w:r>
      <w:r>
        <w:rPr>
          <w:rFonts w:ascii="Times New Roman" w:cs="Times New Roman" w:eastAsia="Times New Roman" w:hAnsi="Times New Roman"/>
          <w:sz w:val="13"/>
          <w:szCs w:val="13"/>
          <w:b w:val="1"/>
          <w:bCs w:val="1"/>
          <w:color w:val="auto"/>
        </w:rPr>
        <w:t>Net Sales</w:t>
      </w:r>
      <w:r>
        <w:rPr>
          <w:rFonts w:ascii="Times New Roman" w:cs="Times New Roman" w:eastAsia="Times New Roman" w:hAnsi="Times New Roman"/>
          <w:sz w:val="13"/>
          <w:szCs w:val="13"/>
          <w:color w:val="auto"/>
        </w:rPr>
        <w:t xml:space="preserve"> of a </w:t>
      </w:r>
      <w:r>
        <w:rPr>
          <w:rFonts w:ascii="Times New Roman" w:cs="Times New Roman" w:eastAsia="Times New Roman" w:hAnsi="Times New Roman"/>
          <w:sz w:val="13"/>
          <w:szCs w:val="13"/>
          <w:b w:val="1"/>
          <w:bCs w:val="1"/>
          <w:color w:val="auto"/>
        </w:rPr>
        <w:t>Licensed Product</w:t>
      </w:r>
      <w:r>
        <w:rPr>
          <w:rFonts w:ascii="Times New Roman" w:cs="Times New Roman" w:eastAsia="Times New Roman" w:hAnsi="Times New Roman"/>
          <w:sz w:val="13"/>
          <w:szCs w:val="13"/>
          <w:color w:val="auto"/>
        </w:rPr>
        <w:t xml:space="preserve"> in a country an amount equal to [***] of any royalty paid by</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to a </w:t>
      </w:r>
      <w:r>
        <w:rPr>
          <w:rFonts w:ascii="Times New Roman" w:cs="Times New Roman" w:eastAsia="Times New Roman" w:hAnsi="Times New Roman"/>
          <w:sz w:val="13"/>
          <w:szCs w:val="13"/>
          <w:b w:val="1"/>
          <w:bCs w:val="1"/>
          <w:color w:val="auto"/>
        </w:rPr>
        <w:t>Third Party</w:t>
      </w:r>
      <w:r>
        <w:rPr>
          <w:rFonts w:ascii="Times New Roman" w:cs="Times New Roman" w:eastAsia="Times New Roman" w:hAnsi="Times New Roman"/>
          <w:sz w:val="13"/>
          <w:szCs w:val="13"/>
          <w:color w:val="auto"/>
        </w:rPr>
        <w:t xml:space="preserve"> on </w:t>
      </w:r>
      <w:r>
        <w:rPr>
          <w:rFonts w:ascii="Times New Roman" w:cs="Times New Roman" w:eastAsia="Times New Roman" w:hAnsi="Times New Roman"/>
          <w:sz w:val="13"/>
          <w:szCs w:val="13"/>
          <w:b w:val="1"/>
          <w:bCs w:val="1"/>
          <w:color w:val="auto"/>
        </w:rPr>
        <w:t>Net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Sales </w:t>
      </w:r>
      <w:r>
        <w:rPr>
          <w:rFonts w:ascii="Times New Roman" w:cs="Times New Roman" w:eastAsia="Times New Roman" w:hAnsi="Times New Roman"/>
          <w:sz w:val="13"/>
          <w:szCs w:val="13"/>
          <w:color w:val="auto"/>
        </w:rPr>
        <w:t>of such</w:t>
      </w:r>
      <w:r>
        <w:rPr>
          <w:rFonts w:ascii="Times New Roman" w:cs="Times New Roman" w:eastAsia="Times New Roman" w:hAnsi="Times New Roman"/>
          <w:sz w:val="13"/>
          <w:szCs w:val="13"/>
          <w:b w:val="1"/>
          <w:bCs w:val="1"/>
          <w:color w:val="auto"/>
        </w:rPr>
        <w:t xml:space="preserve"> Licensed Product </w:t>
      </w:r>
      <w:r>
        <w:rPr>
          <w:rFonts w:ascii="Times New Roman" w:cs="Times New Roman" w:eastAsia="Times New Roman" w:hAnsi="Times New Roman"/>
          <w:sz w:val="13"/>
          <w:szCs w:val="13"/>
          <w:color w:val="auto"/>
        </w:rPr>
        <w:t>in such country under a</w:t>
      </w:r>
      <w:r>
        <w:rPr>
          <w:rFonts w:ascii="Times New Roman" w:cs="Times New Roman" w:eastAsia="Times New Roman" w:hAnsi="Times New Roman"/>
          <w:sz w:val="13"/>
          <w:szCs w:val="13"/>
          <w:b w:val="1"/>
          <w:bCs w:val="1"/>
          <w:color w:val="auto"/>
        </w:rPr>
        <w:t xml:space="preserve"> Third Party </w:t>
      </w:r>
      <w:r>
        <w:rPr>
          <w:rFonts w:ascii="Times New Roman" w:cs="Times New Roman" w:eastAsia="Times New Roman" w:hAnsi="Times New Roman"/>
          <w:sz w:val="13"/>
          <w:szCs w:val="13"/>
          <w:color w:val="auto"/>
        </w:rPr>
        <w:t>license obtained by</w:t>
      </w:r>
      <w:r>
        <w:rPr>
          <w:rFonts w:ascii="Times New Roman" w:cs="Times New Roman" w:eastAsia="Times New Roman" w:hAnsi="Times New Roman"/>
          <w:sz w:val="13"/>
          <w:szCs w:val="13"/>
          <w:b w:val="1"/>
          <w:bCs w:val="1"/>
          <w:color w:val="auto"/>
        </w:rPr>
        <w:t xml:space="preserve"> Licensee </w:t>
      </w:r>
      <w:r>
        <w:rPr>
          <w:rFonts w:ascii="Times New Roman" w:cs="Times New Roman" w:eastAsia="Times New Roman" w:hAnsi="Times New Roman"/>
          <w:sz w:val="13"/>
          <w:szCs w:val="13"/>
          <w:color w:val="auto"/>
        </w:rPr>
        <w:t>or a sublicensee that is necessary or useful for the manufacture or sale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such </w:t>
      </w:r>
      <w:r>
        <w:rPr>
          <w:rFonts w:ascii="Times New Roman" w:cs="Times New Roman" w:eastAsia="Times New Roman" w:hAnsi="Times New Roman"/>
          <w:sz w:val="13"/>
          <w:szCs w:val="13"/>
          <w:b w:val="1"/>
          <w:bCs w:val="1"/>
          <w:color w:val="auto"/>
        </w:rPr>
        <w:t>Licensed Product</w:t>
      </w:r>
      <w:r>
        <w:rPr>
          <w:rFonts w:ascii="Times New Roman" w:cs="Times New Roman" w:eastAsia="Times New Roman" w:hAnsi="Times New Roman"/>
          <w:sz w:val="13"/>
          <w:szCs w:val="13"/>
          <w:color w:val="auto"/>
        </w:rPr>
        <w:t xml:space="preserve"> ([***]); provided that the aggregate royalty deductions for all such</w:t>
      </w:r>
    </w:p>
    <w:p>
      <w:pPr>
        <w:spacing w:after="0" w:line="3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b w:val="1"/>
          <w:bCs w:val="1"/>
          <w:color w:val="auto"/>
        </w:rPr>
        <w:t xml:space="preserve">CONFIDENTIAL </w:t>
      </w:r>
      <w:r>
        <w:rPr>
          <w:rFonts w:ascii="Times New Roman" w:cs="Times New Roman" w:eastAsia="Times New Roman" w:hAnsi="Times New Roman"/>
          <w:sz w:val="11"/>
          <w:szCs w:val="11"/>
          <w:color w:val="auto"/>
        </w:rPr>
        <w:t>[***]</w:t>
      </w:r>
    </w:p>
    <w:p>
      <w:pPr>
        <w:spacing w:after="0" w:line="1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ind w:left="9"/>
        <w:spacing w:after="0"/>
        <w:tabs>
          <w:tab w:leader="none" w:pos="1409" w:val="left"/>
        </w:tabs>
        <w:rPr>
          <w:sz w:val="20"/>
          <w:szCs w:val="20"/>
          <w:color w:val="auto"/>
        </w:rPr>
      </w:pPr>
      <w:r>
        <w:rPr>
          <w:rFonts w:ascii="Times New Roman" w:cs="Times New Roman" w:eastAsia="Times New Roman" w:hAnsi="Times New Roman"/>
          <w:sz w:val="11"/>
          <w:szCs w:val="11"/>
          <w:color w:val="auto"/>
        </w:rPr>
        <w:t>Model 10-2015 Rev 09-2024</w:t>
        <w:tab/>
        <w:t>Page 19 of 25 [FINAL] [BioNTech SE] [20 December 2024]</w:t>
      </w:r>
    </w:p>
    <w:p>
      <w:pPr>
        <w:sectPr>
          <w:pgSz w:w="11900" w:h="16840" w:orient="portrait"/>
          <w:cols w:equalWidth="0" w:num="1">
            <w:col w:w="10589"/>
          </w:cols>
          <w:pgMar w:left="651" w:top="752" w:right="660" w:bottom="1440" w:gutter="0" w:footer="0" w:header="0"/>
        </w:sectPr>
      </w:pPr>
    </w:p>
    <w:bookmarkStart w:id="410" w:name="page411"/>
    <w:bookmarkEnd w:id="410"/>
    <w:p>
      <w:pPr>
        <w:ind w:left="9"/>
        <w:spacing w:after="0"/>
        <w:rPr>
          <w:sz w:val="20"/>
          <w:szCs w:val="20"/>
          <w:color w:val="auto"/>
        </w:rPr>
      </w:pPr>
      <w:r>
        <w:rPr>
          <w:rFonts w:ascii="Times New Roman" w:cs="Times New Roman" w:eastAsia="Times New Roman" w:hAnsi="Times New Roman"/>
          <w:sz w:val="13"/>
          <w:szCs w:val="13"/>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49"/>
        <w:spacing w:after="0" w:line="248" w:lineRule="auto"/>
        <w:rPr>
          <w:sz w:val="20"/>
          <w:szCs w:val="20"/>
          <w:color w:val="auto"/>
        </w:rPr>
      </w:pPr>
      <w:r>
        <w:rPr>
          <w:rFonts w:ascii="Times New Roman" w:cs="Times New Roman" w:eastAsia="Times New Roman" w:hAnsi="Times New Roman"/>
          <w:sz w:val="13"/>
          <w:szCs w:val="13"/>
          <w:color w:val="auto"/>
        </w:rPr>
        <w:t xml:space="preserve">royalties paid by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to </w:t>
      </w:r>
      <w:r>
        <w:rPr>
          <w:rFonts w:ascii="Times New Roman" w:cs="Times New Roman" w:eastAsia="Times New Roman" w:hAnsi="Times New Roman"/>
          <w:sz w:val="13"/>
          <w:szCs w:val="13"/>
          <w:b w:val="1"/>
          <w:bCs w:val="1"/>
          <w:color w:val="auto"/>
        </w:rPr>
        <w:t>Third Parties</w:t>
      </w:r>
      <w:r>
        <w:rPr>
          <w:rFonts w:ascii="Times New Roman" w:cs="Times New Roman" w:eastAsia="Times New Roman" w:hAnsi="Times New Roman"/>
          <w:sz w:val="13"/>
          <w:szCs w:val="13"/>
          <w:color w:val="auto"/>
        </w:rPr>
        <w:t xml:space="preserve"> on </w:t>
      </w:r>
      <w:r>
        <w:rPr>
          <w:rFonts w:ascii="Times New Roman" w:cs="Times New Roman" w:eastAsia="Times New Roman" w:hAnsi="Times New Roman"/>
          <w:sz w:val="13"/>
          <w:szCs w:val="13"/>
          <w:b w:val="1"/>
          <w:bCs w:val="1"/>
          <w:color w:val="auto"/>
        </w:rPr>
        <w:t>Net Sales</w:t>
      </w:r>
      <w:r>
        <w:rPr>
          <w:rFonts w:ascii="Times New Roman" w:cs="Times New Roman" w:eastAsia="Times New Roman" w:hAnsi="Times New Roman"/>
          <w:sz w:val="13"/>
          <w:szCs w:val="13"/>
          <w:color w:val="auto"/>
        </w:rPr>
        <w:t xml:space="preserve"> of such </w:t>
      </w:r>
      <w:r>
        <w:rPr>
          <w:rFonts w:ascii="Times New Roman" w:cs="Times New Roman" w:eastAsia="Times New Roman" w:hAnsi="Times New Roman"/>
          <w:sz w:val="13"/>
          <w:szCs w:val="13"/>
          <w:b w:val="1"/>
          <w:bCs w:val="1"/>
          <w:color w:val="auto"/>
        </w:rPr>
        <w:t>Licensed Product</w:t>
      </w:r>
      <w:r>
        <w:rPr>
          <w:rFonts w:ascii="Times New Roman" w:cs="Times New Roman" w:eastAsia="Times New Roman" w:hAnsi="Times New Roman"/>
          <w:sz w:val="13"/>
          <w:szCs w:val="13"/>
          <w:color w:val="auto"/>
        </w:rPr>
        <w:t xml:space="preserve"> in such country in the respective reporting period shall not reduce the royalty payable to </w:t>
      </w:r>
      <w:r>
        <w:rPr>
          <w:rFonts w:ascii="Times New Roman" w:cs="Times New Roman" w:eastAsia="Times New Roman" w:hAnsi="Times New Roman"/>
          <w:sz w:val="13"/>
          <w:szCs w:val="13"/>
          <w:b w:val="1"/>
          <w:bCs w:val="1"/>
          <w:color w:val="auto"/>
        </w:rPr>
        <w:t xml:space="preserve">NIAID </w:t>
      </w:r>
      <w:r>
        <w:rPr>
          <w:rFonts w:ascii="Times New Roman" w:cs="Times New Roman" w:eastAsia="Times New Roman" w:hAnsi="Times New Roman"/>
          <w:sz w:val="13"/>
          <w:szCs w:val="13"/>
          <w:color w:val="auto"/>
        </w:rPr>
        <w:t>on</w:t>
      </w:r>
      <w:r>
        <w:rPr>
          <w:rFonts w:ascii="Times New Roman" w:cs="Times New Roman" w:eastAsia="Times New Roman" w:hAnsi="Times New Roman"/>
          <w:sz w:val="13"/>
          <w:szCs w:val="13"/>
          <w:b w:val="1"/>
          <w:bCs w:val="1"/>
          <w:color w:val="auto"/>
        </w:rPr>
        <w:t xml:space="preserve"> Net Sales </w:t>
      </w:r>
      <w:r>
        <w:rPr>
          <w:rFonts w:ascii="Times New Roman" w:cs="Times New Roman" w:eastAsia="Times New Roman" w:hAnsi="Times New Roman"/>
          <w:sz w:val="13"/>
          <w:szCs w:val="13"/>
          <w:color w:val="auto"/>
        </w:rPr>
        <w:t>of such</w:t>
      </w:r>
      <w:r>
        <w:rPr>
          <w:rFonts w:ascii="Times New Roman" w:cs="Times New Roman" w:eastAsia="Times New Roman" w:hAnsi="Times New Roman"/>
          <w:sz w:val="13"/>
          <w:szCs w:val="13"/>
          <w:b w:val="1"/>
          <w:bCs w:val="1"/>
          <w:color w:val="auto"/>
        </w:rPr>
        <w:t xml:space="preserve"> Licensed Product </w:t>
      </w:r>
      <w:r>
        <w:rPr>
          <w:rFonts w:ascii="Times New Roman" w:cs="Times New Roman" w:eastAsia="Times New Roman" w:hAnsi="Times New Roman"/>
          <w:sz w:val="13"/>
          <w:szCs w:val="13"/>
          <w:color w:val="auto"/>
        </w:rPr>
        <w:t>in such country in such reporting period to less than a floor of [***] of</w:t>
      </w:r>
      <w:r>
        <w:rPr>
          <w:rFonts w:ascii="Times New Roman" w:cs="Times New Roman" w:eastAsia="Times New Roman" w:hAnsi="Times New Roman"/>
          <w:sz w:val="13"/>
          <w:szCs w:val="13"/>
          <w:b w:val="1"/>
          <w:bCs w:val="1"/>
          <w:color w:val="auto"/>
        </w:rPr>
        <w:t xml:space="preserve">Net Sales </w:t>
      </w:r>
      <w:r>
        <w:rPr>
          <w:rFonts w:ascii="Times New Roman" w:cs="Times New Roman" w:eastAsia="Times New Roman" w:hAnsi="Times New Roman"/>
          <w:sz w:val="13"/>
          <w:szCs w:val="13"/>
          <w:color w:val="auto"/>
        </w:rPr>
        <w:t>of such</w:t>
      </w:r>
      <w:r>
        <w:rPr>
          <w:rFonts w:ascii="Times New Roman" w:cs="Times New Roman" w:eastAsia="Times New Roman" w:hAnsi="Times New Roman"/>
          <w:sz w:val="13"/>
          <w:szCs w:val="13"/>
          <w:b w:val="1"/>
          <w:bCs w:val="1"/>
          <w:color w:val="auto"/>
        </w:rPr>
        <w:t xml:space="preserve"> Licensed Product</w:t>
      </w:r>
      <w:r>
        <w:rPr>
          <w:rFonts w:ascii="Times New Roman" w:cs="Times New Roman" w:eastAsia="Times New Roman" w:hAnsi="Times New Roman"/>
          <w:sz w:val="13"/>
          <w:szCs w:val="13"/>
          <w:color w:val="auto"/>
        </w:rPr>
        <w:t>.</w:t>
      </w:r>
    </w:p>
    <w:p>
      <w:pPr>
        <w:spacing w:after="0" w:line="148" w:lineRule="exact"/>
        <w:rPr>
          <w:sz w:val="20"/>
          <w:szCs w:val="20"/>
          <w:color w:val="auto"/>
        </w:rPr>
      </w:pPr>
    </w:p>
    <w:p>
      <w:pPr>
        <w:ind w:left="1249" w:hanging="279"/>
        <w:spacing w:after="0"/>
        <w:tabs>
          <w:tab w:leader="none" w:pos="1249" w:val="left"/>
        </w:tabs>
        <w:numPr>
          <w:ilvl w:val="0"/>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182" w:lineRule="exact"/>
        <w:rPr>
          <w:sz w:val="20"/>
          <w:szCs w:val="20"/>
          <w:color w:val="auto"/>
        </w:rPr>
      </w:pPr>
    </w:p>
    <w:p>
      <w:pPr>
        <w:ind w:left="1449"/>
        <w:spacing w:after="0"/>
        <w:rPr>
          <w:sz w:val="20"/>
          <w:szCs w:val="20"/>
          <w:color w:val="auto"/>
        </w:rPr>
      </w:pPr>
      <w:r>
        <w:rPr>
          <w:rFonts w:ascii="Times New Roman" w:cs="Times New Roman" w:eastAsia="Times New Roman" w:hAnsi="Times New Roman"/>
          <w:sz w:val="13"/>
          <w:szCs w:val="13"/>
          <w:color w:val="auto"/>
        </w:rPr>
        <w:t xml:space="preserve">For the avoidance of doubt, royalty obligations regarding </w:t>
      </w:r>
      <w:r>
        <w:rPr>
          <w:rFonts w:ascii="Times New Roman" w:cs="Times New Roman" w:eastAsia="Times New Roman" w:hAnsi="Times New Roman"/>
          <w:sz w:val="13"/>
          <w:szCs w:val="13"/>
          <w:b w:val="1"/>
          <w:bCs w:val="1"/>
          <w:color w:val="auto"/>
        </w:rPr>
        <w:t>Net Sales</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b w:val="1"/>
          <w:bCs w:val="1"/>
          <w:color w:val="auto"/>
        </w:rPr>
        <w:t>Combination Products</w:t>
      </w:r>
      <w:r>
        <w:rPr>
          <w:rFonts w:ascii="Times New Roman" w:cs="Times New Roman" w:eastAsia="Times New Roman" w:hAnsi="Times New Roman"/>
          <w:sz w:val="13"/>
          <w:szCs w:val="13"/>
          <w:color w:val="auto"/>
        </w:rPr>
        <w:t xml:space="preserve"> shall be calculated as demonstrated in the scenarios set forth in Appendix H.</w:t>
      </w:r>
    </w:p>
    <w:p>
      <w:pPr>
        <w:spacing w:after="0" w:line="315" w:lineRule="exact"/>
        <w:rPr>
          <w:sz w:val="20"/>
          <w:szCs w:val="20"/>
          <w:color w:val="auto"/>
        </w:rPr>
      </w:pPr>
    </w:p>
    <w:p>
      <w:pPr>
        <w:ind w:left="9"/>
        <w:spacing w:after="0"/>
        <w:tabs>
          <w:tab w:leader="none" w:pos="289" w:val="left"/>
        </w:tabs>
        <w:rPr>
          <w:sz w:val="20"/>
          <w:szCs w:val="20"/>
          <w:color w:val="auto"/>
        </w:rPr>
      </w:pPr>
      <w:r>
        <w:rPr>
          <w:rFonts w:ascii="Times New Roman" w:cs="Times New Roman" w:eastAsia="Times New Roman" w:hAnsi="Times New Roman"/>
          <w:sz w:val="13"/>
          <w:szCs w:val="13"/>
          <w:color w:val="auto"/>
        </w:rPr>
        <w:t>IV.</w:t>
        <w:tab/>
        <w:t xml:space="preserve">For development of </w:t>
      </w:r>
      <w:r>
        <w:rPr>
          <w:rFonts w:ascii="Times New Roman" w:cs="Times New Roman" w:eastAsia="Times New Roman" w:hAnsi="Times New Roman"/>
          <w:sz w:val="13"/>
          <w:szCs w:val="13"/>
          <w:b w:val="1"/>
          <w:bCs w:val="1"/>
          <w:color w:val="auto"/>
        </w:rPr>
        <w:t>Licensed Products</w:t>
      </w:r>
      <w:r>
        <w:rPr>
          <w:rFonts w:ascii="Times New Roman" w:cs="Times New Roman" w:eastAsia="Times New Roman" w:hAnsi="Times New Roman"/>
          <w:sz w:val="13"/>
          <w:szCs w:val="13"/>
          <w:color w:val="auto"/>
        </w:rPr>
        <w:t xml:space="preserve"> by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or by its sublicensee,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agrees to pay the </w:t>
      </w:r>
      <w:r>
        <w:rPr>
          <w:rFonts w:ascii="Times New Roman" w:cs="Times New Roman" w:eastAsia="Times New Roman" w:hAnsi="Times New Roman"/>
          <w:sz w:val="13"/>
          <w:szCs w:val="13"/>
          <w:b w:val="1"/>
          <w:bCs w:val="1"/>
          <w:color w:val="auto"/>
        </w:rPr>
        <w:t>NIAID Benchmark</w:t>
      </w:r>
      <w:r>
        <w:rPr>
          <w:rFonts w:ascii="Times New Roman" w:cs="Times New Roman" w:eastAsia="Times New Roman" w:hAnsi="Times New Roman"/>
          <w:sz w:val="13"/>
          <w:szCs w:val="13"/>
          <w:color w:val="auto"/>
        </w:rPr>
        <w:t xml:space="preserve"> royalties within [***] days of achieving each </w:t>
      </w:r>
      <w:r>
        <w:rPr>
          <w:rFonts w:ascii="Times New Roman" w:cs="Times New Roman" w:eastAsia="Times New Roman" w:hAnsi="Times New Roman"/>
          <w:sz w:val="13"/>
          <w:szCs w:val="13"/>
          <w:b w:val="1"/>
          <w:bCs w:val="1"/>
          <w:color w:val="auto"/>
        </w:rPr>
        <w:t>Benchmark</w:t>
      </w:r>
      <w:r>
        <w:rPr>
          <w:rFonts w:ascii="Times New Roman" w:cs="Times New Roman" w:eastAsia="Times New Roman" w:hAnsi="Times New Roman"/>
          <w:sz w:val="13"/>
          <w:szCs w:val="13"/>
          <w:color w:val="auto"/>
        </w:rPr>
        <w:t>:</w:t>
      </w:r>
    </w:p>
    <w:p>
      <w:pPr>
        <w:spacing w:after="0" w:line="115"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3"/>
          <w:szCs w:val="13"/>
          <w:color w:val="auto"/>
        </w:rPr>
        <w:t>[***]</w:t>
      </w:r>
    </w:p>
    <w:p>
      <w:pPr>
        <w:spacing w:after="0" w:line="11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113" w:lineRule="exact"/>
        <w:rPr>
          <w:sz w:val="20"/>
          <w:szCs w:val="20"/>
          <w:color w:val="auto"/>
        </w:rPr>
      </w:pPr>
    </w:p>
    <w:p>
      <w:pPr>
        <w:ind w:left="489" w:hanging="489"/>
        <w:spacing w:after="0" w:line="248" w:lineRule="auto"/>
        <w:tabs>
          <w:tab w:leader="none" w:pos="263" w:val="left"/>
        </w:tabs>
        <w:numPr>
          <w:ilvl w:val="0"/>
          <w:numId w:val="2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development of a </w:t>
      </w:r>
      <w:r>
        <w:rPr>
          <w:rFonts w:ascii="Times New Roman" w:cs="Times New Roman" w:eastAsia="Times New Roman" w:hAnsi="Times New Roman"/>
          <w:sz w:val="13"/>
          <w:szCs w:val="13"/>
          <w:b w:val="1"/>
          <w:bCs w:val="1"/>
          <w:color w:val="auto"/>
        </w:rPr>
        <w:t>Licensed Product</w:t>
      </w:r>
      <w:r>
        <w:rPr>
          <w:rFonts w:ascii="Times New Roman" w:cs="Times New Roman" w:eastAsia="Times New Roman" w:hAnsi="Times New Roman"/>
          <w:sz w:val="13"/>
          <w:szCs w:val="13"/>
          <w:color w:val="auto"/>
        </w:rPr>
        <w:t xml:space="preserve"> by a sublicensee, the Licensee agrees to pay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additional sublicensing royalties ([***]) on the fair market value of any consideration received for granting each </w:t>
      </w:r>
      <w:r>
        <w:rPr>
          <w:rFonts w:ascii="Times New Roman" w:cs="Times New Roman" w:eastAsia="Times New Roman" w:hAnsi="Times New Roman"/>
          <w:sz w:val="13"/>
          <w:szCs w:val="13"/>
          <w:b w:val="1"/>
          <w:bCs w:val="1"/>
          <w:color w:val="auto"/>
        </w:rPr>
        <w:t>Sublicense</w:t>
      </w:r>
      <w:r>
        <w:rPr>
          <w:rFonts w:ascii="Times New Roman" w:cs="Times New Roman" w:eastAsia="Times New Roman" w:hAnsi="Times New Roman"/>
          <w:sz w:val="13"/>
          <w:szCs w:val="13"/>
          <w:color w:val="auto"/>
        </w:rPr>
        <w:t xml:space="preserve"> within [***] of the execution of each </w:t>
      </w:r>
      <w:r>
        <w:rPr>
          <w:rFonts w:ascii="Times New Roman" w:cs="Times New Roman" w:eastAsia="Times New Roman" w:hAnsi="Times New Roman"/>
          <w:sz w:val="13"/>
          <w:szCs w:val="13"/>
          <w:b w:val="1"/>
          <w:bCs w:val="1"/>
          <w:color w:val="auto"/>
        </w:rPr>
        <w:t>Sublicense</w:t>
      </w:r>
      <w:r>
        <w:rPr>
          <w:rFonts w:ascii="Times New Roman" w:cs="Times New Roman" w:eastAsia="Times New Roman" w:hAnsi="Times New Roman"/>
          <w:sz w:val="13"/>
          <w:szCs w:val="13"/>
          <w:color w:val="auto"/>
        </w:rPr>
        <w:t xml:space="preserve"> as follows:</w:t>
      </w:r>
    </w:p>
    <w:p>
      <w:pPr>
        <w:spacing w:after="0" w:line="339" w:lineRule="exact"/>
        <w:rPr>
          <w:sz w:val="20"/>
          <w:szCs w:val="20"/>
          <w:color w:val="auto"/>
        </w:rPr>
      </w:pPr>
    </w:p>
    <w:tbl>
      <w:tblPr>
        <w:tblLayout w:type="fixed"/>
        <w:tblInd w:w="969" w:type="dxa"/>
        <w:tblCellMar>
          <w:top w:w="0" w:type="dxa"/>
          <w:left w:w="0" w:type="dxa"/>
          <w:bottom w:w="0" w:type="dxa"/>
          <w:right w:w="0" w:type="dxa"/>
        </w:tblCellMar>
      </w:tblPr>
      <w:tr>
        <w:trPr>
          <w:trHeight w:val="172"/>
        </w:trPr>
        <w:tc>
          <w:tcPr>
            <w:tcW w:w="4460" w:type="dxa"/>
            <w:vAlign w:val="bottom"/>
            <w:shd w:val="clear" w:color="auto" w:fill="BFBFBF"/>
          </w:tcPr>
          <w:p>
            <w:pPr>
              <w:ind w:left="40"/>
              <w:spacing w:after="0"/>
              <w:rPr>
                <w:sz w:val="20"/>
                <w:szCs w:val="20"/>
                <w:color w:val="auto"/>
              </w:rPr>
            </w:pPr>
            <w:r>
              <w:rPr>
                <w:rFonts w:ascii="Times New Roman" w:cs="Times New Roman" w:eastAsia="Times New Roman" w:hAnsi="Times New Roman"/>
                <w:sz w:val="15"/>
                <w:szCs w:val="15"/>
                <w:b w:val="1"/>
                <w:bCs w:val="1"/>
                <w:color w:val="auto"/>
              </w:rPr>
              <w:t>Sublicensing Category per Licensed Product</w:t>
            </w:r>
          </w:p>
        </w:tc>
        <w:tc>
          <w:tcPr>
            <w:tcW w:w="3700" w:type="dxa"/>
            <w:vAlign w:val="bottom"/>
            <w:shd w:val="clear" w:color="auto" w:fill="BFBFBF"/>
          </w:tcPr>
          <w:p>
            <w:pPr>
              <w:ind w:left="1540"/>
              <w:spacing w:after="0"/>
              <w:rPr>
                <w:sz w:val="20"/>
                <w:szCs w:val="20"/>
                <w:color w:val="auto"/>
              </w:rPr>
            </w:pPr>
            <w:r>
              <w:rPr>
                <w:rFonts w:ascii="Times New Roman" w:cs="Times New Roman" w:eastAsia="Times New Roman" w:hAnsi="Times New Roman"/>
                <w:sz w:val="15"/>
                <w:szCs w:val="15"/>
                <w:b w:val="1"/>
                <w:bCs w:val="1"/>
                <w:color w:val="auto"/>
              </w:rPr>
              <w:t>% of consideration for grant of</w:t>
            </w:r>
          </w:p>
        </w:tc>
      </w:tr>
      <w:tr>
        <w:trPr>
          <w:trHeight w:val="142"/>
        </w:trPr>
        <w:tc>
          <w:tcPr>
            <w:tcW w:w="4460" w:type="dxa"/>
            <w:vAlign w:val="bottom"/>
            <w:shd w:val="clear" w:color="auto" w:fill="BFBFBF"/>
          </w:tcPr>
          <w:p>
            <w:pPr>
              <w:spacing w:after="0"/>
              <w:rPr>
                <w:sz w:val="12"/>
                <w:szCs w:val="12"/>
                <w:color w:val="auto"/>
              </w:rPr>
            </w:pPr>
          </w:p>
        </w:tc>
        <w:tc>
          <w:tcPr>
            <w:tcW w:w="3700" w:type="dxa"/>
            <w:vAlign w:val="bottom"/>
            <w:shd w:val="clear" w:color="auto" w:fill="BFBFBF"/>
          </w:tcPr>
          <w:p>
            <w:pPr>
              <w:ind w:left="1540"/>
              <w:spacing w:after="0" w:line="141" w:lineRule="exact"/>
              <w:rPr>
                <w:sz w:val="20"/>
                <w:szCs w:val="20"/>
                <w:color w:val="auto"/>
              </w:rPr>
            </w:pPr>
            <w:r>
              <w:rPr>
                <w:rFonts w:ascii="Times New Roman" w:cs="Times New Roman" w:eastAsia="Times New Roman" w:hAnsi="Times New Roman"/>
                <w:sz w:val="15"/>
                <w:szCs w:val="15"/>
                <w:b w:val="1"/>
                <w:bCs w:val="1"/>
                <w:color w:val="auto"/>
              </w:rPr>
              <w:t>sublicensee payable to the</w:t>
            </w:r>
          </w:p>
        </w:tc>
      </w:tr>
      <w:tr>
        <w:trPr>
          <w:trHeight w:val="192"/>
        </w:trPr>
        <w:tc>
          <w:tcPr>
            <w:tcW w:w="4460" w:type="dxa"/>
            <w:vAlign w:val="bottom"/>
            <w:shd w:val="clear" w:color="auto" w:fill="BFBFBF"/>
          </w:tcPr>
          <w:p>
            <w:pPr>
              <w:spacing w:after="0"/>
              <w:rPr>
                <w:sz w:val="16"/>
                <w:szCs w:val="16"/>
                <w:color w:val="auto"/>
              </w:rPr>
            </w:pPr>
          </w:p>
        </w:tc>
        <w:tc>
          <w:tcPr>
            <w:tcW w:w="3700" w:type="dxa"/>
            <w:vAlign w:val="bottom"/>
            <w:shd w:val="clear" w:color="auto" w:fill="BFBFBF"/>
          </w:tcPr>
          <w:p>
            <w:pPr>
              <w:ind w:left="1540"/>
              <w:spacing w:after="0"/>
              <w:rPr>
                <w:sz w:val="20"/>
                <w:szCs w:val="20"/>
                <w:color w:val="auto"/>
              </w:rPr>
            </w:pPr>
            <w:r>
              <w:rPr>
                <w:rFonts w:ascii="Times New Roman" w:cs="Times New Roman" w:eastAsia="Times New Roman" w:hAnsi="Times New Roman"/>
                <w:sz w:val="15"/>
                <w:szCs w:val="15"/>
                <w:b w:val="1"/>
                <w:bCs w:val="1"/>
                <w:color w:val="auto"/>
              </w:rPr>
              <w:t>NIAID</w:t>
            </w:r>
          </w:p>
        </w:tc>
      </w:tr>
      <w:tr>
        <w:trPr>
          <w:trHeight w:val="208"/>
        </w:trPr>
        <w:tc>
          <w:tcPr>
            <w:tcW w:w="44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700" w:type="dxa"/>
            <w:vAlign w:val="bottom"/>
          </w:tcPr>
          <w:p>
            <w:pPr>
              <w:jc w:val="right"/>
              <w:ind w:right="1284"/>
              <w:spacing w:after="0"/>
              <w:rPr>
                <w:sz w:val="20"/>
                <w:szCs w:val="20"/>
                <w:color w:val="auto"/>
              </w:rPr>
            </w:pPr>
            <w:r>
              <w:rPr>
                <w:rFonts w:ascii="Times New Roman" w:cs="Times New Roman" w:eastAsia="Times New Roman" w:hAnsi="Times New Roman"/>
                <w:sz w:val="15"/>
                <w:szCs w:val="15"/>
                <w:color w:val="auto"/>
              </w:rPr>
              <w:t>[***]</w:t>
            </w:r>
          </w:p>
        </w:tc>
      </w:tr>
      <w:tr>
        <w:trPr>
          <w:trHeight w:val="222"/>
        </w:trPr>
        <w:tc>
          <w:tcPr>
            <w:tcW w:w="44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700" w:type="dxa"/>
            <w:vAlign w:val="bottom"/>
          </w:tcPr>
          <w:p>
            <w:pPr>
              <w:jc w:val="right"/>
              <w:ind w:right="1284"/>
              <w:spacing w:after="0"/>
              <w:rPr>
                <w:sz w:val="20"/>
                <w:szCs w:val="20"/>
                <w:color w:val="auto"/>
              </w:rPr>
            </w:pPr>
            <w:r>
              <w:rPr>
                <w:rFonts w:ascii="Times New Roman" w:cs="Times New Roman" w:eastAsia="Times New Roman" w:hAnsi="Times New Roman"/>
                <w:sz w:val="15"/>
                <w:szCs w:val="15"/>
                <w:color w:val="auto"/>
              </w:rPr>
              <w:t>[***]</w:t>
            </w:r>
          </w:p>
        </w:tc>
      </w:tr>
      <w:tr>
        <w:trPr>
          <w:trHeight w:val="222"/>
        </w:trPr>
        <w:tc>
          <w:tcPr>
            <w:tcW w:w="44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700" w:type="dxa"/>
            <w:vAlign w:val="bottom"/>
          </w:tcPr>
          <w:p>
            <w:pPr>
              <w:jc w:val="right"/>
              <w:ind w:right="1284"/>
              <w:spacing w:after="0"/>
              <w:rPr>
                <w:sz w:val="20"/>
                <w:szCs w:val="20"/>
                <w:color w:val="auto"/>
              </w:rPr>
            </w:pPr>
            <w:r>
              <w:rPr>
                <w:rFonts w:ascii="Times New Roman" w:cs="Times New Roman" w:eastAsia="Times New Roman" w:hAnsi="Times New Roman"/>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b w:val="1"/>
          <w:bCs w:val="1"/>
          <w:color w:val="auto"/>
        </w:rPr>
        <w:t xml:space="preserve">CONFIDENTIAL </w:t>
      </w:r>
      <w:r>
        <w:rPr>
          <w:rFonts w:ascii="Times New Roman" w:cs="Times New Roman" w:eastAsia="Times New Roman" w:hAnsi="Times New Roman"/>
          <w:sz w:val="11"/>
          <w:szCs w:val="11"/>
          <w:color w:val="auto"/>
        </w:rPr>
        <w:t>[***]</w:t>
      </w:r>
    </w:p>
    <w:p>
      <w:pPr>
        <w:spacing w:after="0" w:line="1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ind w:left="9"/>
        <w:spacing w:after="0"/>
        <w:tabs>
          <w:tab w:leader="none" w:pos="1409" w:val="left"/>
        </w:tabs>
        <w:rPr>
          <w:sz w:val="20"/>
          <w:szCs w:val="20"/>
          <w:color w:val="auto"/>
        </w:rPr>
      </w:pPr>
      <w:r>
        <w:rPr>
          <w:rFonts w:ascii="Times New Roman" w:cs="Times New Roman" w:eastAsia="Times New Roman" w:hAnsi="Times New Roman"/>
          <w:sz w:val="11"/>
          <w:szCs w:val="11"/>
          <w:color w:val="auto"/>
        </w:rPr>
        <w:t>Model 10-2015 Rev 09-2024</w:t>
        <w:tab/>
        <w:t>Page 20 of 25 [FINAL] [BioNTech SE] [20 December 2024]</w:t>
      </w:r>
    </w:p>
    <w:p>
      <w:pPr>
        <w:sectPr>
          <w:pgSz w:w="11900" w:h="16840" w:orient="portrait"/>
          <w:cols w:equalWidth="0" w:num="1">
            <w:col w:w="10529"/>
          </w:cols>
          <w:pgMar w:left="651" w:top="752" w:right="720"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3"/>
          <w:szCs w:val="13"/>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3"/>
          <w:szCs w:val="13"/>
          <w:b w:val="1"/>
          <w:bCs w:val="1"/>
          <w:u w:val="single" w:color="auto"/>
          <w:color w:val="auto"/>
        </w:rPr>
        <w:t>APPENDIX D – BENCHMARKS AND PERFORMANCE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b w:val="1"/>
          <w:bCs w:val="1"/>
          <w:color w:val="auto"/>
        </w:rPr>
        <w:t>Licensee</w:t>
      </w:r>
      <w:r>
        <w:rPr>
          <w:rFonts w:ascii="Times New Roman" w:cs="Times New Roman" w:eastAsia="Times New Roman" w:hAnsi="Times New Roman"/>
          <w:sz w:val="13"/>
          <w:szCs w:val="13"/>
          <w:color w:val="auto"/>
        </w:rPr>
        <w:t xml:space="preserve"> agrees to the following </w:t>
      </w:r>
      <w:r>
        <w:rPr>
          <w:rFonts w:ascii="Times New Roman" w:cs="Times New Roman" w:eastAsia="Times New Roman" w:hAnsi="Times New Roman"/>
          <w:sz w:val="13"/>
          <w:szCs w:val="13"/>
          <w:b w:val="1"/>
          <w:bCs w:val="1"/>
          <w:color w:val="auto"/>
        </w:rPr>
        <w:t>Benchmarks</w:t>
      </w:r>
      <w:r>
        <w:rPr>
          <w:rFonts w:ascii="Times New Roman" w:cs="Times New Roman" w:eastAsia="Times New Roman" w:hAnsi="Times New Roman"/>
          <w:sz w:val="13"/>
          <w:szCs w:val="13"/>
          <w:color w:val="auto"/>
        </w:rPr>
        <w:t xml:space="preserve"> for its performance and, within [***] of achieving a </w:t>
      </w:r>
      <w:r>
        <w:rPr>
          <w:rFonts w:ascii="Times New Roman" w:cs="Times New Roman" w:eastAsia="Times New Roman" w:hAnsi="Times New Roman"/>
          <w:sz w:val="13"/>
          <w:szCs w:val="13"/>
          <w:b w:val="1"/>
          <w:bCs w:val="1"/>
          <w:color w:val="auto"/>
        </w:rPr>
        <w:t>Benchmark</w:t>
      </w:r>
      <w:r>
        <w:rPr>
          <w:rFonts w:ascii="Times New Roman" w:cs="Times New Roman" w:eastAsia="Times New Roman" w:hAnsi="Times New Roman"/>
          <w:sz w:val="13"/>
          <w:szCs w:val="13"/>
          <w:color w:val="auto"/>
        </w:rPr>
        <w:t xml:space="preserve">, shall notify the </w:t>
      </w:r>
      <w:r>
        <w:rPr>
          <w:rFonts w:ascii="Times New Roman" w:cs="Times New Roman" w:eastAsia="Times New Roman" w:hAnsi="Times New Roman"/>
          <w:sz w:val="13"/>
          <w:szCs w:val="13"/>
          <w:b w:val="1"/>
          <w:bCs w:val="1"/>
          <w:color w:val="auto"/>
        </w:rPr>
        <w:t>NIAID</w:t>
      </w:r>
      <w:r>
        <w:rPr>
          <w:rFonts w:ascii="Times New Roman" w:cs="Times New Roman" w:eastAsia="Times New Roman" w:hAnsi="Times New Roman"/>
          <w:sz w:val="13"/>
          <w:szCs w:val="13"/>
          <w:color w:val="auto"/>
        </w:rPr>
        <w:t xml:space="preserve"> that the </w:t>
      </w:r>
      <w:r>
        <w:rPr>
          <w:rFonts w:ascii="Times New Roman" w:cs="Times New Roman" w:eastAsia="Times New Roman" w:hAnsi="Times New Roman"/>
          <w:sz w:val="13"/>
          <w:szCs w:val="13"/>
          <w:b w:val="1"/>
          <w:bCs w:val="1"/>
          <w:color w:val="auto"/>
        </w:rPr>
        <w:t>Benchmark</w:t>
      </w:r>
      <w:r>
        <w:rPr>
          <w:rFonts w:ascii="Times New Roman" w:cs="Times New Roman" w:eastAsia="Times New Roman" w:hAnsi="Times New Roman"/>
          <w:sz w:val="13"/>
          <w:szCs w:val="13"/>
          <w:color w:val="auto"/>
        </w:rPr>
        <w:t xml:space="preserve"> has been achieved. [***]</w:t>
      </w:r>
    </w:p>
    <w:p>
      <w:pPr>
        <w:spacing w:after="0" w:line="3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CONFIDENTIAL </w:t>
      </w:r>
      <w:r>
        <w:rPr>
          <w:rFonts w:ascii="Times New Roman" w:cs="Times New Roman" w:eastAsia="Times New Roman" w:hAnsi="Times New Roman"/>
          <w:sz w:val="11"/>
          <w:szCs w:val="11"/>
          <w:color w:val="auto"/>
        </w:rPr>
        <w: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1"/>
          <w:szCs w:val="11"/>
          <w:color w:val="auto"/>
        </w:rPr>
        <w:t>Model 10-2015 Rev 09-2024</w:t>
        <w:tab/>
        <w:t>Page 21 of 25 [FINAL] [BioNTech SE] [20 December 2024]</w:t>
      </w:r>
    </w:p>
    <w:p>
      <w:pPr>
        <w:sectPr>
          <w:pgSz w:w="11900" w:h="16840" w:orient="portrait"/>
          <w:cols w:equalWidth="0" w:num="1">
            <w:col w:w="9800"/>
          </w:cols>
          <w:pgMar w:left="660" w:top="752" w:right="1440"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3"/>
          <w:szCs w:val="13"/>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2840"/>
        <w:spacing w:after="0"/>
        <w:rPr>
          <w:sz w:val="20"/>
          <w:szCs w:val="20"/>
          <w:color w:val="auto"/>
        </w:rPr>
      </w:pPr>
      <w:r>
        <w:rPr>
          <w:rFonts w:ascii="Times New Roman" w:cs="Times New Roman" w:eastAsia="Times New Roman" w:hAnsi="Times New Roman"/>
          <w:sz w:val="13"/>
          <w:szCs w:val="13"/>
          <w:b w:val="1"/>
          <w:bCs w:val="1"/>
          <w:u w:val="single" w:color="auto"/>
          <w:color w:val="auto"/>
        </w:rPr>
        <w:t>APPENDIX E – COMMERCIAL DEVELOPMENT PLAN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CONFIDENTIAL </w:t>
      </w:r>
      <w:r>
        <w:rPr>
          <w:rFonts w:ascii="Times New Roman" w:cs="Times New Roman" w:eastAsia="Times New Roman" w:hAnsi="Times New Roman"/>
          <w:sz w:val="11"/>
          <w:szCs w:val="11"/>
          <w:color w:val="auto"/>
        </w:rPr>
        <w: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1"/>
          <w:szCs w:val="11"/>
          <w:color w:val="auto"/>
        </w:rPr>
        <w:t>Model 10-2015 Rev 09-2024</w:t>
        <w:tab/>
        <w:t>Page 22 of 25 [FINAL] [BioNTech SE] [20 December 2024]</w:t>
      </w:r>
    </w:p>
    <w:p>
      <w:pPr>
        <w:sectPr>
          <w:pgSz w:w="11900" w:h="16840" w:orient="portrait"/>
          <w:cols w:equalWidth="0" w:num="1">
            <w:col w:w="9800"/>
          </w:cols>
          <w:pgMar w:left="660" w:top="752" w:right="1440" w:bottom="1440" w:gutter="0" w:footer="0" w:header="0"/>
        </w:sectPr>
      </w:pPr>
    </w:p>
    <w:bookmarkStart w:id="413" w:name="page414"/>
    <w:bookmarkEnd w:id="413"/>
    <w:p>
      <w:pPr>
        <w:spacing w:after="0" w:line="89" w:lineRule="exact"/>
        <w:rPr>
          <w:sz w:val="20"/>
          <w:szCs w:val="20"/>
          <w:color w:val="auto"/>
        </w:rPr>
      </w:pPr>
    </w:p>
    <w:p>
      <w:pPr>
        <w:jc w:val="right"/>
        <w:ind w:right="3080"/>
        <w:spacing w:after="0"/>
        <w:rPr>
          <w:sz w:val="20"/>
          <w:szCs w:val="20"/>
          <w:color w:val="auto"/>
        </w:rPr>
      </w:pPr>
      <w:r>
        <w:rPr>
          <w:rFonts w:ascii="Times New Roman" w:cs="Times New Roman" w:eastAsia="Times New Roman" w:hAnsi="Times New Roman"/>
          <w:sz w:val="13"/>
          <w:szCs w:val="13"/>
          <w:b w:val="1"/>
          <w:bCs w:val="1"/>
          <w:u w:val="single" w:color="auto"/>
          <w:color w:val="auto"/>
        </w:rPr>
        <w:t>APPENDIX F – EXAMPLE ROYALTY REPORT</w:t>
      </w:r>
    </w:p>
    <w:p>
      <w:pPr>
        <w:spacing w:after="0" w:line="2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p>
    <w:p>
      <w:pPr>
        <w:spacing w:after="0"/>
        <w:rPr>
          <w:sz w:val="20"/>
          <w:szCs w:val="20"/>
          <w:color w:val="auto"/>
        </w:rPr>
      </w:pPr>
      <w:r>
        <w:rPr>
          <w:rFonts w:ascii="Times New Roman" w:cs="Times New Roman" w:eastAsia="Times New Roman" w:hAnsi="Times New Roman"/>
          <w:sz w:val="11"/>
          <w:szCs w:val="11"/>
          <w:b w:val="1"/>
          <w:bCs w:val="1"/>
          <w:color w:val="auto"/>
        </w:rPr>
        <w:t>CONFIDENTIAL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1"/>
          <w:szCs w:val="11"/>
          <w:color w:val="auto"/>
        </w:rPr>
        <w:t>Model 10-2015 Rev 09-2024</w:t>
        <w:tab/>
        <w:t>Page 23 of 25 [FINAL] [BioNTech SE] [20 December 2024]</w:t>
      </w:r>
    </w:p>
    <w:p>
      <w:pPr>
        <w:sectPr>
          <w:pgSz w:w="11900" w:h="16840" w:orient="portrait"/>
          <w:cols w:equalWidth="0" w:num="1">
            <w:col w:w="9800"/>
          </w:cols>
          <w:pgMar w:left="660" w:top="1440" w:right="1440" w:bottom="1440" w:gutter="0" w:footer="0" w:header="0"/>
        </w:sectPr>
      </w:pPr>
    </w:p>
    <w:bookmarkStart w:id="414" w:name="page415"/>
    <w:bookmarkEnd w:id="414"/>
    <w:p>
      <w:pPr>
        <w:spacing w:after="0" w:line="89" w:lineRule="exact"/>
        <w:rPr>
          <w:sz w:val="20"/>
          <w:szCs w:val="20"/>
          <w:color w:val="auto"/>
        </w:rPr>
      </w:pPr>
    </w:p>
    <w:p>
      <w:pPr>
        <w:jc w:val="right"/>
        <w:ind w:right="3060"/>
        <w:spacing w:after="0"/>
        <w:rPr>
          <w:sz w:val="20"/>
          <w:szCs w:val="20"/>
          <w:color w:val="auto"/>
        </w:rPr>
      </w:pPr>
      <w:r>
        <w:rPr>
          <w:rFonts w:ascii="Times New Roman" w:cs="Times New Roman" w:eastAsia="Times New Roman" w:hAnsi="Times New Roman"/>
          <w:sz w:val="13"/>
          <w:szCs w:val="13"/>
          <w:b w:val="1"/>
          <w:bCs w:val="1"/>
          <w:u w:val="single" w:color="auto"/>
          <w:color w:val="auto"/>
        </w:rPr>
        <w:t>APPENDIX G – ROYALTY PAYMENT OPTIONS</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t>
      </w:r>
    </w:p>
    <w:p>
      <w:pPr>
        <w:spacing w:after="0"/>
        <w:rPr>
          <w:sz w:val="20"/>
          <w:szCs w:val="20"/>
          <w:color w:val="auto"/>
        </w:rPr>
      </w:pPr>
      <w:r>
        <w:rPr>
          <w:rFonts w:ascii="Times New Roman" w:cs="Times New Roman" w:eastAsia="Times New Roman" w:hAnsi="Times New Roman"/>
          <w:sz w:val="11"/>
          <w:szCs w:val="11"/>
          <w:b w:val="1"/>
          <w:bCs w:val="1"/>
          <w:color w:val="auto"/>
        </w:rPr>
        <w:t>CONFIDENTIAL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1"/>
          <w:szCs w:val="11"/>
          <w:color w:val="auto"/>
        </w:rPr>
        <w:t>Model 10-2015 Rev 09-2024</w:t>
        <w:tab/>
        <w:t>Page 24 of 25 [FINAL] [BioNTech SE] [20 December 2024]</w:t>
      </w:r>
    </w:p>
    <w:p>
      <w:pPr>
        <w:sectPr>
          <w:pgSz w:w="11900" w:h="16840" w:orient="portrait"/>
          <w:cols w:equalWidth="0" w:num="1">
            <w:col w:w="9800"/>
          </w:cols>
          <w:pgMar w:left="660" w:top="1440" w:right="1440" w:bottom="1440" w:gutter="0" w:footer="0" w:header="0"/>
        </w:sectPr>
      </w:pPr>
    </w:p>
    <w:bookmarkStart w:id="415" w:name="page416"/>
    <w:bookmarkEnd w:id="415"/>
    <w:p>
      <w:pPr>
        <w:spacing w:after="0" w:line="89"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3"/>
          <w:szCs w:val="13"/>
          <w:b w:val="1"/>
          <w:bCs w:val="1"/>
          <w:u w:val="single" w:color="auto"/>
          <w:color w:val="auto"/>
        </w:rPr>
        <w:t>Appendix H – DEMONSTRATION OF ROYALTY CALCULATIONS FOR COMBINATION PRODUCTS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rPr>
          <w:sz w:val="20"/>
          <w:szCs w:val="20"/>
          <w:color w:val="auto"/>
        </w:rPr>
      </w:pPr>
      <w:r>
        <w:rPr>
          <w:rFonts w:ascii="Times New Roman" w:cs="Times New Roman" w:eastAsia="Times New Roman" w:hAnsi="Times New Roman"/>
          <w:sz w:val="11"/>
          <w:szCs w:val="11"/>
          <w:b w:val="1"/>
          <w:bCs w:val="1"/>
          <w:color w:val="auto"/>
        </w:rPr>
        <w:t>CONFIDENTIAL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Amended and Restated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Based on Patent License Non-Exclusive Sublicensable Agreement Model</w:t>
      </w:r>
    </w:p>
    <w:p>
      <w:pPr>
        <w:spacing w:after="0" w:line="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1"/>
          <w:szCs w:val="11"/>
          <w:color w:val="auto"/>
        </w:rPr>
        <w:t>Model 10-2015 Rev 09-2024</w:t>
        <w:tab/>
        <w:t>Page 25 of 25 [FINAL] [BioNTech SE] [20 December 2024]</w:t>
      </w:r>
    </w:p>
    <w:p>
      <w:pPr>
        <w:sectPr>
          <w:pgSz w:w="11900" w:h="16840" w:orient="portrait"/>
          <w:cols w:equalWidth="0" w:num="1">
            <w:col w:w="9800"/>
          </w:cols>
          <w:pgMar w:left="660" w:top="1440" w:right="1440" w:bottom="1440" w:gutter="0" w:footer="0" w:header="0"/>
        </w:sectPr>
      </w:pPr>
    </w:p>
    <w:bookmarkStart w:id="416" w:name="page417"/>
    <w:bookmarkEnd w:id="416"/>
    <w:p>
      <w:pPr>
        <w:jc w:val="right"/>
        <w:spacing w:after="0"/>
        <w:rPr>
          <w:sz w:val="20"/>
          <w:szCs w:val="20"/>
          <w:color w:val="auto"/>
        </w:rPr>
      </w:pPr>
      <w:r>
        <w:rPr>
          <w:rFonts w:ascii="Times New Roman" w:cs="Times New Roman" w:eastAsia="Times New Roman" w:hAnsi="Times New Roman"/>
          <w:sz w:val="16"/>
          <w:szCs w:val="16"/>
          <w:b w:val="1"/>
          <w:bCs w:val="1"/>
          <w:color w:val="auto"/>
        </w:rPr>
        <w:t>Exhibit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Subsidiary</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b w:val="1"/>
                <w:bCs w:val="1"/>
                <w:color w:val="auto"/>
              </w:rPr>
              <w:t>Jurisdiction of Incorporation</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Australia Pty Ltd</w:t>
            </w:r>
          </w:p>
        </w:tc>
        <w:tc>
          <w:tcPr>
            <w:tcW w:w="3540" w:type="dxa"/>
            <w:vAlign w:val="bottom"/>
          </w:tcPr>
          <w:p>
            <w:pPr>
              <w:jc w:val="center"/>
              <w:ind w:left="1834"/>
              <w:spacing w:after="0"/>
              <w:rPr>
                <w:sz w:val="20"/>
                <w:szCs w:val="20"/>
                <w:color w:val="auto"/>
              </w:rPr>
            </w:pPr>
            <w:r>
              <w:rPr>
                <w:rFonts w:ascii="Times New Roman" w:cs="Times New Roman" w:eastAsia="Times New Roman" w:hAnsi="Times New Roman"/>
                <w:sz w:val="13"/>
                <w:szCs w:val="13"/>
                <w:color w:val="auto"/>
              </w:rPr>
              <w:t>Australia</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BioNTainer Holding GmbH</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color w:val="auto"/>
              </w:rPr>
              <w:t>Germany</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Cell &amp; Gene Therapies GmbH</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color w:val="auto"/>
              </w:rPr>
              <w:t>Germany</w:t>
            </w: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Collaborations GmbH</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color w:val="auto"/>
              </w:rPr>
              <w:t>Germany</w:t>
            </w:r>
          </w:p>
        </w:tc>
      </w:tr>
      <w:tr>
        <w:trPr>
          <w:trHeight w:val="17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Delivery Technologies (US), LLC</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color w:val="auto"/>
              </w:rPr>
              <w:t>Delaware</w:t>
            </w:r>
          </w:p>
        </w:tc>
      </w:tr>
      <w:tr>
        <w:trPr>
          <w:trHeight w:val="243"/>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Delivery Technologies GmbH</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color w:val="auto"/>
              </w:rPr>
              <w:t>Germany</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Diagnostics GmbH</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color w:val="auto"/>
              </w:rPr>
              <w:t>Germany</w:t>
            </w:r>
          </w:p>
        </w:tc>
      </w:tr>
      <w:tr>
        <w:trPr>
          <w:trHeight w:val="202"/>
        </w:trPr>
        <w:tc>
          <w:tcPr>
            <w:tcW w:w="6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BioNTech Europe GmbH</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color w:val="auto"/>
              </w:rPr>
              <w:t>Germany</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Idar-Oberstein Services GmbH</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color w:val="auto"/>
              </w:rPr>
              <w:t>Germany</w:t>
            </w: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Individualized mRNA Manufacturing GmbH</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color w:val="auto"/>
              </w:rPr>
              <w:t>Germany</w:t>
            </w:r>
          </w:p>
        </w:tc>
      </w:tr>
      <w:tr>
        <w:trPr>
          <w:trHeight w:val="243"/>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Innovation and Services Marburg GmbH</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color w:val="auto"/>
              </w:rPr>
              <w:t>Germany</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Innovation GmbH</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color w:val="auto"/>
              </w:rPr>
              <w:t>Germany</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Innovative Manufacturing Services GmbH</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color w:val="auto"/>
              </w:rPr>
              <w:t>Germany</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Israel Ltd</w:t>
            </w:r>
          </w:p>
        </w:tc>
        <w:tc>
          <w:tcPr>
            <w:tcW w:w="3540" w:type="dxa"/>
            <w:vAlign w:val="bottom"/>
          </w:tcPr>
          <w:p>
            <w:pPr>
              <w:jc w:val="center"/>
              <w:ind w:left="1834"/>
              <w:spacing w:after="0"/>
              <w:rPr>
                <w:sz w:val="20"/>
                <w:szCs w:val="20"/>
                <w:color w:val="auto"/>
              </w:rPr>
            </w:pPr>
            <w:r>
              <w:rPr>
                <w:rFonts w:ascii="Times New Roman" w:cs="Times New Roman" w:eastAsia="Times New Roman" w:hAnsi="Times New Roman"/>
                <w:sz w:val="13"/>
                <w:szCs w:val="13"/>
                <w:color w:val="auto"/>
                <w:w w:val="96"/>
              </w:rPr>
              <w:t>Israel</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Manufacturing GmbH</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color w:val="auto"/>
              </w:rPr>
              <w:t>Germany</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Manufacturing Marburg GmbH</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color w:val="auto"/>
              </w:rPr>
              <w:t>Germany</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Pharmaceuticals Asia Pacific Pte. Ltd.</w:t>
            </w:r>
          </w:p>
        </w:tc>
        <w:tc>
          <w:tcPr>
            <w:tcW w:w="3540" w:type="dxa"/>
            <w:vAlign w:val="bottom"/>
          </w:tcPr>
          <w:p>
            <w:pPr>
              <w:jc w:val="center"/>
              <w:ind w:left="1834"/>
              <w:spacing w:after="0"/>
              <w:rPr>
                <w:sz w:val="20"/>
                <w:szCs w:val="20"/>
                <w:color w:val="auto"/>
              </w:rPr>
            </w:pPr>
            <w:r>
              <w:rPr>
                <w:rFonts w:ascii="Times New Roman" w:cs="Times New Roman" w:eastAsia="Times New Roman" w:hAnsi="Times New Roman"/>
                <w:sz w:val="13"/>
                <w:szCs w:val="13"/>
                <w:color w:val="auto"/>
                <w:w w:val="98"/>
              </w:rPr>
              <w:t>Singapore</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Pharmaceuticals Spain S.L.U.</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color w:val="auto"/>
              </w:rPr>
              <w:t>Spain</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R&amp;D (Austria) GmbH</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color w:val="auto"/>
                <w:w w:val="99"/>
              </w:rPr>
              <w:t>Austria</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Real Estate Holding GmbH</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color w:val="auto"/>
              </w:rPr>
              <w:t>Germany</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Research and Development, Inc.</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color w:val="auto"/>
              </w:rPr>
              <w:t>Delaware</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Rwanda Ltd</w:t>
            </w:r>
          </w:p>
        </w:tc>
        <w:tc>
          <w:tcPr>
            <w:tcW w:w="3540" w:type="dxa"/>
            <w:vAlign w:val="bottom"/>
          </w:tcPr>
          <w:p>
            <w:pPr>
              <w:jc w:val="center"/>
              <w:ind w:left="1834"/>
              <w:spacing w:after="0"/>
              <w:rPr>
                <w:sz w:val="20"/>
                <w:szCs w:val="20"/>
                <w:color w:val="auto"/>
              </w:rPr>
            </w:pPr>
            <w:r>
              <w:rPr>
                <w:rFonts w:ascii="Times New Roman" w:cs="Times New Roman" w:eastAsia="Times New Roman" w:hAnsi="Times New Roman"/>
                <w:sz w:val="13"/>
                <w:szCs w:val="13"/>
                <w:color w:val="auto"/>
              </w:rPr>
              <w:t>Rwanda</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(Shanghai) Pharmaceuticals Co., Ltd</w:t>
            </w:r>
          </w:p>
        </w:tc>
        <w:tc>
          <w:tcPr>
            <w:tcW w:w="3540" w:type="dxa"/>
            <w:vAlign w:val="bottom"/>
          </w:tcPr>
          <w:p>
            <w:pPr>
              <w:jc w:val="center"/>
              <w:ind w:left="1834"/>
              <w:spacing w:after="0"/>
              <w:rPr>
                <w:sz w:val="20"/>
                <w:szCs w:val="20"/>
                <w:color w:val="auto"/>
              </w:rPr>
            </w:pPr>
            <w:r>
              <w:rPr>
                <w:rFonts w:ascii="Times New Roman" w:cs="Times New Roman" w:eastAsia="Times New Roman" w:hAnsi="Times New Roman"/>
                <w:sz w:val="13"/>
                <w:szCs w:val="13"/>
                <w:color w:val="auto"/>
              </w:rPr>
              <w:t>China</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Switzerland GmbH</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color w:val="auto"/>
                <w:w w:val="99"/>
              </w:rPr>
              <w:t>Switzerland</w:t>
            </w:r>
          </w:p>
        </w:tc>
      </w:tr>
      <w:tr>
        <w:trPr>
          <w:trHeight w:val="22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Taiwan Co. Ltd.</w:t>
            </w:r>
          </w:p>
        </w:tc>
        <w:tc>
          <w:tcPr>
            <w:tcW w:w="3540" w:type="dxa"/>
            <w:vAlign w:val="bottom"/>
          </w:tcPr>
          <w:p>
            <w:pPr>
              <w:jc w:val="center"/>
              <w:ind w:left="1834"/>
              <w:spacing w:after="0"/>
              <w:rPr>
                <w:sz w:val="20"/>
                <w:szCs w:val="20"/>
                <w:color w:val="auto"/>
              </w:rPr>
            </w:pPr>
            <w:r>
              <w:rPr>
                <w:rFonts w:ascii="Times New Roman" w:cs="Times New Roman" w:eastAsia="Times New Roman" w:hAnsi="Times New Roman"/>
                <w:sz w:val="13"/>
                <w:szCs w:val="13"/>
                <w:color w:val="auto"/>
              </w:rPr>
              <w:t>Taiwan</w:t>
            </w:r>
          </w:p>
        </w:tc>
      </w:tr>
      <w:tr>
        <w:trPr>
          <w:trHeight w:val="243"/>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Turkey Tıbbi Ürünler Ve Klinik Araştırma Ticaret Anonim Şirketi</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color w:val="auto"/>
              </w:rPr>
              <w:t>Turkey</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UK Limited</w:t>
            </w:r>
          </w:p>
        </w:tc>
        <w:tc>
          <w:tcPr>
            <w:tcW w:w="3540" w:type="dxa"/>
            <w:vAlign w:val="bottom"/>
          </w:tcPr>
          <w:p>
            <w:pPr>
              <w:jc w:val="center"/>
              <w:ind w:left="1834"/>
              <w:spacing w:after="0"/>
              <w:rPr>
                <w:sz w:val="20"/>
                <w:szCs w:val="20"/>
                <w:color w:val="auto"/>
              </w:rPr>
            </w:pPr>
            <w:r>
              <w:rPr>
                <w:rFonts w:ascii="Times New Roman" w:cs="Times New Roman" w:eastAsia="Times New Roman" w:hAnsi="Times New Roman"/>
                <w:sz w:val="13"/>
                <w:szCs w:val="13"/>
                <w:color w:val="auto"/>
              </w:rPr>
              <w:t>UK</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US Inc.</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color w:val="auto"/>
              </w:rPr>
              <w:t>Delaware</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BioNTech USA Holding LLC</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color w:val="auto"/>
              </w:rPr>
              <w:t>Delaware</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Biotheus</w:t>
            </w:r>
          </w:p>
        </w:tc>
        <w:tc>
          <w:tcPr>
            <w:tcW w:w="3540" w:type="dxa"/>
            <w:vAlign w:val="bottom"/>
          </w:tcPr>
          <w:p>
            <w:pPr>
              <w:jc w:val="center"/>
              <w:ind w:left="1834"/>
              <w:spacing w:after="0"/>
              <w:rPr>
                <w:sz w:val="20"/>
                <w:szCs w:val="20"/>
                <w:color w:val="auto"/>
              </w:rPr>
            </w:pPr>
            <w:r>
              <w:rPr>
                <w:rFonts w:ascii="Times New Roman" w:cs="Times New Roman" w:eastAsia="Times New Roman" w:hAnsi="Times New Roman"/>
                <w:sz w:val="13"/>
                <w:szCs w:val="13"/>
                <w:color w:val="auto"/>
              </w:rPr>
              <w:t>Cayman Islands</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Biotheus Admin Ltd</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color w:val="auto"/>
                <w:w w:val="98"/>
              </w:rPr>
              <w:t>BVI</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Biotheus (Australia) Pty Ltd</w:t>
            </w:r>
          </w:p>
        </w:tc>
        <w:tc>
          <w:tcPr>
            <w:tcW w:w="3540" w:type="dxa"/>
            <w:vAlign w:val="bottom"/>
          </w:tcPr>
          <w:p>
            <w:pPr>
              <w:jc w:val="center"/>
              <w:ind w:left="1834"/>
              <w:spacing w:after="0"/>
              <w:rPr>
                <w:sz w:val="20"/>
                <w:szCs w:val="20"/>
                <w:color w:val="auto"/>
              </w:rPr>
            </w:pPr>
            <w:r>
              <w:rPr>
                <w:rFonts w:ascii="Times New Roman" w:cs="Times New Roman" w:eastAsia="Times New Roman" w:hAnsi="Times New Roman"/>
                <w:sz w:val="13"/>
                <w:szCs w:val="13"/>
                <w:color w:val="auto"/>
              </w:rPr>
              <w:t>Australia</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Biotheus (Hengqin) Co., Ltd.</w:t>
            </w:r>
          </w:p>
        </w:tc>
        <w:tc>
          <w:tcPr>
            <w:tcW w:w="3540" w:type="dxa"/>
            <w:vAlign w:val="bottom"/>
          </w:tcPr>
          <w:p>
            <w:pPr>
              <w:jc w:val="center"/>
              <w:ind w:left="1834"/>
              <w:spacing w:after="0"/>
              <w:rPr>
                <w:sz w:val="20"/>
                <w:szCs w:val="20"/>
                <w:color w:val="auto"/>
              </w:rPr>
            </w:pPr>
            <w:r>
              <w:rPr>
                <w:rFonts w:ascii="Times New Roman" w:cs="Times New Roman" w:eastAsia="Times New Roman" w:hAnsi="Times New Roman"/>
                <w:sz w:val="13"/>
                <w:szCs w:val="13"/>
                <w:color w:val="auto"/>
              </w:rPr>
              <w:t>China</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Biotheus (Hong Kong) Limited</w:t>
            </w:r>
          </w:p>
        </w:tc>
        <w:tc>
          <w:tcPr>
            <w:tcW w:w="3540" w:type="dxa"/>
            <w:vAlign w:val="bottom"/>
          </w:tcPr>
          <w:p>
            <w:pPr>
              <w:jc w:val="center"/>
              <w:ind w:left="1854"/>
              <w:spacing w:after="0"/>
              <w:rPr>
                <w:sz w:val="20"/>
                <w:szCs w:val="20"/>
                <w:color w:val="auto"/>
              </w:rPr>
            </w:pPr>
            <w:r>
              <w:rPr>
                <w:rFonts w:ascii="Times New Roman" w:cs="Times New Roman" w:eastAsia="Times New Roman" w:hAnsi="Times New Roman"/>
                <w:sz w:val="13"/>
                <w:szCs w:val="13"/>
                <w:color w:val="auto"/>
              </w:rPr>
              <w:t>Hong Kong</w:t>
            </w: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Biotheus Inc.</w:t>
            </w:r>
          </w:p>
        </w:tc>
        <w:tc>
          <w:tcPr>
            <w:tcW w:w="3540" w:type="dxa"/>
            <w:vAlign w:val="bottom"/>
          </w:tcPr>
          <w:p>
            <w:pPr>
              <w:jc w:val="center"/>
              <w:ind w:left="1834"/>
              <w:spacing w:after="0"/>
              <w:rPr>
                <w:sz w:val="20"/>
                <w:szCs w:val="20"/>
                <w:color w:val="auto"/>
              </w:rPr>
            </w:pPr>
            <w:r>
              <w:rPr>
                <w:rFonts w:ascii="Times New Roman" w:cs="Times New Roman" w:eastAsia="Times New Roman" w:hAnsi="Times New Roman"/>
                <w:sz w:val="13"/>
                <w:szCs w:val="13"/>
                <w:color w:val="auto"/>
              </w:rPr>
              <w:t>China</w:t>
            </w:r>
          </w:p>
        </w:tc>
      </w:tr>
    </w:tbl>
    <w:p>
      <w:pPr>
        <w:sectPr>
          <w:pgSz w:w="11900" w:h="16840" w:orient="portrait"/>
          <w:cols w:equalWidth="0" w:num="1">
            <w:col w:w="10500"/>
          </w:cols>
          <w:pgMar w:left="740" w:top="557" w:right="660" w:bottom="1440" w:gutter="0" w:footer="0" w:header="0"/>
        </w:sectPr>
      </w:pPr>
    </w:p>
    <w:bookmarkStart w:id="417" w:name="page418"/>
    <w:bookmarkEnd w:id="417"/>
    <w:p>
      <w:pPr>
        <w:jc w:val="right"/>
        <w:spacing w:after="0"/>
        <w:rPr>
          <w:sz w:val="20"/>
          <w:szCs w:val="20"/>
          <w:color w:val="auto"/>
        </w:rPr>
      </w:pPr>
      <w:r>
        <w:rPr>
          <w:rFonts w:ascii="Times New Roman" w:cs="Times New Roman" w:eastAsia="Times New Roman" w:hAnsi="Times New Roman"/>
          <w:sz w:val="16"/>
          <w:szCs w:val="16"/>
          <w:b w:val="1"/>
          <w:bCs w:val="1"/>
          <w:color w:val="auto"/>
        </w:rPr>
        <w:t>Exhibit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Subsidiary</w:t>
            </w:r>
          </w:p>
        </w:tc>
        <w:tc>
          <w:tcPr>
            <w:tcW w:w="4700" w:type="dxa"/>
            <w:vAlign w:val="bottom"/>
          </w:tcPr>
          <w:p>
            <w:pPr>
              <w:jc w:val="center"/>
              <w:ind w:left="3014"/>
              <w:spacing w:after="0"/>
              <w:rPr>
                <w:sz w:val="20"/>
                <w:szCs w:val="20"/>
                <w:color w:val="auto"/>
              </w:rPr>
            </w:pPr>
            <w:r>
              <w:rPr>
                <w:rFonts w:ascii="Times New Roman" w:cs="Times New Roman" w:eastAsia="Times New Roman" w:hAnsi="Times New Roman"/>
                <w:sz w:val="13"/>
                <w:szCs w:val="13"/>
                <w:b w:val="1"/>
                <w:bCs w:val="1"/>
                <w:color w:val="auto"/>
              </w:rPr>
              <w:t>Jurisdiction of Incorporation</w:t>
            </w:r>
          </w:p>
        </w:tc>
      </w:tr>
      <w:tr>
        <w:trPr>
          <w:trHeight w:val="20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Biotheus (Nantong) Co., Ltd</w:t>
            </w:r>
          </w:p>
        </w:tc>
        <w:tc>
          <w:tcPr>
            <w:tcW w:w="4700" w:type="dxa"/>
            <w:vAlign w:val="bottom"/>
          </w:tcPr>
          <w:p>
            <w:pPr>
              <w:jc w:val="center"/>
              <w:ind w:left="3014"/>
              <w:spacing w:after="0"/>
              <w:rPr>
                <w:sz w:val="20"/>
                <w:szCs w:val="20"/>
                <w:color w:val="auto"/>
              </w:rPr>
            </w:pPr>
            <w:r>
              <w:rPr>
                <w:rFonts w:ascii="Times New Roman" w:cs="Times New Roman" w:eastAsia="Times New Roman" w:hAnsi="Times New Roman"/>
                <w:sz w:val="13"/>
                <w:szCs w:val="13"/>
                <w:color w:val="auto"/>
                <w:w w:val="96"/>
              </w:rPr>
              <w:t>China</w:t>
            </w:r>
          </w:p>
        </w:tc>
      </w:tr>
      <w:tr>
        <w:trPr>
          <w:trHeight w:val="20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Biotheus (Singapore) Pte Ltd</w:t>
            </w:r>
          </w:p>
        </w:tc>
        <w:tc>
          <w:tcPr>
            <w:tcW w:w="4700" w:type="dxa"/>
            <w:vAlign w:val="bottom"/>
          </w:tcPr>
          <w:p>
            <w:pPr>
              <w:jc w:val="center"/>
              <w:ind w:left="3014"/>
              <w:spacing w:after="0"/>
              <w:rPr>
                <w:sz w:val="20"/>
                <w:szCs w:val="20"/>
                <w:color w:val="auto"/>
              </w:rPr>
            </w:pPr>
            <w:r>
              <w:rPr>
                <w:rFonts w:ascii="Times New Roman" w:cs="Times New Roman" w:eastAsia="Times New Roman" w:hAnsi="Times New Roman"/>
                <w:sz w:val="13"/>
                <w:szCs w:val="13"/>
                <w:color w:val="auto"/>
              </w:rPr>
              <w:t>Singapore</w:t>
            </w:r>
          </w:p>
        </w:tc>
      </w:tr>
      <w:tr>
        <w:trPr>
          <w:trHeight w:val="20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Biotheus (Suzhou) Co., Ltd</w:t>
            </w:r>
          </w:p>
        </w:tc>
        <w:tc>
          <w:tcPr>
            <w:tcW w:w="4700" w:type="dxa"/>
            <w:vAlign w:val="bottom"/>
          </w:tcPr>
          <w:p>
            <w:pPr>
              <w:jc w:val="center"/>
              <w:ind w:left="3014"/>
              <w:spacing w:after="0"/>
              <w:rPr>
                <w:sz w:val="20"/>
                <w:szCs w:val="20"/>
                <w:color w:val="auto"/>
              </w:rPr>
            </w:pPr>
            <w:r>
              <w:rPr>
                <w:rFonts w:ascii="Times New Roman" w:cs="Times New Roman" w:eastAsia="Times New Roman" w:hAnsi="Times New Roman"/>
                <w:sz w:val="13"/>
                <w:szCs w:val="13"/>
                <w:color w:val="auto"/>
                <w:w w:val="96"/>
              </w:rPr>
              <w:t>China</w:t>
            </w:r>
          </w:p>
        </w:tc>
      </w:tr>
      <w:tr>
        <w:trPr>
          <w:trHeight w:val="20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Biotheus US Inc.</w:t>
            </w:r>
          </w:p>
        </w:tc>
        <w:tc>
          <w:tcPr>
            <w:tcW w:w="4700" w:type="dxa"/>
            <w:vAlign w:val="bottom"/>
          </w:tcPr>
          <w:p>
            <w:pPr>
              <w:jc w:val="center"/>
              <w:ind w:left="3014"/>
              <w:spacing w:after="0"/>
              <w:rPr>
                <w:sz w:val="20"/>
                <w:szCs w:val="20"/>
                <w:color w:val="auto"/>
              </w:rPr>
            </w:pPr>
            <w:r>
              <w:rPr>
                <w:rFonts w:ascii="Times New Roman" w:cs="Times New Roman" w:eastAsia="Times New Roman" w:hAnsi="Times New Roman"/>
                <w:sz w:val="13"/>
                <w:szCs w:val="13"/>
                <w:color w:val="auto"/>
              </w:rPr>
              <w:t>Delaware</w:t>
            </w:r>
          </w:p>
        </w:tc>
      </w:tr>
      <w:tr>
        <w:trPr>
          <w:trHeight w:val="20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Cabt-Bio (Hong Kong) Limited</w:t>
            </w:r>
          </w:p>
        </w:tc>
        <w:tc>
          <w:tcPr>
            <w:tcW w:w="4700" w:type="dxa"/>
            <w:vAlign w:val="bottom"/>
          </w:tcPr>
          <w:p>
            <w:pPr>
              <w:jc w:val="center"/>
              <w:ind w:left="3014"/>
              <w:spacing w:after="0"/>
              <w:rPr>
                <w:sz w:val="20"/>
                <w:szCs w:val="20"/>
                <w:color w:val="auto"/>
              </w:rPr>
            </w:pPr>
            <w:r>
              <w:rPr>
                <w:rFonts w:ascii="Times New Roman" w:cs="Times New Roman" w:eastAsia="Times New Roman" w:hAnsi="Times New Roman"/>
                <w:sz w:val="13"/>
                <w:szCs w:val="13"/>
                <w:color w:val="auto"/>
              </w:rPr>
              <w:t>Hong Kong</w:t>
            </w:r>
          </w:p>
        </w:tc>
      </w:tr>
      <w:tr>
        <w:trPr>
          <w:trHeight w:val="20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InstaDeep DE GmbH</w:t>
            </w:r>
          </w:p>
        </w:tc>
        <w:tc>
          <w:tcPr>
            <w:tcW w:w="4700" w:type="dxa"/>
            <w:vAlign w:val="bottom"/>
          </w:tcPr>
          <w:p>
            <w:pPr>
              <w:jc w:val="center"/>
              <w:ind w:left="3014"/>
              <w:spacing w:after="0"/>
              <w:rPr>
                <w:sz w:val="20"/>
                <w:szCs w:val="20"/>
                <w:color w:val="auto"/>
              </w:rPr>
            </w:pPr>
            <w:r>
              <w:rPr>
                <w:rFonts w:ascii="Times New Roman" w:cs="Times New Roman" w:eastAsia="Times New Roman" w:hAnsi="Times New Roman"/>
                <w:sz w:val="13"/>
                <w:szCs w:val="13"/>
                <w:color w:val="auto"/>
              </w:rPr>
              <w:t>Germany</w:t>
            </w:r>
          </w:p>
        </w:tc>
      </w:tr>
      <w:tr>
        <w:trPr>
          <w:trHeight w:val="20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InstaDeep LLC</w:t>
            </w:r>
          </w:p>
        </w:tc>
        <w:tc>
          <w:tcPr>
            <w:tcW w:w="4700" w:type="dxa"/>
            <w:vAlign w:val="bottom"/>
          </w:tcPr>
          <w:p>
            <w:pPr>
              <w:jc w:val="center"/>
              <w:ind w:left="3014"/>
              <w:spacing w:after="0"/>
              <w:rPr>
                <w:sz w:val="20"/>
                <w:szCs w:val="20"/>
                <w:color w:val="auto"/>
              </w:rPr>
            </w:pPr>
            <w:r>
              <w:rPr>
                <w:rFonts w:ascii="Times New Roman" w:cs="Times New Roman" w:eastAsia="Times New Roman" w:hAnsi="Times New Roman"/>
                <w:sz w:val="13"/>
                <w:szCs w:val="13"/>
                <w:color w:val="auto"/>
              </w:rPr>
              <w:t>Delaware</w:t>
            </w:r>
          </w:p>
        </w:tc>
      </w:tr>
      <w:tr>
        <w:trPr>
          <w:trHeight w:val="20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InstaDeep Ltd</w:t>
            </w:r>
          </w:p>
        </w:tc>
        <w:tc>
          <w:tcPr>
            <w:tcW w:w="4700" w:type="dxa"/>
            <w:vAlign w:val="bottom"/>
          </w:tcPr>
          <w:p>
            <w:pPr>
              <w:jc w:val="center"/>
              <w:ind w:left="3014"/>
              <w:spacing w:after="0"/>
              <w:rPr>
                <w:sz w:val="20"/>
                <w:szCs w:val="20"/>
                <w:color w:val="auto"/>
              </w:rPr>
            </w:pPr>
            <w:r>
              <w:rPr>
                <w:rFonts w:ascii="Times New Roman" w:cs="Times New Roman" w:eastAsia="Times New Roman" w:hAnsi="Times New Roman"/>
                <w:sz w:val="13"/>
                <w:szCs w:val="13"/>
                <w:color w:val="auto"/>
                <w:w w:val="95"/>
              </w:rPr>
              <w:t>UK</w:t>
            </w:r>
          </w:p>
        </w:tc>
      </w:tr>
      <w:tr>
        <w:trPr>
          <w:trHeight w:val="20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InstaDeep Nigeria Limited</w:t>
            </w:r>
          </w:p>
        </w:tc>
        <w:tc>
          <w:tcPr>
            <w:tcW w:w="4700" w:type="dxa"/>
            <w:vAlign w:val="bottom"/>
          </w:tcPr>
          <w:p>
            <w:pPr>
              <w:jc w:val="center"/>
              <w:ind w:left="3014"/>
              <w:spacing w:after="0"/>
              <w:rPr>
                <w:sz w:val="20"/>
                <w:szCs w:val="20"/>
                <w:color w:val="auto"/>
              </w:rPr>
            </w:pPr>
            <w:r>
              <w:rPr>
                <w:rFonts w:ascii="Times New Roman" w:cs="Times New Roman" w:eastAsia="Times New Roman" w:hAnsi="Times New Roman"/>
                <w:sz w:val="13"/>
                <w:szCs w:val="13"/>
                <w:color w:val="auto"/>
                <w:w w:val="97"/>
              </w:rPr>
              <w:t>Nigeria</w:t>
            </w:r>
          </w:p>
        </w:tc>
      </w:tr>
      <w:tr>
        <w:trPr>
          <w:trHeight w:val="20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InstaDeep SARL</w:t>
            </w:r>
          </w:p>
        </w:tc>
        <w:tc>
          <w:tcPr>
            <w:tcW w:w="4700" w:type="dxa"/>
            <w:vAlign w:val="bottom"/>
          </w:tcPr>
          <w:p>
            <w:pPr>
              <w:jc w:val="center"/>
              <w:ind w:left="3014"/>
              <w:spacing w:after="0"/>
              <w:rPr>
                <w:sz w:val="20"/>
                <w:szCs w:val="20"/>
                <w:color w:val="auto"/>
              </w:rPr>
            </w:pPr>
            <w:r>
              <w:rPr>
                <w:rFonts w:ascii="Times New Roman" w:cs="Times New Roman" w:eastAsia="Times New Roman" w:hAnsi="Times New Roman"/>
                <w:sz w:val="13"/>
                <w:szCs w:val="13"/>
                <w:color w:val="auto"/>
                <w:w w:val="97"/>
              </w:rPr>
              <w:t>Tunisia</w:t>
            </w:r>
          </w:p>
        </w:tc>
      </w:tr>
      <w:tr>
        <w:trPr>
          <w:trHeight w:val="20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InstaDeep SAS</w:t>
            </w:r>
          </w:p>
        </w:tc>
        <w:tc>
          <w:tcPr>
            <w:tcW w:w="4700" w:type="dxa"/>
            <w:vAlign w:val="bottom"/>
          </w:tcPr>
          <w:p>
            <w:pPr>
              <w:jc w:val="center"/>
              <w:ind w:left="3014"/>
              <w:spacing w:after="0"/>
              <w:rPr>
                <w:sz w:val="20"/>
                <w:szCs w:val="20"/>
                <w:color w:val="auto"/>
              </w:rPr>
            </w:pPr>
            <w:r>
              <w:rPr>
                <w:rFonts w:ascii="Times New Roman" w:cs="Times New Roman" w:eastAsia="Times New Roman" w:hAnsi="Times New Roman"/>
                <w:sz w:val="13"/>
                <w:szCs w:val="13"/>
                <w:color w:val="auto"/>
                <w:w w:val="95"/>
              </w:rPr>
              <w:t>France</w:t>
            </w:r>
          </w:p>
        </w:tc>
      </w:tr>
      <w:tr>
        <w:trPr>
          <w:trHeight w:val="20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JPT Peptide Technologies GmbH</w:t>
            </w:r>
          </w:p>
        </w:tc>
        <w:tc>
          <w:tcPr>
            <w:tcW w:w="4700" w:type="dxa"/>
            <w:vAlign w:val="bottom"/>
          </w:tcPr>
          <w:p>
            <w:pPr>
              <w:jc w:val="center"/>
              <w:ind w:left="3014"/>
              <w:spacing w:after="0"/>
              <w:rPr>
                <w:sz w:val="20"/>
                <w:szCs w:val="20"/>
                <w:color w:val="auto"/>
              </w:rPr>
            </w:pPr>
            <w:r>
              <w:rPr>
                <w:rFonts w:ascii="Times New Roman" w:cs="Times New Roman" w:eastAsia="Times New Roman" w:hAnsi="Times New Roman"/>
                <w:sz w:val="13"/>
                <w:szCs w:val="13"/>
                <w:color w:val="auto"/>
              </w:rPr>
              <w:t>Germany</w:t>
            </w:r>
          </w:p>
        </w:tc>
      </w:tr>
      <w:tr>
        <w:trPr>
          <w:trHeight w:val="20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JPT Peptide Technologies, Inc.</w:t>
            </w:r>
          </w:p>
        </w:tc>
        <w:tc>
          <w:tcPr>
            <w:tcW w:w="4700" w:type="dxa"/>
            <w:vAlign w:val="bottom"/>
          </w:tcPr>
          <w:p>
            <w:pPr>
              <w:jc w:val="center"/>
              <w:ind w:left="3014"/>
              <w:spacing w:after="0"/>
              <w:rPr>
                <w:sz w:val="20"/>
                <w:szCs w:val="20"/>
                <w:color w:val="auto"/>
              </w:rPr>
            </w:pPr>
            <w:r>
              <w:rPr>
                <w:rFonts w:ascii="Times New Roman" w:cs="Times New Roman" w:eastAsia="Times New Roman" w:hAnsi="Times New Roman"/>
                <w:sz w:val="13"/>
                <w:szCs w:val="13"/>
                <w:color w:val="auto"/>
              </w:rPr>
              <w:t>Delaware</w:t>
            </w:r>
          </w:p>
        </w:tc>
      </w:tr>
      <w:tr>
        <w:trPr>
          <w:trHeight w:val="20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New Technologies Re</w:t>
            </w:r>
          </w:p>
        </w:tc>
        <w:tc>
          <w:tcPr>
            <w:tcW w:w="4700" w:type="dxa"/>
            <w:vAlign w:val="bottom"/>
          </w:tcPr>
          <w:p>
            <w:pPr>
              <w:jc w:val="center"/>
              <w:ind w:left="3014"/>
              <w:spacing w:after="0"/>
              <w:rPr>
                <w:sz w:val="20"/>
                <w:szCs w:val="20"/>
                <w:color w:val="auto"/>
              </w:rPr>
            </w:pPr>
            <w:r>
              <w:rPr>
                <w:rFonts w:ascii="Times New Roman" w:cs="Times New Roman" w:eastAsia="Times New Roman" w:hAnsi="Times New Roman"/>
                <w:sz w:val="13"/>
                <w:szCs w:val="13"/>
                <w:color w:val="auto"/>
                <w:w w:val="98"/>
              </w:rPr>
              <w:t>Luxembourg</w:t>
            </w:r>
          </w:p>
        </w:tc>
      </w:tr>
      <w:tr>
        <w:trPr>
          <w:trHeight w:val="20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NT Security and Services GmbH</w:t>
            </w:r>
          </w:p>
        </w:tc>
        <w:tc>
          <w:tcPr>
            <w:tcW w:w="4700" w:type="dxa"/>
            <w:vAlign w:val="bottom"/>
          </w:tcPr>
          <w:p>
            <w:pPr>
              <w:jc w:val="center"/>
              <w:ind w:left="3014"/>
              <w:spacing w:after="0"/>
              <w:rPr>
                <w:sz w:val="20"/>
                <w:szCs w:val="20"/>
                <w:color w:val="auto"/>
              </w:rPr>
            </w:pPr>
            <w:r>
              <w:rPr>
                <w:rFonts w:ascii="Times New Roman" w:cs="Times New Roman" w:eastAsia="Times New Roman" w:hAnsi="Times New Roman"/>
                <w:sz w:val="13"/>
                <w:szCs w:val="13"/>
                <w:color w:val="auto"/>
              </w:rPr>
              <w:t>Germany</w:t>
            </w:r>
          </w:p>
        </w:tc>
      </w:tr>
      <w:tr>
        <w:trPr>
          <w:trHeight w:val="20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reSano GmbH</w:t>
            </w:r>
          </w:p>
        </w:tc>
        <w:tc>
          <w:tcPr>
            <w:tcW w:w="4700" w:type="dxa"/>
            <w:vAlign w:val="bottom"/>
          </w:tcPr>
          <w:p>
            <w:pPr>
              <w:jc w:val="center"/>
              <w:ind w:left="3014"/>
              <w:spacing w:after="0"/>
              <w:rPr>
                <w:sz w:val="20"/>
                <w:szCs w:val="20"/>
                <w:color w:val="auto"/>
              </w:rPr>
            </w:pPr>
            <w:r>
              <w:rPr>
                <w:rFonts w:ascii="Times New Roman" w:cs="Times New Roman" w:eastAsia="Times New Roman" w:hAnsi="Times New Roman"/>
                <w:sz w:val="13"/>
                <w:szCs w:val="13"/>
                <w:color w:val="auto"/>
              </w:rPr>
              <w:t>Germany</w:t>
            </w:r>
          </w:p>
        </w:tc>
      </w:tr>
    </w:tbl>
    <w:p>
      <w:pPr>
        <w:sectPr>
          <w:pgSz w:w="11900" w:h="16840" w:orient="portrait"/>
          <w:cols w:equalWidth="0" w:num="1">
            <w:col w:w="10500"/>
          </w:cols>
          <w:pgMar w:left="740" w:top="557" w:right="660" w:bottom="1440" w:gutter="0" w:footer="0" w:header="0"/>
        </w:sectPr>
      </w:pPr>
    </w:p>
    <w:bookmarkStart w:id="418" w:name="page419"/>
    <w:bookmarkEnd w:id="418"/>
    <w:p>
      <w:pPr>
        <w:jc w:val="right"/>
        <w:spacing w:after="0"/>
        <w:rPr>
          <w:sz w:val="20"/>
          <w:szCs w:val="20"/>
          <w:color w:val="auto"/>
        </w:rPr>
      </w:pPr>
      <w:r>
        <w:rPr>
          <w:rFonts w:ascii="Times New Roman" w:cs="Times New Roman" w:eastAsia="Times New Roman" w:hAnsi="Times New Roman"/>
          <w:sz w:val="13"/>
          <w:szCs w:val="13"/>
          <w:b w:val="1"/>
          <w:bCs w:val="1"/>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6732905" cy="20510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40">
                      <a:extLst>
                        <a:ext uri="{28A0092B-C50C-407E-A947-70E740481C1C}"/>
                      </a:extLst>
                    </a:blip>
                    <a:srcRect/>
                    <a:stretch>
                      <a:fillRect/>
                    </a:stretch>
                  </pic:blipFill>
                  <pic:spPr bwMode="auto">
                    <a:xfrm>
                      <a:off x="0" y="0"/>
                      <a:ext cx="6732905" cy="205105"/>
                    </a:xfrm>
                    <a:prstGeom prst="rect">
                      <a:avLst/>
                    </a:prstGeom>
                    <a:noFill/>
                  </pic:spPr>
                </pic:pic>
              </a:graphicData>
            </a:graphic>
          </wp:anchor>
        </w:drawing>
      </w:r>
    </w:p>
    <w:p>
      <w:pPr>
        <w:spacing w:after="0" w:line="205" w:lineRule="exact"/>
        <w:rPr>
          <w:sz w:val="20"/>
          <w:szCs w:val="20"/>
          <w:color w:val="auto"/>
        </w:rPr>
      </w:pPr>
    </w:p>
    <w:p>
      <w:pPr>
        <w:jc w:val="center"/>
        <w:ind w:left="4940" w:right="200" w:hanging="4742"/>
        <w:spacing w:after="0" w:line="248" w:lineRule="auto"/>
        <w:tabs>
          <w:tab w:leader="none" w:pos="512" w:val="left"/>
        </w:tabs>
        <w:numPr>
          <w:ilvl w:val="0"/>
          <w:numId w:val="2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Certain information in this document has been omitted from this exhibit because it is both (i) not material and (ii) the type of information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1155700</wp:posOffset>
            </wp:positionH>
            <wp:positionV relativeFrom="paragraph">
              <wp:posOffset>889635</wp:posOffset>
            </wp:positionV>
            <wp:extent cx="1771650" cy="16700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41">
                      <a:extLst>
                        <a:ext uri="{28A0092B-C50C-407E-A947-70E740481C1C}"/>
                      </a:extLst>
                    </a:blip>
                    <a:srcRect/>
                    <a:stretch>
                      <a:fillRect/>
                    </a:stretch>
                  </pic:blipFill>
                  <pic:spPr bwMode="auto">
                    <a:xfrm>
                      <a:off x="0" y="0"/>
                      <a:ext cx="1771650" cy="167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35"/>
          <w:szCs w:val="35"/>
          <w:b w:val="1"/>
          <w:bCs w:val="1"/>
          <w:color w:val="767070"/>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ectPr>
          <w:pgSz w:w="11900" w:h="16840" w:orient="portrait"/>
          <w:cols w:equalWidth="0" w:num="1">
            <w:col w:w="10580"/>
          </w:cols>
          <w:pgMar w:left="660" w:top="558" w:right="660" w:bottom="1440" w:gutter="0" w:footer="0" w:header="0"/>
        </w:sectPr>
      </w:pPr>
    </w:p>
    <w:bookmarkStart w:id="419" w:name="page420"/>
    <w:bookmarkEnd w:id="4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2082165</wp:posOffset>
            </wp:positionH>
            <wp:positionV relativeFrom="page">
              <wp:posOffset>361950</wp:posOffset>
            </wp:positionV>
            <wp:extent cx="1181100" cy="1092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42">
                      <a:clrChange>
                        <a:clrFrom>
                          <a:srgbClr val="FFFFFF"/>
                        </a:clrFrom>
                        <a:clrTo>
                          <a:srgbClr val="FFFFFF">
                            <a:alpha val="0"/>
                          </a:srgbClr>
                        </a:clrTo>
                      </a:clrChange>
                      <a:extLst>
                        <a:ext uri="{28A0092B-C50C-407E-A947-70E740481C1C}"/>
                      </a:extLst>
                    </a:blip>
                    <a:srcRect/>
                    <a:stretch>
                      <a:fillRect/>
                    </a:stretch>
                  </pic:blipFill>
                  <pic:spPr bwMode="auto">
                    <a:xfrm>
                      <a:off x="0" y="0"/>
                      <a:ext cx="1181100" cy="109220"/>
                    </a:xfrm>
                    <a:prstGeom prst="rect">
                      <a:avLst/>
                    </a:prstGeom>
                    <a:noFill/>
                  </pic:spPr>
                </pic:pic>
              </a:graphicData>
            </a:graphic>
          </wp:anchor>
        </w:drawing>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of Contents</w:t>
      </w:r>
    </w:p>
    <w:p>
      <w:pPr>
        <w:spacing w:after="0" w:line="242"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140" w:type="dxa"/>
            <w:vAlign w:val="bottom"/>
          </w:tcPr>
          <w:p>
            <w:pPr>
              <w:jc w:val="right"/>
              <w:spacing w:after="0"/>
              <w:rPr>
                <w:rFonts w:ascii="Arial" w:cs="Arial" w:eastAsia="Arial" w:hAnsi="Arial"/>
                <w:sz w:val="15"/>
                <w:szCs w:val="15"/>
                <w:color w:val="auto"/>
                <w:w w:val="79"/>
              </w:rPr>
            </w:pPr>
            <w:hyperlink w:anchor="page1">
              <w:r>
                <w:rPr>
                  <w:rFonts w:ascii="Arial" w:cs="Arial" w:eastAsia="Arial" w:hAnsi="Arial"/>
                  <w:sz w:val="15"/>
                  <w:szCs w:val="15"/>
                  <w:color w:val="auto"/>
                  <w:w w:val="79"/>
                </w:rPr>
                <w:t>1.</w:t>
              </w:r>
            </w:hyperlink>
          </w:p>
        </w:tc>
        <w:tc>
          <w:tcPr>
            <w:tcW w:w="160" w:type="dxa"/>
            <w:vAlign w:val="bottom"/>
          </w:tcPr>
          <w:p>
            <w:pPr>
              <w:spacing w:after="0"/>
              <w:rPr>
                <w:sz w:val="16"/>
                <w:szCs w:val="16"/>
                <w:color w:val="auto"/>
              </w:rPr>
            </w:pPr>
          </w:p>
        </w:tc>
        <w:tc>
          <w:tcPr>
            <w:tcW w:w="7100" w:type="dxa"/>
            <w:vAlign w:val="bottom"/>
          </w:tcPr>
          <w:p>
            <w:pPr>
              <w:spacing w:after="0"/>
              <w:rPr>
                <w:rFonts w:ascii="Arial" w:cs="Arial" w:eastAsia="Arial" w:hAnsi="Arial"/>
                <w:sz w:val="15"/>
                <w:szCs w:val="15"/>
                <w:color w:val="auto"/>
              </w:rPr>
            </w:pPr>
            <w:hyperlink w:anchor="page1">
              <w:r>
                <w:rPr>
                  <w:rFonts w:ascii="Arial" w:cs="Arial" w:eastAsia="Arial" w:hAnsi="Arial"/>
                  <w:sz w:val="15"/>
                  <w:szCs w:val="15"/>
                  <w:color w:val="auto"/>
                </w:rPr>
                <w:t>Introduction</w:t>
              </w:r>
            </w:hyperlink>
          </w:p>
        </w:tc>
        <w:tc>
          <w:tcPr>
            <w:tcW w:w="3040" w:type="dxa"/>
            <w:vAlign w:val="bottom"/>
          </w:tcPr>
          <w:p>
            <w:pPr>
              <w:jc w:val="right"/>
              <w:spacing w:after="0"/>
              <w:rPr>
                <w:rFonts w:ascii="Arial" w:cs="Arial" w:eastAsia="Arial" w:hAnsi="Arial"/>
                <w:sz w:val="15"/>
                <w:szCs w:val="15"/>
                <w:color w:val="auto"/>
              </w:rPr>
            </w:pPr>
            <w:hyperlink w:anchor="page1">
              <w:r>
                <w:rPr>
                  <w:rFonts w:ascii="Arial" w:cs="Arial" w:eastAsia="Arial" w:hAnsi="Arial"/>
                  <w:sz w:val="15"/>
                  <w:szCs w:val="15"/>
                  <w:color w:val="auto"/>
                </w:rPr>
                <w:t>3</w:t>
              </w:r>
            </w:hyperlink>
          </w:p>
        </w:tc>
      </w:tr>
      <w:tr>
        <w:trPr>
          <w:trHeight w:val="192"/>
        </w:trPr>
        <w:tc>
          <w:tcPr>
            <w:tcW w:w="140" w:type="dxa"/>
            <w:vAlign w:val="bottom"/>
          </w:tcPr>
          <w:p>
            <w:pPr>
              <w:jc w:val="right"/>
              <w:spacing w:after="0"/>
              <w:rPr>
                <w:rFonts w:ascii="Arial" w:cs="Arial" w:eastAsia="Arial" w:hAnsi="Arial"/>
                <w:sz w:val="15"/>
                <w:szCs w:val="15"/>
                <w:color w:val="auto"/>
                <w:w w:val="79"/>
              </w:rPr>
            </w:pPr>
            <w:hyperlink w:anchor="page1">
              <w:r>
                <w:rPr>
                  <w:rFonts w:ascii="Arial" w:cs="Arial" w:eastAsia="Arial" w:hAnsi="Arial"/>
                  <w:sz w:val="15"/>
                  <w:szCs w:val="15"/>
                  <w:color w:val="auto"/>
                  <w:w w:val="79"/>
                </w:rPr>
                <w:t>2.</w:t>
              </w:r>
            </w:hyperlink>
          </w:p>
        </w:tc>
        <w:tc>
          <w:tcPr>
            <w:tcW w:w="160" w:type="dxa"/>
            <w:vAlign w:val="bottom"/>
          </w:tcPr>
          <w:p>
            <w:pPr>
              <w:spacing w:after="0"/>
              <w:rPr>
                <w:sz w:val="16"/>
                <w:szCs w:val="16"/>
                <w:color w:val="auto"/>
              </w:rPr>
            </w:pPr>
          </w:p>
        </w:tc>
        <w:tc>
          <w:tcPr>
            <w:tcW w:w="7100" w:type="dxa"/>
            <w:vAlign w:val="bottom"/>
          </w:tcPr>
          <w:p>
            <w:pPr>
              <w:spacing w:after="0"/>
              <w:rPr>
                <w:rFonts w:ascii="Arial" w:cs="Arial" w:eastAsia="Arial" w:hAnsi="Arial"/>
                <w:sz w:val="15"/>
                <w:szCs w:val="15"/>
                <w:color w:val="auto"/>
              </w:rPr>
            </w:pPr>
            <w:hyperlink w:anchor="page1">
              <w:r>
                <w:rPr>
                  <w:rFonts w:ascii="Arial" w:cs="Arial" w:eastAsia="Arial" w:hAnsi="Arial"/>
                  <w:sz w:val="15"/>
                  <w:szCs w:val="15"/>
                  <w:color w:val="auto"/>
                </w:rPr>
                <w:t>Applicability</w:t>
              </w:r>
            </w:hyperlink>
          </w:p>
        </w:tc>
        <w:tc>
          <w:tcPr>
            <w:tcW w:w="3040" w:type="dxa"/>
            <w:vAlign w:val="bottom"/>
          </w:tcPr>
          <w:p>
            <w:pPr>
              <w:jc w:val="right"/>
              <w:spacing w:after="0"/>
              <w:rPr>
                <w:rFonts w:ascii="Arial" w:cs="Arial" w:eastAsia="Arial" w:hAnsi="Arial"/>
                <w:sz w:val="15"/>
                <w:szCs w:val="15"/>
                <w:color w:val="auto"/>
              </w:rPr>
            </w:pPr>
            <w:hyperlink w:anchor="page1">
              <w:r>
                <w:rPr>
                  <w:rFonts w:ascii="Arial" w:cs="Arial" w:eastAsia="Arial" w:hAnsi="Arial"/>
                  <w:sz w:val="15"/>
                  <w:szCs w:val="15"/>
                  <w:color w:val="auto"/>
                </w:rPr>
                <w:t>3</w:t>
              </w:r>
            </w:hyperlink>
          </w:p>
        </w:tc>
      </w:tr>
      <w:tr>
        <w:trPr>
          <w:trHeight w:val="192"/>
        </w:trPr>
        <w:tc>
          <w:tcPr>
            <w:tcW w:w="140" w:type="dxa"/>
            <w:vAlign w:val="bottom"/>
          </w:tcPr>
          <w:p>
            <w:pPr>
              <w:jc w:val="right"/>
              <w:spacing w:after="0"/>
              <w:rPr>
                <w:rFonts w:ascii="Arial" w:cs="Arial" w:eastAsia="Arial" w:hAnsi="Arial"/>
                <w:sz w:val="15"/>
                <w:szCs w:val="15"/>
                <w:color w:val="auto"/>
                <w:w w:val="79"/>
              </w:rPr>
            </w:pPr>
            <w:hyperlink w:anchor="page1">
              <w:r>
                <w:rPr>
                  <w:rFonts w:ascii="Arial" w:cs="Arial" w:eastAsia="Arial" w:hAnsi="Arial"/>
                  <w:sz w:val="15"/>
                  <w:szCs w:val="15"/>
                  <w:color w:val="auto"/>
                  <w:w w:val="79"/>
                </w:rPr>
                <w:t>3.</w:t>
              </w:r>
            </w:hyperlink>
          </w:p>
        </w:tc>
        <w:tc>
          <w:tcPr>
            <w:tcW w:w="160" w:type="dxa"/>
            <w:vAlign w:val="bottom"/>
          </w:tcPr>
          <w:p>
            <w:pPr>
              <w:spacing w:after="0"/>
              <w:rPr>
                <w:sz w:val="16"/>
                <w:szCs w:val="16"/>
                <w:color w:val="auto"/>
              </w:rPr>
            </w:pPr>
          </w:p>
        </w:tc>
        <w:tc>
          <w:tcPr>
            <w:tcW w:w="7100" w:type="dxa"/>
            <w:vAlign w:val="bottom"/>
          </w:tcPr>
          <w:p>
            <w:pPr>
              <w:spacing w:after="0"/>
              <w:rPr>
                <w:rFonts w:ascii="Arial" w:cs="Arial" w:eastAsia="Arial" w:hAnsi="Arial"/>
                <w:sz w:val="15"/>
                <w:szCs w:val="15"/>
                <w:color w:val="auto"/>
              </w:rPr>
            </w:pPr>
            <w:hyperlink w:anchor="page1">
              <w:r>
                <w:rPr>
                  <w:rFonts w:ascii="Arial" w:cs="Arial" w:eastAsia="Arial" w:hAnsi="Arial"/>
                  <w:sz w:val="15"/>
                  <w:szCs w:val="15"/>
                  <w:color w:val="auto"/>
                </w:rPr>
                <w:t>Material Non-Public Information</w:t>
              </w:r>
            </w:hyperlink>
          </w:p>
        </w:tc>
        <w:tc>
          <w:tcPr>
            <w:tcW w:w="3040" w:type="dxa"/>
            <w:vAlign w:val="bottom"/>
          </w:tcPr>
          <w:p>
            <w:pPr>
              <w:jc w:val="right"/>
              <w:spacing w:after="0"/>
              <w:rPr>
                <w:rFonts w:ascii="Arial" w:cs="Arial" w:eastAsia="Arial" w:hAnsi="Arial"/>
                <w:sz w:val="15"/>
                <w:szCs w:val="15"/>
                <w:color w:val="auto"/>
              </w:rPr>
            </w:pPr>
            <w:hyperlink w:anchor="page1">
              <w:r>
                <w:rPr>
                  <w:rFonts w:ascii="Arial" w:cs="Arial" w:eastAsia="Arial" w:hAnsi="Arial"/>
                  <w:sz w:val="15"/>
                  <w:szCs w:val="15"/>
                  <w:color w:val="auto"/>
                </w:rPr>
                <w:t>3</w:t>
              </w:r>
            </w:hyperlink>
          </w:p>
        </w:tc>
      </w:tr>
      <w:tr>
        <w:trPr>
          <w:trHeight w:val="192"/>
        </w:trPr>
        <w:tc>
          <w:tcPr>
            <w:tcW w:w="140" w:type="dxa"/>
            <w:vAlign w:val="bottom"/>
          </w:tcPr>
          <w:p>
            <w:pPr>
              <w:jc w:val="right"/>
              <w:spacing w:after="0"/>
              <w:rPr>
                <w:rFonts w:ascii="Arial" w:cs="Arial" w:eastAsia="Arial" w:hAnsi="Arial"/>
                <w:sz w:val="15"/>
                <w:szCs w:val="15"/>
                <w:color w:val="auto"/>
                <w:w w:val="79"/>
              </w:rPr>
            </w:pPr>
            <w:hyperlink w:anchor="page1">
              <w:r>
                <w:rPr>
                  <w:rFonts w:ascii="Arial" w:cs="Arial" w:eastAsia="Arial" w:hAnsi="Arial"/>
                  <w:sz w:val="15"/>
                  <w:szCs w:val="15"/>
                  <w:color w:val="auto"/>
                  <w:w w:val="79"/>
                </w:rPr>
                <w:t>4.</w:t>
              </w:r>
            </w:hyperlink>
          </w:p>
        </w:tc>
        <w:tc>
          <w:tcPr>
            <w:tcW w:w="160" w:type="dxa"/>
            <w:vAlign w:val="bottom"/>
          </w:tcPr>
          <w:p>
            <w:pPr>
              <w:spacing w:after="0"/>
              <w:rPr>
                <w:sz w:val="16"/>
                <w:szCs w:val="16"/>
                <w:color w:val="auto"/>
              </w:rPr>
            </w:pPr>
          </w:p>
        </w:tc>
        <w:tc>
          <w:tcPr>
            <w:tcW w:w="7100" w:type="dxa"/>
            <w:vAlign w:val="bottom"/>
          </w:tcPr>
          <w:p>
            <w:pPr>
              <w:spacing w:after="0"/>
              <w:rPr>
                <w:rFonts w:ascii="Arial" w:cs="Arial" w:eastAsia="Arial" w:hAnsi="Arial"/>
                <w:sz w:val="15"/>
                <w:szCs w:val="15"/>
                <w:color w:val="auto"/>
              </w:rPr>
            </w:pPr>
            <w:hyperlink w:anchor="page1">
              <w:r>
                <w:rPr>
                  <w:rFonts w:ascii="Arial" w:cs="Arial" w:eastAsia="Arial" w:hAnsi="Arial"/>
                  <w:sz w:val="15"/>
                  <w:szCs w:val="15"/>
                  <w:color w:val="auto"/>
                </w:rPr>
                <w:t>General Requirements</w:t>
              </w:r>
            </w:hyperlink>
          </w:p>
        </w:tc>
        <w:tc>
          <w:tcPr>
            <w:tcW w:w="3040" w:type="dxa"/>
            <w:vAlign w:val="bottom"/>
          </w:tcPr>
          <w:p>
            <w:pPr>
              <w:jc w:val="right"/>
              <w:spacing w:after="0"/>
              <w:rPr>
                <w:rFonts w:ascii="Arial" w:cs="Arial" w:eastAsia="Arial" w:hAnsi="Arial"/>
                <w:sz w:val="15"/>
                <w:szCs w:val="15"/>
                <w:color w:val="auto"/>
              </w:rPr>
            </w:pPr>
            <w:hyperlink w:anchor="page1">
              <w:r>
                <w:rPr>
                  <w:rFonts w:ascii="Arial" w:cs="Arial" w:eastAsia="Arial" w:hAnsi="Arial"/>
                  <w:sz w:val="15"/>
                  <w:szCs w:val="15"/>
                  <w:color w:val="auto"/>
                </w:rPr>
                <w:t>4</w:t>
              </w:r>
            </w:hyperlink>
          </w:p>
        </w:tc>
      </w:tr>
      <w:tr>
        <w:trPr>
          <w:trHeight w:val="192"/>
        </w:trPr>
        <w:tc>
          <w:tcPr>
            <w:tcW w:w="140" w:type="dxa"/>
            <w:vAlign w:val="bottom"/>
          </w:tcPr>
          <w:p>
            <w:pPr>
              <w:spacing w:after="0"/>
              <w:rPr>
                <w:sz w:val="16"/>
                <w:szCs w:val="16"/>
                <w:color w:val="auto"/>
              </w:rPr>
            </w:pPr>
          </w:p>
        </w:tc>
        <w:tc>
          <w:tcPr>
            <w:tcW w:w="160" w:type="dxa"/>
            <w:vAlign w:val="bottom"/>
          </w:tcPr>
          <w:p>
            <w:pPr>
              <w:ind w:left="20"/>
              <w:spacing w:after="0"/>
              <w:rPr>
                <w:rFonts w:ascii="Arial" w:cs="Arial" w:eastAsia="Arial" w:hAnsi="Arial"/>
                <w:sz w:val="15"/>
                <w:szCs w:val="15"/>
                <w:color w:val="auto"/>
                <w:w w:val="89"/>
              </w:rPr>
            </w:pPr>
            <w:hyperlink w:anchor="page1">
              <w:r>
                <w:rPr>
                  <w:rFonts w:ascii="Arial" w:cs="Arial" w:eastAsia="Arial" w:hAnsi="Arial"/>
                  <w:sz w:val="15"/>
                  <w:szCs w:val="15"/>
                  <w:color w:val="auto"/>
                  <w:w w:val="89"/>
                </w:rPr>
                <w:t>a)</w:t>
              </w:r>
            </w:hyperlink>
          </w:p>
        </w:tc>
        <w:tc>
          <w:tcPr>
            <w:tcW w:w="7100" w:type="dxa"/>
            <w:vAlign w:val="bottom"/>
          </w:tcPr>
          <w:p>
            <w:pPr>
              <w:ind w:left="160"/>
              <w:spacing w:after="0"/>
              <w:rPr>
                <w:rFonts w:ascii="Arial" w:cs="Arial" w:eastAsia="Arial" w:hAnsi="Arial"/>
                <w:sz w:val="15"/>
                <w:szCs w:val="15"/>
                <w:color w:val="auto"/>
              </w:rPr>
            </w:pPr>
            <w:hyperlink w:anchor="page1">
              <w:r>
                <w:rPr>
                  <w:rFonts w:ascii="Arial" w:cs="Arial" w:eastAsia="Arial" w:hAnsi="Arial"/>
                  <w:sz w:val="15"/>
                  <w:szCs w:val="15"/>
                  <w:color w:val="auto"/>
                </w:rPr>
                <w:t>General Prohibitions</w:t>
              </w:r>
            </w:hyperlink>
          </w:p>
        </w:tc>
        <w:tc>
          <w:tcPr>
            <w:tcW w:w="3040" w:type="dxa"/>
            <w:vAlign w:val="bottom"/>
          </w:tcPr>
          <w:p>
            <w:pPr>
              <w:jc w:val="right"/>
              <w:spacing w:after="0"/>
              <w:rPr>
                <w:rFonts w:ascii="Arial" w:cs="Arial" w:eastAsia="Arial" w:hAnsi="Arial"/>
                <w:sz w:val="15"/>
                <w:szCs w:val="15"/>
                <w:color w:val="auto"/>
              </w:rPr>
            </w:pPr>
            <w:hyperlink w:anchor="page1">
              <w:r>
                <w:rPr>
                  <w:rFonts w:ascii="Arial" w:cs="Arial" w:eastAsia="Arial" w:hAnsi="Arial"/>
                  <w:sz w:val="15"/>
                  <w:szCs w:val="15"/>
                  <w:color w:val="auto"/>
                </w:rPr>
                <w:t>4</w:t>
              </w:r>
            </w:hyperlink>
          </w:p>
        </w:tc>
      </w:tr>
      <w:tr>
        <w:trPr>
          <w:trHeight w:val="192"/>
        </w:trPr>
        <w:tc>
          <w:tcPr>
            <w:tcW w:w="140" w:type="dxa"/>
            <w:vAlign w:val="bottom"/>
          </w:tcPr>
          <w:p>
            <w:pPr>
              <w:spacing w:after="0"/>
              <w:rPr>
                <w:sz w:val="16"/>
                <w:szCs w:val="16"/>
                <w:color w:val="auto"/>
              </w:rPr>
            </w:pPr>
          </w:p>
        </w:tc>
        <w:tc>
          <w:tcPr>
            <w:tcW w:w="160" w:type="dxa"/>
            <w:vAlign w:val="bottom"/>
          </w:tcPr>
          <w:p>
            <w:pPr>
              <w:ind w:left="20"/>
              <w:spacing w:after="0"/>
              <w:rPr>
                <w:rFonts w:ascii="Arial" w:cs="Arial" w:eastAsia="Arial" w:hAnsi="Arial"/>
                <w:sz w:val="15"/>
                <w:szCs w:val="15"/>
                <w:color w:val="auto"/>
                <w:w w:val="89"/>
              </w:rPr>
            </w:pPr>
            <w:hyperlink w:anchor="page1">
              <w:r>
                <w:rPr>
                  <w:rFonts w:ascii="Arial" w:cs="Arial" w:eastAsia="Arial" w:hAnsi="Arial"/>
                  <w:sz w:val="15"/>
                  <w:szCs w:val="15"/>
                  <w:color w:val="auto"/>
                  <w:w w:val="89"/>
                </w:rPr>
                <w:t>b)</w:t>
              </w:r>
            </w:hyperlink>
          </w:p>
        </w:tc>
        <w:tc>
          <w:tcPr>
            <w:tcW w:w="7100" w:type="dxa"/>
            <w:vAlign w:val="bottom"/>
          </w:tcPr>
          <w:p>
            <w:pPr>
              <w:ind w:left="160"/>
              <w:spacing w:after="0"/>
              <w:rPr>
                <w:rFonts w:ascii="Arial" w:cs="Arial" w:eastAsia="Arial" w:hAnsi="Arial"/>
                <w:sz w:val="15"/>
                <w:szCs w:val="15"/>
                <w:color w:val="auto"/>
              </w:rPr>
            </w:pPr>
            <w:hyperlink w:anchor="page1">
              <w:r>
                <w:rPr>
                  <w:rFonts w:ascii="Arial" w:cs="Arial" w:eastAsia="Arial" w:hAnsi="Arial"/>
                  <w:sz w:val="15"/>
                  <w:szCs w:val="15"/>
                  <w:color w:val="auto"/>
                </w:rPr>
                <w:t>Other Prohibited Transactions</w:t>
              </w:r>
            </w:hyperlink>
          </w:p>
        </w:tc>
        <w:tc>
          <w:tcPr>
            <w:tcW w:w="3040" w:type="dxa"/>
            <w:vAlign w:val="bottom"/>
          </w:tcPr>
          <w:p>
            <w:pPr>
              <w:jc w:val="right"/>
              <w:spacing w:after="0"/>
              <w:rPr>
                <w:rFonts w:ascii="Arial" w:cs="Arial" w:eastAsia="Arial" w:hAnsi="Arial"/>
                <w:sz w:val="15"/>
                <w:szCs w:val="15"/>
                <w:color w:val="auto"/>
              </w:rPr>
            </w:pPr>
            <w:hyperlink w:anchor="page1">
              <w:r>
                <w:rPr>
                  <w:rFonts w:ascii="Arial" w:cs="Arial" w:eastAsia="Arial" w:hAnsi="Arial"/>
                  <w:sz w:val="15"/>
                  <w:szCs w:val="15"/>
                  <w:color w:val="auto"/>
                </w:rPr>
                <w:t>5</w:t>
              </w:r>
            </w:hyperlink>
          </w:p>
        </w:tc>
      </w:tr>
      <w:tr>
        <w:trPr>
          <w:trHeight w:val="192"/>
        </w:trPr>
        <w:tc>
          <w:tcPr>
            <w:tcW w:w="140" w:type="dxa"/>
            <w:vAlign w:val="bottom"/>
          </w:tcPr>
          <w:p>
            <w:pPr>
              <w:spacing w:after="0"/>
              <w:rPr>
                <w:sz w:val="16"/>
                <w:szCs w:val="16"/>
                <w:color w:val="auto"/>
              </w:rPr>
            </w:pPr>
          </w:p>
        </w:tc>
        <w:tc>
          <w:tcPr>
            <w:tcW w:w="7260" w:type="dxa"/>
            <w:vAlign w:val="bottom"/>
            <w:gridSpan w:val="2"/>
          </w:tcPr>
          <w:p>
            <w:pPr>
              <w:ind w:left="20"/>
              <w:spacing w:after="0"/>
              <w:rPr>
                <w:rFonts w:ascii="Arial" w:cs="Arial" w:eastAsia="Arial" w:hAnsi="Arial"/>
                <w:sz w:val="15"/>
                <w:szCs w:val="15"/>
                <w:color w:val="auto"/>
              </w:rPr>
            </w:pPr>
            <w:hyperlink w:anchor="page1">
              <w:r>
                <w:rPr>
                  <w:rFonts w:ascii="Arial" w:cs="Arial" w:eastAsia="Arial" w:hAnsi="Arial"/>
                  <w:sz w:val="15"/>
                  <w:szCs w:val="15"/>
                  <w:color w:val="auto"/>
                </w:rPr>
                <w:t>c)  Applicability to Securities of Other Companies</w:t>
              </w:r>
            </w:hyperlink>
          </w:p>
        </w:tc>
        <w:tc>
          <w:tcPr>
            <w:tcW w:w="3040" w:type="dxa"/>
            <w:vAlign w:val="bottom"/>
          </w:tcPr>
          <w:p>
            <w:pPr>
              <w:jc w:val="right"/>
              <w:spacing w:after="0"/>
              <w:rPr>
                <w:rFonts w:ascii="Arial" w:cs="Arial" w:eastAsia="Arial" w:hAnsi="Arial"/>
                <w:sz w:val="15"/>
                <w:szCs w:val="15"/>
                <w:color w:val="auto"/>
              </w:rPr>
            </w:pPr>
            <w:hyperlink w:anchor="page1">
              <w:r>
                <w:rPr>
                  <w:rFonts w:ascii="Arial" w:cs="Arial" w:eastAsia="Arial" w:hAnsi="Arial"/>
                  <w:sz w:val="15"/>
                  <w:szCs w:val="15"/>
                  <w:color w:val="auto"/>
                </w:rPr>
                <w:t>6</w:t>
              </w:r>
            </w:hyperlink>
          </w:p>
        </w:tc>
      </w:tr>
      <w:tr>
        <w:trPr>
          <w:trHeight w:val="192"/>
        </w:trPr>
        <w:tc>
          <w:tcPr>
            <w:tcW w:w="140" w:type="dxa"/>
            <w:vAlign w:val="bottom"/>
          </w:tcPr>
          <w:p>
            <w:pPr>
              <w:spacing w:after="0"/>
              <w:rPr>
                <w:sz w:val="16"/>
                <w:szCs w:val="16"/>
                <w:color w:val="auto"/>
              </w:rPr>
            </w:pPr>
          </w:p>
        </w:tc>
        <w:tc>
          <w:tcPr>
            <w:tcW w:w="160" w:type="dxa"/>
            <w:vAlign w:val="bottom"/>
          </w:tcPr>
          <w:p>
            <w:pPr>
              <w:ind w:left="20"/>
              <w:spacing w:after="0"/>
              <w:rPr>
                <w:rFonts w:ascii="Arial" w:cs="Arial" w:eastAsia="Arial" w:hAnsi="Arial"/>
                <w:sz w:val="15"/>
                <w:szCs w:val="15"/>
                <w:color w:val="auto"/>
                <w:w w:val="89"/>
              </w:rPr>
            </w:pPr>
            <w:hyperlink w:anchor="page1">
              <w:r>
                <w:rPr>
                  <w:rFonts w:ascii="Arial" w:cs="Arial" w:eastAsia="Arial" w:hAnsi="Arial"/>
                  <w:sz w:val="15"/>
                  <w:szCs w:val="15"/>
                  <w:color w:val="auto"/>
                  <w:w w:val="89"/>
                </w:rPr>
                <w:t>d)</w:t>
              </w:r>
            </w:hyperlink>
          </w:p>
        </w:tc>
        <w:tc>
          <w:tcPr>
            <w:tcW w:w="7100" w:type="dxa"/>
            <w:vAlign w:val="bottom"/>
          </w:tcPr>
          <w:p>
            <w:pPr>
              <w:ind w:left="160"/>
              <w:spacing w:after="0"/>
              <w:rPr>
                <w:rFonts w:ascii="Arial" w:cs="Arial" w:eastAsia="Arial" w:hAnsi="Arial"/>
                <w:sz w:val="15"/>
                <w:szCs w:val="15"/>
                <w:color w:val="auto"/>
              </w:rPr>
            </w:pPr>
            <w:hyperlink w:anchor="page1">
              <w:r>
                <w:rPr>
                  <w:rFonts w:ascii="Arial" w:cs="Arial" w:eastAsia="Arial" w:hAnsi="Arial"/>
                  <w:sz w:val="15"/>
                  <w:szCs w:val="15"/>
                  <w:color w:val="auto"/>
                </w:rPr>
                <w:t>Former BioNTech Representatives</w:t>
              </w:r>
            </w:hyperlink>
          </w:p>
        </w:tc>
        <w:tc>
          <w:tcPr>
            <w:tcW w:w="3040" w:type="dxa"/>
            <w:vAlign w:val="bottom"/>
          </w:tcPr>
          <w:p>
            <w:pPr>
              <w:jc w:val="right"/>
              <w:spacing w:after="0"/>
              <w:rPr>
                <w:rFonts w:ascii="Arial" w:cs="Arial" w:eastAsia="Arial" w:hAnsi="Arial"/>
                <w:sz w:val="15"/>
                <w:szCs w:val="15"/>
                <w:color w:val="auto"/>
              </w:rPr>
            </w:pPr>
            <w:hyperlink w:anchor="page1">
              <w:r>
                <w:rPr>
                  <w:rFonts w:ascii="Arial" w:cs="Arial" w:eastAsia="Arial" w:hAnsi="Arial"/>
                  <w:sz w:val="15"/>
                  <w:szCs w:val="15"/>
                  <w:color w:val="auto"/>
                </w:rPr>
                <w:t>6</w:t>
              </w:r>
            </w:hyperlink>
          </w:p>
        </w:tc>
      </w:tr>
      <w:tr>
        <w:trPr>
          <w:trHeight w:val="192"/>
        </w:trPr>
        <w:tc>
          <w:tcPr>
            <w:tcW w:w="140" w:type="dxa"/>
            <w:vAlign w:val="bottom"/>
          </w:tcPr>
          <w:p>
            <w:pPr>
              <w:jc w:val="right"/>
              <w:spacing w:after="0"/>
              <w:rPr>
                <w:rFonts w:ascii="Arial" w:cs="Arial" w:eastAsia="Arial" w:hAnsi="Arial"/>
                <w:sz w:val="15"/>
                <w:szCs w:val="15"/>
                <w:color w:val="auto"/>
                <w:w w:val="79"/>
              </w:rPr>
            </w:pPr>
            <w:hyperlink w:anchor="page1">
              <w:r>
                <w:rPr>
                  <w:rFonts w:ascii="Arial" w:cs="Arial" w:eastAsia="Arial" w:hAnsi="Arial"/>
                  <w:sz w:val="15"/>
                  <w:szCs w:val="15"/>
                  <w:color w:val="auto"/>
                  <w:w w:val="79"/>
                </w:rPr>
                <w:t>5.</w:t>
              </w:r>
            </w:hyperlink>
          </w:p>
        </w:tc>
        <w:tc>
          <w:tcPr>
            <w:tcW w:w="7260" w:type="dxa"/>
            <w:vAlign w:val="bottom"/>
            <w:gridSpan w:val="2"/>
          </w:tcPr>
          <w:p>
            <w:pPr>
              <w:ind w:left="160"/>
              <w:spacing w:after="0"/>
              <w:rPr>
                <w:rFonts w:ascii="Arial" w:cs="Arial" w:eastAsia="Arial" w:hAnsi="Arial"/>
                <w:sz w:val="15"/>
                <w:szCs w:val="15"/>
                <w:color w:val="auto"/>
              </w:rPr>
            </w:pPr>
            <w:hyperlink w:anchor="page1">
              <w:r>
                <w:rPr>
                  <w:rFonts w:ascii="Arial" w:cs="Arial" w:eastAsia="Arial" w:hAnsi="Arial"/>
                  <w:sz w:val="15"/>
                  <w:szCs w:val="15"/>
                  <w:color w:val="auto"/>
                </w:rPr>
                <w:t>Additional Prohibitions for Covered Persons</w:t>
              </w:r>
            </w:hyperlink>
          </w:p>
        </w:tc>
        <w:tc>
          <w:tcPr>
            <w:tcW w:w="3040" w:type="dxa"/>
            <w:vAlign w:val="bottom"/>
          </w:tcPr>
          <w:p>
            <w:pPr>
              <w:jc w:val="right"/>
              <w:spacing w:after="0"/>
              <w:rPr>
                <w:rFonts w:ascii="Arial" w:cs="Arial" w:eastAsia="Arial" w:hAnsi="Arial"/>
                <w:sz w:val="15"/>
                <w:szCs w:val="15"/>
                <w:color w:val="auto"/>
              </w:rPr>
            </w:pPr>
            <w:hyperlink w:anchor="page1">
              <w:r>
                <w:rPr>
                  <w:rFonts w:ascii="Arial" w:cs="Arial" w:eastAsia="Arial" w:hAnsi="Arial"/>
                  <w:sz w:val="15"/>
                  <w:szCs w:val="15"/>
                  <w:color w:val="auto"/>
                </w:rPr>
                <w:t>6</w:t>
              </w:r>
            </w:hyperlink>
          </w:p>
        </w:tc>
      </w:tr>
      <w:tr>
        <w:trPr>
          <w:trHeight w:val="192"/>
        </w:trPr>
        <w:tc>
          <w:tcPr>
            <w:tcW w:w="140" w:type="dxa"/>
            <w:vAlign w:val="bottom"/>
          </w:tcPr>
          <w:p>
            <w:pPr>
              <w:spacing w:after="0"/>
              <w:rPr>
                <w:sz w:val="16"/>
                <w:szCs w:val="16"/>
                <w:color w:val="auto"/>
              </w:rPr>
            </w:pPr>
          </w:p>
        </w:tc>
        <w:tc>
          <w:tcPr>
            <w:tcW w:w="160" w:type="dxa"/>
            <w:vAlign w:val="bottom"/>
          </w:tcPr>
          <w:p>
            <w:pPr>
              <w:ind w:left="20"/>
              <w:spacing w:after="0"/>
              <w:rPr>
                <w:rFonts w:ascii="Arial" w:cs="Arial" w:eastAsia="Arial" w:hAnsi="Arial"/>
                <w:sz w:val="15"/>
                <w:szCs w:val="15"/>
                <w:color w:val="auto"/>
                <w:w w:val="89"/>
              </w:rPr>
            </w:pPr>
            <w:hyperlink w:anchor="page1">
              <w:r>
                <w:rPr>
                  <w:rFonts w:ascii="Arial" w:cs="Arial" w:eastAsia="Arial" w:hAnsi="Arial"/>
                  <w:sz w:val="15"/>
                  <w:szCs w:val="15"/>
                  <w:color w:val="auto"/>
                  <w:w w:val="89"/>
                </w:rPr>
                <w:t>a)</w:t>
              </w:r>
            </w:hyperlink>
          </w:p>
        </w:tc>
        <w:tc>
          <w:tcPr>
            <w:tcW w:w="7100" w:type="dxa"/>
            <w:vAlign w:val="bottom"/>
          </w:tcPr>
          <w:p>
            <w:pPr>
              <w:ind w:left="160"/>
              <w:spacing w:after="0"/>
              <w:rPr>
                <w:rFonts w:ascii="Arial" w:cs="Arial" w:eastAsia="Arial" w:hAnsi="Arial"/>
                <w:sz w:val="15"/>
                <w:szCs w:val="15"/>
                <w:color w:val="auto"/>
              </w:rPr>
            </w:pPr>
            <w:hyperlink w:anchor="page1">
              <w:r>
                <w:rPr>
                  <w:rFonts w:ascii="Arial" w:cs="Arial" w:eastAsia="Arial" w:hAnsi="Arial"/>
                  <w:sz w:val="15"/>
                  <w:szCs w:val="15"/>
                  <w:color w:val="auto"/>
                </w:rPr>
                <w:t>Covered Persons</w:t>
              </w:r>
            </w:hyperlink>
          </w:p>
        </w:tc>
        <w:tc>
          <w:tcPr>
            <w:tcW w:w="3040" w:type="dxa"/>
            <w:vAlign w:val="bottom"/>
          </w:tcPr>
          <w:p>
            <w:pPr>
              <w:jc w:val="right"/>
              <w:spacing w:after="0"/>
              <w:rPr>
                <w:rFonts w:ascii="Arial" w:cs="Arial" w:eastAsia="Arial" w:hAnsi="Arial"/>
                <w:sz w:val="15"/>
                <w:szCs w:val="15"/>
                <w:color w:val="auto"/>
              </w:rPr>
            </w:pPr>
            <w:hyperlink w:anchor="page1">
              <w:r>
                <w:rPr>
                  <w:rFonts w:ascii="Arial" w:cs="Arial" w:eastAsia="Arial" w:hAnsi="Arial"/>
                  <w:sz w:val="15"/>
                  <w:szCs w:val="15"/>
                  <w:color w:val="auto"/>
                </w:rPr>
                <w:t>6</w:t>
              </w:r>
            </w:hyperlink>
          </w:p>
        </w:tc>
      </w:tr>
      <w:tr>
        <w:trPr>
          <w:trHeight w:val="192"/>
        </w:trPr>
        <w:tc>
          <w:tcPr>
            <w:tcW w:w="140" w:type="dxa"/>
            <w:vAlign w:val="bottom"/>
          </w:tcPr>
          <w:p>
            <w:pPr>
              <w:spacing w:after="0"/>
              <w:rPr>
                <w:sz w:val="16"/>
                <w:szCs w:val="16"/>
                <w:color w:val="auto"/>
              </w:rPr>
            </w:pPr>
          </w:p>
        </w:tc>
        <w:tc>
          <w:tcPr>
            <w:tcW w:w="160" w:type="dxa"/>
            <w:vAlign w:val="bottom"/>
          </w:tcPr>
          <w:p>
            <w:pPr>
              <w:ind w:left="20"/>
              <w:spacing w:after="0"/>
              <w:rPr>
                <w:rFonts w:ascii="Arial" w:cs="Arial" w:eastAsia="Arial" w:hAnsi="Arial"/>
                <w:sz w:val="15"/>
                <w:szCs w:val="15"/>
                <w:color w:val="auto"/>
                <w:w w:val="89"/>
              </w:rPr>
            </w:pPr>
            <w:hyperlink w:anchor="page1">
              <w:r>
                <w:rPr>
                  <w:rFonts w:ascii="Arial" w:cs="Arial" w:eastAsia="Arial" w:hAnsi="Arial"/>
                  <w:sz w:val="15"/>
                  <w:szCs w:val="15"/>
                  <w:color w:val="auto"/>
                  <w:w w:val="89"/>
                </w:rPr>
                <w:t>b)</w:t>
              </w:r>
            </w:hyperlink>
          </w:p>
        </w:tc>
        <w:tc>
          <w:tcPr>
            <w:tcW w:w="7100" w:type="dxa"/>
            <w:vAlign w:val="bottom"/>
          </w:tcPr>
          <w:p>
            <w:pPr>
              <w:ind w:left="160"/>
              <w:spacing w:after="0"/>
              <w:rPr>
                <w:rFonts w:ascii="Arial" w:cs="Arial" w:eastAsia="Arial" w:hAnsi="Arial"/>
                <w:sz w:val="15"/>
                <w:szCs w:val="15"/>
                <w:color w:val="auto"/>
              </w:rPr>
            </w:pPr>
            <w:hyperlink w:anchor="page1">
              <w:r>
                <w:rPr>
                  <w:rFonts w:ascii="Arial" w:cs="Arial" w:eastAsia="Arial" w:hAnsi="Arial"/>
                  <w:sz w:val="15"/>
                  <w:szCs w:val="15"/>
                  <w:color w:val="auto"/>
                </w:rPr>
                <w:t>Permanent Covered Persons</w:t>
              </w:r>
            </w:hyperlink>
          </w:p>
        </w:tc>
        <w:tc>
          <w:tcPr>
            <w:tcW w:w="3040" w:type="dxa"/>
            <w:vAlign w:val="bottom"/>
          </w:tcPr>
          <w:p>
            <w:pPr>
              <w:jc w:val="right"/>
              <w:spacing w:after="0"/>
              <w:rPr>
                <w:rFonts w:ascii="Arial" w:cs="Arial" w:eastAsia="Arial" w:hAnsi="Arial"/>
                <w:sz w:val="15"/>
                <w:szCs w:val="15"/>
                <w:color w:val="auto"/>
              </w:rPr>
            </w:pPr>
            <w:hyperlink w:anchor="page1">
              <w:r>
                <w:rPr>
                  <w:rFonts w:ascii="Arial" w:cs="Arial" w:eastAsia="Arial" w:hAnsi="Arial"/>
                  <w:sz w:val="15"/>
                  <w:szCs w:val="15"/>
                  <w:color w:val="auto"/>
                </w:rPr>
                <w:t>7</w:t>
              </w:r>
            </w:hyperlink>
          </w:p>
        </w:tc>
      </w:tr>
      <w:tr>
        <w:trPr>
          <w:trHeight w:val="192"/>
        </w:trPr>
        <w:tc>
          <w:tcPr>
            <w:tcW w:w="140" w:type="dxa"/>
            <w:vAlign w:val="bottom"/>
          </w:tcPr>
          <w:p>
            <w:pPr>
              <w:spacing w:after="0"/>
              <w:rPr>
                <w:sz w:val="16"/>
                <w:szCs w:val="16"/>
                <w:color w:val="auto"/>
              </w:rPr>
            </w:pPr>
          </w:p>
        </w:tc>
        <w:tc>
          <w:tcPr>
            <w:tcW w:w="7260" w:type="dxa"/>
            <w:vAlign w:val="bottom"/>
            <w:gridSpan w:val="2"/>
          </w:tcPr>
          <w:p>
            <w:pPr>
              <w:ind w:left="20"/>
              <w:spacing w:after="0"/>
              <w:rPr>
                <w:rFonts w:ascii="Arial" w:cs="Arial" w:eastAsia="Arial" w:hAnsi="Arial"/>
                <w:sz w:val="15"/>
                <w:szCs w:val="15"/>
                <w:color w:val="auto"/>
              </w:rPr>
            </w:pPr>
            <w:hyperlink w:anchor="page1">
              <w:r>
                <w:rPr>
                  <w:rFonts w:ascii="Arial" w:cs="Arial" w:eastAsia="Arial" w:hAnsi="Arial"/>
                  <w:sz w:val="15"/>
                  <w:szCs w:val="15"/>
                  <w:color w:val="auto"/>
                </w:rPr>
                <w:t>c)  Scheduled Blackout Periods for Permanent Covered Persons</w:t>
              </w:r>
            </w:hyperlink>
          </w:p>
        </w:tc>
        <w:tc>
          <w:tcPr>
            <w:tcW w:w="3040" w:type="dxa"/>
            <w:vAlign w:val="bottom"/>
          </w:tcPr>
          <w:p>
            <w:pPr>
              <w:jc w:val="right"/>
              <w:spacing w:after="0"/>
              <w:rPr>
                <w:rFonts w:ascii="Arial" w:cs="Arial" w:eastAsia="Arial" w:hAnsi="Arial"/>
                <w:sz w:val="15"/>
                <w:szCs w:val="15"/>
                <w:color w:val="auto"/>
              </w:rPr>
            </w:pPr>
            <w:hyperlink w:anchor="page1">
              <w:r>
                <w:rPr>
                  <w:rFonts w:ascii="Arial" w:cs="Arial" w:eastAsia="Arial" w:hAnsi="Arial"/>
                  <w:sz w:val="15"/>
                  <w:szCs w:val="15"/>
                  <w:color w:val="auto"/>
                </w:rPr>
                <w:t>7</w:t>
              </w:r>
            </w:hyperlink>
          </w:p>
        </w:tc>
      </w:tr>
      <w:tr>
        <w:trPr>
          <w:trHeight w:val="192"/>
        </w:trPr>
        <w:tc>
          <w:tcPr>
            <w:tcW w:w="140" w:type="dxa"/>
            <w:vAlign w:val="bottom"/>
          </w:tcPr>
          <w:p>
            <w:pPr>
              <w:spacing w:after="0"/>
              <w:rPr>
                <w:sz w:val="16"/>
                <w:szCs w:val="16"/>
                <w:color w:val="auto"/>
              </w:rPr>
            </w:pPr>
          </w:p>
        </w:tc>
        <w:tc>
          <w:tcPr>
            <w:tcW w:w="7260" w:type="dxa"/>
            <w:vAlign w:val="bottom"/>
            <w:gridSpan w:val="2"/>
          </w:tcPr>
          <w:p>
            <w:pPr>
              <w:ind w:left="20"/>
              <w:spacing w:after="0"/>
              <w:rPr>
                <w:rFonts w:ascii="Arial" w:cs="Arial" w:eastAsia="Arial" w:hAnsi="Arial"/>
                <w:sz w:val="15"/>
                <w:szCs w:val="15"/>
                <w:color w:val="auto"/>
              </w:rPr>
            </w:pPr>
            <w:hyperlink w:anchor="page1">
              <w:r>
                <w:rPr>
                  <w:rFonts w:ascii="Arial" w:cs="Arial" w:eastAsia="Arial" w:hAnsi="Arial"/>
                  <w:sz w:val="15"/>
                  <w:szCs w:val="15"/>
                  <w:color w:val="auto"/>
                </w:rPr>
                <w:t>d)  Mandatory Pre-Clearance for Permanent Covered Persons</w:t>
              </w:r>
            </w:hyperlink>
          </w:p>
        </w:tc>
        <w:tc>
          <w:tcPr>
            <w:tcW w:w="3040" w:type="dxa"/>
            <w:vAlign w:val="bottom"/>
          </w:tcPr>
          <w:p>
            <w:pPr>
              <w:jc w:val="right"/>
              <w:spacing w:after="0"/>
              <w:rPr>
                <w:rFonts w:ascii="Arial" w:cs="Arial" w:eastAsia="Arial" w:hAnsi="Arial"/>
                <w:sz w:val="15"/>
                <w:szCs w:val="15"/>
                <w:color w:val="auto"/>
              </w:rPr>
            </w:pPr>
            <w:hyperlink w:anchor="page1">
              <w:r>
                <w:rPr>
                  <w:rFonts w:ascii="Arial" w:cs="Arial" w:eastAsia="Arial" w:hAnsi="Arial"/>
                  <w:sz w:val="15"/>
                  <w:szCs w:val="15"/>
                  <w:color w:val="auto"/>
                </w:rPr>
                <w:t>8</w:t>
              </w:r>
            </w:hyperlink>
          </w:p>
        </w:tc>
      </w:tr>
      <w:tr>
        <w:trPr>
          <w:trHeight w:val="192"/>
        </w:trPr>
        <w:tc>
          <w:tcPr>
            <w:tcW w:w="140" w:type="dxa"/>
            <w:vAlign w:val="bottom"/>
          </w:tcPr>
          <w:p>
            <w:pPr>
              <w:spacing w:after="0"/>
              <w:rPr>
                <w:sz w:val="16"/>
                <w:szCs w:val="16"/>
                <w:color w:val="auto"/>
              </w:rPr>
            </w:pPr>
          </w:p>
        </w:tc>
        <w:tc>
          <w:tcPr>
            <w:tcW w:w="160" w:type="dxa"/>
            <w:vAlign w:val="bottom"/>
          </w:tcPr>
          <w:p>
            <w:pPr>
              <w:ind w:left="20"/>
              <w:spacing w:after="0"/>
              <w:rPr>
                <w:rFonts w:ascii="Arial" w:cs="Arial" w:eastAsia="Arial" w:hAnsi="Arial"/>
                <w:sz w:val="15"/>
                <w:szCs w:val="15"/>
                <w:color w:val="auto"/>
                <w:w w:val="89"/>
              </w:rPr>
            </w:pPr>
            <w:hyperlink w:anchor="page1">
              <w:r>
                <w:rPr>
                  <w:rFonts w:ascii="Arial" w:cs="Arial" w:eastAsia="Arial" w:hAnsi="Arial"/>
                  <w:sz w:val="15"/>
                  <w:szCs w:val="15"/>
                  <w:color w:val="auto"/>
                  <w:w w:val="89"/>
                </w:rPr>
                <w:t>e)</w:t>
              </w:r>
            </w:hyperlink>
          </w:p>
        </w:tc>
        <w:tc>
          <w:tcPr>
            <w:tcW w:w="7100" w:type="dxa"/>
            <w:vAlign w:val="bottom"/>
          </w:tcPr>
          <w:p>
            <w:pPr>
              <w:ind w:left="160"/>
              <w:spacing w:after="0"/>
              <w:rPr>
                <w:rFonts w:ascii="Arial" w:cs="Arial" w:eastAsia="Arial" w:hAnsi="Arial"/>
                <w:sz w:val="15"/>
                <w:szCs w:val="15"/>
                <w:color w:val="auto"/>
              </w:rPr>
            </w:pPr>
            <w:hyperlink w:anchor="page1">
              <w:r>
                <w:rPr>
                  <w:rFonts w:ascii="Arial" w:cs="Arial" w:eastAsia="Arial" w:hAnsi="Arial"/>
                  <w:sz w:val="15"/>
                  <w:szCs w:val="15"/>
                  <w:color w:val="auto"/>
                </w:rPr>
                <w:t>Event-Specific Blackout Periods</w:t>
              </w:r>
            </w:hyperlink>
          </w:p>
        </w:tc>
        <w:tc>
          <w:tcPr>
            <w:tcW w:w="3040" w:type="dxa"/>
            <w:vAlign w:val="bottom"/>
          </w:tcPr>
          <w:p>
            <w:pPr>
              <w:jc w:val="right"/>
              <w:spacing w:after="0"/>
              <w:rPr>
                <w:rFonts w:ascii="Arial" w:cs="Arial" w:eastAsia="Arial" w:hAnsi="Arial"/>
                <w:sz w:val="15"/>
                <w:szCs w:val="15"/>
                <w:color w:val="auto"/>
              </w:rPr>
            </w:pPr>
            <w:hyperlink w:anchor="page1">
              <w:r>
                <w:rPr>
                  <w:rFonts w:ascii="Arial" w:cs="Arial" w:eastAsia="Arial" w:hAnsi="Arial"/>
                  <w:sz w:val="15"/>
                  <w:szCs w:val="15"/>
                  <w:color w:val="auto"/>
                </w:rPr>
                <w:t>8</w:t>
              </w:r>
            </w:hyperlink>
          </w:p>
        </w:tc>
      </w:tr>
      <w:tr>
        <w:trPr>
          <w:trHeight w:val="192"/>
        </w:trPr>
        <w:tc>
          <w:tcPr>
            <w:tcW w:w="140" w:type="dxa"/>
            <w:vAlign w:val="bottom"/>
          </w:tcPr>
          <w:p>
            <w:pPr>
              <w:jc w:val="right"/>
              <w:spacing w:after="0"/>
              <w:rPr>
                <w:rFonts w:ascii="Arial" w:cs="Arial" w:eastAsia="Arial" w:hAnsi="Arial"/>
                <w:sz w:val="15"/>
                <w:szCs w:val="15"/>
                <w:color w:val="auto"/>
                <w:w w:val="79"/>
              </w:rPr>
            </w:pPr>
            <w:hyperlink w:anchor="page1">
              <w:r>
                <w:rPr>
                  <w:rFonts w:ascii="Arial" w:cs="Arial" w:eastAsia="Arial" w:hAnsi="Arial"/>
                  <w:sz w:val="15"/>
                  <w:szCs w:val="15"/>
                  <w:color w:val="auto"/>
                  <w:w w:val="79"/>
                </w:rPr>
                <w:t>6.</w:t>
              </w:r>
            </w:hyperlink>
          </w:p>
        </w:tc>
        <w:tc>
          <w:tcPr>
            <w:tcW w:w="7260" w:type="dxa"/>
            <w:vAlign w:val="bottom"/>
            <w:gridSpan w:val="2"/>
          </w:tcPr>
          <w:p>
            <w:pPr>
              <w:ind w:left="160"/>
              <w:spacing w:after="0"/>
              <w:rPr>
                <w:rFonts w:ascii="Arial" w:cs="Arial" w:eastAsia="Arial" w:hAnsi="Arial"/>
                <w:sz w:val="15"/>
                <w:szCs w:val="15"/>
                <w:color w:val="auto"/>
              </w:rPr>
            </w:pPr>
            <w:hyperlink w:anchor="page1">
              <w:r>
                <w:rPr>
                  <w:rFonts w:ascii="Arial" w:cs="Arial" w:eastAsia="Arial" w:hAnsi="Arial"/>
                  <w:sz w:val="15"/>
                  <w:szCs w:val="15"/>
                  <w:color w:val="auto"/>
                </w:rPr>
                <w:t>Certain Exemptions to the Prohibitions</w:t>
              </w:r>
            </w:hyperlink>
          </w:p>
        </w:tc>
        <w:tc>
          <w:tcPr>
            <w:tcW w:w="3040" w:type="dxa"/>
            <w:vAlign w:val="bottom"/>
          </w:tcPr>
          <w:p>
            <w:pPr>
              <w:jc w:val="right"/>
              <w:spacing w:after="0"/>
              <w:rPr>
                <w:rFonts w:ascii="Arial" w:cs="Arial" w:eastAsia="Arial" w:hAnsi="Arial"/>
                <w:sz w:val="15"/>
                <w:szCs w:val="15"/>
                <w:color w:val="auto"/>
              </w:rPr>
            </w:pPr>
            <w:hyperlink w:anchor="page1">
              <w:r>
                <w:rPr>
                  <w:rFonts w:ascii="Arial" w:cs="Arial" w:eastAsia="Arial" w:hAnsi="Arial"/>
                  <w:sz w:val="15"/>
                  <w:szCs w:val="15"/>
                  <w:color w:val="auto"/>
                </w:rPr>
                <w:t>9</w:t>
              </w:r>
            </w:hyperlink>
          </w:p>
        </w:tc>
      </w:tr>
      <w:tr>
        <w:trPr>
          <w:trHeight w:val="192"/>
        </w:trPr>
        <w:tc>
          <w:tcPr>
            <w:tcW w:w="140" w:type="dxa"/>
            <w:vAlign w:val="bottom"/>
          </w:tcPr>
          <w:p>
            <w:pPr>
              <w:spacing w:after="0"/>
              <w:rPr>
                <w:sz w:val="16"/>
                <w:szCs w:val="16"/>
                <w:color w:val="auto"/>
              </w:rPr>
            </w:pPr>
          </w:p>
        </w:tc>
        <w:tc>
          <w:tcPr>
            <w:tcW w:w="7260" w:type="dxa"/>
            <w:vAlign w:val="bottom"/>
            <w:gridSpan w:val="2"/>
          </w:tcPr>
          <w:p>
            <w:pPr>
              <w:ind w:left="20"/>
              <w:spacing w:after="0"/>
              <w:rPr>
                <w:rFonts w:ascii="Arial" w:cs="Arial" w:eastAsia="Arial" w:hAnsi="Arial"/>
                <w:sz w:val="15"/>
                <w:szCs w:val="15"/>
                <w:color w:val="auto"/>
              </w:rPr>
            </w:pPr>
            <w:hyperlink w:anchor="page1">
              <w:r>
                <w:rPr>
                  <w:rFonts w:ascii="Arial" w:cs="Arial" w:eastAsia="Arial" w:hAnsi="Arial"/>
                  <w:sz w:val="15"/>
                  <w:szCs w:val="15"/>
                  <w:color w:val="auto"/>
                </w:rPr>
                <w:t>a)  Investment Tools Outside Individuals’ Control</w:t>
              </w:r>
            </w:hyperlink>
          </w:p>
        </w:tc>
        <w:tc>
          <w:tcPr>
            <w:tcW w:w="3040" w:type="dxa"/>
            <w:vAlign w:val="bottom"/>
          </w:tcPr>
          <w:p>
            <w:pPr>
              <w:jc w:val="right"/>
              <w:spacing w:after="0"/>
              <w:rPr>
                <w:rFonts w:ascii="Arial" w:cs="Arial" w:eastAsia="Arial" w:hAnsi="Arial"/>
                <w:sz w:val="15"/>
                <w:szCs w:val="15"/>
                <w:color w:val="auto"/>
              </w:rPr>
            </w:pPr>
            <w:hyperlink w:anchor="page1">
              <w:r>
                <w:rPr>
                  <w:rFonts w:ascii="Arial" w:cs="Arial" w:eastAsia="Arial" w:hAnsi="Arial"/>
                  <w:sz w:val="15"/>
                  <w:szCs w:val="15"/>
                  <w:color w:val="auto"/>
                </w:rPr>
                <w:t>9</w:t>
              </w:r>
            </w:hyperlink>
          </w:p>
        </w:tc>
      </w:tr>
      <w:tr>
        <w:trPr>
          <w:trHeight w:val="192"/>
        </w:trPr>
        <w:tc>
          <w:tcPr>
            <w:tcW w:w="140" w:type="dxa"/>
            <w:vAlign w:val="bottom"/>
          </w:tcPr>
          <w:p>
            <w:pPr>
              <w:spacing w:after="0"/>
              <w:rPr>
                <w:sz w:val="16"/>
                <w:szCs w:val="16"/>
                <w:color w:val="auto"/>
              </w:rPr>
            </w:pPr>
          </w:p>
        </w:tc>
        <w:tc>
          <w:tcPr>
            <w:tcW w:w="7260" w:type="dxa"/>
            <w:vAlign w:val="bottom"/>
            <w:gridSpan w:val="2"/>
          </w:tcPr>
          <w:p>
            <w:pPr>
              <w:ind w:left="20"/>
              <w:spacing w:after="0"/>
              <w:rPr>
                <w:rFonts w:ascii="Arial" w:cs="Arial" w:eastAsia="Arial" w:hAnsi="Arial"/>
                <w:sz w:val="15"/>
                <w:szCs w:val="15"/>
                <w:color w:val="auto"/>
              </w:rPr>
            </w:pPr>
            <w:hyperlink w:anchor="page1">
              <w:r>
                <w:rPr>
                  <w:rFonts w:ascii="Arial" w:cs="Arial" w:eastAsia="Arial" w:hAnsi="Arial"/>
                  <w:sz w:val="15"/>
                  <w:szCs w:val="15"/>
                  <w:color w:val="auto"/>
                </w:rPr>
                <w:t>b)  Trading Plans under SEC Rule 10b5-1</w:t>
              </w:r>
            </w:hyperlink>
          </w:p>
        </w:tc>
        <w:tc>
          <w:tcPr>
            <w:tcW w:w="3040" w:type="dxa"/>
            <w:vAlign w:val="bottom"/>
          </w:tcPr>
          <w:p>
            <w:pPr>
              <w:jc w:val="right"/>
              <w:spacing w:after="0"/>
              <w:rPr>
                <w:rFonts w:ascii="Arial" w:cs="Arial" w:eastAsia="Arial" w:hAnsi="Arial"/>
                <w:sz w:val="15"/>
                <w:szCs w:val="15"/>
                <w:color w:val="auto"/>
              </w:rPr>
            </w:pPr>
            <w:hyperlink w:anchor="page1">
              <w:r>
                <w:rPr>
                  <w:rFonts w:ascii="Arial" w:cs="Arial" w:eastAsia="Arial" w:hAnsi="Arial"/>
                  <w:sz w:val="15"/>
                  <w:szCs w:val="15"/>
                  <w:color w:val="auto"/>
                </w:rPr>
                <w:t>10</w:t>
              </w:r>
            </w:hyperlink>
          </w:p>
        </w:tc>
      </w:tr>
      <w:tr>
        <w:trPr>
          <w:trHeight w:val="192"/>
        </w:trPr>
        <w:tc>
          <w:tcPr>
            <w:tcW w:w="140" w:type="dxa"/>
            <w:vAlign w:val="bottom"/>
          </w:tcPr>
          <w:p>
            <w:pPr>
              <w:spacing w:after="0"/>
              <w:rPr>
                <w:sz w:val="16"/>
                <w:szCs w:val="16"/>
                <w:color w:val="auto"/>
              </w:rPr>
            </w:pPr>
          </w:p>
        </w:tc>
        <w:tc>
          <w:tcPr>
            <w:tcW w:w="160" w:type="dxa"/>
            <w:vAlign w:val="bottom"/>
          </w:tcPr>
          <w:p>
            <w:pPr>
              <w:ind w:left="20"/>
              <w:spacing w:after="0"/>
              <w:rPr>
                <w:rFonts w:ascii="Arial" w:cs="Arial" w:eastAsia="Arial" w:hAnsi="Arial"/>
                <w:sz w:val="15"/>
                <w:szCs w:val="15"/>
                <w:color w:val="auto"/>
                <w:w w:val="95"/>
              </w:rPr>
            </w:pPr>
            <w:hyperlink w:anchor="page1">
              <w:r>
                <w:rPr>
                  <w:rFonts w:ascii="Arial" w:cs="Arial" w:eastAsia="Arial" w:hAnsi="Arial"/>
                  <w:sz w:val="15"/>
                  <w:szCs w:val="15"/>
                  <w:color w:val="auto"/>
                  <w:w w:val="95"/>
                </w:rPr>
                <w:t>c)</w:t>
              </w:r>
            </w:hyperlink>
          </w:p>
        </w:tc>
        <w:tc>
          <w:tcPr>
            <w:tcW w:w="7100" w:type="dxa"/>
            <w:vAlign w:val="bottom"/>
          </w:tcPr>
          <w:p>
            <w:pPr>
              <w:ind w:left="140"/>
              <w:spacing w:after="0"/>
              <w:rPr>
                <w:rFonts w:ascii="Arial" w:cs="Arial" w:eastAsia="Arial" w:hAnsi="Arial"/>
                <w:sz w:val="15"/>
                <w:szCs w:val="15"/>
                <w:color w:val="auto"/>
              </w:rPr>
            </w:pPr>
            <w:hyperlink w:anchor="page1">
              <w:r>
                <w:rPr>
                  <w:rFonts w:ascii="Arial" w:cs="Arial" w:eastAsia="Arial" w:hAnsi="Arial"/>
                  <w:sz w:val="15"/>
                  <w:szCs w:val="15"/>
                  <w:color w:val="auto"/>
                </w:rPr>
                <w:t>Gift Transactions</w:t>
              </w:r>
            </w:hyperlink>
          </w:p>
        </w:tc>
        <w:tc>
          <w:tcPr>
            <w:tcW w:w="3040" w:type="dxa"/>
            <w:vAlign w:val="bottom"/>
          </w:tcPr>
          <w:p>
            <w:pPr>
              <w:jc w:val="right"/>
              <w:spacing w:after="0"/>
              <w:rPr>
                <w:rFonts w:ascii="Arial" w:cs="Arial" w:eastAsia="Arial" w:hAnsi="Arial"/>
                <w:sz w:val="15"/>
                <w:szCs w:val="15"/>
                <w:color w:val="auto"/>
              </w:rPr>
            </w:pPr>
            <w:hyperlink w:anchor="page1">
              <w:r>
                <w:rPr>
                  <w:rFonts w:ascii="Arial" w:cs="Arial" w:eastAsia="Arial" w:hAnsi="Arial"/>
                  <w:sz w:val="15"/>
                  <w:szCs w:val="15"/>
                  <w:color w:val="auto"/>
                </w:rPr>
                <w:t>10</w:t>
              </w:r>
            </w:hyperlink>
          </w:p>
        </w:tc>
      </w:tr>
      <w:tr>
        <w:trPr>
          <w:trHeight w:val="192"/>
        </w:trPr>
        <w:tc>
          <w:tcPr>
            <w:tcW w:w="140" w:type="dxa"/>
            <w:vAlign w:val="bottom"/>
          </w:tcPr>
          <w:p>
            <w:pPr>
              <w:jc w:val="right"/>
              <w:spacing w:after="0"/>
              <w:rPr>
                <w:rFonts w:ascii="Arial" w:cs="Arial" w:eastAsia="Arial" w:hAnsi="Arial"/>
                <w:sz w:val="15"/>
                <w:szCs w:val="15"/>
                <w:color w:val="auto"/>
                <w:w w:val="79"/>
              </w:rPr>
            </w:pPr>
            <w:hyperlink w:anchor="page1">
              <w:r>
                <w:rPr>
                  <w:rFonts w:ascii="Arial" w:cs="Arial" w:eastAsia="Arial" w:hAnsi="Arial"/>
                  <w:sz w:val="15"/>
                  <w:szCs w:val="15"/>
                  <w:color w:val="auto"/>
                  <w:w w:val="79"/>
                </w:rPr>
                <w:t>7.</w:t>
              </w:r>
            </w:hyperlink>
          </w:p>
        </w:tc>
        <w:tc>
          <w:tcPr>
            <w:tcW w:w="160" w:type="dxa"/>
            <w:vAlign w:val="bottom"/>
          </w:tcPr>
          <w:p>
            <w:pPr>
              <w:spacing w:after="0"/>
              <w:rPr>
                <w:sz w:val="16"/>
                <w:szCs w:val="16"/>
                <w:color w:val="auto"/>
              </w:rPr>
            </w:pPr>
          </w:p>
        </w:tc>
        <w:tc>
          <w:tcPr>
            <w:tcW w:w="7100" w:type="dxa"/>
            <w:vAlign w:val="bottom"/>
          </w:tcPr>
          <w:p>
            <w:pPr>
              <w:spacing w:after="0"/>
              <w:rPr>
                <w:rFonts w:ascii="Arial" w:cs="Arial" w:eastAsia="Arial" w:hAnsi="Arial"/>
                <w:sz w:val="15"/>
                <w:szCs w:val="15"/>
                <w:color w:val="auto"/>
              </w:rPr>
            </w:pPr>
            <w:hyperlink w:anchor="page1">
              <w:r>
                <w:rPr>
                  <w:rFonts w:ascii="Arial" w:cs="Arial" w:eastAsia="Arial" w:hAnsi="Arial"/>
                  <w:sz w:val="15"/>
                  <w:szCs w:val="15"/>
                  <w:color w:val="auto"/>
                </w:rPr>
                <w:t>Consequences of Insider Trading</w:t>
              </w:r>
            </w:hyperlink>
          </w:p>
        </w:tc>
        <w:tc>
          <w:tcPr>
            <w:tcW w:w="3040" w:type="dxa"/>
            <w:vAlign w:val="bottom"/>
          </w:tcPr>
          <w:p>
            <w:pPr>
              <w:jc w:val="right"/>
              <w:spacing w:after="0"/>
              <w:rPr>
                <w:rFonts w:ascii="Arial" w:cs="Arial" w:eastAsia="Arial" w:hAnsi="Arial"/>
                <w:sz w:val="15"/>
                <w:szCs w:val="15"/>
                <w:color w:val="auto"/>
              </w:rPr>
            </w:pPr>
            <w:hyperlink w:anchor="page1">
              <w:r>
                <w:rPr>
                  <w:rFonts w:ascii="Arial" w:cs="Arial" w:eastAsia="Arial" w:hAnsi="Arial"/>
                  <w:sz w:val="15"/>
                  <w:szCs w:val="15"/>
                  <w:color w:val="auto"/>
                </w:rPr>
                <w:t>11</w:t>
              </w:r>
            </w:hyperlink>
          </w:p>
        </w:tc>
      </w:tr>
      <w:tr>
        <w:trPr>
          <w:trHeight w:val="192"/>
        </w:trPr>
        <w:tc>
          <w:tcPr>
            <w:tcW w:w="140" w:type="dxa"/>
            <w:vAlign w:val="bottom"/>
          </w:tcPr>
          <w:p>
            <w:pPr>
              <w:jc w:val="right"/>
              <w:spacing w:after="0"/>
              <w:rPr>
                <w:rFonts w:ascii="Arial" w:cs="Arial" w:eastAsia="Arial" w:hAnsi="Arial"/>
                <w:sz w:val="15"/>
                <w:szCs w:val="15"/>
                <w:color w:val="auto"/>
                <w:w w:val="79"/>
              </w:rPr>
            </w:pPr>
            <w:hyperlink w:anchor="page1">
              <w:r>
                <w:rPr>
                  <w:rFonts w:ascii="Arial" w:cs="Arial" w:eastAsia="Arial" w:hAnsi="Arial"/>
                  <w:sz w:val="15"/>
                  <w:szCs w:val="15"/>
                  <w:color w:val="auto"/>
                  <w:w w:val="79"/>
                </w:rPr>
                <w:t>8.</w:t>
              </w:r>
            </w:hyperlink>
          </w:p>
        </w:tc>
        <w:tc>
          <w:tcPr>
            <w:tcW w:w="160" w:type="dxa"/>
            <w:vAlign w:val="bottom"/>
          </w:tcPr>
          <w:p>
            <w:pPr>
              <w:spacing w:after="0"/>
              <w:rPr>
                <w:sz w:val="16"/>
                <w:szCs w:val="16"/>
                <w:color w:val="auto"/>
              </w:rPr>
            </w:pPr>
          </w:p>
        </w:tc>
        <w:tc>
          <w:tcPr>
            <w:tcW w:w="7100" w:type="dxa"/>
            <w:vAlign w:val="bottom"/>
          </w:tcPr>
          <w:p>
            <w:pPr>
              <w:spacing w:after="0"/>
              <w:rPr>
                <w:rFonts w:ascii="Arial" w:cs="Arial" w:eastAsia="Arial" w:hAnsi="Arial"/>
                <w:sz w:val="15"/>
                <w:szCs w:val="15"/>
                <w:color w:val="auto"/>
              </w:rPr>
            </w:pPr>
            <w:hyperlink w:anchor="page1">
              <w:r>
                <w:rPr>
                  <w:rFonts w:ascii="Arial" w:cs="Arial" w:eastAsia="Arial" w:hAnsi="Arial"/>
                  <w:sz w:val="15"/>
                  <w:szCs w:val="15"/>
                  <w:color w:val="auto"/>
                </w:rPr>
                <w:t>Roles and Responsibilities</w:t>
              </w:r>
            </w:hyperlink>
          </w:p>
        </w:tc>
        <w:tc>
          <w:tcPr>
            <w:tcW w:w="3040" w:type="dxa"/>
            <w:vAlign w:val="bottom"/>
          </w:tcPr>
          <w:p>
            <w:pPr>
              <w:jc w:val="right"/>
              <w:spacing w:after="0"/>
              <w:rPr>
                <w:rFonts w:ascii="Arial" w:cs="Arial" w:eastAsia="Arial" w:hAnsi="Arial"/>
                <w:sz w:val="15"/>
                <w:szCs w:val="15"/>
                <w:color w:val="auto"/>
              </w:rPr>
            </w:pPr>
            <w:hyperlink w:anchor="page1">
              <w:r>
                <w:rPr>
                  <w:rFonts w:ascii="Arial" w:cs="Arial" w:eastAsia="Arial" w:hAnsi="Arial"/>
                  <w:sz w:val="15"/>
                  <w:szCs w:val="15"/>
                  <w:color w:val="auto"/>
                </w:rPr>
                <w:t>12</w:t>
              </w:r>
            </w:hyperlink>
          </w:p>
        </w:tc>
      </w:tr>
      <w:tr>
        <w:trPr>
          <w:trHeight w:val="199"/>
        </w:trPr>
        <w:tc>
          <w:tcPr>
            <w:tcW w:w="140" w:type="dxa"/>
            <w:vAlign w:val="bottom"/>
          </w:tcPr>
          <w:p>
            <w:pPr>
              <w:jc w:val="right"/>
              <w:spacing w:after="0"/>
              <w:rPr>
                <w:rFonts w:ascii="Arial" w:cs="Arial" w:eastAsia="Arial" w:hAnsi="Arial"/>
                <w:sz w:val="15"/>
                <w:szCs w:val="15"/>
                <w:color w:val="auto"/>
                <w:w w:val="79"/>
              </w:rPr>
            </w:pPr>
            <w:hyperlink w:anchor="page1">
              <w:r>
                <w:rPr>
                  <w:rFonts w:ascii="Arial" w:cs="Arial" w:eastAsia="Arial" w:hAnsi="Arial"/>
                  <w:sz w:val="15"/>
                  <w:szCs w:val="15"/>
                  <w:color w:val="auto"/>
                  <w:w w:val="79"/>
                </w:rPr>
                <w:t>9.</w:t>
              </w:r>
            </w:hyperlink>
          </w:p>
        </w:tc>
        <w:tc>
          <w:tcPr>
            <w:tcW w:w="160" w:type="dxa"/>
            <w:vAlign w:val="bottom"/>
          </w:tcPr>
          <w:p>
            <w:pPr>
              <w:spacing w:after="0"/>
              <w:rPr>
                <w:sz w:val="17"/>
                <w:szCs w:val="17"/>
                <w:color w:val="auto"/>
              </w:rPr>
            </w:pPr>
          </w:p>
        </w:tc>
        <w:tc>
          <w:tcPr>
            <w:tcW w:w="7100" w:type="dxa"/>
            <w:vAlign w:val="bottom"/>
          </w:tcPr>
          <w:p>
            <w:pPr>
              <w:spacing w:after="0"/>
              <w:rPr>
                <w:rFonts w:ascii="Arial" w:cs="Arial" w:eastAsia="Arial" w:hAnsi="Arial"/>
                <w:sz w:val="15"/>
                <w:szCs w:val="15"/>
                <w:color w:val="auto"/>
              </w:rPr>
            </w:pPr>
            <w:hyperlink w:anchor="page1">
              <w:r>
                <w:rPr>
                  <w:rFonts w:ascii="Arial" w:cs="Arial" w:eastAsia="Arial" w:hAnsi="Arial"/>
                  <w:sz w:val="15"/>
                  <w:szCs w:val="15"/>
                  <w:color w:val="auto"/>
                </w:rPr>
                <w:t>Conflict of Rules and Interpretation</w:t>
              </w:r>
            </w:hyperlink>
          </w:p>
        </w:tc>
        <w:tc>
          <w:tcPr>
            <w:tcW w:w="3040" w:type="dxa"/>
            <w:vAlign w:val="bottom"/>
          </w:tcPr>
          <w:p>
            <w:pPr>
              <w:jc w:val="right"/>
              <w:spacing w:after="0"/>
              <w:rPr>
                <w:rFonts w:ascii="Arial" w:cs="Arial" w:eastAsia="Arial" w:hAnsi="Arial"/>
                <w:sz w:val="15"/>
                <w:szCs w:val="15"/>
                <w:color w:val="auto"/>
              </w:rPr>
            </w:pPr>
            <w:hyperlink w:anchor="page1">
              <w:r>
                <w:rPr>
                  <w:rFonts w:ascii="Arial" w:cs="Arial" w:eastAsia="Arial" w:hAnsi="Arial"/>
                  <w:sz w:val="15"/>
                  <w:szCs w:val="15"/>
                  <w:color w:val="auto"/>
                </w:rPr>
                <w:t>12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ectPr>
          <w:pgSz w:w="11900" w:h="16840" w:orient="portrait"/>
          <w:cols w:equalWidth="0" w:num="1">
            <w:col w:w="10580"/>
          </w:cols>
          <w:pgMar w:left="660" w:top="599" w:right="660" w:bottom="1440" w:gutter="0" w:footer="0" w:header="0"/>
        </w:sectPr>
      </w:pPr>
    </w:p>
    <w:bookmarkStart w:id="420" w:name="page421"/>
    <w:bookmarkEnd w:id="420"/>
    <w:p>
      <w:pPr>
        <w:ind w:left="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2082165</wp:posOffset>
            </wp:positionH>
            <wp:positionV relativeFrom="page">
              <wp:posOffset>361950</wp:posOffset>
            </wp:positionV>
            <wp:extent cx="1181100" cy="1092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43">
                      <a:clrChange>
                        <a:clrFrom>
                          <a:srgbClr val="FFFFFF"/>
                        </a:clrFrom>
                        <a:clrTo>
                          <a:srgbClr val="FFFFFF">
                            <a:alpha val="0"/>
                          </a:srgbClr>
                        </a:clrTo>
                      </a:clrChange>
                      <a:extLst>
                        <a:ext uri="{28A0092B-C50C-407E-A947-70E740481C1C}"/>
                      </a:extLst>
                    </a:blip>
                    <a:srcRect/>
                    <a:stretch>
                      <a:fillRect/>
                    </a:stretch>
                  </pic:blipFill>
                  <pic:spPr bwMode="auto">
                    <a:xfrm>
                      <a:off x="0" y="0"/>
                      <a:ext cx="1181100" cy="109220"/>
                    </a:xfrm>
                    <a:prstGeom prst="rect">
                      <a:avLst/>
                    </a:prstGeom>
                    <a:noFill/>
                  </pic:spPr>
                </pic:pic>
              </a:graphicData>
            </a:graphic>
          </wp:anchor>
        </w:drawing>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89" w:hanging="289"/>
        <w:spacing w:after="0"/>
        <w:tabs>
          <w:tab w:leader="none" w:pos="289" w:val="left"/>
        </w:tabs>
        <w:numPr>
          <w:ilvl w:val="0"/>
          <w:numId w:val="237"/>
        </w:numPr>
        <w:rPr>
          <w:rFonts w:ascii="Arial" w:cs="Arial" w:eastAsia="Arial" w:hAnsi="Arial"/>
          <w:sz w:val="15"/>
          <w:szCs w:val="15"/>
          <w:b w:val="1"/>
          <w:bCs w:val="1"/>
          <w:color w:val="auto"/>
        </w:rPr>
      </w:pPr>
      <w:r>
        <w:rPr>
          <w:rFonts w:ascii="Arial" w:cs="Arial" w:eastAsia="Arial" w:hAnsi="Arial"/>
          <w:sz w:val="16"/>
          <w:szCs w:val="16"/>
          <w:b w:val="1"/>
          <w:bCs w:val="1"/>
          <w:color w:val="auto"/>
        </w:rPr>
        <w:t>Introduction</w:t>
      </w:r>
    </w:p>
    <w:p>
      <w:pPr>
        <w:sectPr>
          <w:pgSz w:w="11900" w:h="16840" w:orient="portrait"/>
          <w:cols w:equalWidth="0" w:num="1">
            <w:col w:w="10589"/>
          </w:cols>
          <w:pgMar w:left="651" w:top="599" w:right="660" w:bottom="1440" w:gutter="0" w:footer="0" w:header="0"/>
        </w:sectPr>
      </w:pPr>
    </w:p>
    <w:p>
      <w:pPr>
        <w:spacing w:after="0" w:line="181" w:lineRule="exact"/>
        <w:rPr>
          <w:sz w:val="20"/>
          <w:szCs w:val="20"/>
          <w:color w:val="auto"/>
        </w:rPr>
      </w:pPr>
    </w:p>
    <w:p>
      <w:pPr>
        <w:jc w:val="both"/>
        <w:ind w:left="289"/>
        <w:spacing w:after="0" w:line="285" w:lineRule="auto"/>
        <w:rPr>
          <w:sz w:val="20"/>
          <w:szCs w:val="20"/>
          <w:color w:val="auto"/>
        </w:rPr>
      </w:pPr>
      <w:r>
        <w:rPr>
          <w:rFonts w:ascii="Arial" w:cs="Arial" w:eastAsia="Arial" w:hAnsi="Arial"/>
          <w:sz w:val="15"/>
          <w:szCs w:val="15"/>
          <w:b w:val="1"/>
          <w:bCs w:val="1"/>
          <w:color w:val="auto"/>
        </w:rPr>
        <w:t xml:space="preserve">Insider Trading </w:t>
      </w:r>
      <w:r>
        <w:rPr>
          <w:rFonts w:ascii="Arial" w:cs="Arial" w:eastAsia="Arial" w:hAnsi="Arial"/>
          <w:sz w:val="15"/>
          <w:szCs w:val="15"/>
          <w:color w:val="auto"/>
        </w:rPr>
        <w:t>is the trading (e.g., buying, selling, pledging,</w:t>
      </w:r>
      <w:r>
        <w:rPr>
          <w:rFonts w:ascii="Arial" w:cs="Arial" w:eastAsia="Arial" w:hAnsi="Arial"/>
          <w:sz w:val="15"/>
          <w:szCs w:val="15"/>
          <w:b w:val="1"/>
          <w:bCs w:val="1"/>
          <w:color w:val="auto"/>
        </w:rPr>
        <w:t xml:space="preserve"> </w:t>
      </w:r>
      <w:r>
        <w:rPr>
          <w:rFonts w:ascii="Arial" w:cs="Arial" w:eastAsia="Arial" w:hAnsi="Arial"/>
          <w:sz w:val="15"/>
          <w:szCs w:val="15"/>
          <w:color w:val="auto"/>
        </w:rPr>
        <w:t>dealing in securities of BioNTech SE, while in possession of laws as reflected by this Policy.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firstLine="27"/>
        <w:spacing w:after="0" w:line="315" w:lineRule="auto"/>
        <w:rPr>
          <w:sz w:val="20"/>
          <w:szCs w:val="20"/>
          <w:color w:val="auto"/>
        </w:rPr>
      </w:pPr>
      <w:r>
        <w:rPr>
          <w:rFonts w:ascii="Arial" w:cs="Arial" w:eastAsia="Arial" w:hAnsi="Arial"/>
          <w:sz w:val="15"/>
          <w:szCs w:val="15"/>
          <w:color w:val="auto"/>
        </w:rPr>
        <w:t xml:space="preserve">lending, or hypothecating) of </w:t>
      </w:r>
      <w:r>
        <w:rPr>
          <w:rFonts w:ascii="Arial" w:cs="Arial" w:eastAsia="Arial" w:hAnsi="Arial"/>
          <w:sz w:val="15"/>
          <w:szCs w:val="15"/>
          <w:b w:val="1"/>
          <w:bCs w:val="1"/>
          <w:color w:val="auto"/>
        </w:rPr>
        <w:t>Securities</w:t>
      </w:r>
      <w:r>
        <w:rPr>
          <w:rFonts w:ascii="Arial" w:cs="Arial" w:eastAsia="Arial" w:hAnsi="Arial"/>
          <w:sz w:val="15"/>
          <w:szCs w:val="15"/>
          <w:color w:val="auto"/>
        </w:rPr>
        <w:t xml:space="preserve"> (e.g., shares, bonds, options) of any company, thus </w:t>
      </w:r>
      <w:r>
        <w:rPr>
          <w:rFonts w:ascii="Arial" w:cs="Arial" w:eastAsia="Arial" w:hAnsi="Arial"/>
          <w:sz w:val="15"/>
          <w:szCs w:val="15"/>
          <w:b w:val="1"/>
          <w:bCs w:val="1"/>
          <w:color w:val="auto"/>
        </w:rPr>
        <w:t>Material Non-Public Information (MNPI)</w:t>
      </w:r>
      <w:r>
        <w:rPr>
          <w:rFonts w:ascii="Arial" w:cs="Arial" w:eastAsia="Arial" w:hAnsi="Arial"/>
          <w:sz w:val="15"/>
          <w:szCs w:val="15"/>
          <w:color w:val="auto"/>
        </w:rPr>
        <w:t>, and is prohibited by U.S. and German securities</w:t>
      </w:r>
    </w:p>
    <w:p>
      <w:pPr>
        <w:spacing w:after="0" w:line="284" w:lineRule="exact"/>
        <w:rPr>
          <w:sz w:val="20"/>
          <w:szCs w:val="20"/>
          <w:color w:val="auto"/>
        </w:rPr>
      </w:pPr>
    </w:p>
    <w:p>
      <w:pPr>
        <w:sectPr>
          <w:pgSz w:w="11900" w:h="16840" w:orient="portrait"/>
          <w:cols w:equalWidth="0" w:num="2">
            <w:col w:w="4389" w:space="20"/>
            <w:col w:w="6180"/>
          </w:cols>
          <w:pgMar w:left="651" w:top="599" w:right="660" w:bottom="1440" w:gutter="0" w:footer="0" w:header="0"/>
          <w:type w:val="continuous"/>
        </w:sectPr>
      </w:pPr>
    </w:p>
    <w:p>
      <w:pPr>
        <w:ind w:left="289" w:right="20"/>
        <w:spacing w:after="0" w:line="304" w:lineRule="auto"/>
        <w:rPr>
          <w:sz w:val="20"/>
          <w:szCs w:val="20"/>
          <w:color w:val="auto"/>
        </w:rPr>
      </w:pPr>
      <w:r>
        <w:rPr>
          <w:rFonts w:ascii="Arial" w:cs="Arial" w:eastAsia="Arial" w:hAnsi="Arial"/>
          <w:sz w:val="15"/>
          <w:szCs w:val="15"/>
          <w:color w:val="auto"/>
        </w:rPr>
        <w:t>The Insider Trading Policy (this Policy) aims to ensure compliance with these laws by educating BioNTech Representatives on handling MNPI and avoiding Insider Trading and aims to protect BioNTech’s reputation for integrity and high ethical standards.</w:t>
      </w:r>
    </w:p>
    <w:p>
      <w:pPr>
        <w:spacing w:after="0" w:line="28" w:lineRule="exact"/>
        <w:rPr>
          <w:sz w:val="20"/>
          <w:szCs w:val="20"/>
          <w:color w:val="auto"/>
        </w:rPr>
      </w:pPr>
    </w:p>
    <w:p>
      <w:pPr>
        <w:ind w:left="289" w:right="20"/>
        <w:spacing w:after="0" w:line="304" w:lineRule="auto"/>
        <w:rPr>
          <w:sz w:val="20"/>
          <w:szCs w:val="20"/>
          <w:color w:val="auto"/>
        </w:rPr>
      </w:pPr>
      <w:r>
        <w:rPr>
          <w:rFonts w:ascii="Arial" w:cs="Arial" w:eastAsia="Arial" w:hAnsi="Arial"/>
          <w:sz w:val="15"/>
          <w:szCs w:val="15"/>
          <w:color w:val="auto"/>
        </w:rPr>
        <w:t>The Policy requirements are not all encompassing and do not address all situations. As such, BioNTech Representatives should use the Policy to support their decision making, and direct questions to the Legal Department (Legal) as needed.</w:t>
      </w:r>
    </w:p>
    <w:p>
      <w:pPr>
        <w:spacing w:after="0" w:line="310" w:lineRule="exact"/>
        <w:rPr>
          <w:sz w:val="20"/>
          <w:szCs w:val="20"/>
          <w:color w:val="auto"/>
        </w:rPr>
      </w:pPr>
    </w:p>
    <w:p>
      <w:pPr>
        <w:ind w:left="289" w:hanging="289"/>
        <w:spacing w:after="0"/>
        <w:tabs>
          <w:tab w:leader="none" w:pos="289" w:val="left"/>
        </w:tabs>
        <w:numPr>
          <w:ilvl w:val="0"/>
          <w:numId w:val="238"/>
        </w:numPr>
        <w:rPr>
          <w:rFonts w:ascii="Arial" w:cs="Arial" w:eastAsia="Arial" w:hAnsi="Arial"/>
          <w:sz w:val="16"/>
          <w:szCs w:val="16"/>
          <w:b w:val="1"/>
          <w:bCs w:val="1"/>
          <w:color w:val="auto"/>
        </w:rPr>
      </w:pPr>
      <w:r>
        <w:rPr>
          <w:rFonts w:ascii="Arial" w:cs="Arial" w:eastAsia="Arial" w:hAnsi="Arial"/>
          <w:sz w:val="16"/>
          <w:szCs w:val="16"/>
          <w:b w:val="1"/>
          <w:bCs w:val="1"/>
          <w:color w:val="auto"/>
        </w:rPr>
        <w:t>Applicability</w:t>
      </w:r>
    </w:p>
    <w:p>
      <w:pPr>
        <w:spacing w:after="0" w:line="180" w:lineRule="exact"/>
        <w:rPr>
          <w:rFonts w:ascii="Arial" w:cs="Arial" w:eastAsia="Arial" w:hAnsi="Arial"/>
          <w:sz w:val="16"/>
          <w:szCs w:val="16"/>
          <w:b w:val="1"/>
          <w:bCs w:val="1"/>
          <w:color w:val="auto"/>
        </w:rPr>
      </w:pPr>
    </w:p>
    <w:p>
      <w:pPr>
        <w:jc w:val="both"/>
        <w:ind w:left="289" w:right="20"/>
        <w:spacing w:after="0" w:line="284" w:lineRule="auto"/>
        <w:rPr>
          <w:rFonts w:ascii="Arial" w:cs="Arial" w:eastAsia="Arial" w:hAnsi="Arial"/>
          <w:sz w:val="16"/>
          <w:szCs w:val="16"/>
          <w:b w:val="1"/>
          <w:bCs w:val="1"/>
          <w:color w:val="auto"/>
        </w:rPr>
      </w:pPr>
      <w:r>
        <w:rPr>
          <w:rFonts w:ascii="Arial" w:cs="Arial" w:eastAsia="Arial" w:hAnsi="Arial"/>
          <w:sz w:val="15"/>
          <w:szCs w:val="15"/>
          <w:color w:val="auto"/>
        </w:rPr>
        <w:t>This Policy applies to BioNTech SE and its affiliates (BioNTech SE together with its affiliates being “BioNTech”), including but not limited to, all Supervisory Board (SB) members, all Management Board (MB) members, all other officers, and employees, collectively referred to as “BioNTech Representatives”. BioNTech Representatives are expected to inform their Immediate Family Members of the requirements and prohibitions in this Policy (see section 4).</w:t>
      </w:r>
    </w:p>
    <w:p>
      <w:pPr>
        <w:spacing w:after="0" w:line="236" w:lineRule="exact"/>
        <w:rPr>
          <w:rFonts w:ascii="Arial" w:cs="Arial" w:eastAsia="Arial" w:hAnsi="Arial"/>
          <w:sz w:val="16"/>
          <w:szCs w:val="16"/>
          <w:b w:val="1"/>
          <w:bCs w:val="1"/>
          <w:color w:val="auto"/>
        </w:rPr>
      </w:pPr>
    </w:p>
    <w:p>
      <w:pPr>
        <w:ind w:left="289"/>
        <w:spacing w:after="0" w:line="304" w:lineRule="auto"/>
        <w:rPr>
          <w:rFonts w:ascii="Arial" w:cs="Arial" w:eastAsia="Arial" w:hAnsi="Arial"/>
          <w:sz w:val="16"/>
          <w:szCs w:val="16"/>
          <w:b w:val="1"/>
          <w:bCs w:val="1"/>
          <w:color w:val="auto"/>
        </w:rPr>
      </w:pPr>
      <w:r>
        <w:rPr>
          <w:rFonts w:ascii="Arial" w:cs="Arial" w:eastAsia="Arial" w:hAnsi="Arial"/>
          <w:sz w:val="15"/>
          <w:szCs w:val="15"/>
          <w:color w:val="auto"/>
        </w:rPr>
        <w:t>This Policy comes into effect on March 10, 2025 and will remain effective until replaced by a new version. Policy Governance will review and adapt this Policy as needed or at least every three years. Every version of this Policy is approved by the BioNTech SE SB and MB.</w:t>
      </w:r>
    </w:p>
    <w:p>
      <w:pPr>
        <w:spacing w:after="0" w:line="310" w:lineRule="exact"/>
        <w:rPr>
          <w:rFonts w:ascii="Arial" w:cs="Arial" w:eastAsia="Arial" w:hAnsi="Arial"/>
          <w:sz w:val="16"/>
          <w:szCs w:val="16"/>
          <w:b w:val="1"/>
          <w:bCs w:val="1"/>
          <w:color w:val="auto"/>
        </w:rPr>
      </w:pPr>
    </w:p>
    <w:p>
      <w:pPr>
        <w:ind w:left="289" w:hanging="289"/>
        <w:spacing w:after="0"/>
        <w:tabs>
          <w:tab w:leader="none" w:pos="289" w:val="left"/>
        </w:tabs>
        <w:numPr>
          <w:ilvl w:val="0"/>
          <w:numId w:val="238"/>
        </w:numPr>
        <w:rPr>
          <w:rFonts w:ascii="Arial" w:cs="Arial" w:eastAsia="Arial" w:hAnsi="Arial"/>
          <w:sz w:val="16"/>
          <w:szCs w:val="16"/>
          <w:b w:val="1"/>
          <w:bCs w:val="1"/>
          <w:color w:val="auto"/>
        </w:rPr>
      </w:pPr>
      <w:r>
        <w:rPr>
          <w:rFonts w:ascii="Arial" w:cs="Arial" w:eastAsia="Arial" w:hAnsi="Arial"/>
          <w:sz w:val="16"/>
          <w:szCs w:val="16"/>
          <w:b w:val="1"/>
          <w:bCs w:val="1"/>
          <w:color w:val="auto"/>
        </w:rPr>
        <w:t>Material Non-Public Information</w:t>
      </w:r>
    </w:p>
    <w:p>
      <w:pPr>
        <w:spacing w:after="0" w:line="180" w:lineRule="exact"/>
        <w:rPr>
          <w:rFonts w:ascii="Arial" w:cs="Arial" w:eastAsia="Arial" w:hAnsi="Arial"/>
          <w:sz w:val="16"/>
          <w:szCs w:val="16"/>
          <w:b w:val="1"/>
          <w:bCs w:val="1"/>
          <w:color w:val="auto"/>
        </w:rPr>
      </w:pPr>
    </w:p>
    <w:p>
      <w:pPr>
        <w:ind w:left="289"/>
        <w:spacing w:after="0"/>
        <w:rPr>
          <w:rFonts w:ascii="Arial" w:cs="Arial" w:eastAsia="Arial" w:hAnsi="Arial"/>
          <w:sz w:val="16"/>
          <w:szCs w:val="16"/>
          <w:b w:val="1"/>
          <w:bCs w:val="1"/>
          <w:color w:val="auto"/>
        </w:rPr>
      </w:pPr>
      <w:r>
        <w:rPr>
          <w:rFonts w:ascii="Arial" w:cs="Arial" w:eastAsia="Arial" w:hAnsi="Arial"/>
          <w:sz w:val="15"/>
          <w:szCs w:val="15"/>
          <w:b w:val="1"/>
          <w:bCs w:val="1"/>
          <w:i w:val="1"/>
          <w:iCs w:val="1"/>
          <w:color w:val="auto"/>
        </w:rPr>
        <w:t>Material Information</w:t>
      </w:r>
    </w:p>
    <w:p>
      <w:pPr>
        <w:spacing w:after="0" w:line="181" w:lineRule="exact"/>
        <w:rPr>
          <w:rFonts w:ascii="Arial" w:cs="Arial" w:eastAsia="Arial" w:hAnsi="Arial"/>
          <w:sz w:val="16"/>
          <w:szCs w:val="16"/>
          <w:b w:val="1"/>
          <w:bCs w:val="1"/>
          <w:color w:val="auto"/>
        </w:rPr>
      </w:pPr>
    </w:p>
    <w:p>
      <w:pPr>
        <w:jc w:val="both"/>
        <w:ind w:left="289" w:right="120"/>
        <w:spacing w:after="0" w:line="276" w:lineRule="auto"/>
        <w:rPr>
          <w:rFonts w:ascii="Arial" w:cs="Arial" w:eastAsia="Arial" w:hAnsi="Arial"/>
          <w:sz w:val="16"/>
          <w:szCs w:val="16"/>
          <w:b w:val="1"/>
          <w:bCs w:val="1"/>
          <w:color w:val="auto"/>
        </w:rPr>
      </w:pPr>
      <w:r>
        <w:rPr>
          <w:rFonts w:ascii="Arial" w:cs="Arial" w:eastAsia="Arial" w:hAnsi="Arial"/>
          <w:sz w:val="15"/>
          <w:szCs w:val="15"/>
          <w:color w:val="auto"/>
        </w:rPr>
        <w:t xml:space="preserve">Information is </w:t>
      </w:r>
      <w:r>
        <w:rPr>
          <w:rFonts w:ascii="Arial" w:cs="Arial" w:eastAsia="Arial" w:hAnsi="Arial"/>
          <w:sz w:val="15"/>
          <w:szCs w:val="15"/>
          <w:b w:val="1"/>
          <w:bCs w:val="1"/>
          <w:color w:val="auto"/>
        </w:rPr>
        <w:t>Material</w:t>
      </w:r>
      <w:r>
        <w:rPr>
          <w:rFonts w:ascii="Arial" w:cs="Arial" w:eastAsia="Arial" w:hAnsi="Arial"/>
          <w:sz w:val="15"/>
          <w:szCs w:val="15"/>
          <w:color w:val="auto"/>
        </w:rPr>
        <w:t xml:space="preserve"> if there is a substantial likelihood that a reasonable investor would consider important in deciding whether to buy, sell or hold securities. Any information that could reasonably be expected to affect the price of the security is Material. Material information can relate to past events, future expectations, rumors or any other aspect of the business, and can be positive, neutral or negative. Examples could include, but are not limited to, clinical trial results; regulatory decisions; financial results; possible mergers, acquisitions, collaborations and investments; pending or contemplating financings;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
        <w:spacing w:after="0"/>
        <w:rPr>
          <w:sz w:val="20"/>
          <w:szCs w:val="20"/>
          <w:color w:val="auto"/>
        </w:rPr>
      </w:pPr>
      <w:r>
        <w:rPr>
          <w:rFonts w:ascii="Arial" w:cs="Arial" w:eastAsia="Arial" w:hAnsi="Arial"/>
          <w:sz w:val="15"/>
          <w:szCs w:val="15"/>
          <w:color w:val="auto"/>
        </w:rPr>
        <w:t>[***]</w:t>
      </w:r>
    </w:p>
    <w:p>
      <w:pPr>
        <w:sectPr>
          <w:pgSz w:w="11900" w:h="16840" w:orient="portrait"/>
          <w:cols w:equalWidth="0" w:num="1">
            <w:col w:w="10589"/>
          </w:cols>
          <w:pgMar w:left="651" w:top="599" w:right="660" w:bottom="1440" w:gutter="0" w:footer="0" w:header="0"/>
          <w:type w:val="continuous"/>
        </w:sectPr>
      </w:pPr>
    </w:p>
    <w:bookmarkStart w:id="421" w:name="page422"/>
    <w:bookmarkEnd w:id="421"/>
    <w:p>
      <w:pPr>
        <w:ind w:left="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2082165</wp:posOffset>
            </wp:positionH>
            <wp:positionV relativeFrom="page">
              <wp:posOffset>361950</wp:posOffset>
            </wp:positionV>
            <wp:extent cx="1181100" cy="1092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44">
                      <a:clrChange>
                        <a:clrFrom>
                          <a:srgbClr val="FFFFFF"/>
                        </a:clrFrom>
                        <a:clrTo>
                          <a:srgbClr val="FFFFFF">
                            <a:alpha val="0"/>
                          </a:srgbClr>
                        </a:clrTo>
                      </a:clrChange>
                      <a:extLst>
                        <a:ext uri="{28A0092B-C50C-407E-A947-70E740481C1C}"/>
                      </a:extLst>
                    </a:blip>
                    <a:srcRect/>
                    <a:stretch>
                      <a:fillRect/>
                    </a:stretch>
                  </pic:blipFill>
                  <pic:spPr bwMode="auto">
                    <a:xfrm>
                      <a:off x="0" y="0"/>
                      <a:ext cx="1181100" cy="109220"/>
                    </a:xfrm>
                    <a:prstGeom prst="rect">
                      <a:avLst/>
                    </a:prstGeom>
                    <a:noFill/>
                  </pic:spPr>
                </pic:pic>
              </a:graphicData>
            </a:graphic>
          </wp:anchor>
        </w:drawing>
        <w:t>Insider Trading Policy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89" w:right="120"/>
        <w:spacing w:after="0" w:line="304" w:lineRule="auto"/>
        <w:rPr>
          <w:sz w:val="20"/>
          <w:szCs w:val="20"/>
          <w:color w:val="auto"/>
        </w:rPr>
      </w:pPr>
      <w:r>
        <w:rPr>
          <w:rFonts w:ascii="Arial" w:cs="Arial" w:eastAsia="Arial" w:hAnsi="Arial"/>
          <w:sz w:val="15"/>
          <w:szCs w:val="15"/>
          <w:color w:val="auto"/>
        </w:rPr>
        <w:t>changes to the Management Board or the Supervisory Board; litigation developments; cybersecurity incidents and significant changes in business direction.</w:t>
      </w:r>
    </w:p>
    <w:p>
      <w:pPr>
        <w:spacing w:after="0" w:line="28" w:lineRule="exact"/>
        <w:rPr>
          <w:sz w:val="20"/>
          <w:szCs w:val="20"/>
          <w:color w:val="auto"/>
        </w:rPr>
      </w:pPr>
    </w:p>
    <w:p>
      <w:pPr>
        <w:jc w:val="both"/>
        <w:ind w:left="489" w:right="120"/>
        <w:spacing w:after="0" w:line="285" w:lineRule="auto"/>
        <w:rPr>
          <w:sz w:val="20"/>
          <w:szCs w:val="20"/>
          <w:color w:val="auto"/>
        </w:rPr>
      </w:pPr>
      <w:r>
        <w:rPr>
          <w:rFonts w:ascii="Arial" w:cs="Arial" w:eastAsia="Arial" w:hAnsi="Arial"/>
          <w:sz w:val="15"/>
          <w:szCs w:val="15"/>
          <w:i w:val="1"/>
          <w:iCs w:val="1"/>
          <w:color w:val="auto"/>
        </w:rPr>
        <w:t>For example</w:t>
      </w:r>
      <w:r>
        <w:rPr>
          <w:rFonts w:ascii="Arial" w:cs="Arial" w:eastAsia="Arial" w:hAnsi="Arial"/>
          <w:sz w:val="15"/>
          <w:szCs w:val="15"/>
          <w:color w:val="auto"/>
        </w:rPr>
        <w:t>, interim or final clinical trial data are commonly Material information. Therefore, if you are involved in the preparation, review or</w:t>
      </w:r>
      <w:r>
        <w:rPr>
          <w:rFonts w:ascii="Arial" w:cs="Arial" w:eastAsia="Arial" w:hAnsi="Arial"/>
          <w:sz w:val="15"/>
          <w:szCs w:val="15"/>
          <w:i w:val="1"/>
          <w:iCs w:val="1"/>
          <w:color w:val="auto"/>
        </w:rPr>
        <w:t xml:space="preserve"> </w:t>
      </w:r>
      <w:r>
        <w:rPr>
          <w:rFonts w:ascii="Arial" w:cs="Arial" w:eastAsia="Arial" w:hAnsi="Arial"/>
          <w:sz w:val="15"/>
          <w:szCs w:val="15"/>
          <w:color w:val="auto"/>
        </w:rPr>
        <w:t>publication of aggregate clinical trial data, you will likely be deemed to be in possession of MNPI and prohibited from trading BioNTech Securities from the time you have access to such data until the second trading day after the clinical trial results have been made known to the public.</w:t>
      </w:r>
    </w:p>
    <w:p>
      <w:pPr>
        <w:spacing w:after="0" w:line="123" w:lineRule="exact"/>
        <w:rPr>
          <w:sz w:val="20"/>
          <w:szCs w:val="20"/>
          <w:color w:val="auto"/>
        </w:rPr>
      </w:pPr>
    </w:p>
    <w:p>
      <w:pPr>
        <w:jc w:val="both"/>
        <w:ind w:left="289" w:right="120"/>
        <w:spacing w:after="0" w:line="304" w:lineRule="auto"/>
        <w:rPr>
          <w:sz w:val="20"/>
          <w:szCs w:val="20"/>
          <w:color w:val="auto"/>
        </w:rPr>
      </w:pPr>
      <w:r>
        <w:rPr>
          <w:rFonts w:ascii="Arial" w:cs="Arial" w:eastAsia="Arial" w:hAnsi="Arial"/>
          <w:sz w:val="15"/>
          <w:szCs w:val="15"/>
          <w:color w:val="auto"/>
        </w:rPr>
        <w:t>Because any scrutinized trading activity will be evaluated after the fact with the benefit of hindsight, questions concerning the materiality of particular information should be resolved in favor of materiality. In other words, in case of doubt, avoid trading.</w:t>
      </w:r>
    </w:p>
    <w:p>
      <w:pPr>
        <w:spacing w:after="0" w:line="109" w:lineRule="exact"/>
        <w:rPr>
          <w:sz w:val="20"/>
          <w:szCs w:val="20"/>
          <w:color w:val="auto"/>
        </w:rPr>
      </w:pPr>
    </w:p>
    <w:p>
      <w:pPr>
        <w:ind w:left="289"/>
        <w:spacing w:after="0"/>
        <w:rPr>
          <w:sz w:val="20"/>
          <w:szCs w:val="20"/>
          <w:color w:val="auto"/>
        </w:rPr>
      </w:pPr>
      <w:r>
        <w:rPr>
          <w:rFonts w:ascii="Arial" w:cs="Arial" w:eastAsia="Arial" w:hAnsi="Arial"/>
          <w:sz w:val="15"/>
          <w:szCs w:val="15"/>
          <w:b w:val="1"/>
          <w:bCs w:val="1"/>
          <w:i w:val="1"/>
          <w:iCs w:val="1"/>
          <w:color w:val="auto"/>
        </w:rPr>
        <w:t>Non-Public</w:t>
      </w:r>
    </w:p>
    <w:p>
      <w:pPr>
        <w:spacing w:after="0" w:line="100" w:lineRule="exact"/>
        <w:rPr>
          <w:sz w:val="20"/>
          <w:szCs w:val="20"/>
          <w:color w:val="auto"/>
        </w:rPr>
      </w:pPr>
    </w:p>
    <w:p>
      <w:pPr>
        <w:jc w:val="both"/>
        <w:ind w:left="289" w:right="120"/>
        <w:spacing w:after="0" w:line="285" w:lineRule="auto"/>
        <w:rPr>
          <w:sz w:val="20"/>
          <w:szCs w:val="20"/>
          <w:color w:val="auto"/>
        </w:rPr>
      </w:pPr>
      <w:r>
        <w:rPr>
          <w:rFonts w:ascii="Arial" w:cs="Arial" w:eastAsia="Arial" w:hAnsi="Arial"/>
          <w:sz w:val="15"/>
          <w:szCs w:val="15"/>
          <w:color w:val="auto"/>
        </w:rPr>
        <w:t xml:space="preserve">Information is considered </w:t>
      </w:r>
      <w:r>
        <w:rPr>
          <w:rFonts w:ascii="Arial" w:cs="Arial" w:eastAsia="Arial" w:hAnsi="Arial"/>
          <w:sz w:val="15"/>
          <w:szCs w:val="15"/>
          <w:b w:val="1"/>
          <w:bCs w:val="1"/>
          <w:color w:val="auto"/>
        </w:rPr>
        <w:t>Non-Public</w:t>
      </w:r>
      <w:r>
        <w:rPr>
          <w:rFonts w:ascii="Arial" w:cs="Arial" w:eastAsia="Arial" w:hAnsi="Arial"/>
          <w:sz w:val="15"/>
          <w:szCs w:val="15"/>
          <w:color w:val="auto"/>
        </w:rPr>
        <w:t xml:space="preserve"> until the second full trading day after it has been disclosed to the public. Public disclosure includes public filings with the U.S. Securities Exchange Commission (SEC), press releases, conference calls with investment analysts to which the public has been invited to in advance, etc.</w:t>
      </w:r>
    </w:p>
    <w:p>
      <w:pPr>
        <w:spacing w:after="0" w:line="43" w:lineRule="exact"/>
        <w:rPr>
          <w:sz w:val="20"/>
          <w:szCs w:val="20"/>
          <w:color w:val="auto"/>
        </w:rPr>
      </w:pPr>
    </w:p>
    <w:p>
      <w:pPr>
        <w:ind w:left="489" w:right="120"/>
        <w:spacing w:after="0" w:line="304" w:lineRule="auto"/>
        <w:rPr>
          <w:sz w:val="20"/>
          <w:szCs w:val="20"/>
          <w:color w:val="auto"/>
        </w:rPr>
      </w:pPr>
      <w:r>
        <w:rPr>
          <w:rFonts w:ascii="Arial" w:cs="Arial" w:eastAsia="Arial" w:hAnsi="Arial"/>
          <w:sz w:val="15"/>
          <w:szCs w:val="15"/>
          <w:i w:val="1"/>
          <w:iCs w:val="1"/>
          <w:color w:val="auto"/>
        </w:rPr>
        <w:t xml:space="preserve">For example, </w:t>
      </w:r>
      <w:r>
        <w:rPr>
          <w:rFonts w:ascii="Arial" w:cs="Arial" w:eastAsia="Arial" w:hAnsi="Arial"/>
          <w:sz w:val="15"/>
          <w:szCs w:val="15"/>
          <w:color w:val="auto"/>
        </w:rPr>
        <w:t>if we issue a press release on a Monday prior to 9:30 am, Eastern time, it will be considered public on Wednesday morning, Eastern</w:t>
      </w:r>
      <w:r>
        <w:rPr>
          <w:rFonts w:ascii="Arial" w:cs="Arial" w:eastAsia="Arial" w:hAnsi="Arial"/>
          <w:sz w:val="15"/>
          <w:szCs w:val="15"/>
          <w:i w:val="1"/>
          <w:iCs w:val="1"/>
          <w:color w:val="auto"/>
        </w:rPr>
        <w:t xml:space="preserve"> </w:t>
      </w:r>
      <w:r>
        <w:rPr>
          <w:rFonts w:ascii="Arial" w:cs="Arial" w:eastAsia="Arial" w:hAnsi="Arial"/>
          <w:sz w:val="15"/>
          <w:szCs w:val="15"/>
          <w:color w:val="auto"/>
        </w:rPr>
        <w:t>time. If an announcement is made on a Monday after 9:30 am, Eastern time, it will not be considered public until Thursday morning, Eastern time.</w:t>
      </w:r>
    </w:p>
    <w:p>
      <w:pPr>
        <w:spacing w:after="0" w:line="109" w:lineRule="exact"/>
        <w:rPr>
          <w:sz w:val="20"/>
          <w:szCs w:val="20"/>
          <w:color w:val="auto"/>
        </w:rPr>
      </w:pPr>
    </w:p>
    <w:p>
      <w:pPr>
        <w:ind w:left="289"/>
        <w:spacing w:after="0"/>
        <w:rPr>
          <w:sz w:val="20"/>
          <w:szCs w:val="20"/>
          <w:color w:val="auto"/>
        </w:rPr>
      </w:pPr>
      <w:r>
        <w:rPr>
          <w:rFonts w:ascii="Arial" w:cs="Arial" w:eastAsia="Arial" w:hAnsi="Arial"/>
          <w:sz w:val="15"/>
          <w:szCs w:val="15"/>
          <w:color w:val="auto"/>
        </w:rPr>
        <w:t>The disclosure without authorization of Non-Public information is forbidden.</w:t>
      </w:r>
    </w:p>
    <w:p>
      <w:pPr>
        <w:spacing w:after="0" w:line="190" w:lineRule="exact"/>
        <w:rPr>
          <w:sz w:val="20"/>
          <w:szCs w:val="20"/>
          <w:color w:val="auto"/>
        </w:rPr>
      </w:pPr>
    </w:p>
    <w:p>
      <w:pPr>
        <w:ind w:left="289" w:hanging="289"/>
        <w:spacing w:after="0"/>
        <w:tabs>
          <w:tab w:leader="none" w:pos="289" w:val="left"/>
        </w:tabs>
        <w:numPr>
          <w:ilvl w:val="0"/>
          <w:numId w:val="239"/>
        </w:numPr>
        <w:rPr>
          <w:rFonts w:ascii="Arial" w:cs="Arial" w:eastAsia="Arial" w:hAnsi="Arial"/>
          <w:sz w:val="16"/>
          <w:szCs w:val="16"/>
          <w:b w:val="1"/>
          <w:bCs w:val="1"/>
          <w:color w:val="auto"/>
        </w:rPr>
      </w:pPr>
      <w:r>
        <w:rPr>
          <w:rFonts w:ascii="Arial" w:cs="Arial" w:eastAsia="Arial" w:hAnsi="Arial"/>
          <w:sz w:val="16"/>
          <w:szCs w:val="16"/>
          <w:b w:val="1"/>
          <w:bCs w:val="1"/>
          <w:color w:val="auto"/>
        </w:rPr>
        <w:t>General Requirements</w:t>
      </w:r>
    </w:p>
    <w:p>
      <w:pPr>
        <w:spacing w:after="0" w:line="180" w:lineRule="exact"/>
        <w:rPr>
          <w:rFonts w:ascii="Arial" w:cs="Arial" w:eastAsia="Arial" w:hAnsi="Arial"/>
          <w:sz w:val="16"/>
          <w:szCs w:val="16"/>
          <w:b w:val="1"/>
          <w:bCs w:val="1"/>
          <w:color w:val="auto"/>
        </w:rPr>
      </w:pPr>
    </w:p>
    <w:p>
      <w:pPr>
        <w:ind w:left="289"/>
        <w:spacing w:after="0"/>
        <w:rPr>
          <w:rFonts w:ascii="Arial" w:cs="Arial" w:eastAsia="Arial" w:hAnsi="Arial"/>
          <w:sz w:val="16"/>
          <w:szCs w:val="16"/>
          <w:b w:val="1"/>
          <w:bCs w:val="1"/>
          <w:color w:val="auto"/>
        </w:rPr>
      </w:pPr>
      <w:r>
        <w:rPr>
          <w:rFonts w:ascii="Arial" w:cs="Arial" w:eastAsia="Arial" w:hAnsi="Arial"/>
          <w:sz w:val="15"/>
          <w:szCs w:val="15"/>
          <w:color w:val="auto"/>
        </w:rPr>
        <w:t>The following requirements apply to all BioNTech Representatives.</w:t>
      </w:r>
    </w:p>
    <w:p>
      <w:pPr>
        <w:spacing w:after="0" w:line="201" w:lineRule="exact"/>
        <w:rPr>
          <w:rFonts w:ascii="Arial" w:cs="Arial" w:eastAsia="Arial" w:hAnsi="Arial"/>
          <w:sz w:val="16"/>
          <w:szCs w:val="16"/>
          <w:b w:val="1"/>
          <w:bCs w:val="1"/>
          <w:color w:val="auto"/>
        </w:rPr>
      </w:pPr>
    </w:p>
    <w:p>
      <w:pPr>
        <w:ind w:left="569" w:hanging="276"/>
        <w:spacing w:after="0"/>
        <w:tabs>
          <w:tab w:leader="none" w:pos="569" w:val="left"/>
        </w:tabs>
        <w:numPr>
          <w:ilvl w:val="1"/>
          <w:numId w:val="239"/>
        </w:numPr>
        <w:rPr>
          <w:rFonts w:ascii="Arial" w:cs="Arial" w:eastAsia="Arial" w:hAnsi="Arial"/>
          <w:sz w:val="15"/>
          <w:szCs w:val="15"/>
          <w:b w:val="1"/>
          <w:bCs w:val="1"/>
          <w:color w:val="auto"/>
        </w:rPr>
      </w:pPr>
      <w:r>
        <w:rPr>
          <w:rFonts w:ascii="Arial" w:cs="Arial" w:eastAsia="Arial" w:hAnsi="Arial"/>
          <w:sz w:val="15"/>
          <w:szCs w:val="15"/>
          <w:b w:val="1"/>
          <w:bCs w:val="1"/>
          <w:color w:val="auto"/>
        </w:rPr>
        <w:t>General Prohibitions</w:t>
      </w:r>
    </w:p>
    <w:p>
      <w:pPr>
        <w:spacing w:after="0" w:line="90" w:lineRule="exact"/>
        <w:rPr>
          <w:rFonts w:ascii="Arial" w:cs="Arial" w:eastAsia="Arial" w:hAnsi="Arial"/>
          <w:sz w:val="15"/>
          <w:szCs w:val="15"/>
          <w:b w:val="1"/>
          <w:bCs w:val="1"/>
          <w:color w:val="auto"/>
        </w:rPr>
      </w:pPr>
    </w:p>
    <w:p>
      <w:pPr>
        <w:ind w:left="809" w:hanging="233"/>
        <w:spacing w:after="0"/>
        <w:tabs>
          <w:tab w:leader="none" w:pos="809" w:val="left"/>
        </w:tabs>
        <w:numPr>
          <w:ilvl w:val="2"/>
          <w:numId w:val="239"/>
        </w:numPr>
        <w:rPr>
          <w:rFonts w:ascii="Times New Roman" w:cs="Times New Roman" w:eastAsia="Times New Roman" w:hAnsi="Times New Roman"/>
          <w:sz w:val="15"/>
          <w:szCs w:val="15"/>
          <w:color w:val="auto"/>
        </w:rPr>
      </w:pPr>
      <w:r>
        <w:rPr>
          <w:rFonts w:ascii="Arial" w:cs="Arial" w:eastAsia="Arial" w:hAnsi="Arial"/>
          <w:sz w:val="15"/>
          <w:szCs w:val="15"/>
          <w:color w:val="auto"/>
        </w:rPr>
        <w:t>You may not directly or indirectly trade Securities while in possession of MNPI.</w:t>
      </w:r>
    </w:p>
    <w:p>
      <w:pPr>
        <w:spacing w:after="0" w:line="22" w:lineRule="exact"/>
        <w:rPr>
          <w:rFonts w:ascii="Times New Roman" w:cs="Times New Roman" w:eastAsia="Times New Roman" w:hAnsi="Times New Roman"/>
          <w:sz w:val="15"/>
          <w:szCs w:val="15"/>
          <w:color w:val="auto"/>
        </w:rPr>
      </w:pPr>
    </w:p>
    <w:p>
      <w:pPr>
        <w:ind w:left="809" w:hanging="233"/>
        <w:spacing w:after="0"/>
        <w:tabs>
          <w:tab w:leader="none" w:pos="809" w:val="left"/>
        </w:tabs>
        <w:numPr>
          <w:ilvl w:val="2"/>
          <w:numId w:val="239"/>
        </w:numPr>
        <w:rPr>
          <w:rFonts w:ascii="Times New Roman" w:cs="Times New Roman" w:eastAsia="Times New Roman" w:hAnsi="Times New Roman"/>
          <w:sz w:val="15"/>
          <w:szCs w:val="15"/>
          <w:color w:val="auto"/>
        </w:rPr>
      </w:pPr>
      <w:r>
        <w:rPr>
          <w:rFonts w:ascii="Arial" w:cs="Arial" w:eastAsia="Arial" w:hAnsi="Arial"/>
          <w:sz w:val="15"/>
          <w:szCs w:val="15"/>
          <w:color w:val="auto"/>
        </w:rPr>
        <w:t>You may not share MNPI with others who may use it to trade Securities (Tipping).</w:t>
      </w:r>
    </w:p>
    <w:p>
      <w:pPr>
        <w:spacing w:after="0" w:line="187" w:lineRule="exact"/>
        <w:rPr>
          <w:sz w:val="20"/>
          <w:szCs w:val="20"/>
          <w:color w:val="auto"/>
        </w:rPr>
      </w:pPr>
    </w:p>
    <w:p>
      <w:pPr>
        <w:ind w:left="489" w:right="280"/>
        <w:spacing w:after="0" w:line="290" w:lineRule="auto"/>
        <w:rPr>
          <w:sz w:val="20"/>
          <w:szCs w:val="20"/>
          <w:color w:val="auto"/>
        </w:rPr>
      </w:pPr>
      <w:r>
        <w:rPr>
          <w:rFonts w:ascii="Arial" w:cs="Arial" w:eastAsia="Arial" w:hAnsi="Arial"/>
          <w:sz w:val="15"/>
          <w:szCs w:val="15"/>
          <w:color w:val="auto"/>
        </w:rPr>
        <w:t>This prohibition applies no matter where you live or where the receiver of the MNPI lives (i.e., whether or not they live in a country where BioNTech operates).</w:t>
      </w:r>
    </w:p>
    <w:p>
      <w:pPr>
        <w:spacing w:after="0" w:line="139" w:lineRule="exact"/>
        <w:rPr>
          <w:sz w:val="20"/>
          <w:szCs w:val="20"/>
          <w:color w:val="auto"/>
        </w:rPr>
      </w:pPr>
    </w:p>
    <w:p>
      <w:pPr>
        <w:ind w:left="489"/>
        <w:spacing w:after="0" w:line="290" w:lineRule="auto"/>
        <w:rPr>
          <w:sz w:val="20"/>
          <w:szCs w:val="20"/>
          <w:color w:val="auto"/>
        </w:rPr>
      </w:pPr>
      <w:r>
        <w:rPr>
          <w:rFonts w:ascii="Arial" w:cs="Arial" w:eastAsia="Arial" w:hAnsi="Arial"/>
          <w:sz w:val="15"/>
          <w:szCs w:val="15"/>
          <w:color w:val="auto"/>
        </w:rPr>
        <w:t>This prohibition refers to “tipping,” which is when MNPI is shared with another person – including familiar persons (e.g., family, friends and acquaintances) as well as unfamiliar persons (e.g., complete strangers) – who then trade. Tipping can be intentional or unintentional.</w:t>
      </w:r>
    </w:p>
    <w:p>
      <w:pPr>
        <w:spacing w:after="0" w:line="139" w:lineRule="exact"/>
        <w:rPr>
          <w:sz w:val="20"/>
          <w:szCs w:val="20"/>
          <w:color w:val="auto"/>
        </w:rPr>
      </w:pPr>
    </w:p>
    <w:p>
      <w:pPr>
        <w:ind w:left="969"/>
        <w:spacing w:after="0" w:line="290" w:lineRule="auto"/>
        <w:rPr>
          <w:sz w:val="20"/>
          <w:szCs w:val="20"/>
          <w:color w:val="auto"/>
        </w:rPr>
      </w:pPr>
      <w:r>
        <w:rPr>
          <w:rFonts w:ascii="Arial" w:cs="Arial" w:eastAsia="Arial" w:hAnsi="Arial"/>
          <w:sz w:val="15"/>
          <w:szCs w:val="15"/>
          <w:i w:val="1"/>
          <w:iCs w:val="1"/>
          <w:color w:val="auto"/>
        </w:rPr>
        <w:t>For example</w:t>
      </w:r>
      <w:r>
        <w:rPr>
          <w:rFonts w:ascii="Arial" w:cs="Arial" w:eastAsia="Arial" w:hAnsi="Arial"/>
          <w:sz w:val="15"/>
          <w:szCs w:val="15"/>
          <w:color w:val="auto"/>
        </w:rPr>
        <w:t>, if you share MNPI in a passing conversation, the other person overhears a conversation, or if an individual reads sensitive</w:t>
      </w:r>
      <w:r>
        <w:rPr>
          <w:rFonts w:ascii="Arial" w:cs="Arial" w:eastAsia="Arial" w:hAnsi="Arial"/>
          <w:sz w:val="15"/>
          <w:szCs w:val="15"/>
          <w:i w:val="1"/>
          <w:iCs w:val="1"/>
          <w:color w:val="auto"/>
        </w:rPr>
        <w:t xml:space="preserve"> </w:t>
      </w:r>
      <w:r>
        <w:rPr>
          <w:rFonts w:ascii="Arial" w:cs="Arial" w:eastAsia="Arial" w:hAnsi="Arial"/>
          <w:sz w:val="15"/>
          <w:szCs w:val="15"/>
          <w:color w:val="auto"/>
        </w:rPr>
        <w:t>documents left unattended.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
        <w:spacing w:after="0"/>
        <w:rPr>
          <w:sz w:val="20"/>
          <w:szCs w:val="20"/>
          <w:color w:val="auto"/>
        </w:rPr>
      </w:pPr>
      <w:r>
        <w:rPr>
          <w:rFonts w:ascii="Arial" w:cs="Arial" w:eastAsia="Arial" w:hAnsi="Arial"/>
          <w:sz w:val="15"/>
          <w:szCs w:val="15"/>
          <w:color w:val="auto"/>
        </w:rPr>
        <w:t>[***]</w:t>
      </w:r>
    </w:p>
    <w:p>
      <w:pPr>
        <w:sectPr>
          <w:pgSz w:w="11900" w:h="16840" w:orient="portrait"/>
          <w:cols w:equalWidth="0" w:num="1">
            <w:col w:w="10589"/>
          </w:cols>
          <w:pgMar w:left="651" w:top="599" w:right="660" w:bottom="1440" w:gutter="0" w:footer="0" w:header="0"/>
        </w:sectPr>
      </w:pPr>
    </w:p>
    <w:bookmarkStart w:id="422" w:name="page423"/>
    <w:bookmarkEnd w:id="42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2082165</wp:posOffset>
            </wp:positionH>
            <wp:positionV relativeFrom="page">
              <wp:posOffset>361950</wp:posOffset>
            </wp:positionV>
            <wp:extent cx="1181100" cy="1092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45">
                      <a:clrChange>
                        <a:clrFrom>
                          <a:srgbClr val="FFFFFF"/>
                        </a:clrFrom>
                        <a:clrTo>
                          <a:srgbClr val="FFFFFF">
                            <a:alpha val="0"/>
                          </a:srgbClr>
                        </a:clrTo>
                      </a:clrChange>
                      <a:extLst>
                        <a:ext uri="{28A0092B-C50C-407E-A947-70E740481C1C}"/>
                      </a:extLst>
                    </a:blip>
                    <a:srcRect/>
                    <a:stretch>
                      <a:fillRect/>
                    </a:stretch>
                  </pic:blipFill>
                  <pic:spPr bwMode="auto">
                    <a:xfrm>
                      <a:off x="0" y="0"/>
                      <a:ext cx="1181100" cy="109220"/>
                    </a:xfrm>
                    <a:prstGeom prst="rect">
                      <a:avLst/>
                    </a:prstGeom>
                    <a:noFill/>
                  </pic:spPr>
                </pic:pic>
              </a:graphicData>
            </a:graphic>
          </wp:anchor>
        </w:drawing>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560"/>
        <w:spacing w:after="0" w:line="271" w:lineRule="auto"/>
        <w:rPr>
          <w:sz w:val="20"/>
          <w:szCs w:val="20"/>
          <w:color w:val="auto"/>
        </w:rPr>
      </w:pPr>
      <w:r>
        <w:rPr>
          <w:rFonts w:ascii="Arial" w:cs="Arial" w:eastAsia="Arial" w:hAnsi="Arial"/>
          <w:sz w:val="15"/>
          <w:szCs w:val="15"/>
          <w:color w:val="auto"/>
        </w:rPr>
        <w:t>There is a heightened risk of tipping (either unintentionally or intentionally) with Immediate Family Members, who may live or frequently interact with you. To protect you against this risk, for which you would be held liable under securities laws, we require that you inform your Immediate Family Members of the prohibitions outlined in this Policy.</w:t>
      </w:r>
    </w:p>
    <w:p>
      <w:pPr>
        <w:spacing w:after="0" w:line="154" w:lineRule="exact"/>
        <w:rPr>
          <w:sz w:val="20"/>
          <w:szCs w:val="20"/>
          <w:color w:val="auto"/>
        </w:rPr>
      </w:pPr>
    </w:p>
    <w:p>
      <w:pPr>
        <w:jc w:val="both"/>
        <w:ind w:left="560"/>
        <w:spacing w:after="0" w:line="265" w:lineRule="auto"/>
        <w:rPr>
          <w:sz w:val="20"/>
          <w:szCs w:val="20"/>
          <w:color w:val="auto"/>
        </w:rPr>
      </w:pPr>
      <w:r>
        <w:rPr>
          <w:rFonts w:ascii="Arial" w:cs="Arial" w:eastAsia="Arial" w:hAnsi="Arial"/>
          <w:sz w:val="15"/>
          <w:szCs w:val="15"/>
          <w:color w:val="auto"/>
        </w:rPr>
        <w:t>All BioNTech Representatives and individuals formerly affiliated with the Group are restricted under securities laws and this Policy from trading in the Securities of any company, including BioNTech Securities, while in the possession of MNPI. (For more information on other companies’ Securities, please see section 4(c) below.) It does not matter if a decision to engage in a transaction was made before becoming aware of MNPI, or that the MNPI did not affect such a decision. It is the personal obligation and responsibility of each BioNTech Representative to adhere to this Policy.</w:t>
      </w:r>
    </w:p>
    <w:p>
      <w:pPr>
        <w:spacing w:after="0" w:line="158" w:lineRule="exact"/>
        <w:rPr>
          <w:sz w:val="20"/>
          <w:szCs w:val="20"/>
          <w:color w:val="auto"/>
        </w:rPr>
      </w:pPr>
    </w:p>
    <w:p>
      <w:pPr>
        <w:jc w:val="both"/>
        <w:ind w:left="560"/>
        <w:spacing w:after="0" w:line="271" w:lineRule="auto"/>
        <w:rPr>
          <w:sz w:val="20"/>
          <w:szCs w:val="20"/>
          <w:color w:val="auto"/>
        </w:rPr>
      </w:pPr>
      <w:r>
        <w:rPr>
          <w:rFonts w:ascii="Arial" w:cs="Arial" w:eastAsia="Arial" w:hAnsi="Arial"/>
          <w:sz w:val="15"/>
          <w:szCs w:val="15"/>
          <w:color w:val="auto"/>
        </w:rPr>
        <w:t xml:space="preserve">All BioNTech Representatives are expected to inform their </w:t>
      </w:r>
      <w:r>
        <w:rPr>
          <w:rFonts w:ascii="Arial" w:cs="Arial" w:eastAsia="Arial" w:hAnsi="Arial"/>
          <w:sz w:val="15"/>
          <w:szCs w:val="15"/>
          <w:b w:val="1"/>
          <w:bCs w:val="1"/>
          <w:color w:val="auto"/>
        </w:rPr>
        <w:t>Immediate Family Members</w:t>
      </w:r>
      <w:r>
        <w:rPr>
          <w:rFonts w:ascii="Arial" w:cs="Arial" w:eastAsia="Arial" w:hAnsi="Arial"/>
          <w:sz w:val="15"/>
          <w:szCs w:val="15"/>
          <w:color w:val="auto"/>
        </w:rPr>
        <w:t xml:space="preserve"> of the requirements of this Policy and of the need to confer with such Representative before trading any Securities of BioNTech or any other entity about which such Representative has communicated MNPI obtained in the course of their role with BioNTech.</w:t>
      </w:r>
    </w:p>
    <w:p>
      <w:pPr>
        <w:spacing w:after="0" w:line="154" w:lineRule="exact"/>
        <w:rPr>
          <w:sz w:val="20"/>
          <w:szCs w:val="20"/>
          <w:color w:val="auto"/>
        </w:rPr>
      </w:pPr>
    </w:p>
    <w:p>
      <w:pPr>
        <w:ind w:left="560" w:hanging="276"/>
        <w:spacing w:after="0"/>
        <w:tabs>
          <w:tab w:leader="none" w:pos="560" w:val="left"/>
        </w:tabs>
        <w:numPr>
          <w:ilvl w:val="0"/>
          <w:numId w:val="240"/>
        </w:numPr>
        <w:rPr>
          <w:rFonts w:ascii="Arial" w:cs="Arial" w:eastAsia="Arial" w:hAnsi="Arial"/>
          <w:sz w:val="15"/>
          <w:szCs w:val="15"/>
          <w:b w:val="1"/>
          <w:bCs w:val="1"/>
          <w:color w:val="auto"/>
        </w:rPr>
      </w:pPr>
      <w:r>
        <w:rPr>
          <w:rFonts w:ascii="Arial" w:cs="Arial" w:eastAsia="Arial" w:hAnsi="Arial"/>
          <w:sz w:val="15"/>
          <w:szCs w:val="15"/>
          <w:b w:val="1"/>
          <w:bCs w:val="1"/>
          <w:color w:val="auto"/>
        </w:rPr>
        <w:t>Other Prohibited Transactions</w:t>
      </w:r>
    </w:p>
    <w:p>
      <w:pPr>
        <w:spacing w:after="0" w:line="90" w:lineRule="exact"/>
        <w:rPr>
          <w:rFonts w:ascii="Arial" w:cs="Arial" w:eastAsia="Arial" w:hAnsi="Arial"/>
          <w:sz w:val="15"/>
          <w:szCs w:val="15"/>
          <w:b w:val="1"/>
          <w:bCs w:val="1"/>
          <w:color w:val="auto"/>
        </w:rPr>
      </w:pPr>
    </w:p>
    <w:p>
      <w:pPr>
        <w:ind w:left="560" w:right="20"/>
        <w:spacing w:after="0" w:line="304" w:lineRule="auto"/>
        <w:rPr>
          <w:rFonts w:ascii="Arial" w:cs="Arial" w:eastAsia="Arial" w:hAnsi="Arial"/>
          <w:sz w:val="15"/>
          <w:szCs w:val="15"/>
          <w:b w:val="1"/>
          <w:bCs w:val="1"/>
          <w:color w:val="auto"/>
        </w:rPr>
      </w:pPr>
      <w:r>
        <w:rPr>
          <w:rFonts w:ascii="Arial" w:cs="Arial" w:eastAsia="Arial" w:hAnsi="Arial"/>
          <w:sz w:val="15"/>
          <w:szCs w:val="15"/>
          <w:color w:val="auto"/>
        </w:rPr>
        <w:t xml:space="preserve">BioNTech also prohibits short-term and speculative transactions involving BioNTech Securities. Therefore, BioNTech Representatives and their Immediate Family Members are prohibited from the below types of transactions, regardless of </w:t>
      </w:r>
      <w:r>
        <w:rPr>
          <w:rFonts w:ascii="Arial" w:cs="Arial" w:eastAsia="Arial" w:hAnsi="Arial"/>
          <w:sz w:val="15"/>
          <w:szCs w:val="15"/>
          <w:u w:val="single" w:color="auto"/>
          <w:color w:val="auto"/>
        </w:rPr>
        <w:t>whether such person has MNPI</w:t>
      </w:r>
      <w:r>
        <w:rPr>
          <w:rFonts w:ascii="Arial" w:cs="Arial" w:eastAsia="Arial" w:hAnsi="Arial"/>
          <w:sz w:val="15"/>
          <w:szCs w:val="15"/>
          <w:color w:val="auto"/>
        </w:rPr>
        <w:t>:</w:t>
      </w:r>
    </w:p>
    <w:p>
      <w:pPr>
        <w:spacing w:after="0" w:line="28" w:lineRule="exact"/>
        <w:rPr>
          <w:rFonts w:ascii="Arial" w:cs="Arial" w:eastAsia="Arial" w:hAnsi="Arial"/>
          <w:sz w:val="15"/>
          <w:szCs w:val="15"/>
          <w:b w:val="1"/>
          <w:bCs w:val="1"/>
          <w:color w:val="auto"/>
        </w:rPr>
      </w:pPr>
    </w:p>
    <w:p>
      <w:pPr>
        <w:jc w:val="both"/>
        <w:ind w:left="800" w:hanging="233"/>
        <w:spacing w:after="0" w:line="285" w:lineRule="auto"/>
        <w:tabs>
          <w:tab w:leader="none" w:pos="790" w:val="left"/>
        </w:tabs>
        <w:numPr>
          <w:ilvl w:val="1"/>
          <w:numId w:val="240"/>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Short-term trading</w:t>
      </w:r>
      <w:r>
        <w:rPr>
          <w:rFonts w:ascii="Arial" w:cs="Arial" w:eastAsia="Arial" w:hAnsi="Arial"/>
          <w:sz w:val="15"/>
          <w:szCs w:val="15"/>
          <w:color w:val="auto"/>
        </w:rPr>
        <w:t>: Trading BioNTech Securities on a short-term basis is prohibited, as it may be distracting by placing a focus on short-term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stock performance over BioNTech’s long-term business objectives. Thus, BioNTech Securities purchased in the open market must be held for a </w:t>
      </w:r>
      <w:r>
        <w:rPr>
          <w:rFonts w:ascii="Arial" w:cs="Arial" w:eastAsia="Arial" w:hAnsi="Arial"/>
          <w:sz w:val="15"/>
          <w:szCs w:val="15"/>
          <w:u w:val="single" w:color="auto"/>
          <w:color w:val="auto"/>
        </w:rPr>
        <w:t>minimum of six (6) months</w:t>
      </w:r>
      <w:r>
        <w:rPr>
          <w:rFonts w:ascii="Arial" w:cs="Arial" w:eastAsia="Arial" w:hAnsi="Arial"/>
          <w:sz w:val="15"/>
          <w:szCs w:val="15"/>
          <w:color w:val="auto"/>
        </w:rPr>
        <w:t xml:space="preserve"> and ideally longer.</w:t>
      </w:r>
    </w:p>
    <w:p>
      <w:pPr>
        <w:spacing w:after="0" w:line="41" w:lineRule="exact"/>
        <w:rPr>
          <w:rFonts w:ascii="Times New Roman" w:cs="Times New Roman" w:eastAsia="Times New Roman" w:hAnsi="Times New Roman"/>
          <w:sz w:val="15"/>
          <w:szCs w:val="15"/>
          <w:color w:val="auto"/>
        </w:rPr>
      </w:pPr>
    </w:p>
    <w:p>
      <w:pPr>
        <w:jc w:val="both"/>
        <w:ind w:left="800" w:right="20" w:hanging="233"/>
        <w:spacing w:after="0" w:line="285" w:lineRule="auto"/>
        <w:tabs>
          <w:tab w:leader="none" w:pos="790" w:val="left"/>
        </w:tabs>
        <w:numPr>
          <w:ilvl w:val="1"/>
          <w:numId w:val="240"/>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Short sales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Short sales of BioNTech Securities are prohibited. These sales indicate that the seller believes that the securities will decline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value, and also signal to the market that the seller does not have confidence in the securities. Additionally, short sales may impact an BioNTech Representative’s incentive or motivation to improve and focus on BioNTech itself.</w:t>
      </w:r>
    </w:p>
    <w:p>
      <w:pPr>
        <w:spacing w:after="0" w:line="41" w:lineRule="exact"/>
        <w:rPr>
          <w:rFonts w:ascii="Times New Roman" w:cs="Times New Roman" w:eastAsia="Times New Roman" w:hAnsi="Times New Roman"/>
          <w:sz w:val="15"/>
          <w:szCs w:val="15"/>
          <w:color w:val="auto"/>
        </w:rPr>
      </w:pPr>
    </w:p>
    <w:p>
      <w:pPr>
        <w:ind w:left="800" w:hanging="233"/>
        <w:spacing w:after="0" w:line="303" w:lineRule="auto"/>
        <w:tabs>
          <w:tab w:leader="none" w:pos="790" w:val="left"/>
        </w:tabs>
        <w:numPr>
          <w:ilvl w:val="1"/>
          <w:numId w:val="240"/>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 xml:space="preserve">Publicly traded options: </w:t>
      </w:r>
      <w:r>
        <w:rPr>
          <w:rFonts w:ascii="Arial" w:cs="Arial" w:eastAsia="Arial" w:hAnsi="Arial"/>
          <w:sz w:val="15"/>
          <w:szCs w:val="15"/>
          <w:color w:val="auto"/>
        </w:rPr>
        <w:t>Buying or selling publicly traded options is not permitted, as such options are essentially bets on the short-term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movement of BioNTech Securities, and create the appearance that trading is based on inside information.</w:t>
      </w:r>
    </w:p>
    <w:p>
      <w:pPr>
        <w:spacing w:after="0" w:line="28" w:lineRule="exact"/>
        <w:rPr>
          <w:rFonts w:ascii="Times New Roman" w:cs="Times New Roman" w:eastAsia="Times New Roman" w:hAnsi="Times New Roman"/>
          <w:sz w:val="15"/>
          <w:szCs w:val="15"/>
          <w:color w:val="auto"/>
        </w:rPr>
      </w:pPr>
    </w:p>
    <w:p>
      <w:pPr>
        <w:ind w:left="800" w:right="20" w:hanging="233"/>
        <w:spacing w:after="0" w:line="303" w:lineRule="auto"/>
        <w:tabs>
          <w:tab w:leader="none" w:pos="790" w:val="left"/>
        </w:tabs>
        <w:numPr>
          <w:ilvl w:val="1"/>
          <w:numId w:val="240"/>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Hedging transactions</w:t>
      </w:r>
      <w:r>
        <w:rPr>
          <w:rFonts w:ascii="Arial" w:cs="Arial" w:eastAsia="Arial" w:hAnsi="Arial"/>
          <w:sz w:val="15"/>
          <w:szCs w:val="15"/>
          <w:color w:val="auto"/>
        </w:rPr>
        <w:t>: Hedging transactions, such as zero-cost collars and forward sale contracts, allow BioNTech Representatives to continue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own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ectPr>
          <w:pgSz w:w="11900" w:h="16840" w:orient="portrait"/>
          <w:cols w:equalWidth="0" w:num="1">
            <w:col w:w="10580"/>
          </w:cols>
          <w:pgMar w:left="660" w:top="599" w:right="660" w:bottom="1440" w:gutter="0" w:footer="0" w:header="0"/>
        </w:sectPr>
      </w:pPr>
    </w:p>
    <w:bookmarkStart w:id="423" w:name="page424"/>
    <w:bookmarkEnd w:id="423"/>
    <w:p>
      <w:pPr>
        <w:ind w:left="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2082165</wp:posOffset>
            </wp:positionH>
            <wp:positionV relativeFrom="page">
              <wp:posOffset>361950</wp:posOffset>
            </wp:positionV>
            <wp:extent cx="1181100" cy="1092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46">
                      <a:clrChange>
                        <a:clrFrom>
                          <a:srgbClr val="FFFFFF"/>
                        </a:clrFrom>
                        <a:clrTo>
                          <a:srgbClr val="FFFFFF">
                            <a:alpha val="0"/>
                          </a:srgbClr>
                        </a:clrTo>
                      </a:clrChange>
                      <a:extLst>
                        <a:ext uri="{28A0092B-C50C-407E-A947-70E740481C1C}"/>
                      </a:extLst>
                    </a:blip>
                    <a:srcRect/>
                    <a:stretch>
                      <a:fillRect/>
                    </a:stretch>
                  </pic:blipFill>
                  <pic:spPr bwMode="auto">
                    <a:xfrm>
                      <a:off x="0" y="0"/>
                      <a:ext cx="1181100" cy="109220"/>
                    </a:xfrm>
                    <a:prstGeom prst="rect">
                      <a:avLst/>
                    </a:prstGeom>
                    <a:noFill/>
                  </pic:spPr>
                </pic:pic>
              </a:graphicData>
            </a:graphic>
          </wp:anchor>
        </w:drawing>
        <w:t>Insider Trading Policy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09"/>
        <w:spacing w:after="0" w:line="304" w:lineRule="auto"/>
        <w:rPr>
          <w:sz w:val="20"/>
          <w:szCs w:val="20"/>
          <w:color w:val="auto"/>
        </w:rPr>
      </w:pPr>
      <w:r>
        <w:rPr>
          <w:rFonts w:ascii="Arial" w:cs="Arial" w:eastAsia="Arial" w:hAnsi="Arial"/>
          <w:sz w:val="15"/>
          <w:szCs w:val="15"/>
          <w:color w:val="auto"/>
        </w:rPr>
        <w:t>covered Securities, but without the full risks and rewards of ownership. These types of transactions may create conflicts of interest and thus are prohibited.</w:t>
      </w:r>
    </w:p>
    <w:p>
      <w:pPr>
        <w:spacing w:after="0" w:line="28" w:lineRule="exact"/>
        <w:rPr>
          <w:sz w:val="20"/>
          <w:szCs w:val="20"/>
          <w:color w:val="auto"/>
        </w:rPr>
      </w:pPr>
    </w:p>
    <w:p>
      <w:pPr>
        <w:ind w:left="809" w:right="20" w:hanging="233"/>
        <w:spacing w:after="0" w:line="303" w:lineRule="auto"/>
        <w:tabs>
          <w:tab w:leader="none" w:pos="799" w:val="left"/>
        </w:tabs>
        <w:numPr>
          <w:ilvl w:val="1"/>
          <w:numId w:val="241"/>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Margin accounts and pledges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It is prohibited to hold any BioNTech Securities in margin accounts and BioNTech Representatives may not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pledge BioNTech shares or other Securities as collateral for loans or other obligations.</w:t>
      </w:r>
    </w:p>
    <w:p>
      <w:pPr>
        <w:spacing w:after="0" w:line="109" w:lineRule="exact"/>
        <w:rPr>
          <w:rFonts w:ascii="Times New Roman" w:cs="Times New Roman" w:eastAsia="Times New Roman" w:hAnsi="Times New Roman"/>
          <w:sz w:val="15"/>
          <w:szCs w:val="15"/>
          <w:color w:val="auto"/>
        </w:rPr>
      </w:pPr>
    </w:p>
    <w:p>
      <w:pPr>
        <w:ind w:left="569" w:hanging="276"/>
        <w:spacing w:after="0"/>
        <w:tabs>
          <w:tab w:leader="none" w:pos="569" w:val="left"/>
        </w:tabs>
        <w:numPr>
          <w:ilvl w:val="0"/>
          <w:numId w:val="241"/>
        </w:numPr>
        <w:rPr>
          <w:rFonts w:ascii="Arial" w:cs="Arial" w:eastAsia="Arial" w:hAnsi="Arial"/>
          <w:sz w:val="15"/>
          <w:szCs w:val="15"/>
          <w:b w:val="1"/>
          <w:bCs w:val="1"/>
          <w:color w:val="auto"/>
        </w:rPr>
      </w:pPr>
      <w:r>
        <w:rPr>
          <w:rFonts w:ascii="Arial" w:cs="Arial" w:eastAsia="Arial" w:hAnsi="Arial"/>
          <w:sz w:val="15"/>
          <w:szCs w:val="15"/>
          <w:b w:val="1"/>
          <w:bCs w:val="1"/>
          <w:color w:val="auto"/>
        </w:rPr>
        <w:t>Applicability to Securities of Other Companies</w:t>
      </w:r>
    </w:p>
    <w:p>
      <w:pPr>
        <w:spacing w:after="0" w:line="90" w:lineRule="exact"/>
        <w:rPr>
          <w:rFonts w:ascii="Arial" w:cs="Arial" w:eastAsia="Arial" w:hAnsi="Arial"/>
          <w:sz w:val="15"/>
          <w:szCs w:val="15"/>
          <w:b w:val="1"/>
          <w:bCs w:val="1"/>
          <w:color w:val="auto"/>
        </w:rPr>
      </w:pPr>
    </w:p>
    <w:p>
      <w:pPr>
        <w:ind w:left="569" w:right="20"/>
        <w:spacing w:after="0" w:line="265" w:lineRule="auto"/>
        <w:rPr>
          <w:rFonts w:ascii="Arial" w:cs="Arial" w:eastAsia="Arial" w:hAnsi="Arial"/>
          <w:sz w:val="15"/>
          <w:szCs w:val="15"/>
          <w:b w:val="1"/>
          <w:bCs w:val="1"/>
          <w:color w:val="auto"/>
        </w:rPr>
      </w:pPr>
      <w:r>
        <w:rPr>
          <w:rFonts w:ascii="Arial" w:cs="Arial" w:eastAsia="Arial" w:hAnsi="Arial"/>
          <w:sz w:val="15"/>
          <w:szCs w:val="15"/>
          <w:color w:val="auto"/>
        </w:rPr>
        <w:t>The prohibition on Insider Trading in this Policy is not limited to trading in BioNTech Securities. It includes trading in the Securities of other companies,</w:t>
      </w:r>
    </w:p>
    <w:p>
      <w:pPr>
        <w:spacing w:after="0" w:line="365" w:lineRule="exact"/>
        <w:rPr>
          <w:sz w:val="20"/>
          <w:szCs w:val="20"/>
          <w:color w:val="auto"/>
        </w:rPr>
      </w:pPr>
    </w:p>
    <w:p>
      <w:pPr>
        <w:jc w:val="both"/>
        <w:ind w:left="969" w:right="20"/>
        <w:spacing w:after="0" w:line="259" w:lineRule="auto"/>
        <w:rPr>
          <w:sz w:val="20"/>
          <w:szCs w:val="20"/>
          <w:color w:val="auto"/>
        </w:rPr>
      </w:pPr>
      <w:r>
        <w:rPr>
          <w:rFonts w:ascii="Arial" w:cs="Arial" w:eastAsia="Arial" w:hAnsi="Arial"/>
          <w:sz w:val="15"/>
          <w:szCs w:val="15"/>
          <w:i w:val="1"/>
          <w:iCs w:val="1"/>
          <w:color w:val="auto"/>
        </w:rPr>
        <w:t>For example</w:t>
      </w:r>
      <w:r>
        <w:rPr>
          <w:rFonts w:ascii="Arial" w:cs="Arial" w:eastAsia="Arial" w:hAnsi="Arial"/>
          <w:sz w:val="15"/>
          <w:szCs w:val="15"/>
          <w:color w:val="auto"/>
        </w:rPr>
        <w:t>, those with which BioNTech may be negotiating a collaboration, acquisition or other significant transaction, customers or suppliers</w:t>
      </w:r>
      <w:r>
        <w:rPr>
          <w:rFonts w:ascii="Arial" w:cs="Arial" w:eastAsia="Arial" w:hAnsi="Arial"/>
          <w:sz w:val="15"/>
          <w:szCs w:val="15"/>
          <w:i w:val="1"/>
          <w:iCs w:val="1"/>
          <w:color w:val="auto"/>
        </w:rPr>
        <w:t xml:space="preserve"> </w:t>
      </w:r>
      <w:r>
        <w:rPr>
          <w:rFonts w:ascii="Arial" w:cs="Arial" w:eastAsia="Arial" w:hAnsi="Arial"/>
          <w:sz w:val="15"/>
          <w:szCs w:val="15"/>
          <w:color w:val="auto"/>
        </w:rPr>
        <w:t>of BioNTech, and companies with which trading in BioNTech Securities is highly correlated, such as those pursuing product candidates targeting indications that are similar to those BioNTech is pursuing.</w:t>
      </w:r>
    </w:p>
    <w:p>
      <w:pPr>
        <w:spacing w:after="0" w:line="1" w:lineRule="exact"/>
        <w:rPr>
          <w:sz w:val="20"/>
          <w:szCs w:val="20"/>
          <w:color w:val="auto"/>
        </w:rPr>
      </w:pPr>
    </w:p>
    <w:p>
      <w:pPr>
        <w:ind w:left="569"/>
        <w:spacing w:after="0" w:line="270" w:lineRule="auto"/>
        <w:rPr>
          <w:sz w:val="20"/>
          <w:szCs w:val="20"/>
          <w:color w:val="auto"/>
        </w:rPr>
      </w:pPr>
      <w:r>
        <w:rPr>
          <w:rFonts w:ascii="Arial" w:cs="Arial" w:eastAsia="Arial" w:hAnsi="Arial"/>
          <w:sz w:val="15"/>
          <w:szCs w:val="15"/>
          <w:color w:val="auto"/>
        </w:rPr>
        <w:t>If you are in possession of MNPI of another company, you are prohibited from trading in that company’s Securities until that information becomes public or is no longer material to that company, regardless of whether the information is Material to BioNTech.</w:t>
      </w:r>
    </w:p>
    <w:p>
      <w:pPr>
        <w:spacing w:after="0" w:line="154" w:lineRule="exact"/>
        <w:rPr>
          <w:sz w:val="20"/>
          <w:szCs w:val="20"/>
          <w:color w:val="auto"/>
        </w:rPr>
      </w:pPr>
    </w:p>
    <w:p>
      <w:pPr>
        <w:ind w:left="569"/>
        <w:spacing w:after="0" w:line="290" w:lineRule="auto"/>
        <w:rPr>
          <w:sz w:val="20"/>
          <w:szCs w:val="20"/>
          <w:color w:val="auto"/>
        </w:rPr>
      </w:pPr>
      <w:r>
        <w:rPr>
          <w:rFonts w:ascii="Arial" w:cs="Arial" w:eastAsia="Arial" w:hAnsi="Arial"/>
          <w:sz w:val="15"/>
          <w:szCs w:val="15"/>
          <w:color w:val="auto"/>
        </w:rPr>
        <w:t>While such transactions are not subject to the pre- clearance procedures of section 5(d), trading in another company’s Securities when in possession of MNPI that may affect that company is prohibited by securities laws and this Policy.</w:t>
      </w:r>
    </w:p>
    <w:p>
      <w:pPr>
        <w:spacing w:after="0" w:line="139" w:lineRule="exact"/>
        <w:rPr>
          <w:sz w:val="20"/>
          <w:szCs w:val="20"/>
          <w:color w:val="auto"/>
        </w:rPr>
      </w:pPr>
    </w:p>
    <w:p>
      <w:pPr>
        <w:ind w:left="569" w:hanging="276"/>
        <w:spacing w:after="0"/>
        <w:tabs>
          <w:tab w:leader="none" w:pos="569" w:val="left"/>
        </w:tabs>
        <w:numPr>
          <w:ilvl w:val="1"/>
          <w:numId w:val="242"/>
        </w:numPr>
        <w:rPr>
          <w:rFonts w:ascii="Arial" w:cs="Arial" w:eastAsia="Arial" w:hAnsi="Arial"/>
          <w:sz w:val="15"/>
          <w:szCs w:val="15"/>
          <w:b w:val="1"/>
          <w:bCs w:val="1"/>
          <w:color w:val="auto"/>
        </w:rPr>
      </w:pPr>
      <w:r>
        <w:rPr>
          <w:rFonts w:ascii="Arial" w:cs="Arial" w:eastAsia="Arial" w:hAnsi="Arial"/>
          <w:sz w:val="15"/>
          <w:szCs w:val="15"/>
          <w:b w:val="1"/>
          <w:bCs w:val="1"/>
          <w:color w:val="auto"/>
        </w:rPr>
        <w:t>Former BioNTech Representatives</w:t>
      </w:r>
    </w:p>
    <w:p>
      <w:pPr>
        <w:spacing w:after="0" w:line="90" w:lineRule="exact"/>
        <w:rPr>
          <w:rFonts w:ascii="Arial" w:cs="Arial" w:eastAsia="Arial" w:hAnsi="Arial"/>
          <w:sz w:val="15"/>
          <w:szCs w:val="15"/>
          <w:b w:val="1"/>
          <w:bCs w:val="1"/>
          <w:color w:val="auto"/>
        </w:rPr>
      </w:pPr>
    </w:p>
    <w:p>
      <w:pPr>
        <w:jc w:val="both"/>
        <w:ind w:left="569" w:right="40"/>
        <w:spacing w:after="0" w:line="259" w:lineRule="auto"/>
        <w:rPr>
          <w:rFonts w:ascii="Arial" w:cs="Arial" w:eastAsia="Arial" w:hAnsi="Arial"/>
          <w:sz w:val="15"/>
          <w:szCs w:val="15"/>
          <w:b w:val="1"/>
          <w:bCs w:val="1"/>
          <w:color w:val="auto"/>
        </w:rPr>
      </w:pPr>
      <w:r>
        <w:rPr>
          <w:rFonts w:ascii="Arial" w:cs="Arial" w:eastAsia="Arial" w:hAnsi="Arial"/>
          <w:sz w:val="15"/>
          <w:szCs w:val="15"/>
          <w:color w:val="auto"/>
        </w:rPr>
        <w:t>A BioNTech Representative who is no longer affiliated with BioNTech remains accountable for any MNPI obtained in connection with their former role with BioNTech that such person possesses. Former BioNTech Representatives are prohibited from trading in BioNTech Securities until such MNPI becomes public or is no longer Material.</w:t>
      </w:r>
    </w:p>
    <w:p>
      <w:pPr>
        <w:spacing w:after="0" w:line="1" w:lineRule="exact"/>
        <w:rPr>
          <w:rFonts w:ascii="Arial" w:cs="Arial" w:eastAsia="Arial" w:hAnsi="Arial"/>
          <w:sz w:val="15"/>
          <w:szCs w:val="15"/>
          <w:b w:val="1"/>
          <w:bCs w:val="1"/>
          <w:color w:val="auto"/>
        </w:rPr>
      </w:pPr>
    </w:p>
    <w:p>
      <w:pPr>
        <w:jc w:val="both"/>
        <w:ind w:left="569"/>
        <w:spacing w:after="0" w:line="262" w:lineRule="auto"/>
        <w:rPr>
          <w:rFonts w:ascii="Arial" w:cs="Arial" w:eastAsia="Arial" w:hAnsi="Arial"/>
          <w:sz w:val="15"/>
          <w:szCs w:val="15"/>
          <w:b w:val="1"/>
          <w:bCs w:val="1"/>
          <w:color w:val="auto"/>
        </w:rPr>
      </w:pPr>
      <w:r>
        <w:rPr>
          <w:rFonts w:ascii="Arial" w:cs="Arial" w:eastAsia="Arial" w:hAnsi="Arial"/>
          <w:sz w:val="15"/>
          <w:szCs w:val="15"/>
          <w:color w:val="auto"/>
        </w:rPr>
        <w:t>Transactions by former BioNTech Representatives (including those designated Covered Persons while affiliated with BioNTech) are not subject to the pre-clearance procedures of section 5(d) of this Policy, but such individuals remain responsible for ensuring that they are not trading while in possession of MNPI.</w:t>
      </w:r>
    </w:p>
    <w:p>
      <w:pPr>
        <w:spacing w:after="0" w:line="168" w:lineRule="exact"/>
        <w:rPr>
          <w:rFonts w:ascii="Arial" w:cs="Arial" w:eastAsia="Arial" w:hAnsi="Arial"/>
          <w:sz w:val="15"/>
          <w:szCs w:val="15"/>
          <w:b w:val="1"/>
          <w:bCs w:val="1"/>
          <w:color w:val="auto"/>
        </w:rPr>
      </w:pPr>
    </w:p>
    <w:p>
      <w:pPr>
        <w:ind w:left="289" w:hanging="289"/>
        <w:spacing w:after="0"/>
        <w:tabs>
          <w:tab w:leader="none" w:pos="289" w:val="left"/>
        </w:tabs>
        <w:numPr>
          <w:ilvl w:val="0"/>
          <w:numId w:val="243"/>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Prohibitions for Covered Persons</w:t>
      </w:r>
    </w:p>
    <w:p>
      <w:pPr>
        <w:spacing w:after="0" w:line="180" w:lineRule="exact"/>
        <w:rPr>
          <w:rFonts w:ascii="Arial" w:cs="Arial" w:eastAsia="Arial" w:hAnsi="Arial"/>
          <w:sz w:val="16"/>
          <w:szCs w:val="16"/>
          <w:b w:val="1"/>
          <w:bCs w:val="1"/>
          <w:color w:val="auto"/>
        </w:rPr>
      </w:pPr>
    </w:p>
    <w:p>
      <w:pPr>
        <w:ind w:left="569" w:hanging="276"/>
        <w:spacing w:after="0"/>
        <w:tabs>
          <w:tab w:leader="none" w:pos="569" w:val="left"/>
        </w:tabs>
        <w:numPr>
          <w:ilvl w:val="1"/>
          <w:numId w:val="243"/>
        </w:numPr>
        <w:rPr>
          <w:rFonts w:ascii="Arial" w:cs="Arial" w:eastAsia="Arial" w:hAnsi="Arial"/>
          <w:sz w:val="15"/>
          <w:szCs w:val="15"/>
          <w:b w:val="1"/>
          <w:bCs w:val="1"/>
          <w:color w:val="auto"/>
        </w:rPr>
      </w:pPr>
      <w:r>
        <w:rPr>
          <w:rFonts w:ascii="Arial" w:cs="Arial" w:eastAsia="Arial" w:hAnsi="Arial"/>
          <w:sz w:val="15"/>
          <w:szCs w:val="15"/>
          <w:b w:val="1"/>
          <w:bCs w:val="1"/>
          <w:color w:val="auto"/>
        </w:rPr>
        <w:t>Covered Persons</w:t>
      </w:r>
    </w:p>
    <w:p>
      <w:pPr>
        <w:spacing w:after="0" w:line="90" w:lineRule="exact"/>
        <w:rPr>
          <w:sz w:val="20"/>
          <w:szCs w:val="20"/>
          <w:color w:val="auto"/>
        </w:rPr>
      </w:pPr>
    </w:p>
    <w:p>
      <w:pPr>
        <w:ind w:left="549"/>
        <w:spacing w:after="0" w:line="290" w:lineRule="auto"/>
        <w:rPr>
          <w:sz w:val="20"/>
          <w:szCs w:val="20"/>
          <w:color w:val="auto"/>
        </w:rPr>
      </w:pPr>
      <w:r>
        <w:rPr>
          <w:rFonts w:ascii="Arial" w:cs="Arial" w:eastAsia="Arial" w:hAnsi="Arial"/>
          <w:sz w:val="15"/>
          <w:szCs w:val="15"/>
          <w:color w:val="auto"/>
        </w:rPr>
        <w:t xml:space="preserve">BioNTech Representatives who are frequently in possession of MNPI because of their role with BioNTech are considered </w:t>
      </w:r>
      <w:r>
        <w:rPr>
          <w:rFonts w:ascii="Arial" w:cs="Arial" w:eastAsia="Arial" w:hAnsi="Arial"/>
          <w:sz w:val="15"/>
          <w:szCs w:val="15"/>
          <w:b w:val="1"/>
          <w:bCs w:val="1"/>
          <w:color w:val="auto"/>
        </w:rPr>
        <w:t>Covered Persons</w:t>
      </w:r>
      <w:r>
        <w:rPr>
          <w:rFonts w:ascii="Arial" w:cs="Arial" w:eastAsia="Arial" w:hAnsi="Arial"/>
          <w:sz w:val="15"/>
          <w:szCs w:val="15"/>
          <w:color w:val="auto"/>
        </w:rPr>
        <w:t xml:space="preserve"> and are subject to additional prohibitions.</w:t>
      </w:r>
    </w:p>
    <w:p>
      <w:pPr>
        <w:spacing w:after="0" w:line="28" w:lineRule="exact"/>
        <w:rPr>
          <w:sz w:val="20"/>
          <w:szCs w:val="20"/>
          <w:color w:val="auto"/>
        </w:rPr>
      </w:pPr>
    </w:p>
    <w:p>
      <w:pPr>
        <w:ind w:left="749" w:right="20" w:hanging="173"/>
        <w:spacing w:after="0" w:line="289" w:lineRule="auto"/>
        <w:tabs>
          <w:tab w:leader="none" w:pos="749" w:val="left"/>
        </w:tabs>
        <w:numPr>
          <w:ilvl w:val="0"/>
          <w:numId w:val="244"/>
        </w:numPr>
        <w:rPr>
          <w:rFonts w:ascii="Times New Roman" w:cs="Times New Roman" w:eastAsia="Times New Roman" w:hAnsi="Times New Roman"/>
          <w:sz w:val="15"/>
          <w:szCs w:val="15"/>
          <w:color w:val="auto"/>
        </w:rPr>
      </w:pPr>
      <w:r>
        <w:rPr>
          <w:rFonts w:ascii="Arial" w:cs="Arial" w:eastAsia="Arial" w:hAnsi="Arial"/>
          <w:sz w:val="15"/>
          <w:szCs w:val="15"/>
          <w:color w:val="auto"/>
        </w:rPr>
        <w:t>Covered Persons (excluding Immediate Family Members) are required to specifically inform their Executive Assistants (where applicable) and Immediate Family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
        <w:spacing w:after="0"/>
        <w:rPr>
          <w:sz w:val="20"/>
          <w:szCs w:val="20"/>
          <w:color w:val="auto"/>
        </w:rPr>
      </w:pPr>
      <w:r>
        <w:rPr>
          <w:rFonts w:ascii="Arial" w:cs="Arial" w:eastAsia="Arial" w:hAnsi="Arial"/>
          <w:sz w:val="15"/>
          <w:szCs w:val="15"/>
          <w:color w:val="auto"/>
        </w:rPr>
        <w:t>[***]</w:t>
      </w:r>
    </w:p>
    <w:p>
      <w:pPr>
        <w:sectPr>
          <w:pgSz w:w="11900" w:h="16840" w:orient="portrait"/>
          <w:cols w:equalWidth="0" w:num="1">
            <w:col w:w="10589"/>
          </w:cols>
          <w:pgMar w:left="651" w:top="599" w:right="660" w:bottom="1440" w:gutter="0" w:footer="0" w:header="0"/>
        </w:sectPr>
      </w:pPr>
    </w:p>
    <w:bookmarkStart w:id="424" w:name="page425"/>
    <w:bookmarkEnd w:id="4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2082165</wp:posOffset>
            </wp:positionH>
            <wp:positionV relativeFrom="page">
              <wp:posOffset>361950</wp:posOffset>
            </wp:positionV>
            <wp:extent cx="1181100" cy="1092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47">
                      <a:clrChange>
                        <a:clrFrom>
                          <a:srgbClr val="FFFFFF"/>
                        </a:clrFrom>
                        <a:clrTo>
                          <a:srgbClr val="FFFFFF">
                            <a:alpha val="0"/>
                          </a:srgbClr>
                        </a:clrTo>
                      </a:clrChange>
                      <a:extLst>
                        <a:ext uri="{28A0092B-C50C-407E-A947-70E740481C1C}"/>
                      </a:extLst>
                    </a:blip>
                    <a:srcRect/>
                    <a:stretch>
                      <a:fillRect/>
                    </a:stretch>
                  </pic:blipFill>
                  <pic:spPr bwMode="auto">
                    <a:xfrm>
                      <a:off x="0" y="0"/>
                      <a:ext cx="1181100" cy="109220"/>
                    </a:xfrm>
                    <a:prstGeom prst="rect">
                      <a:avLst/>
                    </a:prstGeom>
                    <a:noFill/>
                  </pic:spPr>
                </pic:pic>
              </a:graphicData>
            </a:graphic>
          </wp:anchor>
        </w:drawing>
        <w:t>Insider Trading Policy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40"/>
        <w:spacing w:after="0"/>
        <w:rPr>
          <w:sz w:val="20"/>
          <w:szCs w:val="20"/>
          <w:color w:val="auto"/>
        </w:rPr>
      </w:pPr>
      <w:r>
        <w:rPr>
          <w:rFonts w:ascii="Arial" w:cs="Arial" w:eastAsia="Arial" w:hAnsi="Arial"/>
          <w:sz w:val="15"/>
          <w:szCs w:val="15"/>
          <w:color w:val="auto"/>
        </w:rPr>
        <w:t>of the additional requirements applicable to them as Covered Persons under this Policy.</w:t>
      </w:r>
    </w:p>
    <w:p>
      <w:pPr>
        <w:spacing w:after="0" w:line="90" w:lineRule="exact"/>
        <w:rPr>
          <w:sz w:val="20"/>
          <w:szCs w:val="20"/>
          <w:color w:val="auto"/>
        </w:rPr>
      </w:pPr>
    </w:p>
    <w:p>
      <w:pPr>
        <w:ind w:left="740" w:hanging="173"/>
        <w:spacing w:after="0" w:line="303" w:lineRule="auto"/>
        <w:tabs>
          <w:tab w:leader="none" w:pos="740" w:val="left"/>
        </w:tabs>
        <w:numPr>
          <w:ilvl w:val="1"/>
          <w:numId w:val="245"/>
        </w:numPr>
        <w:rPr>
          <w:rFonts w:ascii="Times New Roman" w:cs="Times New Roman" w:eastAsia="Times New Roman" w:hAnsi="Times New Roman"/>
          <w:sz w:val="15"/>
          <w:szCs w:val="15"/>
          <w:color w:val="auto"/>
        </w:rPr>
      </w:pPr>
      <w:r>
        <w:rPr>
          <w:rFonts w:ascii="Arial" w:cs="Arial" w:eastAsia="Arial" w:hAnsi="Arial"/>
          <w:sz w:val="15"/>
          <w:szCs w:val="15"/>
          <w:color w:val="auto"/>
        </w:rPr>
        <w:t>Covered Persons (excluding Immediate Family Members and Executive Assistants) are required to inform Legal once they have informed their Executive Assistant(s) (where applicable) of such requirements.</w:t>
      </w:r>
    </w:p>
    <w:p>
      <w:pPr>
        <w:spacing w:after="0" w:line="109" w:lineRule="exact"/>
        <w:rPr>
          <w:rFonts w:ascii="Times New Roman" w:cs="Times New Roman" w:eastAsia="Times New Roman" w:hAnsi="Times New Roman"/>
          <w:sz w:val="15"/>
          <w:szCs w:val="15"/>
          <w:color w:val="auto"/>
        </w:rPr>
      </w:pPr>
    </w:p>
    <w:p>
      <w:pPr>
        <w:ind w:left="560" w:right="7380" w:hanging="276"/>
        <w:spacing w:after="0" w:line="372" w:lineRule="auto"/>
        <w:tabs>
          <w:tab w:leader="none" w:pos="560" w:val="left"/>
        </w:tabs>
        <w:numPr>
          <w:ilvl w:val="0"/>
          <w:numId w:val="24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Permanent Covered Persons Permanent Covered Persons </w:t>
      </w:r>
      <w:r>
        <w:rPr>
          <w:rFonts w:ascii="Arial" w:cs="Arial" w:eastAsia="Arial" w:hAnsi="Arial"/>
          <w:sz w:val="15"/>
          <w:szCs w:val="15"/>
          <w:color w:val="auto"/>
        </w:rPr>
        <w:t>include:</w:t>
      </w:r>
    </w:p>
    <w:p>
      <w:pPr>
        <w:spacing w:after="0" w:line="1" w:lineRule="exact"/>
        <w:rPr>
          <w:rFonts w:ascii="Arial" w:cs="Arial" w:eastAsia="Arial" w:hAnsi="Arial"/>
          <w:sz w:val="15"/>
          <w:szCs w:val="15"/>
          <w:b w:val="1"/>
          <w:bCs w:val="1"/>
          <w:color w:val="auto"/>
        </w:rPr>
      </w:pPr>
    </w:p>
    <w:p>
      <w:pPr>
        <w:ind w:left="860" w:hanging="283"/>
        <w:spacing w:after="0"/>
        <w:tabs>
          <w:tab w:leader="none" w:pos="860" w:val="left"/>
        </w:tabs>
        <w:numPr>
          <w:ilvl w:val="2"/>
          <w:numId w:val="245"/>
        </w:numPr>
        <w:rPr>
          <w:rFonts w:ascii="Arial" w:cs="Arial" w:eastAsia="Arial" w:hAnsi="Arial"/>
          <w:sz w:val="15"/>
          <w:szCs w:val="15"/>
          <w:color w:val="auto"/>
        </w:rPr>
      </w:pPr>
      <w:r>
        <w:rPr>
          <w:rFonts w:ascii="Arial" w:cs="Arial" w:eastAsia="Arial" w:hAnsi="Arial"/>
          <w:sz w:val="15"/>
          <w:szCs w:val="15"/>
          <w:color w:val="auto"/>
        </w:rPr>
        <w:t>All members of the Supervisory Board of BioNTech SE;</w:t>
      </w:r>
    </w:p>
    <w:p>
      <w:pPr>
        <w:spacing w:after="0" w:line="100" w:lineRule="exact"/>
        <w:rPr>
          <w:rFonts w:ascii="Arial" w:cs="Arial" w:eastAsia="Arial" w:hAnsi="Arial"/>
          <w:sz w:val="15"/>
          <w:szCs w:val="15"/>
          <w:color w:val="auto"/>
        </w:rPr>
      </w:pPr>
    </w:p>
    <w:p>
      <w:pPr>
        <w:ind w:left="880" w:hanging="303"/>
        <w:spacing w:after="0"/>
        <w:tabs>
          <w:tab w:leader="none" w:pos="880" w:val="left"/>
        </w:tabs>
        <w:numPr>
          <w:ilvl w:val="2"/>
          <w:numId w:val="245"/>
        </w:numPr>
        <w:rPr>
          <w:rFonts w:ascii="Arial" w:cs="Arial" w:eastAsia="Arial" w:hAnsi="Arial"/>
          <w:sz w:val="15"/>
          <w:szCs w:val="15"/>
          <w:color w:val="auto"/>
        </w:rPr>
      </w:pPr>
      <w:r>
        <w:rPr>
          <w:rFonts w:ascii="Arial" w:cs="Arial" w:eastAsia="Arial" w:hAnsi="Arial"/>
          <w:sz w:val="15"/>
          <w:szCs w:val="15"/>
          <w:color w:val="auto"/>
        </w:rPr>
        <w:t>All members of the Management Board of BioNTech SE;</w:t>
      </w:r>
    </w:p>
    <w:p>
      <w:pPr>
        <w:spacing w:after="0" w:line="100" w:lineRule="exact"/>
        <w:rPr>
          <w:rFonts w:ascii="Arial" w:cs="Arial" w:eastAsia="Arial" w:hAnsi="Arial"/>
          <w:sz w:val="15"/>
          <w:szCs w:val="15"/>
          <w:color w:val="auto"/>
        </w:rPr>
      </w:pPr>
    </w:p>
    <w:p>
      <w:pPr>
        <w:ind w:left="880" w:hanging="303"/>
        <w:spacing w:after="0"/>
        <w:tabs>
          <w:tab w:leader="none" w:pos="880" w:val="left"/>
        </w:tabs>
        <w:numPr>
          <w:ilvl w:val="2"/>
          <w:numId w:val="245"/>
        </w:numPr>
        <w:rPr>
          <w:rFonts w:ascii="Arial" w:cs="Arial" w:eastAsia="Arial" w:hAnsi="Arial"/>
          <w:sz w:val="15"/>
          <w:szCs w:val="15"/>
          <w:color w:val="auto"/>
        </w:rPr>
      </w:pPr>
      <w:r>
        <w:rPr>
          <w:rFonts w:ascii="Arial" w:cs="Arial" w:eastAsia="Arial" w:hAnsi="Arial"/>
          <w:sz w:val="15"/>
          <w:szCs w:val="15"/>
          <w:color w:val="auto"/>
        </w:rPr>
        <w:t>All Vice Presidents and Senior Vice Presidents of BioNTech;</w:t>
      </w:r>
    </w:p>
    <w:p>
      <w:pPr>
        <w:spacing w:after="0" w:line="100" w:lineRule="exact"/>
        <w:rPr>
          <w:rFonts w:ascii="Arial" w:cs="Arial" w:eastAsia="Arial" w:hAnsi="Arial"/>
          <w:sz w:val="15"/>
          <w:szCs w:val="15"/>
          <w:color w:val="auto"/>
        </w:rPr>
      </w:pPr>
    </w:p>
    <w:p>
      <w:pPr>
        <w:ind w:left="880" w:hanging="303"/>
        <w:spacing w:after="0"/>
        <w:tabs>
          <w:tab w:leader="none" w:pos="880" w:val="left"/>
        </w:tabs>
        <w:numPr>
          <w:ilvl w:val="2"/>
          <w:numId w:val="245"/>
        </w:numPr>
        <w:rPr>
          <w:rFonts w:ascii="Arial" w:cs="Arial" w:eastAsia="Arial" w:hAnsi="Arial"/>
          <w:sz w:val="15"/>
          <w:szCs w:val="15"/>
          <w:color w:val="auto"/>
        </w:rPr>
      </w:pPr>
      <w:r>
        <w:rPr>
          <w:rFonts w:ascii="Arial" w:cs="Arial" w:eastAsia="Arial" w:hAnsi="Arial"/>
          <w:sz w:val="15"/>
          <w:szCs w:val="15"/>
          <w:color w:val="auto"/>
        </w:rPr>
        <w:t>All Senior Directors and Executive Directors of BioNTech;</w:t>
      </w:r>
    </w:p>
    <w:p>
      <w:pPr>
        <w:spacing w:after="0" w:line="100" w:lineRule="exact"/>
        <w:rPr>
          <w:rFonts w:ascii="Arial" w:cs="Arial" w:eastAsia="Arial" w:hAnsi="Arial"/>
          <w:sz w:val="15"/>
          <w:szCs w:val="15"/>
          <w:color w:val="auto"/>
        </w:rPr>
      </w:pPr>
    </w:p>
    <w:p>
      <w:pPr>
        <w:ind w:left="860" w:hanging="283"/>
        <w:spacing w:after="0"/>
        <w:tabs>
          <w:tab w:leader="none" w:pos="860" w:val="left"/>
        </w:tabs>
        <w:numPr>
          <w:ilvl w:val="2"/>
          <w:numId w:val="245"/>
        </w:numPr>
        <w:rPr>
          <w:rFonts w:ascii="Arial" w:cs="Arial" w:eastAsia="Arial" w:hAnsi="Arial"/>
          <w:sz w:val="15"/>
          <w:szCs w:val="15"/>
          <w:color w:val="auto"/>
        </w:rPr>
      </w:pPr>
      <w:r>
        <w:rPr>
          <w:rFonts w:ascii="Arial" w:cs="Arial" w:eastAsia="Arial" w:hAnsi="Arial"/>
          <w:sz w:val="15"/>
          <w:szCs w:val="15"/>
          <w:color w:val="auto"/>
        </w:rPr>
        <w:t xml:space="preserve">All BioNTech Representatives identified in the list </w:t>
      </w:r>
      <w:r>
        <w:rPr>
          <w:rFonts w:ascii="Arial" w:cs="Arial" w:eastAsia="Arial" w:hAnsi="Arial"/>
          <w:sz w:val="15"/>
          <w:szCs w:val="15"/>
          <w:i w:val="1"/>
          <w:iCs w:val="1"/>
          <w:color w:val="auto"/>
        </w:rPr>
        <w:t>Covered Functions</w:t>
      </w:r>
      <w:r>
        <w:rPr>
          <w:rFonts w:ascii="Arial" w:cs="Arial" w:eastAsia="Arial" w:hAnsi="Arial"/>
          <w:sz w:val="15"/>
          <w:szCs w:val="15"/>
          <w:color w:val="auto"/>
        </w:rPr>
        <w:t xml:space="preserve"> on [***], as updated by Legal from time to time;</w:t>
      </w:r>
    </w:p>
    <w:p>
      <w:pPr>
        <w:spacing w:after="0" w:line="100" w:lineRule="exact"/>
        <w:rPr>
          <w:rFonts w:ascii="Arial" w:cs="Arial" w:eastAsia="Arial" w:hAnsi="Arial"/>
          <w:sz w:val="15"/>
          <w:szCs w:val="15"/>
          <w:color w:val="auto"/>
        </w:rPr>
      </w:pPr>
    </w:p>
    <w:p>
      <w:pPr>
        <w:ind w:left="880" w:hanging="303"/>
        <w:spacing w:after="0"/>
        <w:tabs>
          <w:tab w:leader="none" w:pos="880" w:val="left"/>
        </w:tabs>
        <w:numPr>
          <w:ilvl w:val="2"/>
          <w:numId w:val="245"/>
        </w:numPr>
        <w:rPr>
          <w:rFonts w:ascii="Arial" w:cs="Arial" w:eastAsia="Arial" w:hAnsi="Arial"/>
          <w:sz w:val="15"/>
          <w:szCs w:val="15"/>
          <w:color w:val="auto"/>
        </w:rPr>
      </w:pPr>
      <w:r>
        <w:rPr>
          <w:rFonts w:ascii="Arial" w:cs="Arial" w:eastAsia="Arial" w:hAnsi="Arial"/>
          <w:sz w:val="15"/>
          <w:szCs w:val="15"/>
          <w:color w:val="auto"/>
        </w:rPr>
        <w:t>All Executive Assistants of the above individuals and functions;</w:t>
      </w:r>
    </w:p>
    <w:p>
      <w:pPr>
        <w:spacing w:after="0" w:line="100" w:lineRule="exact"/>
        <w:rPr>
          <w:rFonts w:ascii="Arial" w:cs="Arial" w:eastAsia="Arial" w:hAnsi="Arial"/>
          <w:sz w:val="15"/>
          <w:szCs w:val="15"/>
          <w:color w:val="auto"/>
        </w:rPr>
      </w:pPr>
    </w:p>
    <w:p>
      <w:pPr>
        <w:ind w:left="880" w:hanging="303"/>
        <w:spacing w:after="0"/>
        <w:tabs>
          <w:tab w:leader="none" w:pos="880" w:val="left"/>
        </w:tabs>
        <w:numPr>
          <w:ilvl w:val="2"/>
          <w:numId w:val="245"/>
        </w:numPr>
        <w:rPr>
          <w:rFonts w:ascii="Arial" w:cs="Arial" w:eastAsia="Arial" w:hAnsi="Arial"/>
          <w:sz w:val="15"/>
          <w:szCs w:val="15"/>
          <w:color w:val="auto"/>
        </w:rPr>
      </w:pPr>
      <w:r>
        <w:rPr>
          <w:rFonts w:ascii="Arial" w:cs="Arial" w:eastAsia="Arial" w:hAnsi="Arial"/>
          <w:sz w:val="15"/>
          <w:szCs w:val="15"/>
          <w:color w:val="auto"/>
        </w:rPr>
        <w:t>All employees of, or consultants engaged by, BioNTech who have access to information substantially comparable to any of the above;</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(viii)Any other individuals designated by the Chief Legal Officer (CLO); and</w:t>
      </w:r>
    </w:p>
    <w:p>
      <w:pPr>
        <w:spacing w:after="0" w:line="100" w:lineRule="exact"/>
        <w:rPr>
          <w:sz w:val="20"/>
          <w:szCs w:val="20"/>
          <w:color w:val="auto"/>
        </w:rPr>
      </w:pPr>
    </w:p>
    <w:p>
      <w:pPr>
        <w:ind w:left="880" w:hanging="303"/>
        <w:spacing w:after="0"/>
        <w:tabs>
          <w:tab w:leader="none" w:pos="880" w:val="left"/>
        </w:tabs>
        <w:numPr>
          <w:ilvl w:val="1"/>
          <w:numId w:val="246"/>
        </w:numPr>
        <w:rPr>
          <w:rFonts w:ascii="Arial" w:cs="Arial" w:eastAsia="Arial" w:hAnsi="Arial"/>
          <w:sz w:val="15"/>
          <w:szCs w:val="15"/>
          <w:color w:val="auto"/>
        </w:rPr>
      </w:pPr>
      <w:r>
        <w:rPr>
          <w:rFonts w:ascii="Arial" w:cs="Arial" w:eastAsia="Arial" w:hAnsi="Arial"/>
          <w:sz w:val="15"/>
          <w:szCs w:val="15"/>
          <w:color w:val="auto"/>
        </w:rPr>
        <w:t>All Immediate Family Members of the above.</w:t>
      </w:r>
    </w:p>
    <w:p>
      <w:pPr>
        <w:spacing w:after="0" w:line="100" w:lineRule="exact"/>
        <w:rPr>
          <w:rFonts w:ascii="Arial" w:cs="Arial" w:eastAsia="Arial" w:hAnsi="Arial"/>
          <w:sz w:val="15"/>
          <w:szCs w:val="15"/>
          <w:color w:val="auto"/>
        </w:rPr>
      </w:pPr>
    </w:p>
    <w:p>
      <w:pPr>
        <w:ind w:left="560" w:hanging="276"/>
        <w:spacing w:after="0"/>
        <w:tabs>
          <w:tab w:leader="none" w:pos="560" w:val="left"/>
        </w:tabs>
        <w:numPr>
          <w:ilvl w:val="0"/>
          <w:numId w:val="247"/>
        </w:numPr>
        <w:rPr>
          <w:rFonts w:ascii="Arial" w:cs="Arial" w:eastAsia="Arial" w:hAnsi="Arial"/>
          <w:sz w:val="15"/>
          <w:szCs w:val="15"/>
          <w:b w:val="1"/>
          <w:bCs w:val="1"/>
          <w:color w:val="auto"/>
        </w:rPr>
      </w:pPr>
      <w:r>
        <w:rPr>
          <w:rFonts w:ascii="Arial" w:cs="Arial" w:eastAsia="Arial" w:hAnsi="Arial"/>
          <w:sz w:val="15"/>
          <w:szCs w:val="15"/>
          <w:b w:val="1"/>
          <w:bCs w:val="1"/>
          <w:color w:val="auto"/>
        </w:rPr>
        <w:t>Scheduled Blackout Periods for Permanent Covered Persons</w:t>
      </w:r>
    </w:p>
    <w:p>
      <w:pPr>
        <w:spacing w:after="0" w:line="90" w:lineRule="exact"/>
        <w:rPr>
          <w:rFonts w:ascii="Arial" w:cs="Arial" w:eastAsia="Arial" w:hAnsi="Arial"/>
          <w:sz w:val="15"/>
          <w:szCs w:val="15"/>
          <w:b w:val="1"/>
          <w:bCs w:val="1"/>
          <w:color w:val="auto"/>
        </w:rPr>
      </w:pPr>
    </w:p>
    <w:p>
      <w:pPr>
        <w:ind w:left="560" w:right="20"/>
        <w:spacing w:after="0" w:line="290" w:lineRule="auto"/>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Blackout Periods </w:t>
      </w:r>
      <w:r>
        <w:rPr>
          <w:rFonts w:ascii="Arial" w:cs="Arial" w:eastAsia="Arial" w:hAnsi="Arial"/>
          <w:sz w:val="15"/>
          <w:szCs w:val="15"/>
          <w:color w:val="auto"/>
        </w:rPr>
        <w:t>are designated periods when trading BioNTech Securities is prohibited. Covered Persons are not permitted to trade during the</w:t>
      </w:r>
      <w:r>
        <w:rPr>
          <w:rFonts w:ascii="Arial" w:cs="Arial" w:eastAsia="Arial" w:hAnsi="Arial"/>
          <w:sz w:val="15"/>
          <w:szCs w:val="15"/>
          <w:b w:val="1"/>
          <w:bCs w:val="1"/>
          <w:color w:val="auto"/>
        </w:rPr>
        <w:t xml:space="preserve"> </w:t>
      </w:r>
      <w:r>
        <w:rPr>
          <w:rFonts w:ascii="Arial" w:cs="Arial" w:eastAsia="Arial" w:hAnsi="Arial"/>
          <w:sz w:val="15"/>
          <w:szCs w:val="15"/>
          <w:color w:val="auto"/>
        </w:rPr>
        <w:t>below regular Blackout Periods, regardless of whether the Covered Person is in possession of MNPI.</w:t>
      </w:r>
    </w:p>
    <w:p>
      <w:pPr>
        <w:spacing w:after="0" w:line="27" w:lineRule="exact"/>
        <w:rPr>
          <w:rFonts w:ascii="Arial" w:cs="Arial" w:eastAsia="Arial" w:hAnsi="Arial"/>
          <w:sz w:val="15"/>
          <w:szCs w:val="15"/>
          <w:b w:val="1"/>
          <w:bCs w:val="1"/>
          <w:color w:val="auto"/>
        </w:rPr>
      </w:pPr>
    </w:p>
    <w:p>
      <w:pPr>
        <w:ind w:left="860" w:hanging="283"/>
        <w:spacing w:after="0"/>
        <w:tabs>
          <w:tab w:leader="none" w:pos="860" w:val="left"/>
        </w:tabs>
        <w:numPr>
          <w:ilvl w:val="1"/>
          <w:numId w:val="247"/>
        </w:numPr>
        <w:rPr>
          <w:rFonts w:ascii="Arial" w:cs="Arial" w:eastAsia="Arial" w:hAnsi="Arial"/>
          <w:sz w:val="15"/>
          <w:szCs w:val="15"/>
          <w:color w:val="auto"/>
        </w:rPr>
      </w:pPr>
      <w:r>
        <w:rPr>
          <w:rFonts w:ascii="Arial" w:cs="Arial" w:eastAsia="Arial" w:hAnsi="Arial"/>
          <w:sz w:val="15"/>
          <w:szCs w:val="15"/>
          <w:color w:val="auto"/>
        </w:rPr>
        <w:t>From 15th September until the end of the second trading day following public announcement of third quarter financial results;</w:t>
      </w:r>
    </w:p>
    <w:p>
      <w:pPr>
        <w:spacing w:after="0" w:line="100" w:lineRule="exact"/>
        <w:rPr>
          <w:rFonts w:ascii="Arial" w:cs="Arial" w:eastAsia="Arial" w:hAnsi="Arial"/>
          <w:sz w:val="15"/>
          <w:szCs w:val="15"/>
          <w:color w:val="auto"/>
        </w:rPr>
      </w:pPr>
    </w:p>
    <w:p>
      <w:pPr>
        <w:ind w:left="880" w:hanging="303"/>
        <w:spacing w:after="0"/>
        <w:tabs>
          <w:tab w:leader="none" w:pos="880" w:val="left"/>
        </w:tabs>
        <w:numPr>
          <w:ilvl w:val="1"/>
          <w:numId w:val="247"/>
        </w:numPr>
        <w:rPr>
          <w:rFonts w:ascii="Arial" w:cs="Arial" w:eastAsia="Arial" w:hAnsi="Arial"/>
          <w:sz w:val="15"/>
          <w:szCs w:val="15"/>
          <w:color w:val="auto"/>
        </w:rPr>
      </w:pPr>
      <w:r>
        <w:rPr>
          <w:rFonts w:ascii="Arial" w:cs="Arial" w:eastAsia="Arial" w:hAnsi="Arial"/>
          <w:sz w:val="15"/>
          <w:szCs w:val="15"/>
          <w:color w:val="auto"/>
        </w:rPr>
        <w:t>From 15th December until the end of the second trading day following public announcement of fourth quarter and year-end financial results;</w:t>
      </w:r>
    </w:p>
    <w:p>
      <w:pPr>
        <w:spacing w:after="0" w:line="100" w:lineRule="exact"/>
        <w:rPr>
          <w:rFonts w:ascii="Arial" w:cs="Arial" w:eastAsia="Arial" w:hAnsi="Arial"/>
          <w:sz w:val="15"/>
          <w:szCs w:val="15"/>
          <w:color w:val="auto"/>
        </w:rPr>
      </w:pPr>
    </w:p>
    <w:p>
      <w:pPr>
        <w:ind w:left="880" w:hanging="303"/>
        <w:spacing w:after="0"/>
        <w:tabs>
          <w:tab w:leader="none" w:pos="880" w:val="left"/>
        </w:tabs>
        <w:numPr>
          <w:ilvl w:val="1"/>
          <w:numId w:val="247"/>
        </w:numPr>
        <w:rPr>
          <w:rFonts w:ascii="Arial" w:cs="Arial" w:eastAsia="Arial" w:hAnsi="Arial"/>
          <w:sz w:val="15"/>
          <w:szCs w:val="15"/>
          <w:color w:val="auto"/>
        </w:rPr>
      </w:pPr>
      <w:r>
        <w:rPr>
          <w:rFonts w:ascii="Arial" w:cs="Arial" w:eastAsia="Arial" w:hAnsi="Arial"/>
          <w:sz w:val="15"/>
          <w:szCs w:val="15"/>
          <w:color w:val="auto"/>
        </w:rPr>
        <w:t>From 15th March until the end of the second trading day following public announcement of first quarter financial results; and</w:t>
      </w:r>
    </w:p>
    <w:p>
      <w:pPr>
        <w:spacing w:after="0" w:line="100" w:lineRule="exact"/>
        <w:rPr>
          <w:rFonts w:ascii="Arial" w:cs="Arial" w:eastAsia="Arial" w:hAnsi="Arial"/>
          <w:sz w:val="15"/>
          <w:szCs w:val="15"/>
          <w:color w:val="auto"/>
        </w:rPr>
      </w:pPr>
    </w:p>
    <w:p>
      <w:pPr>
        <w:ind w:left="880" w:hanging="303"/>
        <w:spacing w:after="0"/>
        <w:tabs>
          <w:tab w:leader="none" w:pos="880" w:val="left"/>
        </w:tabs>
        <w:numPr>
          <w:ilvl w:val="1"/>
          <w:numId w:val="247"/>
        </w:numPr>
        <w:rPr>
          <w:rFonts w:ascii="Arial" w:cs="Arial" w:eastAsia="Arial" w:hAnsi="Arial"/>
          <w:sz w:val="15"/>
          <w:szCs w:val="15"/>
          <w:color w:val="auto"/>
        </w:rPr>
      </w:pPr>
      <w:r>
        <w:rPr>
          <w:rFonts w:ascii="Arial" w:cs="Arial" w:eastAsia="Arial" w:hAnsi="Arial"/>
          <w:sz w:val="15"/>
          <w:szCs w:val="15"/>
          <w:color w:val="auto"/>
        </w:rPr>
        <w:t>From 15th June until the end of the second trading day following public announcement of second quarter financial results.</w:t>
      </w:r>
    </w:p>
    <w:p>
      <w:pPr>
        <w:spacing w:after="0" w:line="100" w:lineRule="exact"/>
        <w:rPr>
          <w:sz w:val="20"/>
          <w:szCs w:val="20"/>
          <w:color w:val="auto"/>
        </w:rPr>
      </w:pPr>
    </w:p>
    <w:p>
      <w:pPr>
        <w:ind w:left="560"/>
        <w:spacing w:after="0" w:line="304" w:lineRule="auto"/>
        <w:rPr>
          <w:sz w:val="20"/>
          <w:szCs w:val="20"/>
          <w:color w:val="auto"/>
        </w:rPr>
      </w:pPr>
      <w:r>
        <w:rPr>
          <w:rFonts w:ascii="Arial" w:cs="Arial" w:eastAsia="Arial" w:hAnsi="Arial"/>
          <w:sz w:val="15"/>
          <w:szCs w:val="15"/>
          <w:color w:val="auto"/>
        </w:rPr>
        <w:t>More than one Blackout Period may be in place at one time. In such an event, trades are not permitted until all applicable Blackout Periods have been lifted.</w:t>
      </w:r>
    </w:p>
    <w:p>
      <w:pPr>
        <w:spacing w:after="0" w:line="109" w:lineRule="exact"/>
        <w:rPr>
          <w:sz w:val="20"/>
          <w:szCs w:val="20"/>
          <w:color w:val="auto"/>
        </w:rPr>
      </w:pPr>
    </w:p>
    <w:p>
      <w:pPr>
        <w:ind w:left="560"/>
        <w:spacing w:after="0" w:line="304" w:lineRule="auto"/>
        <w:rPr>
          <w:sz w:val="20"/>
          <w:szCs w:val="20"/>
          <w:color w:val="auto"/>
        </w:rPr>
      </w:pPr>
      <w:r>
        <w:rPr>
          <w:rFonts w:ascii="Arial" w:cs="Arial" w:eastAsia="Arial" w:hAnsi="Arial"/>
          <w:sz w:val="15"/>
          <w:szCs w:val="15"/>
          <w:i w:val="1"/>
          <w:iCs w:val="1"/>
          <w:color w:val="auto"/>
        </w:rPr>
        <w:t>For example</w:t>
      </w:r>
      <w:r>
        <w:rPr>
          <w:rFonts w:ascii="Arial" w:cs="Arial" w:eastAsia="Arial" w:hAnsi="Arial"/>
          <w:sz w:val="15"/>
          <w:szCs w:val="15"/>
          <w:color w:val="auto"/>
        </w:rPr>
        <w:t>, fourth quarter and year-end financial results may be publicly announced after 15th March, in which case trading remains prohibited</w:t>
      </w:r>
      <w:r>
        <w:rPr>
          <w:rFonts w:ascii="Arial" w:cs="Arial" w:eastAsia="Arial" w:hAnsi="Arial"/>
          <w:sz w:val="15"/>
          <w:szCs w:val="15"/>
          <w:i w:val="1"/>
          <w:iCs w:val="1"/>
          <w:color w:val="auto"/>
        </w:rPr>
        <w:t xml:space="preserve"> </w:t>
      </w:r>
      <w:r>
        <w:rPr>
          <w:rFonts w:ascii="Arial" w:cs="Arial" w:eastAsia="Arial" w:hAnsi="Arial"/>
          <w:sz w:val="15"/>
          <w:szCs w:val="15"/>
          <w:color w:val="auto"/>
        </w:rPr>
        <w:t>notwithstanding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ectPr>
          <w:pgSz w:w="11900" w:h="16840" w:orient="portrait"/>
          <w:cols w:equalWidth="0" w:num="1">
            <w:col w:w="10580"/>
          </w:cols>
          <w:pgMar w:left="660" w:top="599" w:right="660" w:bottom="1440" w:gutter="0" w:footer="0" w:header="0"/>
        </w:sectPr>
      </w:pPr>
    </w:p>
    <w:bookmarkStart w:id="425" w:name="page426"/>
    <w:bookmarkEnd w:id="4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2082165</wp:posOffset>
            </wp:positionH>
            <wp:positionV relativeFrom="page">
              <wp:posOffset>361950</wp:posOffset>
            </wp:positionV>
            <wp:extent cx="1181100" cy="1092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48">
                      <a:clrChange>
                        <a:clrFrom>
                          <a:srgbClr val="FFFFFF"/>
                        </a:clrFrom>
                        <a:clrTo>
                          <a:srgbClr val="FFFFFF">
                            <a:alpha val="0"/>
                          </a:srgbClr>
                        </a:clrTo>
                      </a:clrChange>
                      <a:extLst>
                        <a:ext uri="{28A0092B-C50C-407E-A947-70E740481C1C}"/>
                      </a:extLst>
                    </a:blip>
                    <a:srcRect/>
                    <a:stretch>
                      <a:fillRect/>
                    </a:stretch>
                  </pic:blipFill>
                  <pic:spPr bwMode="auto">
                    <a:xfrm>
                      <a:off x="0" y="0"/>
                      <a:ext cx="1181100" cy="109220"/>
                    </a:xfrm>
                    <a:prstGeom prst="rect">
                      <a:avLst/>
                    </a:prstGeom>
                    <a:noFill/>
                  </pic:spPr>
                </pic:pic>
              </a:graphicData>
            </a:graphic>
          </wp:anchor>
        </w:drawing>
        <w:t>Insider Trading Policy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announcement of such results until the second trading day following public announcement of first quarter financial results.</w:t>
      </w:r>
    </w:p>
    <w:p>
      <w:pPr>
        <w:spacing w:after="0" w:line="181" w:lineRule="exact"/>
        <w:rPr>
          <w:sz w:val="20"/>
          <w:szCs w:val="20"/>
          <w:color w:val="auto"/>
        </w:rPr>
      </w:pPr>
    </w:p>
    <w:p>
      <w:pPr>
        <w:ind w:left="560" w:hanging="276"/>
        <w:spacing w:after="0"/>
        <w:tabs>
          <w:tab w:leader="none" w:pos="560" w:val="left"/>
        </w:tabs>
        <w:numPr>
          <w:ilvl w:val="0"/>
          <w:numId w:val="248"/>
        </w:numPr>
        <w:rPr>
          <w:rFonts w:ascii="Arial" w:cs="Arial" w:eastAsia="Arial" w:hAnsi="Arial"/>
          <w:sz w:val="15"/>
          <w:szCs w:val="15"/>
          <w:b w:val="1"/>
          <w:bCs w:val="1"/>
          <w:color w:val="auto"/>
        </w:rPr>
      </w:pPr>
      <w:r>
        <w:rPr>
          <w:rFonts w:ascii="Arial" w:cs="Arial" w:eastAsia="Arial" w:hAnsi="Arial"/>
          <w:sz w:val="15"/>
          <w:szCs w:val="15"/>
          <w:b w:val="1"/>
          <w:bCs w:val="1"/>
          <w:color w:val="auto"/>
        </w:rPr>
        <w:t>Mandatory Pre-Clearance for Permanent Covered Persons</w:t>
      </w:r>
    </w:p>
    <w:p>
      <w:pPr>
        <w:spacing w:after="0" w:line="90" w:lineRule="exact"/>
        <w:rPr>
          <w:rFonts w:ascii="Arial" w:cs="Arial" w:eastAsia="Arial" w:hAnsi="Arial"/>
          <w:sz w:val="15"/>
          <w:szCs w:val="15"/>
          <w:b w:val="1"/>
          <w:bCs w:val="1"/>
          <w:color w:val="auto"/>
        </w:rPr>
      </w:pPr>
    </w:p>
    <w:p>
      <w:pPr>
        <w:ind w:left="560" w:right="20"/>
        <w:spacing w:after="0" w:line="304" w:lineRule="auto"/>
        <w:rPr>
          <w:rFonts w:ascii="Arial" w:cs="Arial" w:eastAsia="Arial" w:hAnsi="Arial"/>
          <w:sz w:val="15"/>
          <w:szCs w:val="15"/>
          <w:b w:val="1"/>
          <w:bCs w:val="1"/>
          <w:color w:val="auto"/>
        </w:rPr>
      </w:pPr>
      <w:r>
        <w:rPr>
          <w:rFonts w:ascii="Arial" w:cs="Arial" w:eastAsia="Arial" w:hAnsi="Arial"/>
          <w:sz w:val="15"/>
          <w:szCs w:val="15"/>
          <w:color w:val="auto"/>
        </w:rPr>
        <w:t>Permanent Covered Persons are required to pre-clear all trades in BioNTech Securities that occur outside of a Blackout Period with the CLO or their designee (during a Blackout Period trading is strictly prohibited).</w:t>
      </w:r>
    </w:p>
    <w:p>
      <w:pPr>
        <w:spacing w:after="0" w:line="28" w:lineRule="exact"/>
        <w:rPr>
          <w:rFonts w:ascii="Arial" w:cs="Arial" w:eastAsia="Arial" w:hAnsi="Arial"/>
          <w:sz w:val="15"/>
          <w:szCs w:val="15"/>
          <w:b w:val="1"/>
          <w:bCs w:val="1"/>
          <w:color w:val="auto"/>
        </w:rPr>
      </w:pPr>
    </w:p>
    <w:p>
      <w:pPr>
        <w:ind w:left="560"/>
        <w:spacing w:after="0"/>
        <w:rPr>
          <w:rFonts w:ascii="Arial" w:cs="Arial" w:eastAsia="Arial" w:hAnsi="Arial"/>
          <w:sz w:val="15"/>
          <w:szCs w:val="15"/>
          <w:b w:val="1"/>
          <w:bCs w:val="1"/>
          <w:color w:val="auto"/>
        </w:rPr>
      </w:pPr>
      <w:r>
        <w:rPr>
          <w:rFonts w:ascii="Arial" w:cs="Arial" w:eastAsia="Arial" w:hAnsi="Arial"/>
          <w:sz w:val="15"/>
          <w:szCs w:val="15"/>
          <w:color w:val="auto"/>
        </w:rPr>
        <w:t>The CLO is required to pre-clear their own trades with the Chief Financial Officer or the Chief Operating Officer.</w:t>
      </w:r>
    </w:p>
    <w:p>
      <w:pPr>
        <w:spacing w:after="0" w:line="100" w:lineRule="exact"/>
        <w:rPr>
          <w:rFonts w:ascii="Arial" w:cs="Arial" w:eastAsia="Arial" w:hAnsi="Arial"/>
          <w:sz w:val="15"/>
          <w:szCs w:val="15"/>
          <w:b w:val="1"/>
          <w:bCs w:val="1"/>
          <w:color w:val="auto"/>
        </w:rPr>
      </w:pPr>
    </w:p>
    <w:p>
      <w:pPr>
        <w:ind w:left="560"/>
        <w:spacing w:after="0"/>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Request</w:t>
      </w:r>
    </w:p>
    <w:p>
      <w:pPr>
        <w:spacing w:after="0" w:line="100" w:lineRule="exact"/>
        <w:rPr>
          <w:rFonts w:ascii="Arial" w:cs="Arial" w:eastAsia="Arial" w:hAnsi="Arial"/>
          <w:sz w:val="15"/>
          <w:szCs w:val="15"/>
          <w:b w:val="1"/>
          <w:bCs w:val="1"/>
          <w:color w:val="auto"/>
        </w:rPr>
      </w:pPr>
    </w:p>
    <w:p>
      <w:pPr>
        <w:ind w:left="560"/>
        <w:spacing w:after="0" w:line="304" w:lineRule="auto"/>
        <w:rPr>
          <w:rFonts w:ascii="Arial" w:cs="Arial" w:eastAsia="Arial" w:hAnsi="Arial"/>
          <w:sz w:val="15"/>
          <w:szCs w:val="15"/>
          <w:b w:val="1"/>
          <w:bCs w:val="1"/>
          <w:color w:val="auto"/>
        </w:rPr>
      </w:pPr>
      <w:r>
        <w:rPr>
          <w:rFonts w:ascii="Arial" w:cs="Arial" w:eastAsia="Arial" w:hAnsi="Arial"/>
          <w:sz w:val="15"/>
          <w:szCs w:val="15"/>
          <w:color w:val="auto"/>
        </w:rPr>
        <w:t>Pre-clearance requests must be sent via email (or other method prescribed by the CLO or their designee) at least two (2) trading days prior to the date on which the Permanent Covered Person wants to trade.</w:t>
      </w:r>
    </w:p>
    <w:p>
      <w:pPr>
        <w:spacing w:after="0" w:line="28" w:lineRule="exact"/>
        <w:rPr>
          <w:rFonts w:ascii="Arial" w:cs="Arial" w:eastAsia="Arial" w:hAnsi="Arial"/>
          <w:sz w:val="15"/>
          <w:szCs w:val="15"/>
          <w:b w:val="1"/>
          <w:bCs w:val="1"/>
          <w:color w:val="auto"/>
        </w:rPr>
      </w:pPr>
    </w:p>
    <w:p>
      <w:pPr>
        <w:ind w:left="560"/>
        <w:spacing w:after="0"/>
        <w:rPr>
          <w:rFonts w:ascii="Arial" w:cs="Arial" w:eastAsia="Arial" w:hAnsi="Arial"/>
          <w:sz w:val="15"/>
          <w:szCs w:val="15"/>
          <w:b w:val="1"/>
          <w:bCs w:val="1"/>
          <w:color w:val="auto"/>
        </w:rPr>
      </w:pPr>
      <w:r>
        <w:rPr>
          <w:rFonts w:ascii="Arial" w:cs="Arial" w:eastAsia="Arial" w:hAnsi="Arial"/>
          <w:sz w:val="15"/>
          <w:szCs w:val="15"/>
          <w:color w:val="auto"/>
        </w:rPr>
        <w:t>The pre-clearance email must include the following information:</w:t>
      </w:r>
    </w:p>
    <w:p>
      <w:pPr>
        <w:spacing w:after="0" w:line="100" w:lineRule="exact"/>
        <w:rPr>
          <w:rFonts w:ascii="Arial" w:cs="Arial" w:eastAsia="Arial" w:hAnsi="Arial"/>
          <w:sz w:val="15"/>
          <w:szCs w:val="15"/>
          <w:b w:val="1"/>
          <w:bCs w:val="1"/>
          <w:color w:val="auto"/>
        </w:rPr>
      </w:pPr>
    </w:p>
    <w:p>
      <w:pPr>
        <w:ind w:left="940" w:hanging="282"/>
        <w:spacing w:after="0"/>
        <w:tabs>
          <w:tab w:leader="none" w:pos="940" w:val="left"/>
        </w:tabs>
        <w:numPr>
          <w:ilvl w:val="1"/>
          <w:numId w:val="248"/>
        </w:numPr>
        <w:rPr>
          <w:rFonts w:ascii="Arial" w:cs="Arial" w:eastAsia="Arial" w:hAnsi="Arial"/>
          <w:sz w:val="15"/>
          <w:szCs w:val="15"/>
          <w:color w:val="auto"/>
        </w:rPr>
      </w:pPr>
      <w:r>
        <w:rPr>
          <w:rFonts w:ascii="Arial" w:cs="Arial" w:eastAsia="Arial" w:hAnsi="Arial"/>
          <w:sz w:val="15"/>
          <w:szCs w:val="15"/>
          <w:color w:val="auto"/>
        </w:rPr>
        <w:t>date of the proposed transaction;</w:t>
      </w:r>
    </w:p>
    <w:p>
      <w:pPr>
        <w:spacing w:after="0" w:line="90" w:lineRule="exact"/>
        <w:rPr>
          <w:rFonts w:ascii="Arial" w:cs="Arial" w:eastAsia="Arial" w:hAnsi="Arial"/>
          <w:sz w:val="15"/>
          <w:szCs w:val="15"/>
          <w:color w:val="auto"/>
        </w:rPr>
      </w:pPr>
    </w:p>
    <w:p>
      <w:pPr>
        <w:ind w:left="940" w:hanging="282"/>
        <w:spacing w:after="0"/>
        <w:tabs>
          <w:tab w:leader="none" w:pos="940" w:val="left"/>
        </w:tabs>
        <w:numPr>
          <w:ilvl w:val="1"/>
          <w:numId w:val="248"/>
        </w:numPr>
        <w:rPr>
          <w:rFonts w:ascii="Arial" w:cs="Arial" w:eastAsia="Arial" w:hAnsi="Arial"/>
          <w:sz w:val="15"/>
          <w:szCs w:val="15"/>
          <w:color w:val="auto"/>
        </w:rPr>
      </w:pPr>
      <w:r>
        <w:rPr>
          <w:rFonts w:ascii="Arial" w:cs="Arial" w:eastAsia="Arial" w:hAnsi="Arial"/>
          <w:sz w:val="15"/>
          <w:szCs w:val="15"/>
          <w:color w:val="auto"/>
        </w:rPr>
        <w:t>number of BioNTech Securities to be traded;</w:t>
      </w:r>
    </w:p>
    <w:p>
      <w:pPr>
        <w:spacing w:after="0" w:line="90" w:lineRule="exact"/>
        <w:rPr>
          <w:rFonts w:ascii="Arial" w:cs="Arial" w:eastAsia="Arial" w:hAnsi="Arial"/>
          <w:sz w:val="15"/>
          <w:szCs w:val="15"/>
          <w:color w:val="auto"/>
        </w:rPr>
      </w:pPr>
    </w:p>
    <w:p>
      <w:pPr>
        <w:ind w:left="940" w:right="20" w:hanging="282"/>
        <w:spacing w:after="0" w:line="290" w:lineRule="auto"/>
        <w:tabs>
          <w:tab w:leader="none" w:pos="940" w:val="left"/>
        </w:tabs>
        <w:numPr>
          <w:ilvl w:val="1"/>
          <w:numId w:val="248"/>
        </w:numPr>
        <w:rPr>
          <w:rFonts w:ascii="Arial" w:cs="Arial" w:eastAsia="Arial" w:hAnsi="Arial"/>
          <w:sz w:val="15"/>
          <w:szCs w:val="15"/>
          <w:color w:val="auto"/>
        </w:rPr>
      </w:pPr>
      <w:r>
        <w:rPr>
          <w:rFonts w:ascii="Arial" w:cs="Arial" w:eastAsia="Arial" w:hAnsi="Arial"/>
          <w:sz w:val="15"/>
          <w:szCs w:val="15"/>
          <w:color w:val="auto"/>
        </w:rPr>
        <w:t>the individual conducting the trade (i.e., whether it is the BioNTech Representative or an Immediate Family Member. Note: the name of the Immediate Family Member is not required.);</w:t>
      </w:r>
    </w:p>
    <w:p>
      <w:pPr>
        <w:spacing w:after="0" w:line="27" w:lineRule="exact"/>
        <w:rPr>
          <w:rFonts w:ascii="Arial" w:cs="Arial" w:eastAsia="Arial" w:hAnsi="Arial"/>
          <w:sz w:val="15"/>
          <w:szCs w:val="15"/>
          <w:color w:val="auto"/>
        </w:rPr>
      </w:pPr>
    </w:p>
    <w:p>
      <w:pPr>
        <w:ind w:left="940" w:hanging="282"/>
        <w:spacing w:after="0"/>
        <w:tabs>
          <w:tab w:leader="none" w:pos="940" w:val="left"/>
        </w:tabs>
        <w:numPr>
          <w:ilvl w:val="1"/>
          <w:numId w:val="248"/>
        </w:numPr>
        <w:rPr>
          <w:rFonts w:ascii="Arial" w:cs="Arial" w:eastAsia="Arial" w:hAnsi="Arial"/>
          <w:sz w:val="15"/>
          <w:szCs w:val="15"/>
          <w:color w:val="auto"/>
        </w:rPr>
      </w:pPr>
      <w:r>
        <w:rPr>
          <w:rFonts w:ascii="Arial" w:cs="Arial" w:eastAsia="Arial" w:hAnsi="Arial"/>
          <w:sz w:val="15"/>
          <w:szCs w:val="15"/>
          <w:color w:val="auto"/>
        </w:rPr>
        <w:t>the broker-dealer that will be executing the trade, as applicable; and</w:t>
      </w:r>
    </w:p>
    <w:p>
      <w:pPr>
        <w:spacing w:after="0" w:line="90" w:lineRule="exact"/>
        <w:rPr>
          <w:rFonts w:ascii="Arial" w:cs="Arial" w:eastAsia="Arial" w:hAnsi="Arial"/>
          <w:sz w:val="15"/>
          <w:szCs w:val="15"/>
          <w:color w:val="auto"/>
        </w:rPr>
      </w:pPr>
    </w:p>
    <w:p>
      <w:pPr>
        <w:ind w:left="940" w:hanging="282"/>
        <w:spacing w:after="0"/>
        <w:tabs>
          <w:tab w:leader="none" w:pos="940" w:val="left"/>
        </w:tabs>
        <w:numPr>
          <w:ilvl w:val="1"/>
          <w:numId w:val="248"/>
        </w:numPr>
        <w:rPr>
          <w:rFonts w:ascii="Arial" w:cs="Arial" w:eastAsia="Arial" w:hAnsi="Arial"/>
          <w:sz w:val="15"/>
          <w:szCs w:val="15"/>
          <w:color w:val="auto"/>
        </w:rPr>
      </w:pPr>
      <w:r>
        <w:rPr>
          <w:rFonts w:ascii="Arial" w:cs="Arial" w:eastAsia="Arial" w:hAnsi="Arial"/>
          <w:sz w:val="15"/>
          <w:szCs w:val="15"/>
          <w:color w:val="auto"/>
        </w:rPr>
        <w:t>a statement that the Permanent Covered Person is not in possession of MNPI and has read this Policy.</w:t>
      </w:r>
    </w:p>
    <w:p>
      <w:pPr>
        <w:spacing w:after="0" w:line="90" w:lineRule="exact"/>
        <w:rPr>
          <w:sz w:val="20"/>
          <w:szCs w:val="20"/>
          <w:color w:val="auto"/>
        </w:rPr>
      </w:pPr>
    </w:p>
    <w:p>
      <w:pPr>
        <w:jc w:val="both"/>
        <w:ind w:left="560"/>
        <w:spacing w:after="0" w:line="285" w:lineRule="auto"/>
        <w:rPr>
          <w:sz w:val="20"/>
          <w:szCs w:val="20"/>
          <w:color w:val="auto"/>
        </w:rPr>
      </w:pPr>
      <w:r>
        <w:rPr>
          <w:rFonts w:ascii="Arial" w:cs="Arial" w:eastAsia="Arial" w:hAnsi="Arial"/>
          <w:sz w:val="15"/>
          <w:szCs w:val="15"/>
          <w:color w:val="auto"/>
        </w:rPr>
        <w:t>An Permanent Covered Person may submit a pre-clearance request after the public announcement of financial results for a particular quarter, but before the Blackout Period is lifted, provided that any transactions may only occur after the end of the second trading day following such public announcement.</w:t>
      </w:r>
    </w:p>
    <w:p>
      <w:pPr>
        <w:spacing w:after="0" w:line="235"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Pre-Clearance</w:t>
      </w:r>
    </w:p>
    <w:p>
      <w:pPr>
        <w:spacing w:after="0" w:line="90" w:lineRule="exact"/>
        <w:rPr>
          <w:sz w:val="20"/>
          <w:szCs w:val="20"/>
          <w:color w:val="auto"/>
        </w:rPr>
      </w:pPr>
    </w:p>
    <w:p>
      <w:pPr>
        <w:jc w:val="both"/>
        <w:ind w:left="560"/>
        <w:spacing w:after="0" w:line="285" w:lineRule="auto"/>
        <w:rPr>
          <w:sz w:val="20"/>
          <w:szCs w:val="20"/>
          <w:color w:val="auto"/>
        </w:rPr>
      </w:pPr>
      <w:r>
        <w:rPr>
          <w:rFonts w:ascii="Arial" w:cs="Arial" w:eastAsia="Arial" w:hAnsi="Arial"/>
          <w:sz w:val="15"/>
          <w:szCs w:val="15"/>
          <w:color w:val="auto"/>
        </w:rPr>
        <w:t>If pre-clearance to trade is provided, the pre-clearance will generally remain valid for five (5) trading days. Within one (1) trading day of conducting the transaction, the Permanent Covered Person must inform the CLO or their designee (via email) that the trade has been completed and confirm the number of Securities that were traded.</w:t>
      </w:r>
    </w:p>
    <w:p>
      <w:pPr>
        <w:spacing w:after="0" w:line="123" w:lineRule="exact"/>
        <w:rPr>
          <w:sz w:val="20"/>
          <w:szCs w:val="20"/>
          <w:color w:val="auto"/>
        </w:rPr>
      </w:pPr>
    </w:p>
    <w:p>
      <w:pPr>
        <w:jc w:val="both"/>
        <w:ind w:left="560"/>
        <w:spacing w:after="0" w:line="304" w:lineRule="auto"/>
        <w:rPr>
          <w:sz w:val="20"/>
          <w:szCs w:val="20"/>
          <w:color w:val="auto"/>
        </w:rPr>
      </w:pPr>
      <w:r>
        <w:rPr>
          <w:rFonts w:ascii="Arial" w:cs="Arial" w:eastAsia="Arial" w:hAnsi="Arial"/>
          <w:sz w:val="15"/>
          <w:szCs w:val="15"/>
          <w:color w:val="auto"/>
        </w:rPr>
        <w:t>Please note that when Legal pre-clears a trade, it does not advise on the legality or advisability of any such trade, but only provides Legal’s view that, based solely on the information provided, such a trade is permissible under this Policy.</w:t>
      </w:r>
    </w:p>
    <w:p>
      <w:pPr>
        <w:spacing w:after="0" w:line="109" w:lineRule="exact"/>
        <w:rPr>
          <w:sz w:val="20"/>
          <w:szCs w:val="20"/>
          <w:color w:val="auto"/>
        </w:rPr>
      </w:pPr>
    </w:p>
    <w:p>
      <w:pPr>
        <w:ind w:left="280"/>
        <w:spacing w:after="0"/>
        <w:tabs>
          <w:tab w:leader="none" w:pos="540" w:val="left"/>
        </w:tabs>
        <w:rPr>
          <w:sz w:val="20"/>
          <w:szCs w:val="20"/>
          <w:color w:val="auto"/>
        </w:rPr>
      </w:pPr>
      <w:r>
        <w:rPr>
          <w:rFonts w:ascii="Arial" w:cs="Arial" w:eastAsia="Arial" w:hAnsi="Arial"/>
          <w:sz w:val="15"/>
          <w:szCs w:val="15"/>
          <w:b w:val="1"/>
          <w:bCs w:val="1"/>
          <w:color w:val="auto"/>
        </w:rPr>
        <w:t>e)</w:t>
        <w:tab/>
        <w:t>Event-Specific Blackout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ectPr>
          <w:pgSz w:w="11900" w:h="16840" w:orient="portrait"/>
          <w:cols w:equalWidth="0" w:num="1">
            <w:col w:w="10580"/>
          </w:cols>
          <w:pgMar w:left="660" w:top="599" w:right="660" w:bottom="1440" w:gutter="0" w:footer="0" w:header="0"/>
        </w:sectPr>
      </w:pPr>
    </w:p>
    <w:bookmarkStart w:id="426" w:name="page427"/>
    <w:bookmarkEnd w:id="426"/>
    <w:p>
      <w:pPr>
        <w:ind w:left="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2082165</wp:posOffset>
            </wp:positionH>
            <wp:positionV relativeFrom="page">
              <wp:posOffset>361950</wp:posOffset>
            </wp:positionV>
            <wp:extent cx="1181100" cy="1092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49">
                      <a:clrChange>
                        <a:clrFrom>
                          <a:srgbClr val="FFFFFF"/>
                        </a:clrFrom>
                        <a:clrTo>
                          <a:srgbClr val="FFFFFF">
                            <a:alpha val="0"/>
                          </a:srgbClr>
                        </a:clrTo>
                      </a:clrChange>
                      <a:extLst>
                        <a:ext uri="{28A0092B-C50C-407E-A947-70E740481C1C}"/>
                      </a:extLst>
                    </a:blip>
                    <a:srcRect/>
                    <a:stretch>
                      <a:fillRect/>
                    </a:stretch>
                  </pic:blipFill>
                  <pic:spPr bwMode="auto">
                    <a:xfrm>
                      <a:off x="0" y="0"/>
                      <a:ext cx="1181100" cy="109220"/>
                    </a:xfrm>
                    <a:prstGeom prst="rect">
                      <a:avLst/>
                    </a:prstGeom>
                    <a:noFill/>
                  </pic:spPr>
                </pic:pic>
              </a:graphicData>
            </a:graphic>
          </wp:anchor>
        </w:drawing>
        <w:t>Insider Trading Policy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69"/>
        <w:spacing w:after="0" w:line="304" w:lineRule="auto"/>
        <w:rPr>
          <w:sz w:val="20"/>
          <w:szCs w:val="20"/>
          <w:color w:val="auto"/>
        </w:rPr>
      </w:pPr>
      <w:r>
        <w:rPr>
          <w:rFonts w:ascii="Arial" w:cs="Arial" w:eastAsia="Arial" w:hAnsi="Arial"/>
          <w:sz w:val="15"/>
          <w:szCs w:val="15"/>
          <w:color w:val="auto"/>
        </w:rPr>
        <w:t>In addition to the above scheduled Blackout Periods, there may be additional Blackout Periods imposed when significant corporate developments or announcements are anticipated (e.g., announcing clinical trial results, key collaborations, mergers and acquisitions).</w:t>
      </w:r>
    </w:p>
    <w:p>
      <w:pPr>
        <w:spacing w:after="0" w:line="28" w:lineRule="exact"/>
        <w:rPr>
          <w:sz w:val="20"/>
          <w:szCs w:val="20"/>
          <w:color w:val="auto"/>
        </w:rPr>
      </w:pPr>
    </w:p>
    <w:p>
      <w:pPr>
        <w:ind w:left="569"/>
        <w:spacing w:after="0"/>
        <w:rPr>
          <w:sz w:val="20"/>
          <w:szCs w:val="20"/>
          <w:color w:val="auto"/>
        </w:rPr>
      </w:pPr>
      <w:r>
        <w:rPr>
          <w:rFonts w:ascii="Arial" w:cs="Arial" w:eastAsia="Arial" w:hAnsi="Arial"/>
          <w:sz w:val="15"/>
          <w:szCs w:val="15"/>
          <w:b w:val="1"/>
          <w:bCs w:val="1"/>
          <w:i w:val="1"/>
          <w:iCs w:val="1"/>
          <w:color w:val="auto"/>
        </w:rPr>
        <w:t>Notification of Event-Specific Blackout Period</w:t>
      </w:r>
    </w:p>
    <w:p>
      <w:pPr>
        <w:spacing w:after="0" w:line="100" w:lineRule="exact"/>
        <w:rPr>
          <w:sz w:val="20"/>
          <w:szCs w:val="20"/>
          <w:color w:val="auto"/>
        </w:rPr>
      </w:pPr>
    </w:p>
    <w:p>
      <w:pPr>
        <w:jc w:val="both"/>
        <w:ind w:left="569" w:right="20"/>
        <w:spacing w:after="0" w:line="285" w:lineRule="auto"/>
        <w:rPr>
          <w:sz w:val="20"/>
          <w:szCs w:val="20"/>
          <w:color w:val="auto"/>
        </w:rPr>
      </w:pPr>
      <w:r>
        <w:rPr>
          <w:rFonts w:ascii="Arial" w:cs="Arial" w:eastAsia="Arial" w:hAnsi="Arial"/>
          <w:sz w:val="15"/>
          <w:szCs w:val="15"/>
          <w:color w:val="auto"/>
        </w:rPr>
        <w:t>BioNTech Representatives who are subject to an Event-Specific Blackout Period will receive an email notifying them of the Blackout Period’s specific terms, including prohibited trading activities. At such time, such BioNTech Representatives will be deemed Covered Persons for the duration of the event-specific Blackout Period.</w:t>
      </w:r>
    </w:p>
    <w:p>
      <w:pPr>
        <w:spacing w:after="0" w:line="43" w:lineRule="exact"/>
        <w:rPr>
          <w:sz w:val="20"/>
          <w:szCs w:val="20"/>
          <w:color w:val="auto"/>
        </w:rPr>
      </w:pPr>
    </w:p>
    <w:p>
      <w:pPr>
        <w:jc w:val="both"/>
        <w:ind w:left="569"/>
        <w:spacing w:after="0" w:line="279" w:lineRule="auto"/>
        <w:rPr>
          <w:sz w:val="20"/>
          <w:szCs w:val="20"/>
          <w:color w:val="auto"/>
        </w:rPr>
      </w:pPr>
      <w:r>
        <w:rPr>
          <w:rFonts w:ascii="Arial" w:cs="Arial" w:eastAsia="Arial" w:hAnsi="Arial"/>
          <w:sz w:val="15"/>
          <w:szCs w:val="15"/>
          <w:color w:val="auto"/>
        </w:rPr>
        <w:t>BioNTech Representatives who are subject to an Event-Specific Blackout Period but who are not Permanent Covered Persons are not required to pre-clear trades that occur outside the Event-Specific Blackout Period with the CLO or their designee (during the Event-Specific Blackout Period trading is strictly prohibited). However, Permanent Covered Persons who are also subject to an Event-Specific Blackout Period are always required to obtain pre-clearance, even when an Event-Specific Blackout Period has ended.</w:t>
      </w:r>
    </w:p>
    <w:p>
      <w:pPr>
        <w:spacing w:after="0" w:line="128" w:lineRule="exact"/>
        <w:rPr>
          <w:sz w:val="20"/>
          <w:szCs w:val="20"/>
          <w:color w:val="auto"/>
        </w:rPr>
      </w:pPr>
    </w:p>
    <w:p>
      <w:pPr>
        <w:ind w:left="569"/>
        <w:spacing w:after="0"/>
        <w:rPr>
          <w:sz w:val="20"/>
          <w:szCs w:val="20"/>
          <w:color w:val="auto"/>
        </w:rPr>
      </w:pPr>
      <w:r>
        <w:rPr>
          <w:rFonts w:ascii="Arial" w:cs="Arial" w:eastAsia="Arial" w:hAnsi="Arial"/>
          <w:sz w:val="15"/>
          <w:szCs w:val="15"/>
          <w:b w:val="1"/>
          <w:bCs w:val="1"/>
          <w:i w:val="1"/>
          <w:iCs w:val="1"/>
          <w:color w:val="auto"/>
        </w:rPr>
        <w:t>Information to Audit Committee</w:t>
      </w:r>
    </w:p>
    <w:p>
      <w:pPr>
        <w:spacing w:after="0" w:line="90" w:lineRule="exact"/>
        <w:rPr>
          <w:sz w:val="20"/>
          <w:szCs w:val="20"/>
          <w:color w:val="auto"/>
        </w:rPr>
      </w:pPr>
    </w:p>
    <w:p>
      <w:pPr>
        <w:jc w:val="both"/>
        <w:ind w:left="569"/>
        <w:spacing w:after="0" w:line="285" w:lineRule="auto"/>
        <w:rPr>
          <w:sz w:val="20"/>
          <w:szCs w:val="20"/>
          <w:color w:val="auto"/>
        </w:rPr>
      </w:pPr>
      <w:r>
        <w:rPr>
          <w:rFonts w:ascii="Arial" w:cs="Arial" w:eastAsia="Arial" w:hAnsi="Arial"/>
          <w:sz w:val="15"/>
          <w:szCs w:val="15"/>
          <w:color w:val="auto"/>
        </w:rPr>
        <w:t>Decisions with respect to the imposition, scope, and duration of Event-Specific Blackout Periods are made by the CLO. When time and circumstances permit, the CLO or their designee shall inform the Audit Committee of the Supervisory Board of the proposed terms of an Event-Specific Blackout Period.</w:t>
      </w:r>
    </w:p>
    <w:p>
      <w:pPr>
        <w:spacing w:after="0" w:line="123" w:lineRule="exact"/>
        <w:rPr>
          <w:sz w:val="20"/>
          <w:szCs w:val="20"/>
          <w:color w:val="auto"/>
        </w:rPr>
      </w:pPr>
    </w:p>
    <w:p>
      <w:pPr>
        <w:jc w:val="both"/>
        <w:ind w:left="569"/>
        <w:spacing w:after="0" w:line="285" w:lineRule="auto"/>
        <w:rPr>
          <w:sz w:val="20"/>
          <w:szCs w:val="20"/>
          <w:color w:val="auto"/>
        </w:rPr>
      </w:pPr>
      <w:r>
        <w:rPr>
          <w:rFonts w:ascii="Arial" w:cs="Arial" w:eastAsia="Arial" w:hAnsi="Arial"/>
          <w:sz w:val="15"/>
          <w:szCs w:val="15"/>
          <w:color w:val="auto"/>
        </w:rPr>
        <w:t>The Audit Committee shall promptly inform the CLO whether the Audit Committee agrees with the recommended terms. If the Audit Committee does not agree with any recommended term, the Audit Committee shall promptly communicate any proposed modifications. The CLO shall have ultimate responsibility for imposing actual terms of an Event-Specific Blackout Period, if any.</w:t>
      </w:r>
    </w:p>
    <w:p>
      <w:pPr>
        <w:spacing w:after="0" w:line="132" w:lineRule="exact"/>
        <w:rPr>
          <w:sz w:val="20"/>
          <w:szCs w:val="20"/>
          <w:color w:val="auto"/>
        </w:rPr>
      </w:pPr>
    </w:p>
    <w:p>
      <w:pPr>
        <w:ind w:left="289" w:hanging="289"/>
        <w:spacing w:after="0"/>
        <w:tabs>
          <w:tab w:leader="none" w:pos="289" w:val="left"/>
        </w:tabs>
        <w:numPr>
          <w:ilvl w:val="0"/>
          <w:numId w:val="249"/>
        </w:numPr>
        <w:rPr>
          <w:rFonts w:ascii="Arial" w:cs="Arial" w:eastAsia="Arial" w:hAnsi="Arial"/>
          <w:sz w:val="16"/>
          <w:szCs w:val="16"/>
          <w:b w:val="1"/>
          <w:bCs w:val="1"/>
          <w:color w:val="auto"/>
        </w:rPr>
      </w:pPr>
      <w:r>
        <w:rPr>
          <w:rFonts w:ascii="Arial" w:cs="Arial" w:eastAsia="Arial" w:hAnsi="Arial"/>
          <w:sz w:val="16"/>
          <w:szCs w:val="16"/>
          <w:b w:val="1"/>
          <w:bCs w:val="1"/>
          <w:color w:val="auto"/>
        </w:rPr>
        <w:t>Certain Exemptions to the Prohibitions</w:t>
      </w:r>
    </w:p>
    <w:p>
      <w:pPr>
        <w:spacing w:after="0" w:line="100" w:lineRule="exact"/>
        <w:rPr>
          <w:rFonts w:ascii="Arial" w:cs="Arial" w:eastAsia="Arial" w:hAnsi="Arial"/>
          <w:sz w:val="16"/>
          <w:szCs w:val="16"/>
          <w:b w:val="1"/>
          <w:bCs w:val="1"/>
          <w:color w:val="auto"/>
        </w:rPr>
      </w:pPr>
    </w:p>
    <w:p>
      <w:pPr>
        <w:ind w:left="289"/>
        <w:spacing w:after="0" w:line="304" w:lineRule="auto"/>
        <w:rPr>
          <w:rFonts w:ascii="Arial" w:cs="Arial" w:eastAsia="Arial" w:hAnsi="Arial"/>
          <w:sz w:val="16"/>
          <w:szCs w:val="16"/>
          <w:b w:val="1"/>
          <w:bCs w:val="1"/>
          <w:color w:val="auto"/>
        </w:rPr>
      </w:pPr>
      <w:r>
        <w:rPr>
          <w:rFonts w:ascii="Arial" w:cs="Arial" w:eastAsia="Arial" w:hAnsi="Arial"/>
          <w:sz w:val="15"/>
          <w:szCs w:val="15"/>
          <w:color w:val="auto"/>
        </w:rPr>
        <w:t>There are a few trading scenarios for which the prohibitions outlined in sections 4 and 5 of this Policy are not applicable, subject to the terms and conditions set forth in this section. These scenarios include:</w:t>
      </w:r>
    </w:p>
    <w:p>
      <w:pPr>
        <w:spacing w:after="0" w:line="28" w:lineRule="exact"/>
        <w:rPr>
          <w:rFonts w:ascii="Arial" w:cs="Arial" w:eastAsia="Arial" w:hAnsi="Arial"/>
          <w:sz w:val="16"/>
          <w:szCs w:val="16"/>
          <w:b w:val="1"/>
          <w:bCs w:val="1"/>
          <w:color w:val="auto"/>
        </w:rPr>
      </w:pPr>
    </w:p>
    <w:p>
      <w:pPr>
        <w:ind w:left="569" w:hanging="185"/>
        <w:spacing w:after="0" w:line="303" w:lineRule="auto"/>
        <w:tabs>
          <w:tab w:leader="none" w:pos="569" w:val="left"/>
        </w:tabs>
        <w:numPr>
          <w:ilvl w:val="2"/>
          <w:numId w:val="249"/>
        </w:numPr>
        <w:rPr>
          <w:rFonts w:ascii="Times New Roman" w:cs="Times New Roman" w:eastAsia="Times New Roman" w:hAnsi="Times New Roman"/>
          <w:sz w:val="15"/>
          <w:szCs w:val="15"/>
          <w:color w:val="auto"/>
        </w:rPr>
      </w:pPr>
      <w:r>
        <w:rPr>
          <w:rFonts w:ascii="Arial" w:cs="Arial" w:eastAsia="Arial" w:hAnsi="Arial"/>
          <w:sz w:val="15"/>
          <w:szCs w:val="15"/>
          <w:color w:val="auto"/>
        </w:rPr>
        <w:t>investment tools in which trading activities are not directed by individual contributors/investors in any way (e.g., mutual funds that are managed by fund portfolio managers);</w:t>
      </w:r>
    </w:p>
    <w:p>
      <w:pPr>
        <w:spacing w:after="0" w:line="28" w:lineRule="exact"/>
        <w:rPr>
          <w:rFonts w:ascii="Times New Roman" w:cs="Times New Roman" w:eastAsia="Times New Roman" w:hAnsi="Times New Roman"/>
          <w:sz w:val="15"/>
          <w:szCs w:val="15"/>
          <w:color w:val="auto"/>
        </w:rPr>
      </w:pPr>
    </w:p>
    <w:p>
      <w:pPr>
        <w:ind w:left="569" w:hanging="185"/>
        <w:spacing w:after="0"/>
        <w:tabs>
          <w:tab w:leader="none" w:pos="569" w:val="left"/>
        </w:tabs>
        <w:numPr>
          <w:ilvl w:val="2"/>
          <w:numId w:val="249"/>
        </w:numPr>
        <w:rPr>
          <w:rFonts w:ascii="Times New Roman" w:cs="Times New Roman" w:eastAsia="Times New Roman" w:hAnsi="Times New Roman"/>
          <w:sz w:val="15"/>
          <w:szCs w:val="15"/>
          <w:color w:val="auto"/>
        </w:rPr>
      </w:pPr>
      <w:r>
        <w:rPr>
          <w:rFonts w:ascii="Arial" w:cs="Arial" w:eastAsia="Arial" w:hAnsi="Arial"/>
          <w:sz w:val="15"/>
          <w:szCs w:val="15"/>
          <w:color w:val="auto"/>
        </w:rPr>
        <w:t>trading plans under SEC Rule 10b5-1; and</w:t>
      </w:r>
    </w:p>
    <w:p>
      <w:pPr>
        <w:spacing w:after="0" w:line="99" w:lineRule="exact"/>
        <w:rPr>
          <w:rFonts w:ascii="Times New Roman" w:cs="Times New Roman" w:eastAsia="Times New Roman" w:hAnsi="Times New Roman"/>
          <w:sz w:val="15"/>
          <w:szCs w:val="15"/>
          <w:color w:val="auto"/>
        </w:rPr>
      </w:pPr>
    </w:p>
    <w:p>
      <w:pPr>
        <w:ind w:left="569" w:hanging="185"/>
        <w:spacing w:after="0"/>
        <w:tabs>
          <w:tab w:leader="none" w:pos="569" w:val="left"/>
        </w:tabs>
        <w:numPr>
          <w:ilvl w:val="2"/>
          <w:numId w:val="249"/>
        </w:numPr>
        <w:rPr>
          <w:rFonts w:ascii="Times New Roman" w:cs="Times New Roman" w:eastAsia="Times New Roman" w:hAnsi="Times New Roman"/>
          <w:sz w:val="15"/>
          <w:szCs w:val="15"/>
          <w:color w:val="auto"/>
        </w:rPr>
      </w:pPr>
      <w:r>
        <w:rPr>
          <w:rFonts w:ascii="Arial" w:cs="Arial" w:eastAsia="Arial" w:hAnsi="Arial"/>
          <w:sz w:val="15"/>
          <w:szCs w:val="15"/>
          <w:color w:val="auto"/>
        </w:rPr>
        <w:t>certain gift transactions.</w:t>
      </w:r>
    </w:p>
    <w:p>
      <w:pPr>
        <w:spacing w:after="0" w:line="180" w:lineRule="exact"/>
        <w:rPr>
          <w:rFonts w:ascii="Times New Roman" w:cs="Times New Roman" w:eastAsia="Times New Roman" w:hAnsi="Times New Roman"/>
          <w:sz w:val="15"/>
          <w:szCs w:val="15"/>
          <w:color w:val="auto"/>
        </w:rPr>
      </w:pPr>
    </w:p>
    <w:p>
      <w:pPr>
        <w:ind w:left="289" w:hanging="188"/>
        <w:spacing w:after="0"/>
        <w:tabs>
          <w:tab w:leader="none" w:pos="289" w:val="left"/>
        </w:tabs>
        <w:numPr>
          <w:ilvl w:val="1"/>
          <w:numId w:val="249"/>
        </w:numPr>
        <w:rPr>
          <w:rFonts w:ascii="Arial" w:cs="Arial" w:eastAsia="Arial" w:hAnsi="Arial"/>
          <w:sz w:val="15"/>
          <w:szCs w:val="15"/>
          <w:b w:val="1"/>
          <w:bCs w:val="1"/>
          <w:color w:val="auto"/>
        </w:rPr>
      </w:pPr>
      <w:r>
        <w:rPr>
          <w:rFonts w:ascii="Arial" w:cs="Arial" w:eastAsia="Arial" w:hAnsi="Arial"/>
          <w:sz w:val="15"/>
          <w:szCs w:val="15"/>
          <w:b w:val="1"/>
          <w:bCs w:val="1"/>
          <w:color w:val="auto"/>
        </w:rPr>
        <w:t>Investment Tools Outside Individuals’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
        <w:spacing w:after="0"/>
        <w:rPr>
          <w:sz w:val="20"/>
          <w:szCs w:val="20"/>
          <w:color w:val="auto"/>
        </w:rPr>
      </w:pPr>
      <w:r>
        <w:rPr>
          <w:rFonts w:ascii="Arial" w:cs="Arial" w:eastAsia="Arial" w:hAnsi="Arial"/>
          <w:sz w:val="15"/>
          <w:szCs w:val="15"/>
          <w:color w:val="auto"/>
        </w:rPr>
        <w:t>[***]</w:t>
      </w:r>
    </w:p>
    <w:p>
      <w:pPr>
        <w:sectPr>
          <w:pgSz w:w="11900" w:h="16840" w:orient="portrait"/>
          <w:cols w:equalWidth="0" w:num="1">
            <w:col w:w="10589"/>
          </w:cols>
          <w:pgMar w:left="651" w:top="599" w:right="660" w:bottom="1440" w:gutter="0" w:footer="0" w:header="0"/>
        </w:sectPr>
      </w:pPr>
    </w:p>
    <w:bookmarkStart w:id="427" w:name="page428"/>
    <w:bookmarkEnd w:id="427"/>
    <w:p>
      <w:pPr>
        <w:ind w:left="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2082165</wp:posOffset>
            </wp:positionH>
            <wp:positionV relativeFrom="page">
              <wp:posOffset>361950</wp:posOffset>
            </wp:positionV>
            <wp:extent cx="1181100" cy="1092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50">
                      <a:clrChange>
                        <a:clrFrom>
                          <a:srgbClr val="FFFFFF"/>
                        </a:clrFrom>
                        <a:clrTo>
                          <a:srgbClr val="FFFFFF">
                            <a:alpha val="0"/>
                          </a:srgbClr>
                        </a:clrTo>
                      </a:clrChange>
                      <a:extLst>
                        <a:ext uri="{28A0092B-C50C-407E-A947-70E740481C1C}"/>
                      </a:extLst>
                    </a:blip>
                    <a:srcRect/>
                    <a:stretch>
                      <a:fillRect/>
                    </a:stretch>
                  </pic:blipFill>
                  <pic:spPr bwMode="auto">
                    <a:xfrm>
                      <a:off x="0" y="0"/>
                      <a:ext cx="1181100" cy="109220"/>
                    </a:xfrm>
                    <a:prstGeom prst="rect">
                      <a:avLst/>
                    </a:prstGeom>
                    <a:noFill/>
                  </pic:spPr>
                </pic:pic>
              </a:graphicData>
            </a:graphic>
          </wp:anchor>
        </w:drawing>
        <w:t>Insider Trading Policy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289"/>
        <w:spacing w:after="0" w:line="285" w:lineRule="auto"/>
        <w:rPr>
          <w:sz w:val="20"/>
          <w:szCs w:val="20"/>
          <w:color w:val="auto"/>
        </w:rPr>
      </w:pPr>
      <w:r>
        <w:rPr>
          <w:rFonts w:ascii="Arial" w:cs="Arial" w:eastAsia="Arial" w:hAnsi="Arial"/>
          <w:sz w:val="15"/>
          <w:szCs w:val="15"/>
          <w:color w:val="auto"/>
        </w:rPr>
        <w:t>Trading in the Securities of investment funds, such as a mutual fund or exchange-traded fund (ETF), that are managed by investment professionals and/or follow a particular market benchmark or index and are not specific to BioNTech or its business, and for which individual investors are unable to control or direct investment decisions (other than transactions involving the fund), are generally not prohibited by this Policy.</w:t>
      </w:r>
    </w:p>
    <w:p>
      <w:pPr>
        <w:spacing w:after="0" w:line="123" w:lineRule="exact"/>
        <w:rPr>
          <w:sz w:val="20"/>
          <w:szCs w:val="20"/>
          <w:color w:val="auto"/>
        </w:rPr>
      </w:pPr>
    </w:p>
    <w:p>
      <w:pPr>
        <w:jc w:val="both"/>
        <w:ind w:left="289"/>
        <w:spacing w:after="0" w:line="285" w:lineRule="auto"/>
        <w:rPr>
          <w:sz w:val="20"/>
          <w:szCs w:val="20"/>
          <w:color w:val="auto"/>
        </w:rPr>
      </w:pPr>
      <w:r>
        <w:rPr>
          <w:rFonts w:ascii="Arial" w:cs="Arial" w:eastAsia="Arial" w:hAnsi="Arial"/>
          <w:sz w:val="15"/>
          <w:szCs w:val="15"/>
          <w:color w:val="auto"/>
        </w:rPr>
        <w:t>However, even if trading in such investment funds is not prohibited by this Policy or insider trading laws, such trading, particularly in biotechnology sector funds or where BioNTech Securities make up a significant portion of the fund, and particularly in periods close in time to the BioNTech’s public announcement of its financial results or other MNPI, could appear improper.</w:t>
      </w:r>
    </w:p>
    <w:p>
      <w:pPr>
        <w:spacing w:after="0" w:line="123" w:lineRule="exact"/>
        <w:rPr>
          <w:sz w:val="20"/>
          <w:szCs w:val="20"/>
          <w:color w:val="auto"/>
        </w:rPr>
      </w:pPr>
    </w:p>
    <w:p>
      <w:pPr>
        <w:ind w:left="289" w:right="40"/>
        <w:spacing w:after="0" w:line="272" w:lineRule="auto"/>
        <w:rPr>
          <w:sz w:val="20"/>
          <w:szCs w:val="20"/>
          <w:color w:val="auto"/>
        </w:rPr>
      </w:pPr>
      <w:r>
        <w:rPr>
          <w:rFonts w:ascii="Arial" w:cs="Arial" w:eastAsia="Arial" w:hAnsi="Arial"/>
          <w:sz w:val="15"/>
          <w:szCs w:val="15"/>
          <w:color w:val="auto"/>
        </w:rPr>
        <w:t>BioNTech reserves the right to investigate the trading in such funds by BioNTech Representatives and impose greater restrictions as it deems appropriate.</w:t>
      </w:r>
    </w:p>
    <w:p>
      <w:pPr>
        <w:spacing w:after="0" w:line="350" w:lineRule="exact"/>
        <w:rPr>
          <w:sz w:val="20"/>
          <w:szCs w:val="20"/>
          <w:color w:val="auto"/>
        </w:rPr>
      </w:pPr>
    </w:p>
    <w:p>
      <w:pPr>
        <w:ind w:left="289"/>
        <w:spacing w:after="0"/>
        <w:rPr>
          <w:sz w:val="20"/>
          <w:szCs w:val="20"/>
          <w:color w:val="auto"/>
        </w:rPr>
      </w:pPr>
      <w:r>
        <w:rPr>
          <w:rFonts w:ascii="Arial" w:cs="Arial" w:eastAsia="Arial" w:hAnsi="Arial"/>
          <w:sz w:val="15"/>
          <w:szCs w:val="15"/>
          <w:color w:val="auto"/>
        </w:rPr>
        <w:t>This Policy does not apply to purchases of BioNTech Securities</w:t>
      </w:r>
    </w:p>
    <w:p>
      <w:pPr>
        <w:spacing w:after="0" w:line="90" w:lineRule="exact"/>
        <w:rPr>
          <w:sz w:val="20"/>
          <w:szCs w:val="20"/>
          <w:color w:val="auto"/>
        </w:rPr>
      </w:pPr>
    </w:p>
    <w:p>
      <w:pPr>
        <w:ind w:left="529" w:hanging="236"/>
        <w:spacing w:after="0"/>
        <w:tabs>
          <w:tab w:leader="none" w:pos="529" w:val="left"/>
        </w:tabs>
        <w:numPr>
          <w:ilvl w:val="0"/>
          <w:numId w:val="250"/>
        </w:numPr>
        <w:rPr>
          <w:rFonts w:ascii="Times New Roman" w:cs="Times New Roman" w:eastAsia="Times New Roman" w:hAnsi="Times New Roman"/>
          <w:sz w:val="15"/>
          <w:szCs w:val="15"/>
          <w:color w:val="auto"/>
        </w:rPr>
      </w:pPr>
      <w:r>
        <w:rPr>
          <w:rFonts w:ascii="Arial" w:cs="Arial" w:eastAsia="Arial" w:hAnsi="Arial"/>
          <w:sz w:val="15"/>
          <w:szCs w:val="15"/>
          <w:color w:val="auto"/>
        </w:rPr>
        <w:t>in a BioNTech 401(k)</w:t>
      </w:r>
    </w:p>
    <w:p>
      <w:pPr>
        <w:spacing w:after="0" w:line="89" w:lineRule="exact"/>
        <w:rPr>
          <w:rFonts w:ascii="Times New Roman" w:cs="Times New Roman" w:eastAsia="Times New Roman" w:hAnsi="Times New Roman"/>
          <w:sz w:val="15"/>
          <w:szCs w:val="15"/>
          <w:color w:val="auto"/>
        </w:rPr>
      </w:pPr>
    </w:p>
    <w:p>
      <w:pPr>
        <w:ind w:left="529" w:hanging="236"/>
        <w:spacing w:after="0"/>
        <w:tabs>
          <w:tab w:leader="none" w:pos="529" w:val="left"/>
        </w:tabs>
        <w:numPr>
          <w:ilvl w:val="0"/>
          <w:numId w:val="250"/>
        </w:numPr>
        <w:rPr>
          <w:rFonts w:ascii="Times New Roman" w:cs="Times New Roman" w:eastAsia="Times New Roman" w:hAnsi="Times New Roman"/>
          <w:sz w:val="15"/>
          <w:szCs w:val="15"/>
          <w:color w:val="auto"/>
        </w:rPr>
      </w:pPr>
      <w:r>
        <w:rPr>
          <w:rFonts w:ascii="Arial" w:cs="Arial" w:eastAsia="Arial" w:hAnsi="Arial"/>
          <w:sz w:val="15"/>
          <w:szCs w:val="15"/>
          <w:color w:val="auto"/>
        </w:rPr>
        <w:t>or similar retirement plan resulting from periodic contributions of money to the 401(k) plan via payroll deduction,</w:t>
      </w:r>
    </w:p>
    <w:p>
      <w:pPr>
        <w:spacing w:after="0" w:line="89" w:lineRule="exact"/>
        <w:rPr>
          <w:rFonts w:ascii="Times New Roman" w:cs="Times New Roman" w:eastAsia="Times New Roman" w:hAnsi="Times New Roman"/>
          <w:sz w:val="15"/>
          <w:szCs w:val="15"/>
          <w:color w:val="auto"/>
        </w:rPr>
      </w:pPr>
    </w:p>
    <w:p>
      <w:pPr>
        <w:ind w:left="509" w:hanging="226"/>
        <w:spacing w:after="0"/>
        <w:tabs>
          <w:tab w:leader="none" w:pos="509" w:val="left"/>
        </w:tabs>
        <w:numPr>
          <w:ilvl w:val="0"/>
          <w:numId w:val="250"/>
        </w:numPr>
        <w:rPr>
          <w:rFonts w:ascii="Times New Roman" w:cs="Times New Roman" w:eastAsia="Times New Roman" w:hAnsi="Times New Roman"/>
          <w:sz w:val="15"/>
          <w:szCs w:val="15"/>
          <w:color w:val="auto"/>
        </w:rPr>
      </w:pPr>
      <w:r>
        <w:rPr>
          <w:rFonts w:ascii="Arial" w:cs="Arial" w:eastAsia="Arial" w:hAnsi="Arial"/>
          <w:sz w:val="15"/>
          <w:szCs w:val="15"/>
          <w:color w:val="auto"/>
        </w:rPr>
        <w:t>or to pre-arranged transactions under 529 plans.</w:t>
      </w:r>
    </w:p>
    <w:p>
      <w:pPr>
        <w:spacing w:after="0" w:line="90" w:lineRule="exact"/>
        <w:rPr>
          <w:sz w:val="20"/>
          <w:szCs w:val="20"/>
          <w:color w:val="auto"/>
        </w:rPr>
      </w:pPr>
    </w:p>
    <w:p>
      <w:pPr>
        <w:jc w:val="both"/>
        <w:ind w:left="289" w:right="20"/>
        <w:spacing w:after="0" w:line="285" w:lineRule="auto"/>
        <w:rPr>
          <w:sz w:val="20"/>
          <w:szCs w:val="20"/>
          <w:color w:val="auto"/>
        </w:rPr>
      </w:pPr>
      <w:r>
        <w:rPr>
          <w:rFonts w:ascii="Arial" w:cs="Arial" w:eastAsia="Arial" w:hAnsi="Arial"/>
          <w:sz w:val="15"/>
          <w:szCs w:val="15"/>
          <w:color w:val="auto"/>
        </w:rPr>
        <w:t>This Policy does apply, however, to other elections made under such plans, including to change the percentage of contributions made that will be allocated to a fund consisting solely of BioNTech Securities, transfer existing amounts into or out of such fund within a plan, or incur or pre-pay a loan against the 401(k) plan account that changes the amount held in such fund.</w:t>
      </w:r>
    </w:p>
    <w:p>
      <w:pPr>
        <w:spacing w:after="0" w:line="123" w:lineRule="exact"/>
        <w:rPr>
          <w:sz w:val="20"/>
          <w:szCs w:val="20"/>
          <w:color w:val="auto"/>
        </w:rPr>
      </w:pPr>
    </w:p>
    <w:p>
      <w:pPr>
        <w:ind w:left="289" w:hanging="289"/>
        <w:spacing w:after="0"/>
        <w:tabs>
          <w:tab w:leader="none" w:pos="289" w:val="left"/>
        </w:tabs>
        <w:numPr>
          <w:ilvl w:val="0"/>
          <w:numId w:val="251"/>
        </w:numPr>
        <w:rPr>
          <w:rFonts w:ascii="Arial" w:cs="Arial" w:eastAsia="Arial" w:hAnsi="Arial"/>
          <w:sz w:val="15"/>
          <w:szCs w:val="15"/>
          <w:b w:val="1"/>
          <w:bCs w:val="1"/>
          <w:color w:val="auto"/>
        </w:rPr>
      </w:pPr>
      <w:r>
        <w:rPr>
          <w:rFonts w:ascii="Arial" w:cs="Arial" w:eastAsia="Arial" w:hAnsi="Arial"/>
          <w:sz w:val="15"/>
          <w:szCs w:val="15"/>
          <w:b w:val="1"/>
          <w:bCs w:val="1"/>
          <w:color w:val="auto"/>
        </w:rPr>
        <w:t>Trading Plans under SEC Rule 10b5-1</w:t>
      </w:r>
    </w:p>
    <w:p>
      <w:pPr>
        <w:spacing w:after="0" w:line="90" w:lineRule="exact"/>
        <w:rPr>
          <w:rFonts w:ascii="Arial" w:cs="Arial" w:eastAsia="Arial" w:hAnsi="Arial"/>
          <w:sz w:val="15"/>
          <w:szCs w:val="15"/>
          <w:b w:val="1"/>
          <w:bCs w:val="1"/>
          <w:color w:val="auto"/>
        </w:rPr>
      </w:pPr>
    </w:p>
    <w:p>
      <w:pPr>
        <w:jc w:val="both"/>
        <w:ind w:left="289" w:right="20"/>
        <w:spacing w:after="0" w:line="285" w:lineRule="auto"/>
        <w:rPr>
          <w:rFonts w:ascii="Arial" w:cs="Arial" w:eastAsia="Arial" w:hAnsi="Arial"/>
          <w:sz w:val="15"/>
          <w:szCs w:val="15"/>
          <w:b w:val="1"/>
          <w:bCs w:val="1"/>
          <w:color w:val="auto"/>
        </w:rPr>
      </w:pPr>
      <w:r>
        <w:rPr>
          <w:rFonts w:ascii="Arial" w:cs="Arial" w:eastAsia="Arial" w:hAnsi="Arial"/>
          <w:sz w:val="15"/>
          <w:szCs w:val="15"/>
          <w:color w:val="auto"/>
        </w:rPr>
        <w:t>Transactions effected through trading plans that comply with the provisions of Rule 10b5-1 under the Securities Exchange Act of 1934, as amended (“Trading Plans”), are exempt from the trading restrictions under the Policy if such Trading Plans have been approved in advance by Legal. These Trading Plans must</w:t>
      </w:r>
    </w:p>
    <w:p>
      <w:pPr>
        <w:spacing w:after="0" w:line="123" w:lineRule="exact"/>
        <w:rPr>
          <w:rFonts w:ascii="Arial" w:cs="Arial" w:eastAsia="Arial" w:hAnsi="Arial"/>
          <w:sz w:val="15"/>
          <w:szCs w:val="15"/>
          <w:b w:val="1"/>
          <w:bCs w:val="1"/>
          <w:color w:val="auto"/>
        </w:rPr>
      </w:pPr>
    </w:p>
    <w:p>
      <w:pPr>
        <w:ind w:left="529" w:hanging="236"/>
        <w:spacing w:after="0"/>
        <w:tabs>
          <w:tab w:leader="none" w:pos="529" w:val="left"/>
        </w:tabs>
        <w:numPr>
          <w:ilvl w:val="1"/>
          <w:numId w:val="251"/>
        </w:numPr>
        <w:rPr>
          <w:rFonts w:ascii="Times New Roman" w:cs="Times New Roman" w:eastAsia="Times New Roman" w:hAnsi="Times New Roman"/>
          <w:sz w:val="15"/>
          <w:szCs w:val="15"/>
          <w:color w:val="auto"/>
        </w:rPr>
      </w:pPr>
      <w:r>
        <w:rPr>
          <w:rFonts w:ascii="Arial" w:cs="Arial" w:eastAsia="Arial" w:hAnsi="Arial"/>
          <w:sz w:val="15"/>
          <w:szCs w:val="15"/>
          <w:color w:val="auto"/>
        </w:rPr>
        <w:t>specify or provide a written formula or mechanism for determining the amount, price and date of transactions,</w:t>
      </w:r>
    </w:p>
    <w:p>
      <w:pPr>
        <w:spacing w:after="0" w:line="89" w:lineRule="exact"/>
        <w:rPr>
          <w:rFonts w:ascii="Times New Roman" w:cs="Times New Roman" w:eastAsia="Times New Roman" w:hAnsi="Times New Roman"/>
          <w:sz w:val="15"/>
          <w:szCs w:val="15"/>
          <w:color w:val="auto"/>
        </w:rPr>
      </w:pPr>
    </w:p>
    <w:p>
      <w:pPr>
        <w:ind w:left="529" w:hanging="236"/>
        <w:spacing w:after="0"/>
        <w:tabs>
          <w:tab w:leader="none" w:pos="529" w:val="left"/>
        </w:tabs>
        <w:numPr>
          <w:ilvl w:val="1"/>
          <w:numId w:val="251"/>
        </w:numPr>
        <w:rPr>
          <w:rFonts w:ascii="Times New Roman" w:cs="Times New Roman" w:eastAsia="Times New Roman" w:hAnsi="Times New Roman"/>
          <w:sz w:val="15"/>
          <w:szCs w:val="15"/>
          <w:color w:val="auto"/>
        </w:rPr>
      </w:pPr>
      <w:r>
        <w:rPr>
          <w:rFonts w:ascii="Arial" w:cs="Arial" w:eastAsia="Arial" w:hAnsi="Arial"/>
          <w:sz w:val="15"/>
          <w:szCs w:val="15"/>
          <w:color w:val="auto"/>
        </w:rPr>
        <w:t>not permit the BioNTech Representative to exercise any further influence over how, when or whether to effect sales or purchases and</w:t>
      </w:r>
    </w:p>
    <w:p>
      <w:pPr>
        <w:spacing w:after="0" w:line="89" w:lineRule="exact"/>
        <w:rPr>
          <w:rFonts w:ascii="Times New Roman" w:cs="Times New Roman" w:eastAsia="Times New Roman" w:hAnsi="Times New Roman"/>
          <w:sz w:val="15"/>
          <w:szCs w:val="15"/>
          <w:color w:val="auto"/>
        </w:rPr>
      </w:pPr>
    </w:p>
    <w:p>
      <w:pPr>
        <w:ind w:left="529" w:hanging="236"/>
        <w:spacing w:after="0" w:line="289" w:lineRule="auto"/>
        <w:tabs>
          <w:tab w:leader="none" w:pos="529" w:val="left"/>
        </w:tabs>
        <w:numPr>
          <w:ilvl w:val="1"/>
          <w:numId w:val="251"/>
        </w:numPr>
        <w:rPr>
          <w:rFonts w:ascii="Times New Roman" w:cs="Times New Roman" w:eastAsia="Times New Roman" w:hAnsi="Times New Roman"/>
          <w:sz w:val="15"/>
          <w:szCs w:val="15"/>
          <w:color w:val="auto"/>
        </w:rPr>
      </w:pPr>
      <w:r>
        <w:rPr>
          <w:rFonts w:ascii="Arial" w:cs="Arial" w:eastAsia="Arial" w:hAnsi="Arial"/>
          <w:sz w:val="15"/>
          <w:szCs w:val="15"/>
          <w:color w:val="auto"/>
        </w:rPr>
        <w:t>be established in good faith (i.e., not with the intent to evade insider trading prohibitions), and may not be established during a Blackout Period or when the BioNTech Representative establishing the plan is in possession of MNPI.</w:t>
      </w:r>
    </w:p>
    <w:p>
      <w:pPr>
        <w:spacing w:after="0" w:line="301" w:lineRule="exact"/>
        <w:rPr>
          <w:rFonts w:ascii="Times New Roman" w:cs="Times New Roman" w:eastAsia="Times New Roman" w:hAnsi="Times New Roman"/>
          <w:sz w:val="15"/>
          <w:szCs w:val="15"/>
          <w:color w:val="auto"/>
        </w:rPr>
      </w:pPr>
    </w:p>
    <w:p>
      <w:pPr>
        <w:ind w:left="289" w:hanging="289"/>
        <w:spacing w:after="0"/>
        <w:tabs>
          <w:tab w:leader="none" w:pos="289" w:val="left"/>
        </w:tabs>
        <w:numPr>
          <w:ilvl w:val="0"/>
          <w:numId w:val="251"/>
        </w:numPr>
        <w:rPr>
          <w:rFonts w:ascii="Arial" w:cs="Arial" w:eastAsia="Arial" w:hAnsi="Arial"/>
          <w:sz w:val="15"/>
          <w:szCs w:val="15"/>
          <w:b w:val="1"/>
          <w:bCs w:val="1"/>
          <w:color w:val="auto"/>
        </w:rPr>
      </w:pPr>
      <w:r>
        <w:rPr>
          <w:rFonts w:ascii="Arial" w:cs="Arial" w:eastAsia="Arial" w:hAnsi="Arial"/>
          <w:sz w:val="15"/>
          <w:szCs w:val="15"/>
          <w:b w:val="1"/>
          <w:bCs w:val="1"/>
          <w:color w:val="auto"/>
        </w:rPr>
        <w:t>Gift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
        <w:spacing w:after="0"/>
        <w:rPr>
          <w:sz w:val="20"/>
          <w:szCs w:val="20"/>
          <w:color w:val="auto"/>
        </w:rPr>
      </w:pPr>
      <w:r>
        <w:rPr>
          <w:rFonts w:ascii="Arial" w:cs="Arial" w:eastAsia="Arial" w:hAnsi="Arial"/>
          <w:sz w:val="15"/>
          <w:szCs w:val="15"/>
          <w:color w:val="auto"/>
        </w:rPr>
        <w:t>[***]</w:t>
      </w:r>
    </w:p>
    <w:p>
      <w:pPr>
        <w:sectPr>
          <w:pgSz w:w="11900" w:h="16840" w:orient="portrait"/>
          <w:cols w:equalWidth="0" w:num="1">
            <w:col w:w="10589"/>
          </w:cols>
          <w:pgMar w:left="651" w:top="599" w:right="660" w:bottom="1440" w:gutter="0" w:footer="0" w:header="0"/>
        </w:sectPr>
      </w:pPr>
    </w:p>
    <w:bookmarkStart w:id="428" w:name="page429"/>
    <w:bookmarkEnd w:id="428"/>
    <w:p>
      <w:pPr>
        <w:ind w:left="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2082165</wp:posOffset>
            </wp:positionH>
            <wp:positionV relativeFrom="page">
              <wp:posOffset>361950</wp:posOffset>
            </wp:positionV>
            <wp:extent cx="1181100" cy="1092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51">
                      <a:clrChange>
                        <a:clrFrom>
                          <a:srgbClr val="FFFFFF"/>
                        </a:clrFrom>
                        <a:clrTo>
                          <a:srgbClr val="FFFFFF">
                            <a:alpha val="0"/>
                          </a:srgbClr>
                        </a:clrTo>
                      </a:clrChange>
                      <a:extLst>
                        <a:ext uri="{28A0092B-C50C-407E-A947-70E740481C1C}"/>
                      </a:extLst>
                    </a:blip>
                    <a:srcRect/>
                    <a:stretch>
                      <a:fillRect/>
                    </a:stretch>
                  </pic:blipFill>
                  <pic:spPr bwMode="auto">
                    <a:xfrm>
                      <a:off x="0" y="0"/>
                      <a:ext cx="1181100" cy="109220"/>
                    </a:xfrm>
                    <a:prstGeom prst="rect">
                      <a:avLst/>
                    </a:prstGeom>
                    <a:noFill/>
                  </pic:spPr>
                </pic:pic>
              </a:graphicData>
            </a:graphic>
          </wp:anchor>
        </w:drawing>
        <w:t>Insider Trading Policy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289"/>
        <w:spacing w:after="0" w:line="285" w:lineRule="auto"/>
        <w:rPr>
          <w:sz w:val="20"/>
          <w:szCs w:val="20"/>
          <w:color w:val="auto"/>
        </w:rPr>
      </w:pPr>
      <w:r>
        <w:rPr>
          <w:rFonts w:ascii="Arial" w:cs="Arial" w:eastAsia="Arial" w:hAnsi="Arial"/>
          <w:sz w:val="15"/>
          <w:szCs w:val="15"/>
          <w:color w:val="auto"/>
        </w:rPr>
        <w:t>In certain situations, transfers of Securities without consideration (i.e., gifts) will not be considered trading activity under this Policy.</w:t>
      </w:r>
      <w:r>
        <w:rPr>
          <w:rFonts w:ascii="Arial" w:cs="Arial" w:eastAsia="Arial" w:hAnsi="Arial"/>
          <w:sz w:val="15"/>
          <w:szCs w:val="15"/>
          <w:color w:val="212121"/>
        </w:rPr>
        <w:t>However, gifts cannot</w:t>
      </w:r>
      <w:r>
        <w:rPr>
          <w:rFonts w:ascii="Arial" w:cs="Arial" w:eastAsia="Arial" w:hAnsi="Arial"/>
          <w:sz w:val="15"/>
          <w:szCs w:val="15"/>
          <w:color w:val="auto"/>
        </w:rPr>
        <w:t xml:space="preserve"> </w:t>
      </w:r>
      <w:r>
        <w:rPr>
          <w:rFonts w:ascii="Arial" w:cs="Arial" w:eastAsia="Arial" w:hAnsi="Arial"/>
          <w:sz w:val="15"/>
          <w:szCs w:val="15"/>
          <w:color w:val="212121"/>
        </w:rPr>
        <w:t>be used to circumvent insider trading laws, so it is important to consider whether you possess MNPI before making a gift, particularly if it is likely that the person receiving the gift (the Recipient) is likely to sell the Securities in the near term.</w:t>
      </w:r>
    </w:p>
    <w:p>
      <w:pPr>
        <w:spacing w:after="0" w:line="43" w:lineRule="exact"/>
        <w:rPr>
          <w:sz w:val="20"/>
          <w:szCs w:val="20"/>
          <w:color w:val="auto"/>
        </w:rPr>
      </w:pPr>
    </w:p>
    <w:p>
      <w:pPr>
        <w:ind w:left="289"/>
        <w:spacing w:after="0"/>
        <w:rPr>
          <w:sz w:val="20"/>
          <w:szCs w:val="20"/>
          <w:color w:val="auto"/>
        </w:rPr>
      </w:pPr>
      <w:r>
        <w:rPr>
          <w:rFonts w:ascii="Arial" w:cs="Arial" w:eastAsia="Arial" w:hAnsi="Arial"/>
          <w:sz w:val="15"/>
          <w:szCs w:val="15"/>
          <w:b w:val="1"/>
          <w:bCs w:val="1"/>
          <w:i w:val="1"/>
          <w:iCs w:val="1"/>
          <w:color w:val="auto"/>
        </w:rPr>
        <w:t>Receiving Gifts</w:t>
      </w:r>
    </w:p>
    <w:p>
      <w:pPr>
        <w:spacing w:after="0" w:line="100" w:lineRule="exact"/>
        <w:rPr>
          <w:sz w:val="20"/>
          <w:szCs w:val="20"/>
          <w:color w:val="auto"/>
        </w:rPr>
      </w:pPr>
    </w:p>
    <w:p>
      <w:pPr>
        <w:ind w:left="289"/>
        <w:spacing w:after="0"/>
        <w:rPr>
          <w:sz w:val="20"/>
          <w:szCs w:val="20"/>
          <w:color w:val="auto"/>
        </w:rPr>
      </w:pPr>
      <w:r>
        <w:rPr>
          <w:rFonts w:ascii="Arial" w:cs="Arial" w:eastAsia="Arial" w:hAnsi="Arial"/>
          <w:sz w:val="15"/>
          <w:szCs w:val="15"/>
          <w:color w:val="auto"/>
        </w:rPr>
        <w:t>A BioNTech Representative may receive an unsolicited, bona fide gift of BioNTech Securities without seeking pre-clearance under section 5c) of this</w:t>
      </w:r>
    </w:p>
    <w:p>
      <w:pPr>
        <w:spacing w:after="0" w:line="27" w:lineRule="exact"/>
        <w:rPr>
          <w:sz w:val="20"/>
          <w:szCs w:val="20"/>
          <w:color w:val="auto"/>
        </w:rPr>
      </w:pPr>
    </w:p>
    <w:p>
      <w:pPr>
        <w:ind w:left="289"/>
        <w:spacing w:after="0"/>
        <w:rPr>
          <w:sz w:val="20"/>
          <w:szCs w:val="20"/>
          <w:color w:val="auto"/>
        </w:rPr>
      </w:pPr>
      <w:r>
        <w:rPr>
          <w:rFonts w:ascii="Arial" w:cs="Arial" w:eastAsia="Arial" w:hAnsi="Arial"/>
          <w:sz w:val="15"/>
          <w:szCs w:val="15"/>
          <w:color w:val="auto"/>
        </w:rPr>
        <w:t>Policy, provided that the Recipient did not play a role in determining the size or timing of the gift. The Recipient, who is a Covered Person, should inform</w:t>
      </w:r>
    </w:p>
    <w:p>
      <w:pPr>
        <w:spacing w:after="0" w:line="20" w:lineRule="exact"/>
        <w:rPr>
          <w:sz w:val="20"/>
          <w:szCs w:val="20"/>
          <w:color w:val="auto"/>
        </w:rPr>
      </w:pPr>
    </w:p>
    <w:p>
      <w:pPr>
        <w:ind w:left="289"/>
        <w:spacing w:after="0"/>
        <w:rPr>
          <w:sz w:val="20"/>
          <w:szCs w:val="20"/>
          <w:color w:val="auto"/>
        </w:rPr>
      </w:pPr>
      <w:r>
        <w:rPr>
          <w:rFonts w:ascii="Arial" w:cs="Arial" w:eastAsia="Arial" w:hAnsi="Arial"/>
          <w:sz w:val="15"/>
          <w:szCs w:val="15"/>
          <w:color w:val="auto"/>
        </w:rPr>
        <w:t>Legal within five (5) trading days of the gift transaction or such Covered Person’s knowledge of such transaction, whichever is later.</w:t>
      </w:r>
    </w:p>
    <w:p>
      <w:pPr>
        <w:spacing w:after="0" w:line="93" w:lineRule="exact"/>
        <w:rPr>
          <w:sz w:val="20"/>
          <w:szCs w:val="20"/>
          <w:color w:val="auto"/>
        </w:rPr>
      </w:pPr>
    </w:p>
    <w:p>
      <w:pPr>
        <w:ind w:left="289"/>
        <w:spacing w:after="0"/>
        <w:rPr>
          <w:sz w:val="20"/>
          <w:szCs w:val="20"/>
          <w:color w:val="auto"/>
        </w:rPr>
      </w:pPr>
      <w:r>
        <w:rPr>
          <w:rFonts w:ascii="Arial" w:cs="Arial" w:eastAsia="Arial" w:hAnsi="Arial"/>
          <w:sz w:val="15"/>
          <w:szCs w:val="15"/>
          <w:b w:val="1"/>
          <w:bCs w:val="1"/>
          <w:i w:val="1"/>
          <w:iCs w:val="1"/>
          <w:color w:val="auto"/>
        </w:rPr>
        <w:t>Providing Gifts</w:t>
      </w:r>
    </w:p>
    <w:p>
      <w:pPr>
        <w:spacing w:after="0" w:line="100" w:lineRule="exact"/>
        <w:rPr>
          <w:sz w:val="20"/>
          <w:szCs w:val="20"/>
          <w:color w:val="auto"/>
        </w:rPr>
      </w:pPr>
    </w:p>
    <w:p>
      <w:pPr>
        <w:jc w:val="both"/>
        <w:ind w:left="289" w:right="20"/>
        <w:spacing w:after="0" w:line="285" w:lineRule="auto"/>
        <w:rPr>
          <w:sz w:val="20"/>
          <w:szCs w:val="20"/>
          <w:color w:val="auto"/>
        </w:rPr>
      </w:pPr>
      <w:r>
        <w:rPr>
          <w:rFonts w:ascii="Arial" w:cs="Arial" w:eastAsia="Arial" w:hAnsi="Arial"/>
          <w:sz w:val="15"/>
          <w:szCs w:val="15"/>
          <w:color w:val="auto"/>
        </w:rPr>
        <w:t>A BioNTech Representative may provide a bona fide gift of BioNTech Securities to another BioNTech Representative without seeking pre-clearance under this Policy. However, a Covered Person must seek pre-clearance from the CLO or their designee as provided in section 5c of this Policy before providing a gift to any Recipient who is not also a Covered Person. The CLO must seek pre-clearance in accordance with section 5c(i).</w:t>
      </w:r>
    </w:p>
    <w:p>
      <w:pPr>
        <w:spacing w:after="0" w:line="200" w:lineRule="exact"/>
        <w:rPr>
          <w:sz w:val="20"/>
          <w:szCs w:val="20"/>
          <w:color w:val="auto"/>
        </w:rPr>
      </w:pPr>
    </w:p>
    <w:p>
      <w:pPr>
        <w:spacing w:after="0" w:line="286" w:lineRule="exact"/>
        <w:rPr>
          <w:sz w:val="20"/>
          <w:szCs w:val="20"/>
          <w:color w:val="auto"/>
        </w:rPr>
      </w:pPr>
    </w:p>
    <w:p>
      <w:pPr>
        <w:ind w:left="289" w:hanging="289"/>
        <w:spacing w:after="0"/>
        <w:tabs>
          <w:tab w:leader="none" w:pos="289" w:val="left"/>
        </w:tabs>
        <w:numPr>
          <w:ilvl w:val="0"/>
          <w:numId w:val="252"/>
        </w:numPr>
        <w:rPr>
          <w:rFonts w:ascii="Arial" w:cs="Arial" w:eastAsia="Arial" w:hAnsi="Arial"/>
          <w:sz w:val="16"/>
          <w:szCs w:val="16"/>
          <w:b w:val="1"/>
          <w:bCs w:val="1"/>
          <w:color w:val="auto"/>
        </w:rPr>
      </w:pPr>
      <w:r>
        <w:rPr>
          <w:rFonts w:ascii="Arial" w:cs="Arial" w:eastAsia="Arial" w:hAnsi="Arial"/>
          <w:sz w:val="16"/>
          <w:szCs w:val="16"/>
          <w:b w:val="1"/>
          <w:bCs w:val="1"/>
          <w:color w:val="auto"/>
        </w:rPr>
        <w:t>Consequences of Insider Trading</w:t>
      </w:r>
    </w:p>
    <w:p>
      <w:pPr>
        <w:spacing w:after="0" w:line="180" w:lineRule="exact"/>
        <w:rPr>
          <w:rFonts w:ascii="Arial" w:cs="Arial" w:eastAsia="Arial" w:hAnsi="Arial"/>
          <w:sz w:val="16"/>
          <w:szCs w:val="16"/>
          <w:b w:val="1"/>
          <w:bCs w:val="1"/>
          <w:color w:val="auto"/>
        </w:rPr>
      </w:pPr>
    </w:p>
    <w:p>
      <w:pPr>
        <w:ind w:left="289"/>
        <w:spacing w:after="0"/>
        <w:rPr>
          <w:rFonts w:ascii="Arial" w:cs="Arial" w:eastAsia="Arial" w:hAnsi="Arial"/>
          <w:sz w:val="16"/>
          <w:szCs w:val="16"/>
          <w:b w:val="1"/>
          <w:bCs w:val="1"/>
          <w:color w:val="auto"/>
        </w:rPr>
      </w:pPr>
      <w:r>
        <w:rPr>
          <w:rFonts w:ascii="Arial" w:cs="Arial" w:eastAsia="Arial" w:hAnsi="Arial"/>
          <w:sz w:val="15"/>
          <w:szCs w:val="15"/>
          <w:color w:val="auto"/>
        </w:rPr>
        <w:t>Securities law violations are taken very seriously.</w:t>
      </w:r>
    </w:p>
    <w:p>
      <w:pPr>
        <w:spacing w:after="0" w:line="100" w:lineRule="exact"/>
        <w:rPr>
          <w:rFonts w:ascii="Arial" w:cs="Arial" w:eastAsia="Arial" w:hAnsi="Arial"/>
          <w:sz w:val="16"/>
          <w:szCs w:val="16"/>
          <w:b w:val="1"/>
          <w:bCs w:val="1"/>
          <w:color w:val="auto"/>
        </w:rPr>
      </w:pPr>
    </w:p>
    <w:p>
      <w:pPr>
        <w:ind w:left="289"/>
        <w:spacing w:after="0"/>
        <w:rPr>
          <w:rFonts w:ascii="Arial" w:cs="Arial" w:eastAsia="Arial" w:hAnsi="Arial"/>
          <w:sz w:val="16"/>
          <w:szCs w:val="16"/>
          <w:b w:val="1"/>
          <w:bCs w:val="1"/>
          <w:color w:val="auto"/>
        </w:rPr>
      </w:pPr>
      <w:r>
        <w:rPr>
          <w:rFonts w:ascii="Arial" w:cs="Arial" w:eastAsia="Arial" w:hAnsi="Arial"/>
          <w:sz w:val="15"/>
          <w:szCs w:val="15"/>
          <w:b w:val="1"/>
          <w:bCs w:val="1"/>
          <w:i w:val="1"/>
          <w:iCs w:val="1"/>
          <w:color w:val="auto"/>
        </w:rPr>
        <w:t>Detection</w:t>
      </w:r>
    </w:p>
    <w:p>
      <w:pPr>
        <w:spacing w:after="0" w:line="100" w:lineRule="exact"/>
        <w:rPr>
          <w:rFonts w:ascii="Arial" w:cs="Arial" w:eastAsia="Arial" w:hAnsi="Arial"/>
          <w:sz w:val="16"/>
          <w:szCs w:val="16"/>
          <w:b w:val="1"/>
          <w:bCs w:val="1"/>
          <w:color w:val="auto"/>
        </w:rPr>
      </w:pPr>
    </w:p>
    <w:p>
      <w:pPr>
        <w:jc w:val="both"/>
        <w:ind w:left="289"/>
        <w:spacing w:after="0" w:line="278" w:lineRule="auto"/>
        <w:rPr>
          <w:rFonts w:ascii="Arial" w:cs="Arial" w:eastAsia="Arial" w:hAnsi="Arial"/>
          <w:sz w:val="16"/>
          <w:szCs w:val="16"/>
          <w:b w:val="1"/>
          <w:bCs w:val="1"/>
          <w:color w:val="auto"/>
        </w:rPr>
      </w:pPr>
      <w:r>
        <w:rPr>
          <w:rFonts w:ascii="Arial" w:cs="Arial" w:eastAsia="Arial" w:hAnsi="Arial"/>
          <w:sz w:val="15"/>
          <w:szCs w:val="15"/>
          <w:color w:val="auto"/>
        </w:rPr>
        <w:t>Government agencies and securities exchanges monitor trading activities through automated records searches, and are effective in detecting, and vigorously pursuing, insider trading violations, including in cases involving foreign accounts, trading by family members and friends, trading involving only a small number of shares and trading involving other securities relating to a company’s securities. Criminal prosecutions for insider trading are commonplace. In addition to the U.S. securities laws, you may be subject to investigation and prosecution under the laws of the jurisdiction in which you reside.</w:t>
      </w:r>
    </w:p>
    <w:p>
      <w:pPr>
        <w:spacing w:after="0" w:line="241" w:lineRule="exact"/>
        <w:rPr>
          <w:rFonts w:ascii="Arial" w:cs="Arial" w:eastAsia="Arial" w:hAnsi="Arial"/>
          <w:sz w:val="16"/>
          <w:szCs w:val="16"/>
          <w:b w:val="1"/>
          <w:bCs w:val="1"/>
          <w:color w:val="auto"/>
        </w:rPr>
      </w:pPr>
    </w:p>
    <w:p>
      <w:pPr>
        <w:ind w:left="289"/>
        <w:spacing w:after="0"/>
        <w:rPr>
          <w:rFonts w:ascii="Arial" w:cs="Arial" w:eastAsia="Arial" w:hAnsi="Arial"/>
          <w:sz w:val="16"/>
          <w:szCs w:val="16"/>
          <w:b w:val="1"/>
          <w:bCs w:val="1"/>
          <w:color w:val="auto"/>
        </w:rPr>
      </w:pPr>
      <w:r>
        <w:rPr>
          <w:rFonts w:ascii="Arial" w:cs="Arial" w:eastAsia="Arial" w:hAnsi="Arial"/>
          <w:sz w:val="15"/>
          <w:szCs w:val="15"/>
          <w:b w:val="1"/>
          <w:bCs w:val="1"/>
          <w:i w:val="1"/>
          <w:iCs w:val="1"/>
          <w:color w:val="auto"/>
        </w:rPr>
        <w:t>Civil and Criminal Liabilities</w:t>
      </w:r>
    </w:p>
    <w:p>
      <w:pPr>
        <w:spacing w:after="0" w:line="100" w:lineRule="exact"/>
        <w:rPr>
          <w:rFonts w:ascii="Arial" w:cs="Arial" w:eastAsia="Arial" w:hAnsi="Arial"/>
          <w:sz w:val="16"/>
          <w:szCs w:val="16"/>
          <w:b w:val="1"/>
          <w:bCs w:val="1"/>
          <w:color w:val="auto"/>
        </w:rPr>
      </w:pPr>
    </w:p>
    <w:p>
      <w:pPr>
        <w:jc w:val="both"/>
        <w:ind w:left="289"/>
        <w:spacing w:after="0" w:line="285" w:lineRule="auto"/>
        <w:rPr>
          <w:rFonts w:ascii="Arial" w:cs="Arial" w:eastAsia="Arial" w:hAnsi="Arial"/>
          <w:sz w:val="16"/>
          <w:szCs w:val="16"/>
          <w:b w:val="1"/>
          <w:bCs w:val="1"/>
          <w:color w:val="auto"/>
        </w:rPr>
      </w:pPr>
      <w:r>
        <w:rPr>
          <w:rFonts w:ascii="Arial" w:cs="Arial" w:eastAsia="Arial" w:hAnsi="Arial"/>
          <w:sz w:val="15"/>
          <w:szCs w:val="15"/>
          <w:color w:val="auto"/>
        </w:rPr>
        <w:t>Violations may result in significant civil and criminal penalties against companies and individuals, including substantial fines or imprisonment. E.g., a tipper (see section 4a) who discloses MNPI to another person that trades illegally can also be held criminally liable, even if the tipper does not receive any compensation for the tip.</w:t>
      </w:r>
    </w:p>
    <w:p>
      <w:pPr>
        <w:spacing w:after="0" w:line="42" w:lineRule="exact"/>
        <w:rPr>
          <w:rFonts w:ascii="Arial" w:cs="Arial" w:eastAsia="Arial" w:hAnsi="Arial"/>
          <w:sz w:val="16"/>
          <w:szCs w:val="16"/>
          <w:b w:val="1"/>
          <w:bCs w:val="1"/>
          <w:color w:val="auto"/>
        </w:rPr>
      </w:pPr>
    </w:p>
    <w:p>
      <w:pPr>
        <w:ind w:left="289"/>
        <w:spacing w:after="0"/>
        <w:rPr>
          <w:rFonts w:ascii="Arial" w:cs="Arial" w:eastAsia="Arial" w:hAnsi="Arial"/>
          <w:sz w:val="16"/>
          <w:szCs w:val="16"/>
          <w:b w:val="1"/>
          <w:bCs w:val="1"/>
          <w:color w:val="auto"/>
        </w:rPr>
      </w:pPr>
      <w:r>
        <w:rPr>
          <w:rFonts w:ascii="Arial" w:cs="Arial" w:eastAsia="Arial" w:hAnsi="Arial"/>
          <w:sz w:val="15"/>
          <w:szCs w:val="15"/>
          <w:b w:val="1"/>
          <w:bCs w:val="1"/>
          <w:i w:val="1"/>
          <w:iCs w:val="1"/>
          <w:color w:val="auto"/>
        </w:rPr>
        <w:t>Disciplinary Actions</w:t>
      </w:r>
    </w:p>
    <w:p>
      <w:pPr>
        <w:spacing w:after="0" w:line="90" w:lineRule="exact"/>
        <w:rPr>
          <w:rFonts w:ascii="Arial" w:cs="Arial" w:eastAsia="Arial" w:hAnsi="Arial"/>
          <w:sz w:val="16"/>
          <w:szCs w:val="16"/>
          <w:b w:val="1"/>
          <w:bCs w:val="1"/>
          <w:color w:val="auto"/>
        </w:rPr>
      </w:pPr>
    </w:p>
    <w:p>
      <w:pPr>
        <w:ind w:left="289"/>
        <w:spacing w:after="0" w:line="304" w:lineRule="auto"/>
        <w:rPr>
          <w:rFonts w:ascii="Arial" w:cs="Arial" w:eastAsia="Arial" w:hAnsi="Arial"/>
          <w:sz w:val="16"/>
          <w:szCs w:val="16"/>
          <w:b w:val="1"/>
          <w:bCs w:val="1"/>
          <w:color w:val="auto"/>
        </w:rPr>
      </w:pPr>
      <w:r>
        <w:rPr>
          <w:rFonts w:ascii="Arial" w:cs="Arial" w:eastAsia="Arial" w:hAnsi="Arial"/>
          <w:sz w:val="15"/>
          <w:szCs w:val="15"/>
          <w:color w:val="auto"/>
        </w:rPr>
        <w:t>In addition, failure to comply with applicable law as reflected in this Policy may result in disciplinary action, up to and including dismissal for cause from BioNTech.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9"/>
        <w:spacing w:after="0"/>
        <w:rPr>
          <w:sz w:val="20"/>
          <w:szCs w:val="20"/>
          <w:color w:val="auto"/>
        </w:rPr>
      </w:pPr>
      <w:r>
        <w:rPr>
          <w:rFonts w:ascii="Arial" w:cs="Arial" w:eastAsia="Arial" w:hAnsi="Arial"/>
          <w:sz w:val="15"/>
          <w:szCs w:val="15"/>
          <w:color w:val="auto"/>
        </w:rPr>
        <w:t>[***]</w:t>
      </w:r>
    </w:p>
    <w:p>
      <w:pPr>
        <w:sectPr>
          <w:pgSz w:w="11900" w:h="16840" w:orient="portrait"/>
          <w:cols w:equalWidth="0" w:num="1">
            <w:col w:w="10589"/>
          </w:cols>
          <w:pgMar w:left="651" w:top="599" w:right="660" w:bottom="1440" w:gutter="0" w:footer="0" w:header="0"/>
        </w:sectPr>
      </w:pPr>
    </w:p>
    <w:bookmarkStart w:id="429" w:name="page430"/>
    <w:bookmarkEnd w:id="429"/>
    <w:p>
      <w:pPr>
        <w:ind w:left="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2082165</wp:posOffset>
            </wp:positionH>
            <wp:positionV relativeFrom="page">
              <wp:posOffset>361950</wp:posOffset>
            </wp:positionV>
            <wp:extent cx="1181100" cy="1092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52">
                      <a:clrChange>
                        <a:clrFrom>
                          <a:srgbClr val="FFFFFF"/>
                        </a:clrFrom>
                        <a:clrTo>
                          <a:srgbClr val="FFFFFF">
                            <a:alpha val="0"/>
                          </a:srgbClr>
                        </a:clrTo>
                      </a:clrChange>
                      <a:extLst>
                        <a:ext uri="{28A0092B-C50C-407E-A947-70E740481C1C}"/>
                      </a:extLst>
                    </a:blip>
                    <a:srcRect/>
                    <a:stretch>
                      <a:fillRect/>
                    </a:stretch>
                  </pic:blipFill>
                  <pic:spPr bwMode="auto">
                    <a:xfrm>
                      <a:off x="0" y="0"/>
                      <a:ext cx="1181100" cy="109220"/>
                    </a:xfrm>
                    <a:prstGeom prst="rect">
                      <a:avLst/>
                    </a:prstGeom>
                    <a:noFill/>
                  </pic:spPr>
                </pic:pic>
              </a:graphicData>
            </a:graphic>
          </wp:anchor>
        </w:drawing>
        <w:t>Insider Trading Policy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89"/>
        <w:spacing w:after="0"/>
        <w:rPr>
          <w:sz w:val="20"/>
          <w:szCs w:val="20"/>
          <w:color w:val="auto"/>
        </w:rPr>
      </w:pPr>
      <w:r>
        <w:rPr>
          <w:rFonts w:ascii="Arial" w:cs="Arial" w:eastAsia="Arial" w:hAnsi="Arial"/>
          <w:sz w:val="15"/>
          <w:szCs w:val="15"/>
          <w:color w:val="auto"/>
        </w:rPr>
        <w:t>The BioNTech Representative may also be held liable for known violations of the law as reflected by this Policy by your Immediate Family Members..</w:t>
      </w:r>
    </w:p>
    <w:p>
      <w:pPr>
        <w:spacing w:after="0" w:line="190" w:lineRule="exact"/>
        <w:rPr>
          <w:sz w:val="20"/>
          <w:szCs w:val="20"/>
          <w:color w:val="auto"/>
        </w:rPr>
      </w:pPr>
    </w:p>
    <w:p>
      <w:pPr>
        <w:ind w:left="289" w:hanging="289"/>
        <w:spacing w:after="0"/>
        <w:tabs>
          <w:tab w:leader="none" w:pos="289" w:val="left"/>
        </w:tabs>
        <w:numPr>
          <w:ilvl w:val="0"/>
          <w:numId w:val="253"/>
        </w:numPr>
        <w:rPr>
          <w:rFonts w:ascii="Arial" w:cs="Arial" w:eastAsia="Arial" w:hAnsi="Arial"/>
          <w:sz w:val="16"/>
          <w:szCs w:val="16"/>
          <w:b w:val="1"/>
          <w:bCs w:val="1"/>
          <w:color w:val="auto"/>
        </w:rPr>
      </w:pPr>
      <w:r>
        <w:rPr>
          <w:rFonts w:ascii="Arial" w:cs="Arial" w:eastAsia="Arial" w:hAnsi="Arial"/>
          <w:sz w:val="16"/>
          <w:szCs w:val="16"/>
          <w:b w:val="1"/>
          <w:bCs w:val="1"/>
          <w:color w:val="auto"/>
        </w:rPr>
        <w:t>Roles and Responsibilities</w:t>
      </w:r>
    </w:p>
    <w:p>
      <w:pPr>
        <w:spacing w:after="0" w:line="180" w:lineRule="exact"/>
        <w:rPr>
          <w:rFonts w:ascii="Arial" w:cs="Arial" w:eastAsia="Arial" w:hAnsi="Arial"/>
          <w:sz w:val="16"/>
          <w:szCs w:val="16"/>
          <w:b w:val="1"/>
          <w:bCs w:val="1"/>
          <w:color w:val="auto"/>
        </w:rPr>
      </w:pPr>
    </w:p>
    <w:p>
      <w:pPr>
        <w:jc w:val="both"/>
        <w:ind w:left="289" w:right="20"/>
        <w:spacing w:after="0" w:line="284" w:lineRule="auto"/>
        <w:rPr>
          <w:rFonts w:ascii="Arial" w:cs="Arial" w:eastAsia="Arial" w:hAnsi="Arial"/>
          <w:sz w:val="16"/>
          <w:szCs w:val="16"/>
          <w:b w:val="1"/>
          <w:bCs w:val="1"/>
          <w:color w:val="auto"/>
        </w:rPr>
      </w:pPr>
      <w:r>
        <w:rPr>
          <w:rFonts w:ascii="Arial" w:cs="Arial" w:eastAsia="Arial" w:hAnsi="Arial"/>
          <w:sz w:val="15"/>
          <w:szCs w:val="15"/>
          <w:color w:val="auto"/>
        </w:rPr>
        <w:t xml:space="preserve">If you have questions about specific transactions or this Policy in general, you may direct questions to the Legal. Remember, however, that the ultimate responsibility for adhering to this Policy and </w:t>
      </w:r>
      <w:r>
        <w:rPr>
          <w:rFonts w:ascii="Arial" w:cs="Arial" w:eastAsia="Arial" w:hAnsi="Arial"/>
          <w:sz w:val="15"/>
          <w:szCs w:val="15"/>
          <w:u w:val="single" w:color="auto"/>
          <w:color w:val="auto"/>
        </w:rPr>
        <w:t>avoiding improper transactions resides with you</w:t>
      </w:r>
      <w:r>
        <w:rPr>
          <w:rFonts w:ascii="Arial" w:cs="Arial" w:eastAsia="Arial" w:hAnsi="Arial"/>
          <w:sz w:val="15"/>
          <w:szCs w:val="15"/>
          <w:color w:val="auto"/>
        </w:rPr>
        <w:t>, and that Legal may only provide legal advice to BioNTech and cannot provide you advice on specific transactions. In this regard, it is imperative that you use your best judgment and seek outside counsel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516255</wp:posOffset>
            </wp:positionV>
            <wp:extent cx="6341745" cy="15430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53">
                      <a:extLst>
                        <a:ext uri="{28A0092B-C50C-407E-A947-70E740481C1C}"/>
                      </a:extLst>
                    </a:blip>
                    <a:srcRect/>
                    <a:stretch>
                      <a:fillRect/>
                    </a:stretch>
                  </pic:blipFill>
                  <pic:spPr bwMode="auto">
                    <a:xfrm>
                      <a:off x="0" y="0"/>
                      <a:ext cx="6341745" cy="154305"/>
                    </a:xfrm>
                    <a:prstGeom prst="rect">
                      <a:avLst/>
                    </a:prstGeom>
                    <a:noFill/>
                  </pic:spPr>
                </pic:pic>
              </a:graphicData>
            </a:graphic>
          </wp:anchor>
        </w:drawing>
      </w:r>
    </w:p>
    <w:p>
      <w:pPr>
        <w:sectPr>
          <w:pgSz w:w="11900" w:h="16840" w:orient="portrait"/>
          <w:cols w:equalWidth="0" w:num="1">
            <w:col w:w="10609"/>
          </w:cols>
          <w:pgMar w:left="651" w:top="599" w:right="6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9"/>
        <w:spacing w:after="0"/>
        <w:rPr>
          <w:sz w:val="20"/>
          <w:szCs w:val="20"/>
          <w:color w:val="auto"/>
        </w:rPr>
      </w:pPr>
      <w:r>
        <w:rPr>
          <w:rFonts w:ascii="Arial" w:cs="Arial" w:eastAsia="Arial" w:hAnsi="Arial"/>
          <w:sz w:val="15"/>
          <w:szCs w:val="15"/>
          <w:b w:val="1"/>
          <w:bCs w:val="1"/>
          <w:color w:val="FFFFFF"/>
        </w:rPr>
        <w:t>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31115</wp:posOffset>
            </wp:positionV>
            <wp:extent cx="1123315" cy="117475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54">
                      <a:extLst>
                        <a:ext uri="{28A0092B-C50C-407E-A947-70E740481C1C}"/>
                      </a:extLst>
                    </a:blip>
                    <a:srcRect/>
                    <a:stretch>
                      <a:fillRect/>
                    </a:stretch>
                  </pic:blipFill>
                  <pic:spPr bwMode="auto">
                    <a:xfrm>
                      <a:off x="0" y="0"/>
                      <a:ext cx="1123315" cy="1174750"/>
                    </a:xfrm>
                    <a:prstGeom prst="rect">
                      <a:avLst/>
                    </a:prstGeom>
                    <a:noFill/>
                  </pic:spPr>
                </pic:pic>
              </a:graphicData>
            </a:graphic>
          </wp:anchor>
        </w:drawing>
      </w:r>
    </w:p>
    <w:p>
      <w:pPr>
        <w:spacing w:after="0" w:line="60" w:lineRule="exact"/>
        <w:rPr>
          <w:sz w:val="20"/>
          <w:szCs w:val="20"/>
          <w:color w:val="auto"/>
        </w:rPr>
      </w:pPr>
    </w:p>
    <w:p>
      <w:pPr>
        <w:ind w:left="329"/>
        <w:spacing w:after="0" w:line="371" w:lineRule="auto"/>
        <w:rPr>
          <w:sz w:val="20"/>
          <w:szCs w:val="20"/>
          <w:color w:val="auto"/>
        </w:rPr>
      </w:pPr>
      <w:r>
        <w:rPr>
          <w:rFonts w:ascii="Arial" w:cs="Arial" w:eastAsia="Arial" w:hAnsi="Arial"/>
          <w:sz w:val="13"/>
          <w:szCs w:val="13"/>
          <w:b w:val="1"/>
          <w:bCs w:val="1"/>
          <w:color w:val="auto"/>
        </w:rPr>
        <w:t>Chief Legal Officer (CLO) / Legal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31115</wp:posOffset>
            </wp:positionV>
            <wp:extent cx="5218430" cy="117475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55">
                      <a:extLst>
                        <a:ext uri="{28A0092B-C50C-407E-A947-70E740481C1C}"/>
                      </a:extLst>
                    </a:blip>
                    <a:srcRect/>
                    <a:stretch>
                      <a:fillRect/>
                    </a:stretch>
                  </pic:blipFill>
                  <pic:spPr bwMode="auto">
                    <a:xfrm>
                      <a:off x="0" y="0"/>
                      <a:ext cx="5218430" cy="1174750"/>
                    </a:xfrm>
                    <a:prstGeom prst="rect">
                      <a:avLst/>
                    </a:prstGeom>
                    <a:noFill/>
                  </pic:spPr>
                </pic:pic>
              </a:graphicData>
            </a:graphic>
          </wp:anchor>
        </w:drawing>
      </w:r>
    </w:p>
    <w:p>
      <w:pPr>
        <w:spacing w:after="0" w:line="60" w:lineRule="exact"/>
        <w:rPr>
          <w:sz w:val="20"/>
          <w:szCs w:val="20"/>
          <w:color w:val="auto"/>
        </w:rPr>
      </w:pPr>
    </w:p>
    <w:p>
      <w:pPr>
        <w:ind w:left="320" w:hanging="286"/>
        <w:spacing w:after="0"/>
        <w:tabs>
          <w:tab w:leader="none" w:pos="320" w:val="left"/>
        </w:tabs>
        <w:numPr>
          <w:ilvl w:val="0"/>
          <w:numId w:val="254"/>
        </w:numPr>
        <w:rPr>
          <w:rFonts w:ascii="Times New Roman" w:cs="Times New Roman" w:eastAsia="Times New Roman" w:hAnsi="Times New Roman"/>
          <w:sz w:val="15"/>
          <w:szCs w:val="15"/>
          <w:color w:val="auto"/>
        </w:rPr>
      </w:pPr>
      <w:r>
        <w:rPr>
          <w:rFonts w:ascii="Arial" w:cs="Arial" w:eastAsia="Arial" w:hAnsi="Arial"/>
          <w:sz w:val="13"/>
          <w:szCs w:val="13"/>
          <w:color w:val="auto"/>
        </w:rPr>
        <w:t>has the authority to interpret and enforce this Policy.</w:t>
      </w:r>
    </w:p>
    <w:p>
      <w:pPr>
        <w:spacing w:after="0" w:line="100" w:lineRule="exact"/>
        <w:rPr>
          <w:rFonts w:ascii="Times New Roman" w:cs="Times New Roman" w:eastAsia="Times New Roman" w:hAnsi="Times New Roman"/>
          <w:sz w:val="15"/>
          <w:szCs w:val="15"/>
          <w:color w:val="auto"/>
        </w:rPr>
      </w:pPr>
    </w:p>
    <w:p>
      <w:pPr>
        <w:ind w:left="320" w:hanging="286"/>
        <w:spacing w:after="0"/>
        <w:tabs>
          <w:tab w:leader="none" w:pos="320" w:val="left"/>
        </w:tabs>
        <w:numPr>
          <w:ilvl w:val="0"/>
          <w:numId w:val="254"/>
        </w:numPr>
        <w:rPr>
          <w:rFonts w:ascii="Times New Roman" w:cs="Times New Roman" w:eastAsia="Times New Roman" w:hAnsi="Times New Roman"/>
          <w:sz w:val="15"/>
          <w:szCs w:val="15"/>
          <w:color w:val="auto"/>
        </w:rPr>
      </w:pPr>
      <w:r>
        <w:rPr>
          <w:rFonts w:ascii="Arial" w:cs="Arial" w:eastAsia="Arial" w:hAnsi="Arial"/>
          <w:sz w:val="13"/>
          <w:szCs w:val="13"/>
          <w:color w:val="auto"/>
        </w:rPr>
        <w:t>assists with the implementation of this Policy, including its circulation and updating to ensure it is current with insider trading laws;</w:t>
      </w:r>
    </w:p>
    <w:p>
      <w:pPr>
        <w:spacing w:after="0" w:line="100" w:lineRule="exact"/>
        <w:rPr>
          <w:rFonts w:ascii="Times New Roman" w:cs="Times New Roman" w:eastAsia="Times New Roman" w:hAnsi="Times New Roman"/>
          <w:sz w:val="15"/>
          <w:szCs w:val="15"/>
          <w:color w:val="auto"/>
        </w:rPr>
      </w:pPr>
    </w:p>
    <w:p>
      <w:pPr>
        <w:ind w:left="320" w:hanging="286"/>
        <w:spacing w:after="0"/>
        <w:tabs>
          <w:tab w:leader="none" w:pos="320" w:val="left"/>
        </w:tabs>
        <w:numPr>
          <w:ilvl w:val="0"/>
          <w:numId w:val="254"/>
        </w:numPr>
        <w:rPr>
          <w:rFonts w:ascii="Times New Roman" w:cs="Times New Roman" w:eastAsia="Times New Roman" w:hAnsi="Times New Roman"/>
          <w:sz w:val="15"/>
          <w:szCs w:val="15"/>
          <w:color w:val="auto"/>
        </w:rPr>
      </w:pPr>
      <w:r>
        <w:rPr>
          <w:rFonts w:ascii="Arial" w:cs="Arial" w:eastAsia="Arial" w:hAnsi="Arial"/>
          <w:sz w:val="13"/>
          <w:szCs w:val="13"/>
          <w:color w:val="auto"/>
        </w:rPr>
        <w:t>notifies Permanent and event-specific Covered Persons and any other BioNTech Representatives of relevant Blackout Periods;</w:t>
      </w:r>
    </w:p>
    <w:p>
      <w:pPr>
        <w:spacing w:after="0" w:line="100" w:lineRule="exact"/>
        <w:rPr>
          <w:rFonts w:ascii="Times New Roman" w:cs="Times New Roman" w:eastAsia="Times New Roman" w:hAnsi="Times New Roman"/>
          <w:sz w:val="15"/>
          <w:szCs w:val="15"/>
          <w:color w:val="auto"/>
        </w:rPr>
      </w:pPr>
    </w:p>
    <w:p>
      <w:pPr>
        <w:ind w:left="320" w:hanging="286"/>
        <w:spacing w:after="0"/>
        <w:tabs>
          <w:tab w:leader="none" w:pos="320" w:val="left"/>
        </w:tabs>
        <w:numPr>
          <w:ilvl w:val="0"/>
          <w:numId w:val="254"/>
        </w:numPr>
        <w:rPr>
          <w:rFonts w:ascii="Times New Roman" w:cs="Times New Roman" w:eastAsia="Times New Roman" w:hAnsi="Times New Roman"/>
          <w:sz w:val="15"/>
          <w:szCs w:val="15"/>
          <w:color w:val="auto"/>
        </w:rPr>
      </w:pPr>
      <w:r>
        <w:rPr>
          <w:rFonts w:ascii="Arial" w:cs="Arial" w:eastAsia="Arial" w:hAnsi="Arial"/>
          <w:sz w:val="13"/>
          <w:szCs w:val="13"/>
          <w:color w:val="auto"/>
        </w:rPr>
        <w:t>Reviews and approves 10b5-1 Plans, and revisions to these Plans; and</w:t>
      </w:r>
    </w:p>
    <w:p>
      <w:pPr>
        <w:spacing w:after="0" w:line="100" w:lineRule="exact"/>
        <w:rPr>
          <w:rFonts w:ascii="Times New Roman" w:cs="Times New Roman" w:eastAsia="Times New Roman" w:hAnsi="Times New Roman"/>
          <w:sz w:val="15"/>
          <w:szCs w:val="15"/>
          <w:color w:val="auto"/>
        </w:rPr>
      </w:pPr>
    </w:p>
    <w:p>
      <w:pPr>
        <w:ind w:left="320" w:right="400" w:hanging="286"/>
        <w:spacing w:after="0" w:line="292" w:lineRule="auto"/>
        <w:tabs>
          <w:tab w:leader="none" w:pos="320" w:val="left"/>
        </w:tabs>
        <w:numPr>
          <w:ilvl w:val="0"/>
          <w:numId w:val="254"/>
        </w:numPr>
        <w:rPr>
          <w:rFonts w:ascii="Times New Roman" w:cs="Times New Roman" w:eastAsia="Times New Roman" w:hAnsi="Times New Roman"/>
          <w:sz w:val="15"/>
          <w:szCs w:val="15"/>
          <w:color w:val="auto"/>
        </w:rPr>
      </w:pPr>
      <w:r>
        <w:rPr>
          <w:rFonts w:ascii="Arial" w:cs="Arial" w:eastAsia="Arial" w:hAnsi="Arial"/>
          <w:sz w:val="13"/>
          <w:szCs w:val="13"/>
          <w:color w:val="auto"/>
        </w:rPr>
        <w:t>Pre-clears all trading in BioNTech Securities by Permanent Covered Persons. If the CLO wishes to trade BioNTech Securities, either the Chief Financial Officer or the Chief Operating Officer may provide pre-clearance.</w:t>
      </w:r>
    </w:p>
    <w:p>
      <w:pPr>
        <w:spacing w:after="0" w:line="53" w:lineRule="exact"/>
        <w:rPr>
          <w:rFonts w:ascii="Times New Roman" w:cs="Times New Roman" w:eastAsia="Times New Roman" w:hAnsi="Times New Roman"/>
          <w:sz w:val="15"/>
          <w:szCs w:val="15"/>
          <w:color w:val="auto"/>
        </w:rPr>
      </w:pPr>
    </w:p>
    <w:p>
      <w:pPr>
        <w:ind w:left="320" w:hanging="286"/>
        <w:spacing w:after="0"/>
        <w:tabs>
          <w:tab w:leader="none" w:pos="320" w:val="left"/>
        </w:tabs>
        <w:numPr>
          <w:ilvl w:val="0"/>
          <w:numId w:val="254"/>
        </w:numPr>
        <w:rPr>
          <w:rFonts w:ascii="Times New Roman" w:cs="Times New Roman" w:eastAsia="Times New Roman" w:hAnsi="Times New Roman"/>
          <w:sz w:val="15"/>
          <w:szCs w:val="15"/>
          <w:color w:val="auto"/>
        </w:rPr>
      </w:pPr>
      <w:r>
        <w:rPr>
          <w:rFonts w:ascii="Arial" w:cs="Arial" w:eastAsia="Arial" w:hAnsi="Arial"/>
          <w:sz w:val="13"/>
          <w:szCs w:val="13"/>
          <w:color w:val="auto"/>
        </w:rPr>
        <w:t>may designate one or more members of Legal to assist in the fulfilment of these responsibilities.</w:t>
      </w:r>
    </w:p>
    <w:p>
      <w:pPr>
        <w:spacing w:after="0" w:line="200" w:lineRule="exact"/>
        <w:rPr>
          <w:sz w:val="20"/>
          <w:szCs w:val="20"/>
          <w:color w:val="auto"/>
        </w:rPr>
      </w:pPr>
    </w:p>
    <w:p>
      <w:pPr>
        <w:sectPr>
          <w:pgSz w:w="11900" w:h="16840" w:orient="portrait"/>
          <w:cols w:equalWidth="0" w:num="2">
            <w:col w:w="1969" w:space="120"/>
            <w:col w:w="8520"/>
          </w:cols>
          <w:pgMar w:left="651" w:top="599" w:right="640" w:bottom="1440" w:gutter="0" w:footer="0" w:header="0"/>
          <w:type w:val="continuous"/>
        </w:sectPr>
      </w:pPr>
    </w:p>
    <w:p>
      <w:pPr>
        <w:spacing w:after="0" w:line="243" w:lineRule="exact"/>
        <w:rPr>
          <w:sz w:val="20"/>
          <w:szCs w:val="20"/>
          <w:color w:val="auto"/>
        </w:rPr>
      </w:pPr>
    </w:p>
    <w:p>
      <w:pPr>
        <w:ind w:left="289" w:hanging="289"/>
        <w:spacing w:after="0"/>
        <w:tabs>
          <w:tab w:leader="none" w:pos="289" w:val="left"/>
        </w:tabs>
        <w:numPr>
          <w:ilvl w:val="0"/>
          <w:numId w:val="255"/>
        </w:numPr>
        <w:rPr>
          <w:rFonts w:ascii="Arial" w:cs="Arial" w:eastAsia="Arial" w:hAnsi="Arial"/>
          <w:sz w:val="16"/>
          <w:szCs w:val="16"/>
          <w:b w:val="1"/>
          <w:bCs w:val="1"/>
          <w:color w:val="auto"/>
        </w:rPr>
      </w:pPr>
      <w:r>
        <w:rPr>
          <w:rFonts w:ascii="Arial" w:cs="Arial" w:eastAsia="Arial" w:hAnsi="Arial"/>
          <w:sz w:val="16"/>
          <w:szCs w:val="16"/>
          <w:b w:val="1"/>
          <w:bCs w:val="1"/>
          <w:color w:val="auto"/>
        </w:rPr>
        <w:t>Conflict of Rules and Interpretation</w:t>
      </w:r>
    </w:p>
    <w:p>
      <w:pPr>
        <w:spacing w:after="0" w:line="180" w:lineRule="exact"/>
        <w:rPr>
          <w:rFonts w:ascii="Arial" w:cs="Arial" w:eastAsia="Arial" w:hAnsi="Arial"/>
          <w:sz w:val="16"/>
          <w:szCs w:val="16"/>
          <w:b w:val="1"/>
          <w:bCs w:val="1"/>
          <w:color w:val="auto"/>
        </w:rPr>
      </w:pPr>
    </w:p>
    <w:p>
      <w:pPr>
        <w:jc w:val="both"/>
        <w:ind w:left="289"/>
        <w:spacing w:after="0" w:line="285" w:lineRule="auto"/>
        <w:rPr>
          <w:rFonts w:ascii="Arial" w:cs="Arial" w:eastAsia="Arial" w:hAnsi="Arial"/>
          <w:sz w:val="16"/>
          <w:szCs w:val="16"/>
          <w:b w:val="1"/>
          <w:bCs w:val="1"/>
          <w:color w:val="auto"/>
        </w:rPr>
      </w:pPr>
      <w:r>
        <w:rPr>
          <w:rFonts w:ascii="Arial" w:cs="Arial" w:eastAsia="Arial" w:hAnsi="Arial"/>
          <w:sz w:val="15"/>
          <w:szCs w:val="15"/>
          <w:color w:val="auto"/>
        </w:rPr>
        <w:t>In certain instances, activities covered by this Policy are subject to Global and Local Policies / Guidelines which provide more specific and detailed requirements. In this case, the more specific Policy / Guideline prevails. In all other cases, this Policy prevails. Translated versions of this Policy may exist. In case of any ambiguity or conflict, the English version is referred to, in Germany, Switzerland and Austria in the German version.</w:t>
      </w:r>
    </w:p>
    <w:p>
      <w:pPr>
        <w:spacing w:after="0" w:line="42" w:lineRule="exact"/>
        <w:rPr>
          <w:rFonts w:ascii="Arial" w:cs="Arial" w:eastAsia="Arial" w:hAnsi="Arial"/>
          <w:sz w:val="16"/>
          <w:szCs w:val="16"/>
          <w:b w:val="1"/>
          <w:bCs w:val="1"/>
          <w:color w:val="auto"/>
        </w:rPr>
      </w:pPr>
    </w:p>
    <w:p>
      <w:pPr>
        <w:jc w:val="both"/>
        <w:ind w:left="289" w:right="40"/>
        <w:spacing w:after="0" w:line="285" w:lineRule="auto"/>
        <w:rPr>
          <w:rFonts w:ascii="Arial" w:cs="Arial" w:eastAsia="Arial" w:hAnsi="Arial"/>
          <w:sz w:val="16"/>
          <w:szCs w:val="16"/>
          <w:b w:val="1"/>
          <w:bCs w:val="1"/>
          <w:color w:val="auto"/>
        </w:rPr>
      </w:pPr>
      <w:r>
        <w:rPr>
          <w:rFonts w:ascii="Arial" w:cs="Arial" w:eastAsia="Arial" w:hAnsi="Arial"/>
          <w:sz w:val="15"/>
          <w:szCs w:val="15"/>
          <w:color w:val="auto"/>
        </w:rPr>
        <w:t>All BioNTech Representatives that are affected by this Policy must confirm their receipt and understanding of it. Any deviation or exception of this Policy must be approved by the Document Owner or in line with the process described in this Policy. Deviations or exceptions that have not been approved appropriately will be regarded and handled as a violation in line with the Corporate Rules Policy. Violations may cause corrective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
        <w:spacing w:after="0"/>
        <w:rPr>
          <w:sz w:val="20"/>
          <w:szCs w:val="20"/>
          <w:color w:val="auto"/>
        </w:rPr>
      </w:pPr>
      <w:r>
        <w:rPr>
          <w:rFonts w:ascii="Arial" w:cs="Arial" w:eastAsia="Arial" w:hAnsi="Arial"/>
          <w:sz w:val="15"/>
          <w:szCs w:val="15"/>
          <w:color w:val="auto"/>
        </w:rPr>
        <w:t>[***]</w:t>
      </w:r>
    </w:p>
    <w:p>
      <w:pPr>
        <w:sectPr>
          <w:pgSz w:w="11900" w:h="16840" w:orient="portrait"/>
          <w:cols w:equalWidth="0" w:num="1">
            <w:col w:w="10609"/>
          </w:cols>
          <w:pgMar w:left="651" w:top="599" w:right="640" w:bottom="1440" w:gutter="0" w:footer="0" w:header="0"/>
          <w:type w:val="continuous"/>
        </w:sectPr>
      </w:pPr>
    </w:p>
    <w:bookmarkStart w:id="430" w:name="page431"/>
    <w:bookmarkEnd w:id="4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2082165</wp:posOffset>
            </wp:positionH>
            <wp:positionV relativeFrom="page">
              <wp:posOffset>361950</wp:posOffset>
            </wp:positionV>
            <wp:extent cx="1181100" cy="1092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56">
                      <a:clrChange>
                        <a:clrFrom>
                          <a:srgbClr val="FFFFFF"/>
                        </a:clrFrom>
                        <a:clrTo>
                          <a:srgbClr val="FFFFFF">
                            <a:alpha val="0"/>
                          </a:srgbClr>
                        </a:clrTo>
                      </a:clrChange>
                      <a:extLst>
                        <a:ext uri="{28A0092B-C50C-407E-A947-70E740481C1C}"/>
                      </a:extLst>
                    </a:blip>
                    <a:srcRect/>
                    <a:stretch>
                      <a:fillRect/>
                    </a:stretch>
                  </pic:blipFill>
                  <pic:spPr bwMode="auto">
                    <a:xfrm>
                      <a:off x="0" y="0"/>
                      <a:ext cx="1181100" cy="109220"/>
                    </a:xfrm>
                    <a:prstGeom prst="rect">
                      <a:avLst/>
                    </a:prstGeom>
                    <a:noFill/>
                  </pic:spPr>
                </pic:pic>
              </a:graphicData>
            </a:graphic>
          </wp:anchor>
        </w:drawing>
        <w:t>Insider Trading Policy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disciplinary actions for the BioNTech Representatives according to the Corporate Rules Policy.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Questions or Concerns? Please Contact Us: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Legal</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ectPr>
          <w:pgSz w:w="11900" w:h="16840" w:orient="portrait"/>
          <w:cols w:equalWidth="0" w:num="1">
            <w:col w:w="9800"/>
          </w:cols>
          <w:pgMar w:left="660" w:top="599" w:right="1440" w:bottom="1440" w:gutter="0" w:footer="0" w:header="0"/>
        </w:sectPr>
      </w:pPr>
    </w:p>
    <w:bookmarkStart w:id="431" w:name="page432"/>
    <w:bookmarkEnd w:id="431"/>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272727"/>
        </w:rPr>
        <w:t>Blackout Periods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272727"/>
        </w:rPr>
        <w:t>Designated periods when trading BioNTech Securities is prohibited.</w:t>
      </w:r>
    </w:p>
    <w:p>
      <w:pPr>
        <w:spacing w:after="0" w:line="141" w:lineRule="exact"/>
        <w:rPr>
          <w:sz w:val="20"/>
          <w:szCs w:val="20"/>
          <w:color w:val="auto"/>
        </w:rPr>
      </w:pPr>
    </w:p>
    <w:p>
      <w:pPr>
        <w:sectPr>
          <w:pgSz w:w="11900" w:h="16840" w:orient="portrait"/>
          <w:cols w:equalWidth="0" w:num="2">
            <w:col w:w="1920" w:space="720"/>
            <w:col w:w="7700"/>
          </w:cols>
          <w:pgMar w:left="780" w:top="1440" w:right="780" w:bottom="1440" w:gutter="0" w:footer="0" w:header="0"/>
        </w:sectPr>
      </w:pPr>
    </w:p>
    <w:p>
      <w:pPr>
        <w:spacing w:after="0"/>
        <w:rPr>
          <w:sz w:val="20"/>
          <w:szCs w:val="20"/>
          <w:color w:val="auto"/>
        </w:rPr>
      </w:pPr>
      <w:r>
        <w:rPr>
          <w:rFonts w:ascii="Arial" w:cs="Arial" w:eastAsia="Arial" w:hAnsi="Arial"/>
          <w:sz w:val="15"/>
          <w:szCs w:val="15"/>
          <w:b w:val="1"/>
          <w:bCs w:val="1"/>
          <w:color w:val="272727"/>
        </w:rPr>
        <w:t>Covered Person</w:t>
      </w:r>
    </w:p>
    <w:p>
      <w:pPr>
        <w:spacing w:after="0" w:line="20" w:lineRule="exact"/>
        <w:rPr>
          <w:sz w:val="20"/>
          <w:szCs w:val="20"/>
          <w:color w:val="auto"/>
        </w:rPr>
      </w:pPr>
      <w:r>
        <w:rPr>
          <w:sz w:val="20"/>
          <w:szCs w:val="20"/>
          <w:color w:val="auto"/>
        </w:rPr>
        <w:br w:type="column"/>
      </w:r>
    </w:p>
    <w:p>
      <w:pPr>
        <w:ind w:right="80"/>
        <w:spacing w:after="0" w:line="295" w:lineRule="auto"/>
        <w:rPr>
          <w:sz w:val="20"/>
          <w:szCs w:val="20"/>
          <w:color w:val="auto"/>
        </w:rPr>
      </w:pPr>
      <w:r>
        <w:rPr>
          <w:rFonts w:ascii="Arial" w:cs="Arial" w:eastAsia="Arial" w:hAnsi="Arial"/>
          <w:sz w:val="15"/>
          <w:szCs w:val="15"/>
          <w:color w:val="272727"/>
        </w:rPr>
        <w:t>BioNTech Representatives who because of their role with BioNTech are frequently in possession of Material Non-Public Information (MNPI).</w:t>
      </w:r>
    </w:p>
    <w:p>
      <w:pPr>
        <w:spacing w:after="0" w:line="1" w:lineRule="exact"/>
        <w:rPr>
          <w:sz w:val="20"/>
          <w:szCs w:val="20"/>
          <w:color w:val="auto"/>
        </w:rPr>
      </w:pPr>
    </w:p>
    <w:p>
      <w:pPr>
        <w:sectPr>
          <w:pgSz w:w="11900" w:h="16840" w:orient="portrait"/>
          <w:cols w:equalWidth="0" w:num="2">
            <w:col w:w="1920" w:space="720"/>
            <w:col w:w="7700"/>
          </w:cols>
          <w:pgMar w:left="780" w:top="1440" w:right="780" w:bottom="1440" w:gutter="0" w:footer="0" w:header="0"/>
          <w:type w:val="continuous"/>
        </w:sectPr>
      </w:pPr>
    </w:p>
    <w:p>
      <w:pPr>
        <w:spacing w:after="0"/>
        <w:rPr>
          <w:sz w:val="20"/>
          <w:szCs w:val="20"/>
          <w:color w:val="auto"/>
        </w:rPr>
      </w:pPr>
      <w:r>
        <w:rPr>
          <w:rFonts w:ascii="Arial" w:cs="Arial" w:eastAsia="Arial" w:hAnsi="Arial"/>
          <w:sz w:val="15"/>
          <w:szCs w:val="15"/>
          <w:b w:val="1"/>
          <w:bCs w:val="1"/>
          <w:color w:val="272727"/>
        </w:rPr>
        <w:t>Immediate Family 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272727"/>
        </w:rPr>
        <w:t>Immediate Family Members include your family members</w:t>
      </w:r>
    </w:p>
    <w:p>
      <w:pPr>
        <w:spacing w:after="0" w:line="100" w:lineRule="exact"/>
        <w:rPr>
          <w:sz w:val="20"/>
          <w:szCs w:val="20"/>
          <w:color w:val="auto"/>
        </w:rPr>
      </w:pPr>
    </w:p>
    <w:p>
      <w:pPr>
        <w:sectPr>
          <w:pgSz w:w="11900" w:h="16840" w:orient="portrait"/>
          <w:cols w:equalWidth="0" w:num="2">
            <w:col w:w="1980" w:space="660"/>
            <w:col w:w="7700"/>
          </w:cols>
          <w:pgMar w:left="780" w:top="1440" w:right="780" w:bottom="1440" w:gutter="0" w:footer="0" w:header="0"/>
          <w:type w:val="continuous"/>
        </w:sectPr>
      </w:pPr>
    </w:p>
    <w:p>
      <w:pPr>
        <w:spacing w:after="0" w:line="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1"/>
          <w:szCs w:val="11"/>
          <w:color w:val="272727"/>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272727"/>
        </w:rPr>
        <w:t>who reside with the BioNTech Representative,</w:t>
      </w:r>
    </w:p>
    <w:p>
      <w:pPr>
        <w:spacing w:after="0" w:line="90" w:lineRule="exact"/>
        <w:rPr>
          <w:sz w:val="20"/>
          <w:szCs w:val="20"/>
          <w:color w:val="auto"/>
        </w:rPr>
      </w:pPr>
    </w:p>
    <w:p>
      <w:pPr>
        <w:sectPr>
          <w:pgSz w:w="11900" w:h="16840" w:orient="portrait"/>
          <w:cols w:equalWidth="0" w:num="2">
            <w:col w:w="2680" w:space="180"/>
            <w:col w:w="7480"/>
          </w:cols>
          <w:pgMar w:left="780" w:top="1440" w:right="780" w:bottom="1440" w:gutter="0" w:footer="0" w:header="0"/>
          <w:type w:val="continuous"/>
        </w:sectPr>
      </w:pPr>
    </w:p>
    <w:p>
      <w:pPr>
        <w:ind w:left="2640"/>
        <w:spacing w:after="0"/>
        <w:rPr>
          <w:sz w:val="20"/>
          <w:szCs w:val="20"/>
          <w:color w:val="auto"/>
        </w:rPr>
      </w:pPr>
      <w:r>
        <w:rPr>
          <w:rFonts w:ascii="Times New Roman" w:cs="Times New Roman" w:eastAsia="Times New Roman" w:hAnsi="Times New Roman"/>
          <w:sz w:val="11"/>
          <w:szCs w:val="11"/>
          <w:color w:val="272727"/>
        </w:rPr>
        <w:t>•</w:t>
      </w:r>
    </w:p>
    <w:p>
      <w:pPr>
        <w:spacing w:after="0" w:line="20" w:lineRule="exact"/>
        <w:rPr>
          <w:sz w:val="20"/>
          <w:szCs w:val="20"/>
          <w:color w:val="auto"/>
        </w:rPr>
      </w:pPr>
      <w:r>
        <w:rPr>
          <w:sz w:val="20"/>
          <w:szCs w:val="20"/>
          <w:color w:val="auto"/>
        </w:rPr>
        <w:br w:type="column"/>
      </w:r>
    </w:p>
    <w:p>
      <w:pPr>
        <w:jc w:val="both"/>
        <w:ind w:right="40" w:hanging="9"/>
        <w:spacing w:after="0" w:line="271" w:lineRule="auto"/>
        <w:rPr>
          <w:sz w:val="20"/>
          <w:szCs w:val="20"/>
          <w:color w:val="auto"/>
        </w:rPr>
      </w:pPr>
      <w:r>
        <w:rPr>
          <w:rFonts w:ascii="Arial" w:cs="Arial" w:eastAsia="Arial" w:hAnsi="Arial"/>
          <w:sz w:val="15"/>
          <w:szCs w:val="15"/>
          <w:color w:val="272727"/>
        </w:rPr>
        <w:t>other individuals who reside in your household (other than employees or tenants, and regardless of whether such person may, at the time, be temporarily living elsewhere due to educational activities, health care treatment, military service, internship, employment or otherwise),</w:t>
      </w:r>
    </w:p>
    <w:p>
      <w:pPr>
        <w:spacing w:after="0" w:line="42" w:lineRule="exact"/>
        <w:rPr>
          <w:sz w:val="20"/>
          <w:szCs w:val="20"/>
          <w:color w:val="auto"/>
        </w:rPr>
      </w:pPr>
    </w:p>
    <w:p>
      <w:pPr>
        <w:sectPr>
          <w:pgSz w:w="11900" w:h="16840" w:orient="portrait"/>
          <w:cols w:equalWidth="0" w:num="2">
            <w:col w:w="2680" w:space="200"/>
            <w:col w:w="7460"/>
          </w:cols>
          <w:pgMar w:left="780" w:top="1440" w:right="780" w:bottom="1440" w:gutter="0" w:footer="0" w:header="0"/>
          <w:type w:val="continuous"/>
        </w:sectPr>
      </w:pPr>
    </w:p>
    <w:p>
      <w:pPr>
        <w:spacing w:after="0" w:line="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ind w:right="40" w:hanging="9"/>
        <w:spacing w:after="0" w:line="290" w:lineRule="auto"/>
        <w:rPr>
          <w:sz w:val="20"/>
          <w:szCs w:val="20"/>
          <w:color w:val="auto"/>
        </w:rPr>
      </w:pPr>
      <w:r>
        <w:rPr>
          <w:rFonts w:ascii="Arial" w:cs="Arial" w:eastAsia="Arial" w:hAnsi="Arial"/>
          <w:sz w:val="15"/>
          <w:szCs w:val="15"/>
          <w:color w:val="272727"/>
        </w:rPr>
        <w:t>and other family members who do not live in your household but whose transactions in Company Securities are directed to you or are subject to your influence or control</w:t>
      </w:r>
      <w:r>
        <w:rPr>
          <w:rFonts w:ascii="Arial" w:cs="Arial" w:eastAsia="Arial" w:hAnsi="Arial"/>
          <w:sz w:val="15"/>
          <w:szCs w:val="15"/>
          <w:color w:val="000000"/>
        </w:rPr>
        <w:t>.</w:t>
      </w:r>
    </w:p>
    <w:p>
      <w:pPr>
        <w:spacing w:after="0" w:line="68" w:lineRule="exact"/>
        <w:rPr>
          <w:sz w:val="20"/>
          <w:szCs w:val="20"/>
          <w:color w:val="auto"/>
        </w:rPr>
      </w:pPr>
    </w:p>
    <w:p>
      <w:pPr>
        <w:sectPr>
          <w:pgSz w:w="11900" w:h="16840" w:orient="portrait"/>
          <w:cols w:equalWidth="0" w:num="2">
            <w:col w:w="2680" w:space="200"/>
            <w:col w:w="7460"/>
          </w:cols>
          <w:pgMar w:left="780" w:top="1440" w:right="780" w:bottom="1440" w:gutter="0" w:footer="0" w:header="0"/>
          <w:type w:val="continuous"/>
        </w:sectPr>
      </w:pPr>
    </w:p>
    <w:p>
      <w:pPr>
        <w:spacing w:after="0"/>
        <w:rPr>
          <w:sz w:val="20"/>
          <w:szCs w:val="20"/>
          <w:color w:val="auto"/>
        </w:rPr>
      </w:pPr>
      <w:r>
        <w:rPr>
          <w:rFonts w:ascii="Arial" w:cs="Arial" w:eastAsia="Arial" w:hAnsi="Arial"/>
          <w:sz w:val="15"/>
          <w:szCs w:val="15"/>
          <w:b w:val="1"/>
          <w:bCs w:val="1"/>
          <w:color w:val="272727"/>
        </w:rPr>
        <w:t>Insider Trading</w:t>
      </w:r>
    </w:p>
    <w:p>
      <w:pPr>
        <w:spacing w:after="0" w:line="20" w:lineRule="exact"/>
        <w:rPr>
          <w:sz w:val="20"/>
          <w:szCs w:val="20"/>
          <w:color w:val="auto"/>
        </w:rPr>
      </w:pPr>
      <w:r>
        <w:rPr>
          <w:sz w:val="20"/>
          <w:szCs w:val="20"/>
          <w:color w:val="auto"/>
        </w:rPr>
        <w:br w:type="column"/>
      </w:r>
    </w:p>
    <w:p>
      <w:pPr>
        <w:ind w:right="20"/>
        <w:spacing w:after="0" w:line="304" w:lineRule="auto"/>
        <w:rPr>
          <w:sz w:val="20"/>
          <w:szCs w:val="20"/>
          <w:color w:val="auto"/>
        </w:rPr>
      </w:pPr>
      <w:r>
        <w:rPr>
          <w:rFonts w:ascii="Arial" w:cs="Arial" w:eastAsia="Arial" w:hAnsi="Arial"/>
          <w:sz w:val="15"/>
          <w:szCs w:val="15"/>
          <w:color w:val="272727"/>
        </w:rPr>
        <w:t>The trading (e.g., buying, selling, pledging, lending, hypothecating) of Securities (as defined below) of any company while in possession of MNPI related to that company or its Securities.</w:t>
      </w:r>
    </w:p>
    <w:p>
      <w:pPr>
        <w:spacing w:after="0" w:line="68" w:lineRule="exact"/>
        <w:rPr>
          <w:sz w:val="20"/>
          <w:szCs w:val="20"/>
          <w:color w:val="auto"/>
        </w:rPr>
      </w:pPr>
    </w:p>
    <w:p>
      <w:pPr>
        <w:sectPr>
          <w:pgSz w:w="11900" w:h="16840" w:orient="portrait"/>
          <w:cols w:equalWidth="0" w:num="2">
            <w:col w:w="1920" w:space="720"/>
            <w:col w:w="7700"/>
          </w:cols>
          <w:pgMar w:left="780" w:top="1440" w:right="780" w:bottom="1440" w:gutter="0" w:footer="0" w:header="0"/>
          <w:type w:val="continuous"/>
        </w:sectPr>
      </w:pPr>
    </w:p>
    <w:p>
      <w:pPr>
        <w:spacing w:after="0"/>
        <w:rPr>
          <w:sz w:val="20"/>
          <w:szCs w:val="20"/>
          <w:color w:val="auto"/>
        </w:rPr>
      </w:pPr>
      <w:r>
        <w:rPr>
          <w:rFonts w:ascii="Arial" w:cs="Arial" w:eastAsia="Arial" w:hAnsi="Arial"/>
          <w:sz w:val="15"/>
          <w:szCs w:val="15"/>
          <w:b w:val="1"/>
          <w:bCs w:val="1"/>
          <w:color w:val="272727"/>
        </w:rPr>
        <w:t>Material</w:t>
      </w:r>
    </w:p>
    <w:p>
      <w:pPr>
        <w:spacing w:after="0" w:line="20" w:lineRule="exact"/>
        <w:rPr>
          <w:sz w:val="20"/>
          <w:szCs w:val="20"/>
          <w:color w:val="auto"/>
        </w:rPr>
      </w:pPr>
      <w:r>
        <w:rPr>
          <w:sz w:val="20"/>
          <w:szCs w:val="20"/>
          <w:color w:val="auto"/>
        </w:rPr>
        <w:br w:type="column"/>
      </w:r>
    </w:p>
    <w:p>
      <w:pPr>
        <w:ind w:right="40"/>
        <w:spacing w:after="0" w:line="304" w:lineRule="auto"/>
        <w:rPr>
          <w:sz w:val="20"/>
          <w:szCs w:val="20"/>
          <w:color w:val="auto"/>
        </w:rPr>
      </w:pPr>
      <w:r>
        <w:rPr>
          <w:rFonts w:ascii="Arial" w:cs="Arial" w:eastAsia="Arial" w:hAnsi="Arial"/>
          <w:sz w:val="15"/>
          <w:szCs w:val="15"/>
          <w:color w:val="272727"/>
        </w:rPr>
        <w:t>Information is considered material if there is a substantial likelihood that a reasonable investor would consider it important in making a decision to buy, sell or hold a company’s securities.</w:t>
      </w:r>
    </w:p>
    <w:p>
      <w:pPr>
        <w:spacing w:after="0" w:line="68" w:lineRule="exact"/>
        <w:rPr>
          <w:sz w:val="20"/>
          <w:szCs w:val="20"/>
          <w:color w:val="auto"/>
        </w:rPr>
      </w:pPr>
    </w:p>
    <w:p>
      <w:pPr>
        <w:sectPr>
          <w:pgSz w:w="11900" w:h="16840" w:orient="portrait"/>
          <w:cols w:equalWidth="0" w:num="2">
            <w:col w:w="1920" w:space="720"/>
            <w:col w:w="7700"/>
          </w:cols>
          <w:pgMar w:left="780" w:top="1440" w:right="780" w:bottom="1440" w:gutter="0" w:footer="0" w:header="0"/>
          <w:type w:val="continuous"/>
        </w:sectPr>
      </w:pPr>
    </w:p>
    <w:p>
      <w:pPr>
        <w:spacing w:after="0"/>
        <w:rPr>
          <w:sz w:val="20"/>
          <w:szCs w:val="20"/>
          <w:color w:val="auto"/>
        </w:rPr>
      </w:pPr>
      <w:r>
        <w:rPr>
          <w:rFonts w:ascii="Arial" w:cs="Arial" w:eastAsia="Arial" w:hAnsi="Arial"/>
          <w:sz w:val="15"/>
          <w:szCs w:val="15"/>
          <w:b w:val="1"/>
          <w:bCs w:val="1"/>
          <w:color w:val="272727"/>
        </w:rPr>
        <w:t>Non-Public</w:t>
      </w:r>
    </w:p>
    <w:p>
      <w:pPr>
        <w:spacing w:after="0" w:line="20" w:lineRule="exact"/>
        <w:rPr>
          <w:sz w:val="20"/>
          <w:szCs w:val="20"/>
          <w:color w:val="auto"/>
        </w:rPr>
      </w:pPr>
      <w:r>
        <w:rPr>
          <w:sz w:val="20"/>
          <w:szCs w:val="20"/>
          <w:color w:val="auto"/>
        </w:rPr>
        <w:br w:type="column"/>
      </w:r>
    </w:p>
    <w:p>
      <w:pPr>
        <w:ind w:right="20"/>
        <w:spacing w:after="0" w:line="304" w:lineRule="auto"/>
        <w:rPr>
          <w:sz w:val="20"/>
          <w:szCs w:val="20"/>
          <w:color w:val="auto"/>
        </w:rPr>
      </w:pPr>
      <w:r>
        <w:rPr>
          <w:rFonts w:ascii="Arial" w:cs="Arial" w:eastAsia="Arial" w:hAnsi="Arial"/>
          <w:sz w:val="15"/>
          <w:szCs w:val="15"/>
          <w:color w:val="272727"/>
        </w:rPr>
        <w:t>Information is considered Non-Public until the completion of second full trading day after it has been disclosed to the public.</w:t>
      </w:r>
    </w:p>
    <w:p>
      <w:pPr>
        <w:spacing w:after="0" w:line="68" w:lineRule="exact"/>
        <w:rPr>
          <w:sz w:val="20"/>
          <w:szCs w:val="20"/>
          <w:color w:val="auto"/>
        </w:rPr>
      </w:pPr>
    </w:p>
    <w:p>
      <w:pPr>
        <w:sectPr>
          <w:pgSz w:w="11900" w:h="16840" w:orient="portrait"/>
          <w:cols w:equalWidth="0" w:num="2">
            <w:col w:w="1920" w:space="720"/>
            <w:col w:w="7700"/>
          </w:cols>
          <w:pgMar w:left="780" w:top="1440" w:right="780" w:bottom="1440" w:gutter="0" w:footer="0" w:header="0"/>
          <w:type w:val="continuous"/>
        </w:sectPr>
      </w:pPr>
    </w:p>
    <w:p>
      <w:pPr>
        <w:spacing w:after="0"/>
        <w:rPr>
          <w:sz w:val="20"/>
          <w:szCs w:val="20"/>
          <w:color w:val="auto"/>
        </w:rPr>
      </w:pPr>
      <w:r>
        <w:rPr>
          <w:rFonts w:ascii="Arial" w:cs="Arial" w:eastAsia="Arial" w:hAnsi="Arial"/>
          <w:sz w:val="15"/>
          <w:szCs w:val="15"/>
          <w:b w:val="1"/>
          <w:bCs w:val="1"/>
          <w:color w:val="272727"/>
        </w:rPr>
        <w:t>Permanent Covered Person</w:t>
      </w:r>
    </w:p>
    <w:p>
      <w:pPr>
        <w:spacing w:after="0" w:line="20" w:lineRule="exact"/>
        <w:rPr>
          <w:sz w:val="20"/>
          <w:szCs w:val="20"/>
          <w:color w:val="auto"/>
        </w:rPr>
      </w:pPr>
      <w:r>
        <w:rPr>
          <w:sz w:val="20"/>
          <w:szCs w:val="20"/>
          <w:color w:val="auto"/>
        </w:rPr>
        <w:br w:type="column"/>
      </w:r>
    </w:p>
    <w:p>
      <w:pPr>
        <w:jc w:val="both"/>
        <w:ind w:right="20"/>
        <w:spacing w:after="0" w:line="279" w:lineRule="auto"/>
        <w:rPr>
          <w:sz w:val="20"/>
          <w:szCs w:val="20"/>
          <w:color w:val="auto"/>
        </w:rPr>
      </w:pPr>
      <w:r>
        <w:rPr>
          <w:rFonts w:ascii="Arial" w:cs="Arial" w:eastAsia="Arial" w:hAnsi="Arial"/>
          <w:sz w:val="15"/>
          <w:szCs w:val="15"/>
          <w:color w:val="272727"/>
        </w:rPr>
        <w:t>A Permanent Covered Person, as identified in section 5(a) of the Policy, is a Covered Person by virtue of their position in BioNTech and is subject to all scheduled Blackout Periods. Other individuals may be deemed Covered Persons in connection with an event-specific Blackout Period, but such individuals are no longer Covered Persons once such period ends.</w:t>
      </w:r>
    </w:p>
    <w:p>
      <w:pPr>
        <w:spacing w:after="0" w:line="87" w:lineRule="exact"/>
        <w:rPr>
          <w:sz w:val="20"/>
          <w:szCs w:val="20"/>
          <w:color w:val="auto"/>
        </w:rPr>
      </w:pPr>
    </w:p>
    <w:p>
      <w:pPr>
        <w:sectPr>
          <w:pgSz w:w="11900" w:h="16840" w:orient="portrait"/>
          <w:cols w:equalWidth="0" w:num="2">
            <w:col w:w="1980" w:space="660"/>
            <w:col w:w="7700"/>
          </w:cols>
          <w:pgMar w:left="780" w:top="1440" w:right="780" w:bottom="1440" w:gutter="0" w:footer="0" w:header="0"/>
          <w:type w:val="continuous"/>
        </w:sectPr>
      </w:pPr>
    </w:p>
    <w:p>
      <w:pPr>
        <w:spacing w:after="0"/>
        <w:rPr>
          <w:sz w:val="20"/>
          <w:szCs w:val="20"/>
          <w:color w:val="auto"/>
        </w:rPr>
      </w:pPr>
      <w:r>
        <w:rPr>
          <w:rFonts w:ascii="Arial" w:cs="Arial" w:eastAsia="Arial" w:hAnsi="Arial"/>
          <w:sz w:val="15"/>
          <w:szCs w:val="15"/>
          <w:b w:val="1"/>
          <w:bCs w:val="1"/>
          <w:color w:val="272727"/>
        </w:rPr>
        <w:t>Securities</w:t>
      </w:r>
    </w:p>
    <w:p>
      <w:pPr>
        <w:spacing w:after="0" w:line="20" w:lineRule="exact"/>
        <w:rPr>
          <w:sz w:val="20"/>
          <w:szCs w:val="20"/>
          <w:color w:val="auto"/>
        </w:rPr>
      </w:pPr>
      <w:r>
        <w:rPr>
          <w:sz w:val="20"/>
          <w:szCs w:val="20"/>
          <w:color w:val="auto"/>
        </w:rPr>
        <w:br w:type="column"/>
      </w:r>
    </w:p>
    <w:p>
      <w:pPr>
        <w:jc w:val="both"/>
        <w:spacing w:after="0" w:line="276" w:lineRule="auto"/>
        <w:rPr>
          <w:sz w:val="20"/>
          <w:szCs w:val="20"/>
          <w:color w:val="auto"/>
        </w:rPr>
      </w:pPr>
      <w:r>
        <w:rPr>
          <w:rFonts w:ascii="Arial" w:cs="Arial" w:eastAsia="Arial" w:hAnsi="Arial"/>
          <w:sz w:val="15"/>
          <w:szCs w:val="15"/>
          <w:color w:val="auto"/>
        </w:rPr>
        <w:t>Securities includes ordinary shares, American depositary shares (ADSs) and American depositary receipts (ADRs), or any other types of shares or additional securities that a company may issue from time to time, such as bonds, options, common stock, preferred shares, warrants, notes, and convertible debentures, as well as derivative securities relating to the company’s shares, whether or not issued by the company, such as exchange-traded options and debt securities.</w:t>
      </w:r>
    </w:p>
    <w:p>
      <w:pPr>
        <w:spacing w:after="0" w:line="49" w:lineRule="exact"/>
        <w:rPr>
          <w:sz w:val="20"/>
          <w:szCs w:val="20"/>
          <w:color w:val="auto"/>
        </w:rPr>
      </w:pPr>
    </w:p>
    <w:p>
      <w:pPr>
        <w:sectPr>
          <w:pgSz w:w="11900" w:h="16840" w:orient="portrait"/>
          <w:cols w:equalWidth="0" w:num="2">
            <w:col w:w="1920" w:space="720"/>
            <w:col w:w="7700"/>
          </w:cols>
          <w:pgMar w:left="780" w:top="1440" w:right="780" w:bottom="1440" w:gutter="0" w:footer="0" w:header="0"/>
          <w:type w:val="continuous"/>
        </w:sectPr>
      </w:pPr>
    </w:p>
    <w:p>
      <w:pPr>
        <w:ind w:left="2640"/>
        <w:spacing w:after="0"/>
        <w:rPr>
          <w:sz w:val="20"/>
          <w:szCs w:val="20"/>
          <w:color w:val="auto"/>
        </w:rPr>
      </w:pPr>
      <w:r>
        <w:rPr>
          <w:rFonts w:ascii="Arial" w:cs="Arial" w:eastAsia="Arial" w:hAnsi="Arial"/>
          <w:sz w:val="15"/>
          <w:szCs w:val="15"/>
          <w:color w:val="auto"/>
        </w:rPr>
        <w:t>BioNTech Securities means the Securities of BioNTech SE.</w:t>
      </w:r>
    </w:p>
    <w:p>
      <w:pPr>
        <w:sectPr>
          <w:pgSz w:w="11900" w:h="16840" w:orient="portrait"/>
          <w:cols w:equalWidth="0" w:num="1">
            <w:col w:w="10340"/>
          </w:cols>
          <w:pgMar w:left="780" w:top="1440" w:right="780" w:bottom="1440" w:gutter="0" w:footer="0" w:header="0"/>
          <w:type w:val="continuous"/>
        </w:sectPr>
      </w:pPr>
    </w:p>
    <w:bookmarkStart w:id="432" w:name="page433"/>
    <w:bookmarkEnd w:id="432"/>
    <w:p>
      <w:pPr>
        <w:spacing w:after="0"/>
        <w:rPr>
          <w:sz w:val="20"/>
          <w:szCs w:val="20"/>
          <w:color w:val="auto"/>
        </w:rPr>
      </w:pPr>
      <w:r>
        <w:rPr>
          <w:rFonts w:ascii="Arial" w:cs="Arial" w:eastAsia="Arial" w:hAnsi="Arial"/>
          <w:sz w:val="16"/>
          <w:szCs w:val="16"/>
          <w:color w:val="auto"/>
        </w:rPr>
        <w:t>Insider Trading Policy</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ectPr>
          <w:pgSz w:w="11900" w:h="16840" w:orient="portrait"/>
          <w:cols w:equalWidth="0" w:num="1">
            <w:col w:w="9800"/>
          </w:cols>
          <w:pgMar w:left="660" w:top="559" w:right="1440" w:bottom="1440" w:gutter="0" w:footer="0" w:header="0"/>
        </w:sectPr>
      </w:pPr>
    </w:p>
    <w:bookmarkStart w:id="433" w:name="page434"/>
    <w:bookmarkEnd w:id="433"/>
    <w:p>
      <w:pPr>
        <w:spacing w:after="0" w:line="177"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3"/>
          <w:szCs w:val="13"/>
          <w:b w:val="1"/>
          <w:bCs w:val="1"/>
          <w:color w:val="auto"/>
        </w:rPr>
        <w:t>Exhibit 12.1</w:t>
      </w:r>
    </w:p>
    <w:p>
      <w:pPr>
        <w:jc w:val="center"/>
        <w:ind w:right="20"/>
        <w:spacing w:after="0" w:line="210" w:lineRule="auto"/>
        <w:rPr>
          <w:sz w:val="20"/>
          <w:szCs w:val="20"/>
          <w:color w:val="auto"/>
        </w:rPr>
      </w:pPr>
      <w:r>
        <w:rPr>
          <w:rFonts w:ascii="Times New Roman" w:cs="Times New Roman" w:eastAsia="Times New Roman" w:hAnsi="Times New Roman"/>
          <w:sz w:val="13"/>
          <w:szCs w:val="13"/>
          <w:b w:val="1"/>
          <w:bCs w:val="1"/>
          <w:color w:val="auto"/>
        </w:rPr>
        <w:t>CERTIFICATION PURSUANT TO</w:t>
      </w:r>
    </w:p>
    <w:p>
      <w:pPr>
        <w:jc w:val="center"/>
        <w:ind w:right="-19"/>
        <w:spacing w:after="0" w:line="211" w:lineRule="auto"/>
        <w:rPr>
          <w:sz w:val="20"/>
          <w:szCs w:val="20"/>
          <w:color w:val="auto"/>
        </w:rPr>
      </w:pPr>
      <w:r>
        <w:rPr>
          <w:rFonts w:ascii="Times New Roman" w:cs="Times New Roman" w:eastAsia="Times New Roman" w:hAnsi="Times New Roman"/>
          <w:sz w:val="13"/>
          <w:szCs w:val="13"/>
          <w:b w:val="1"/>
          <w:bCs w:val="1"/>
          <w:color w:val="auto"/>
        </w:rPr>
        <w:t>RULES 13a-14(a) AND 15d-14(a) UNDER THE SECURITIES EXCHANGE ACT OF 1934,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 ADOPTED PURSUANT TO SECTION 302 OF THE SARBANES-OXLEY ACT OF 2002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Ugur Sahin, certify that:</w:t>
      </w:r>
    </w:p>
    <w:p>
      <w:pPr>
        <w:spacing w:after="0" w:line="63" w:lineRule="exact"/>
        <w:rPr>
          <w:sz w:val="20"/>
          <w:szCs w:val="20"/>
          <w:color w:val="auto"/>
        </w:rPr>
      </w:pPr>
    </w:p>
    <w:p>
      <w:pPr>
        <w:ind w:left="480" w:hanging="247"/>
        <w:spacing w:after="0"/>
        <w:tabs>
          <w:tab w:leader="none" w:pos="480" w:val="left"/>
        </w:tabs>
        <w:numPr>
          <w:ilvl w:val="0"/>
          <w:numId w:val="2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20-F of BioNTech SE;</w:t>
      </w:r>
    </w:p>
    <w:p>
      <w:pPr>
        <w:spacing w:after="0" w:line="62" w:lineRule="exact"/>
        <w:rPr>
          <w:rFonts w:ascii="Times New Roman" w:cs="Times New Roman" w:eastAsia="Times New Roman" w:hAnsi="Times New Roman"/>
          <w:sz w:val="13"/>
          <w:szCs w:val="13"/>
          <w:color w:val="auto"/>
        </w:rPr>
      </w:pPr>
    </w:p>
    <w:p>
      <w:pPr>
        <w:ind w:left="480" w:right="20" w:hanging="247"/>
        <w:spacing w:after="0" w:line="245" w:lineRule="auto"/>
        <w:tabs>
          <w:tab w:leader="none" w:pos="480" w:val="left"/>
        </w:tabs>
        <w:numPr>
          <w:ilvl w:val="0"/>
          <w:numId w:val="2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 w:lineRule="exact"/>
        <w:rPr>
          <w:rFonts w:ascii="Times New Roman" w:cs="Times New Roman" w:eastAsia="Times New Roman" w:hAnsi="Times New Roman"/>
          <w:sz w:val="13"/>
          <w:szCs w:val="13"/>
          <w:color w:val="auto"/>
        </w:rPr>
      </w:pPr>
    </w:p>
    <w:p>
      <w:pPr>
        <w:ind w:left="480" w:right="80" w:hanging="247"/>
        <w:spacing w:after="0" w:line="245" w:lineRule="auto"/>
        <w:tabs>
          <w:tab w:leader="none" w:pos="480" w:val="left"/>
        </w:tabs>
        <w:numPr>
          <w:ilvl w:val="0"/>
          <w:numId w:val="2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8" w:lineRule="exact"/>
        <w:rPr>
          <w:rFonts w:ascii="Times New Roman" w:cs="Times New Roman" w:eastAsia="Times New Roman" w:hAnsi="Times New Roman"/>
          <w:sz w:val="13"/>
          <w:szCs w:val="13"/>
          <w:color w:val="auto"/>
        </w:rPr>
      </w:pPr>
    </w:p>
    <w:p>
      <w:pPr>
        <w:ind w:left="480" w:right="20" w:hanging="247"/>
        <w:spacing w:after="0" w:line="245" w:lineRule="auto"/>
        <w:tabs>
          <w:tab w:leader="none" w:pos="480" w:val="left"/>
        </w:tabs>
        <w:numPr>
          <w:ilvl w:val="0"/>
          <w:numId w:val="2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38" w:lineRule="exact"/>
        <w:rPr>
          <w:rFonts w:ascii="Times New Roman" w:cs="Times New Roman" w:eastAsia="Times New Roman" w:hAnsi="Times New Roman"/>
          <w:sz w:val="13"/>
          <w:szCs w:val="13"/>
          <w:color w:val="auto"/>
        </w:rPr>
      </w:pPr>
    </w:p>
    <w:p>
      <w:pPr>
        <w:ind w:left="960" w:right="40" w:hanging="241"/>
        <w:spacing w:after="0" w:line="245" w:lineRule="auto"/>
        <w:tabs>
          <w:tab w:leader="none" w:pos="950" w:val="left"/>
        </w:tabs>
        <w:numPr>
          <w:ilvl w:val="1"/>
          <w:numId w:val="2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38" w:lineRule="exact"/>
        <w:rPr>
          <w:rFonts w:ascii="Times New Roman" w:cs="Times New Roman" w:eastAsia="Times New Roman" w:hAnsi="Times New Roman"/>
          <w:sz w:val="13"/>
          <w:szCs w:val="13"/>
          <w:color w:val="auto"/>
        </w:rPr>
      </w:pPr>
    </w:p>
    <w:p>
      <w:pPr>
        <w:ind w:left="960" w:right="100" w:hanging="241"/>
        <w:spacing w:after="0" w:line="245" w:lineRule="auto"/>
        <w:tabs>
          <w:tab w:leader="none" w:pos="950" w:val="left"/>
        </w:tabs>
        <w:numPr>
          <w:ilvl w:val="1"/>
          <w:numId w:val="2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Times New Roman" w:cs="Times New Roman" w:eastAsia="Times New Roman" w:hAnsi="Times New Roman"/>
          <w:sz w:val="13"/>
          <w:szCs w:val="13"/>
          <w:color w:val="auto"/>
        </w:rPr>
      </w:pPr>
    </w:p>
    <w:p>
      <w:pPr>
        <w:ind w:left="960" w:right="280" w:hanging="241"/>
        <w:spacing w:after="0" w:line="245" w:lineRule="auto"/>
        <w:tabs>
          <w:tab w:leader="none" w:pos="950" w:val="left"/>
        </w:tabs>
        <w:numPr>
          <w:ilvl w:val="1"/>
          <w:numId w:val="2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3"/>
          <w:szCs w:val="13"/>
          <w:color w:val="auto"/>
        </w:rPr>
      </w:pPr>
    </w:p>
    <w:p>
      <w:pPr>
        <w:ind w:left="960" w:right="60" w:hanging="241"/>
        <w:spacing w:after="0" w:line="245" w:lineRule="auto"/>
        <w:tabs>
          <w:tab w:leader="none" w:pos="950" w:val="left"/>
        </w:tabs>
        <w:numPr>
          <w:ilvl w:val="1"/>
          <w:numId w:val="2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38" w:lineRule="exact"/>
        <w:rPr>
          <w:rFonts w:ascii="Times New Roman" w:cs="Times New Roman" w:eastAsia="Times New Roman" w:hAnsi="Times New Roman"/>
          <w:sz w:val="13"/>
          <w:szCs w:val="13"/>
          <w:color w:val="auto"/>
        </w:rPr>
      </w:pPr>
    </w:p>
    <w:p>
      <w:pPr>
        <w:ind w:left="480" w:right="500" w:hanging="247"/>
        <w:spacing w:after="0" w:line="245" w:lineRule="auto"/>
        <w:tabs>
          <w:tab w:leader="none" w:pos="480" w:val="left"/>
        </w:tabs>
        <w:numPr>
          <w:ilvl w:val="0"/>
          <w:numId w:val="2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Times New Roman" w:cs="Times New Roman" w:eastAsia="Times New Roman" w:hAnsi="Times New Roman"/>
          <w:sz w:val="13"/>
          <w:szCs w:val="13"/>
          <w:color w:val="auto"/>
        </w:rPr>
      </w:pPr>
    </w:p>
    <w:p>
      <w:pPr>
        <w:ind w:left="960" w:hanging="241"/>
        <w:spacing w:after="0" w:line="245" w:lineRule="auto"/>
        <w:tabs>
          <w:tab w:leader="none" w:pos="950" w:val="left"/>
        </w:tabs>
        <w:numPr>
          <w:ilvl w:val="1"/>
          <w:numId w:val="2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Times New Roman" w:cs="Times New Roman" w:eastAsia="Times New Roman" w:hAnsi="Times New Roman"/>
          <w:sz w:val="13"/>
          <w:szCs w:val="13"/>
          <w:color w:val="auto"/>
        </w:rPr>
      </w:pPr>
    </w:p>
    <w:p>
      <w:pPr>
        <w:ind w:left="960" w:hanging="241"/>
        <w:spacing w:after="0"/>
        <w:tabs>
          <w:tab w:leader="none" w:pos="960" w:val="left"/>
        </w:tabs>
        <w:numPr>
          <w:ilvl w:val="1"/>
          <w:numId w:val="2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company's internal control over financial reporting.</w:t>
      </w:r>
    </w:p>
    <w:p>
      <w:pPr>
        <w:spacing w:after="0" w:line="285" w:lineRule="exact"/>
        <w:rPr>
          <w:sz w:val="20"/>
          <w:szCs w:val="20"/>
          <w:color w:val="auto"/>
        </w:rPr>
      </w:pPr>
    </w:p>
    <w:p>
      <w:pPr>
        <w:spacing w:after="0"/>
        <w:tabs>
          <w:tab w:leader="none" w:pos="5740" w:val="left"/>
          <w:tab w:leader="none" w:pos="7800" w:val="left"/>
        </w:tabs>
        <w:rPr>
          <w:sz w:val="20"/>
          <w:szCs w:val="20"/>
          <w:color w:val="auto"/>
        </w:rPr>
      </w:pPr>
      <w:r>
        <w:rPr>
          <w:rFonts w:ascii="Times New Roman" w:cs="Times New Roman" w:eastAsia="Times New Roman" w:hAnsi="Times New Roman"/>
          <w:sz w:val="13"/>
          <w:szCs w:val="13"/>
          <w:color w:val="auto"/>
        </w:rPr>
        <w:t>Date: March 10,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Prof. Dr. Ugur Sahin</w:t>
      </w:r>
    </w:p>
    <w:p>
      <w:pPr>
        <w:spacing w:after="0" w:line="51"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3"/>
          <w:szCs w:val="13"/>
          <w:b w:val="1"/>
          <w:bCs w:val="1"/>
          <w:color w:val="auto"/>
        </w:rPr>
        <w:t>Prof. Dr. Ugur Sahin</w:t>
      </w:r>
    </w:p>
    <w:p>
      <w:pPr>
        <w:spacing w:after="0" w:line="53"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3"/>
          <w:szCs w:val="13"/>
          <w:b w:val="1"/>
          <w:bCs w:val="1"/>
          <w:color w:val="auto"/>
        </w:rPr>
        <w:t>Chief Executive Officer</w:t>
      </w:r>
    </w:p>
    <w:p>
      <w:pPr>
        <w:sectPr>
          <w:pgSz w:w="11900" w:h="16840" w:orient="portrait"/>
          <w:cols w:equalWidth="0" w:num="1">
            <w:col w:w="10600"/>
          </w:cols>
          <w:pgMar w:left="660" w:top="1440" w:right="640" w:bottom="1440" w:gutter="0" w:footer="0" w:header="0"/>
        </w:sectPr>
      </w:pPr>
    </w:p>
    <w:bookmarkStart w:id="434" w:name="page435"/>
    <w:bookmarkEnd w:id="434"/>
    <w:p>
      <w:pPr>
        <w:spacing w:after="0" w:line="177"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3"/>
          <w:szCs w:val="13"/>
          <w:b w:val="1"/>
          <w:bCs w:val="1"/>
          <w:color w:val="auto"/>
        </w:rPr>
        <w:t>Exhibit 12.2</w:t>
      </w:r>
    </w:p>
    <w:p>
      <w:pPr>
        <w:jc w:val="center"/>
        <w:ind w:right="20"/>
        <w:spacing w:after="0" w:line="210" w:lineRule="auto"/>
        <w:rPr>
          <w:sz w:val="20"/>
          <w:szCs w:val="20"/>
          <w:color w:val="auto"/>
        </w:rPr>
      </w:pPr>
      <w:r>
        <w:rPr>
          <w:rFonts w:ascii="Times New Roman" w:cs="Times New Roman" w:eastAsia="Times New Roman" w:hAnsi="Times New Roman"/>
          <w:sz w:val="13"/>
          <w:szCs w:val="13"/>
          <w:b w:val="1"/>
          <w:bCs w:val="1"/>
          <w:color w:val="auto"/>
        </w:rPr>
        <w:t>CERTIFICATION PURSUANT TO</w:t>
      </w:r>
    </w:p>
    <w:p>
      <w:pPr>
        <w:jc w:val="center"/>
        <w:ind w:right="-19"/>
        <w:spacing w:after="0" w:line="211" w:lineRule="auto"/>
        <w:rPr>
          <w:sz w:val="20"/>
          <w:szCs w:val="20"/>
          <w:color w:val="auto"/>
        </w:rPr>
      </w:pPr>
      <w:r>
        <w:rPr>
          <w:rFonts w:ascii="Times New Roman" w:cs="Times New Roman" w:eastAsia="Times New Roman" w:hAnsi="Times New Roman"/>
          <w:sz w:val="13"/>
          <w:szCs w:val="13"/>
          <w:b w:val="1"/>
          <w:bCs w:val="1"/>
          <w:color w:val="auto"/>
        </w:rPr>
        <w:t>RULES 13a-14(a) AND 15d-14(a) UNDER THE SECURITIES EXCHANGE ACT OF 1934,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 ADOPTED PURSUANT TO SECTION 302 OF THE SARBANES-OXLEY ACT OF 2002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Jens Holstein, certify that:</w:t>
      </w:r>
    </w:p>
    <w:p>
      <w:pPr>
        <w:spacing w:after="0" w:line="63" w:lineRule="exact"/>
        <w:rPr>
          <w:sz w:val="20"/>
          <w:szCs w:val="20"/>
          <w:color w:val="auto"/>
        </w:rPr>
      </w:pPr>
    </w:p>
    <w:p>
      <w:pPr>
        <w:ind w:left="480" w:hanging="247"/>
        <w:spacing w:after="0"/>
        <w:tabs>
          <w:tab w:leader="none" w:pos="480" w:val="left"/>
        </w:tabs>
        <w:numPr>
          <w:ilvl w:val="0"/>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20-F of BioNTech SE;</w:t>
      </w:r>
    </w:p>
    <w:p>
      <w:pPr>
        <w:spacing w:after="0" w:line="62" w:lineRule="exact"/>
        <w:rPr>
          <w:rFonts w:ascii="Times New Roman" w:cs="Times New Roman" w:eastAsia="Times New Roman" w:hAnsi="Times New Roman"/>
          <w:sz w:val="13"/>
          <w:szCs w:val="13"/>
          <w:color w:val="auto"/>
        </w:rPr>
      </w:pPr>
    </w:p>
    <w:p>
      <w:pPr>
        <w:ind w:left="480" w:right="20" w:hanging="247"/>
        <w:spacing w:after="0" w:line="245" w:lineRule="auto"/>
        <w:tabs>
          <w:tab w:leader="none" w:pos="480" w:val="left"/>
        </w:tabs>
        <w:numPr>
          <w:ilvl w:val="0"/>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 w:lineRule="exact"/>
        <w:rPr>
          <w:rFonts w:ascii="Times New Roman" w:cs="Times New Roman" w:eastAsia="Times New Roman" w:hAnsi="Times New Roman"/>
          <w:sz w:val="13"/>
          <w:szCs w:val="13"/>
          <w:color w:val="auto"/>
        </w:rPr>
      </w:pPr>
    </w:p>
    <w:p>
      <w:pPr>
        <w:ind w:left="480" w:right="80" w:hanging="247"/>
        <w:spacing w:after="0" w:line="245" w:lineRule="auto"/>
        <w:tabs>
          <w:tab w:leader="none" w:pos="480" w:val="left"/>
        </w:tabs>
        <w:numPr>
          <w:ilvl w:val="0"/>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8" w:lineRule="exact"/>
        <w:rPr>
          <w:rFonts w:ascii="Times New Roman" w:cs="Times New Roman" w:eastAsia="Times New Roman" w:hAnsi="Times New Roman"/>
          <w:sz w:val="13"/>
          <w:szCs w:val="13"/>
          <w:color w:val="auto"/>
        </w:rPr>
      </w:pPr>
    </w:p>
    <w:p>
      <w:pPr>
        <w:ind w:left="480" w:right="20" w:hanging="247"/>
        <w:spacing w:after="0" w:line="245" w:lineRule="auto"/>
        <w:tabs>
          <w:tab w:leader="none" w:pos="480" w:val="left"/>
        </w:tabs>
        <w:numPr>
          <w:ilvl w:val="0"/>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38" w:lineRule="exact"/>
        <w:rPr>
          <w:rFonts w:ascii="Times New Roman" w:cs="Times New Roman" w:eastAsia="Times New Roman" w:hAnsi="Times New Roman"/>
          <w:sz w:val="13"/>
          <w:szCs w:val="13"/>
          <w:color w:val="auto"/>
        </w:rPr>
      </w:pPr>
    </w:p>
    <w:p>
      <w:pPr>
        <w:ind w:left="960" w:right="40" w:hanging="241"/>
        <w:spacing w:after="0" w:line="245" w:lineRule="auto"/>
        <w:tabs>
          <w:tab w:leader="none" w:pos="950" w:val="left"/>
        </w:tabs>
        <w:numPr>
          <w:ilvl w:val="1"/>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38" w:lineRule="exact"/>
        <w:rPr>
          <w:rFonts w:ascii="Times New Roman" w:cs="Times New Roman" w:eastAsia="Times New Roman" w:hAnsi="Times New Roman"/>
          <w:sz w:val="13"/>
          <w:szCs w:val="13"/>
          <w:color w:val="auto"/>
        </w:rPr>
      </w:pPr>
    </w:p>
    <w:p>
      <w:pPr>
        <w:ind w:left="960" w:right="100" w:hanging="241"/>
        <w:spacing w:after="0" w:line="245" w:lineRule="auto"/>
        <w:tabs>
          <w:tab w:leader="none" w:pos="950" w:val="left"/>
        </w:tabs>
        <w:numPr>
          <w:ilvl w:val="1"/>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Times New Roman" w:cs="Times New Roman" w:eastAsia="Times New Roman" w:hAnsi="Times New Roman"/>
          <w:sz w:val="13"/>
          <w:szCs w:val="13"/>
          <w:color w:val="auto"/>
        </w:rPr>
      </w:pPr>
    </w:p>
    <w:p>
      <w:pPr>
        <w:ind w:left="960" w:right="280" w:hanging="241"/>
        <w:spacing w:after="0" w:line="245" w:lineRule="auto"/>
        <w:tabs>
          <w:tab w:leader="none" w:pos="950" w:val="left"/>
        </w:tabs>
        <w:numPr>
          <w:ilvl w:val="1"/>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3"/>
          <w:szCs w:val="13"/>
          <w:color w:val="auto"/>
        </w:rPr>
      </w:pPr>
    </w:p>
    <w:p>
      <w:pPr>
        <w:ind w:left="960" w:right="60" w:hanging="241"/>
        <w:spacing w:after="0" w:line="245" w:lineRule="auto"/>
        <w:tabs>
          <w:tab w:leader="none" w:pos="950" w:val="left"/>
        </w:tabs>
        <w:numPr>
          <w:ilvl w:val="1"/>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38" w:lineRule="exact"/>
        <w:rPr>
          <w:rFonts w:ascii="Times New Roman" w:cs="Times New Roman" w:eastAsia="Times New Roman" w:hAnsi="Times New Roman"/>
          <w:sz w:val="13"/>
          <w:szCs w:val="13"/>
          <w:color w:val="auto"/>
        </w:rPr>
      </w:pPr>
    </w:p>
    <w:p>
      <w:pPr>
        <w:ind w:left="480" w:right="500" w:hanging="247"/>
        <w:spacing w:after="0" w:line="245" w:lineRule="auto"/>
        <w:tabs>
          <w:tab w:leader="none" w:pos="480" w:val="left"/>
        </w:tabs>
        <w:numPr>
          <w:ilvl w:val="0"/>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Times New Roman" w:cs="Times New Roman" w:eastAsia="Times New Roman" w:hAnsi="Times New Roman"/>
          <w:sz w:val="13"/>
          <w:szCs w:val="13"/>
          <w:color w:val="auto"/>
        </w:rPr>
      </w:pPr>
    </w:p>
    <w:p>
      <w:pPr>
        <w:ind w:left="960" w:hanging="241"/>
        <w:spacing w:after="0" w:line="245" w:lineRule="auto"/>
        <w:tabs>
          <w:tab w:leader="none" w:pos="950" w:val="left"/>
        </w:tabs>
        <w:numPr>
          <w:ilvl w:val="1"/>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Times New Roman" w:cs="Times New Roman" w:eastAsia="Times New Roman" w:hAnsi="Times New Roman"/>
          <w:sz w:val="13"/>
          <w:szCs w:val="13"/>
          <w:color w:val="auto"/>
        </w:rPr>
      </w:pPr>
    </w:p>
    <w:p>
      <w:pPr>
        <w:ind w:left="960" w:hanging="241"/>
        <w:spacing w:after="0"/>
        <w:tabs>
          <w:tab w:leader="none" w:pos="960" w:val="left"/>
        </w:tabs>
        <w:numPr>
          <w:ilvl w:val="1"/>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company's internal control over financial reporting.</w:t>
      </w:r>
    </w:p>
    <w:p>
      <w:pPr>
        <w:spacing w:after="0" w:line="285" w:lineRule="exact"/>
        <w:rPr>
          <w:sz w:val="20"/>
          <w:szCs w:val="20"/>
          <w:color w:val="auto"/>
        </w:rPr>
      </w:pPr>
    </w:p>
    <w:p>
      <w:pPr>
        <w:spacing w:after="0"/>
        <w:tabs>
          <w:tab w:leader="none" w:pos="5760" w:val="left"/>
          <w:tab w:leader="none" w:pos="8000" w:val="left"/>
        </w:tabs>
        <w:rPr>
          <w:sz w:val="20"/>
          <w:szCs w:val="20"/>
          <w:color w:val="auto"/>
        </w:rPr>
      </w:pPr>
      <w:r>
        <w:rPr>
          <w:rFonts w:ascii="Times New Roman" w:cs="Times New Roman" w:eastAsia="Times New Roman" w:hAnsi="Times New Roman"/>
          <w:sz w:val="13"/>
          <w:szCs w:val="13"/>
          <w:color w:val="auto"/>
        </w:rPr>
        <w:t>Date: March 10,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Jens Holstein</w:t>
      </w:r>
    </w:p>
    <w:p>
      <w:pPr>
        <w:spacing w:after="0" w:line="51"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3"/>
          <w:szCs w:val="13"/>
          <w:b w:val="1"/>
          <w:bCs w:val="1"/>
          <w:color w:val="auto"/>
        </w:rPr>
        <w:t>Jens Holstein</w:t>
      </w:r>
    </w:p>
    <w:p>
      <w:pPr>
        <w:spacing w:after="0" w:line="53"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3"/>
          <w:szCs w:val="13"/>
          <w:b w:val="1"/>
          <w:bCs w:val="1"/>
          <w:color w:val="auto"/>
        </w:rPr>
        <w:t>Chief Financial Officer</w:t>
      </w:r>
    </w:p>
    <w:p>
      <w:pPr>
        <w:sectPr>
          <w:pgSz w:w="11900" w:h="16840" w:orient="portrait"/>
          <w:cols w:equalWidth="0" w:num="1">
            <w:col w:w="10600"/>
          </w:cols>
          <w:pgMar w:left="660" w:top="1440" w:right="640" w:bottom="1440" w:gutter="0" w:footer="0" w:header="0"/>
        </w:sectPr>
      </w:pPr>
    </w:p>
    <w:bookmarkStart w:id="435" w:name="page436"/>
    <w:bookmarkEnd w:id="435"/>
    <w:p>
      <w:pPr>
        <w:spacing w:after="0" w:line="177"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3"/>
          <w:szCs w:val="13"/>
          <w:b w:val="1"/>
          <w:bCs w:val="1"/>
          <w:color w:val="auto"/>
        </w:rPr>
        <w:t>Exhibit 13.1</w:t>
      </w:r>
    </w:p>
    <w:p>
      <w:pPr>
        <w:ind w:left="4260"/>
        <w:spacing w:after="0" w:line="210" w:lineRule="auto"/>
        <w:rPr>
          <w:sz w:val="20"/>
          <w:szCs w:val="20"/>
          <w:color w:val="auto"/>
        </w:rPr>
      </w:pPr>
      <w:r>
        <w:rPr>
          <w:rFonts w:ascii="Times New Roman" w:cs="Times New Roman" w:eastAsia="Times New Roman" w:hAnsi="Times New Roman"/>
          <w:sz w:val="13"/>
          <w:szCs w:val="13"/>
          <w:b w:val="1"/>
          <w:bCs w:val="1"/>
          <w:color w:val="auto"/>
        </w:rPr>
        <w:t>CERTIFICATION PURSUANT TO</w:t>
      </w:r>
    </w:p>
    <w:p>
      <w:pPr>
        <w:ind w:left="3640"/>
        <w:spacing w:after="0" w:line="211" w:lineRule="auto"/>
        <w:rPr>
          <w:sz w:val="20"/>
          <w:szCs w:val="20"/>
          <w:color w:val="auto"/>
        </w:rPr>
      </w:pPr>
      <w:r>
        <w:rPr>
          <w:rFonts w:ascii="Times New Roman" w:cs="Times New Roman" w:eastAsia="Times New Roman" w:hAnsi="Times New Roman"/>
          <w:sz w:val="13"/>
          <w:szCs w:val="13"/>
          <w:b w:val="1"/>
          <w:bCs w:val="1"/>
          <w:color w:val="auto"/>
        </w:rPr>
        <w:t>18 U.S.C. SECTION 1350, AS ADOPTED PURSUANT TO</w:t>
      </w:r>
    </w:p>
    <w:p>
      <w:pPr>
        <w:spacing w:after="0" w:line="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4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3"/>
          <w:szCs w:val="13"/>
          <w:color w:val="auto"/>
        </w:rPr>
        <w:t>The certification set forth below is being submitted in connection with the Annual Report on Form 20 -F for the year ended 2024 (the “Report”) for the purpose of complying with Rule 13a-14(b) or Rule 15d-14(b) of the Securities Exchange Act of 1934 (the “Exchange Act”) and Section 1350 of Chapter 63 of Title 18 of the United States Code.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Ugur Sahin, Chief Executive Officer of BioNTech SE (the “Company”), certify that:</w:t>
      </w:r>
    </w:p>
    <w:p>
      <w:pPr>
        <w:spacing w:after="0" w:line="63" w:lineRule="exact"/>
        <w:rPr>
          <w:sz w:val="20"/>
          <w:szCs w:val="20"/>
          <w:color w:val="auto"/>
        </w:rPr>
      </w:pPr>
    </w:p>
    <w:p>
      <w:pPr>
        <w:ind w:left="480" w:hanging="247"/>
        <w:spacing w:after="0"/>
        <w:tabs>
          <w:tab w:leader="none" w:pos="480" w:val="left"/>
        </w:tabs>
        <w:numPr>
          <w:ilvl w:val="0"/>
          <w:numId w:val="2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Exchange Act; and</w:t>
      </w:r>
    </w:p>
    <w:p>
      <w:pPr>
        <w:spacing w:after="0" w:line="62" w:lineRule="exact"/>
        <w:rPr>
          <w:rFonts w:ascii="Times New Roman" w:cs="Times New Roman" w:eastAsia="Times New Roman" w:hAnsi="Times New Roman"/>
          <w:sz w:val="13"/>
          <w:szCs w:val="13"/>
          <w:color w:val="auto"/>
        </w:rPr>
      </w:pPr>
    </w:p>
    <w:p>
      <w:pPr>
        <w:ind w:left="480" w:hanging="247"/>
        <w:spacing w:after="0"/>
        <w:tabs>
          <w:tab w:leader="none" w:pos="480" w:val="left"/>
        </w:tabs>
        <w:numPr>
          <w:ilvl w:val="0"/>
          <w:numId w:val="2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285" w:lineRule="exact"/>
        <w:rPr>
          <w:sz w:val="20"/>
          <w:szCs w:val="20"/>
          <w:color w:val="auto"/>
        </w:rPr>
      </w:pPr>
    </w:p>
    <w:p>
      <w:pPr>
        <w:spacing w:after="0"/>
        <w:tabs>
          <w:tab w:leader="none" w:pos="5720" w:val="left"/>
          <w:tab w:leader="none" w:pos="7800" w:val="left"/>
        </w:tabs>
        <w:rPr>
          <w:sz w:val="20"/>
          <w:szCs w:val="20"/>
          <w:color w:val="auto"/>
        </w:rPr>
      </w:pPr>
      <w:r>
        <w:rPr>
          <w:rFonts w:ascii="Times New Roman" w:cs="Times New Roman" w:eastAsia="Times New Roman" w:hAnsi="Times New Roman"/>
          <w:sz w:val="13"/>
          <w:szCs w:val="13"/>
          <w:color w:val="auto"/>
        </w:rPr>
        <w:t>Date: March 10,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Prof. Dr. Ugur Sahin</w:t>
      </w:r>
    </w:p>
    <w:p>
      <w:pPr>
        <w:spacing w:after="0" w:line="51"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3"/>
          <w:szCs w:val="13"/>
          <w:b w:val="1"/>
          <w:bCs w:val="1"/>
          <w:color w:val="auto"/>
        </w:rPr>
        <w:t>Prof. Dr. Ugur Sahin</w:t>
      </w:r>
    </w:p>
    <w:p>
      <w:pPr>
        <w:spacing w:after="0" w:line="53"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3"/>
          <w:szCs w:val="13"/>
          <w:b w:val="1"/>
          <w:bCs w:val="1"/>
          <w:color w:val="auto"/>
        </w:rPr>
        <w:t>Chief Executive Officer</w:t>
      </w:r>
    </w:p>
    <w:p>
      <w:pPr>
        <w:sectPr>
          <w:pgSz w:w="11900" w:h="16840" w:orient="portrait"/>
          <w:cols w:equalWidth="0" w:num="1">
            <w:col w:w="10600"/>
          </w:cols>
          <w:pgMar w:left="660" w:top="1440" w:right="640" w:bottom="1440" w:gutter="0" w:footer="0" w:header="0"/>
        </w:sectPr>
      </w:pPr>
    </w:p>
    <w:bookmarkStart w:id="436" w:name="page437"/>
    <w:bookmarkEnd w:id="436"/>
    <w:p>
      <w:pPr>
        <w:spacing w:after="0" w:line="177"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3"/>
          <w:szCs w:val="13"/>
          <w:b w:val="1"/>
          <w:bCs w:val="1"/>
          <w:color w:val="auto"/>
        </w:rPr>
        <w:t>Exhibit 13.2</w:t>
      </w:r>
    </w:p>
    <w:p>
      <w:pPr>
        <w:ind w:left="4260"/>
        <w:spacing w:after="0" w:line="210" w:lineRule="auto"/>
        <w:rPr>
          <w:sz w:val="20"/>
          <w:szCs w:val="20"/>
          <w:color w:val="auto"/>
        </w:rPr>
      </w:pPr>
      <w:r>
        <w:rPr>
          <w:rFonts w:ascii="Times New Roman" w:cs="Times New Roman" w:eastAsia="Times New Roman" w:hAnsi="Times New Roman"/>
          <w:sz w:val="13"/>
          <w:szCs w:val="13"/>
          <w:b w:val="1"/>
          <w:bCs w:val="1"/>
          <w:color w:val="auto"/>
        </w:rPr>
        <w:t>CERTIFICATION PURSUANT TO</w:t>
      </w:r>
    </w:p>
    <w:p>
      <w:pPr>
        <w:ind w:left="3640"/>
        <w:spacing w:after="0" w:line="211" w:lineRule="auto"/>
        <w:rPr>
          <w:sz w:val="20"/>
          <w:szCs w:val="20"/>
          <w:color w:val="auto"/>
        </w:rPr>
      </w:pPr>
      <w:r>
        <w:rPr>
          <w:rFonts w:ascii="Times New Roman" w:cs="Times New Roman" w:eastAsia="Times New Roman" w:hAnsi="Times New Roman"/>
          <w:sz w:val="13"/>
          <w:szCs w:val="13"/>
          <w:b w:val="1"/>
          <w:bCs w:val="1"/>
          <w:color w:val="auto"/>
        </w:rPr>
        <w:t>18 U.S.C. SECTION 1350, AS ADOPTED PURSUANT TO</w:t>
      </w:r>
    </w:p>
    <w:p>
      <w:pPr>
        <w:spacing w:after="0" w:line="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4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3"/>
          <w:szCs w:val="13"/>
          <w:color w:val="auto"/>
        </w:rPr>
        <w:t>The certification set forth below is being submitted in connection with the Annual Report on Form 20 -F for the year ended 2024 (the “Report”) for the purpose of complying with Rule 13a-14(b) or Rule 15d-14(b) of the Securities Exchange Act of 1934 (the “Exchange Act”) and Section 1350 of Chapter 63 of Title 18 of the United States Code.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Jens Holstein, Chief Financial Officer of BioNTech SE (the “Company”), certify that:</w:t>
      </w:r>
    </w:p>
    <w:p>
      <w:pPr>
        <w:spacing w:after="0" w:line="63" w:lineRule="exact"/>
        <w:rPr>
          <w:sz w:val="20"/>
          <w:szCs w:val="20"/>
          <w:color w:val="auto"/>
        </w:rPr>
      </w:pPr>
    </w:p>
    <w:p>
      <w:pPr>
        <w:ind w:left="480" w:hanging="247"/>
        <w:spacing w:after="0"/>
        <w:tabs>
          <w:tab w:leader="none" w:pos="480" w:val="left"/>
        </w:tabs>
        <w:numPr>
          <w:ilvl w:val="0"/>
          <w:numId w:val="2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Exchange Act; and</w:t>
      </w:r>
    </w:p>
    <w:p>
      <w:pPr>
        <w:spacing w:after="0" w:line="62" w:lineRule="exact"/>
        <w:rPr>
          <w:rFonts w:ascii="Times New Roman" w:cs="Times New Roman" w:eastAsia="Times New Roman" w:hAnsi="Times New Roman"/>
          <w:sz w:val="13"/>
          <w:szCs w:val="13"/>
          <w:color w:val="auto"/>
        </w:rPr>
      </w:pPr>
    </w:p>
    <w:p>
      <w:pPr>
        <w:ind w:left="480" w:hanging="247"/>
        <w:spacing w:after="0"/>
        <w:tabs>
          <w:tab w:leader="none" w:pos="480" w:val="left"/>
        </w:tabs>
        <w:numPr>
          <w:ilvl w:val="0"/>
          <w:numId w:val="2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285" w:lineRule="exact"/>
        <w:rPr>
          <w:sz w:val="20"/>
          <w:szCs w:val="20"/>
          <w:color w:val="auto"/>
        </w:rPr>
      </w:pPr>
    </w:p>
    <w:p>
      <w:pPr>
        <w:spacing w:after="0"/>
        <w:tabs>
          <w:tab w:leader="none" w:pos="5760" w:val="left"/>
          <w:tab w:leader="none" w:pos="8000" w:val="left"/>
        </w:tabs>
        <w:rPr>
          <w:sz w:val="20"/>
          <w:szCs w:val="20"/>
          <w:color w:val="auto"/>
        </w:rPr>
      </w:pPr>
      <w:r>
        <w:rPr>
          <w:rFonts w:ascii="Times New Roman" w:cs="Times New Roman" w:eastAsia="Times New Roman" w:hAnsi="Times New Roman"/>
          <w:sz w:val="13"/>
          <w:szCs w:val="13"/>
          <w:color w:val="auto"/>
        </w:rPr>
        <w:t>Date: March 10,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Jens Holstein</w:t>
      </w:r>
    </w:p>
    <w:p>
      <w:pPr>
        <w:spacing w:after="0" w:line="51"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3"/>
          <w:szCs w:val="13"/>
          <w:b w:val="1"/>
          <w:bCs w:val="1"/>
          <w:color w:val="auto"/>
        </w:rPr>
        <w:t>Jens Holstein</w:t>
      </w:r>
    </w:p>
    <w:p>
      <w:pPr>
        <w:spacing w:after="0" w:line="53"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3"/>
          <w:szCs w:val="13"/>
          <w:b w:val="1"/>
          <w:bCs w:val="1"/>
          <w:color w:val="auto"/>
        </w:rPr>
        <w:t>Chief Financial Officer</w:t>
      </w:r>
    </w:p>
    <w:p>
      <w:pPr>
        <w:sectPr>
          <w:pgSz w:w="11900" w:h="16840" w:orient="portrait"/>
          <w:cols w:equalWidth="0" w:num="1">
            <w:col w:w="10600"/>
          </w:cols>
          <w:pgMar w:left="660" w:top="1440" w:right="640" w:bottom="1440" w:gutter="0" w:footer="0" w:header="0"/>
        </w:sectPr>
      </w:pPr>
    </w:p>
    <w:bookmarkStart w:id="437" w:name="page438"/>
    <w:bookmarkEnd w:id="437"/>
    <w:p>
      <w:pPr>
        <w:jc w:val="right"/>
        <w:spacing w:after="0"/>
        <w:rPr>
          <w:sz w:val="20"/>
          <w:szCs w:val="20"/>
          <w:color w:val="auto"/>
        </w:rPr>
      </w:pPr>
      <w:r>
        <w:rPr>
          <w:rFonts w:ascii="Times New Roman" w:cs="Times New Roman" w:eastAsia="Times New Roman" w:hAnsi="Times New Roman"/>
          <w:sz w:val="13"/>
          <w:szCs w:val="13"/>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3"/>
          <w:szCs w:val="13"/>
          <w:b w:val="1"/>
          <w:bCs w:val="1"/>
          <w:color w:val="auto"/>
        </w:rPr>
        <w:t>Consent of Independent Registered Public Accounting Firm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consent to the incorporation by reference in the following Registration Statements:</w:t>
      </w:r>
    </w:p>
    <w:p>
      <w:pPr>
        <w:spacing w:after="0" w:line="154" w:lineRule="exact"/>
        <w:rPr>
          <w:sz w:val="20"/>
          <w:szCs w:val="20"/>
          <w:color w:val="auto"/>
        </w:rPr>
      </w:pPr>
    </w:p>
    <w:p>
      <w:pPr>
        <w:ind w:left="960" w:right="420" w:hanging="484"/>
        <w:spacing w:after="0" w:line="222" w:lineRule="auto"/>
        <w:tabs>
          <w:tab w:leader="none" w:pos="950" w:val="left"/>
        </w:tabs>
        <w:numPr>
          <w:ilvl w:val="0"/>
          <w:numId w:val="2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333333"/>
        </w:rPr>
        <w:t>Registration Statement (Form S-8 No. 333-253263) pertaining to the 2020 Employee Equity Plan, the 2020 Restricted Stock Unit Plan for North America Employees, the 2017 Employee Stock Ownership Plan and the 2020 Management Board ESOP of BioNTech SE,</w:t>
      </w:r>
    </w:p>
    <w:p>
      <w:pPr>
        <w:ind w:left="960" w:right="40" w:hanging="484"/>
        <w:spacing w:after="0" w:line="210" w:lineRule="auto"/>
        <w:tabs>
          <w:tab w:leader="none" w:pos="950" w:val="left"/>
        </w:tabs>
        <w:numPr>
          <w:ilvl w:val="0"/>
          <w:numId w:val="2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333333"/>
        </w:rPr>
        <w:t>Registration Statement (Form S-8 No. 333-269740) pertaining to the 2020 Employee Equity Plan, 2020 Restricted Stock Unit Plan for North America Employees and 2021 Employee Stock Ownership Plan of BioNTech SE, and</w:t>
      </w:r>
    </w:p>
    <w:p>
      <w:pPr>
        <w:spacing w:after="0" w:line="1" w:lineRule="exact"/>
        <w:rPr>
          <w:rFonts w:ascii="Times New Roman" w:cs="Times New Roman" w:eastAsia="Times New Roman" w:hAnsi="Times New Roman"/>
          <w:sz w:val="13"/>
          <w:szCs w:val="13"/>
          <w:color w:val="auto"/>
        </w:rPr>
      </w:pPr>
    </w:p>
    <w:p>
      <w:pPr>
        <w:ind w:left="960" w:right="80" w:hanging="484"/>
        <w:spacing w:after="0" w:line="231" w:lineRule="auto"/>
        <w:tabs>
          <w:tab w:leader="none" w:pos="950" w:val="left"/>
        </w:tabs>
        <w:numPr>
          <w:ilvl w:val="0"/>
          <w:numId w:val="2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333333"/>
        </w:rPr>
        <w:t>Registration Statement (Form S-8 No. 333-277105) pertaining to the 2024 Non-North America Employee Participation Plan and 2024 North America Employee Participation Plan of BioNTech SE,</w:t>
      </w:r>
    </w:p>
    <w:p>
      <w:pPr>
        <w:spacing w:after="0" w:line="123"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3"/>
          <w:szCs w:val="13"/>
          <w:color w:val="333333"/>
        </w:rPr>
        <w:t>of our reports dated March 10, 2025, with respect to the consolidated financial statements of BioNTech SE and the effectiveness of internal control over financial reporting of BioNTech SE included in this Annual Report (Form 20-F) of BioNTech SE for the year ended December 31,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EY GmbH &amp; Co. KG Wirtschaftsprüfungsgesellschaft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Cologne, Germany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10, 2025</w:t>
      </w:r>
    </w:p>
    <w:p>
      <w:pPr>
        <w:sectPr>
          <w:pgSz w:w="11900" w:h="16840" w:orient="portrait"/>
          <w:cols w:equalWidth="0" w:num="1">
            <w:col w:w="10580"/>
          </w:cols>
          <w:pgMar w:left="660" w:top="558" w:right="660" w:bottom="1440" w:gutter="0" w:footer="0" w:header="0"/>
        </w:sectPr>
      </w:pPr>
    </w:p>
    <w:bookmarkStart w:id="438" w:name="page439"/>
    <w:bookmarkEnd w:id="438"/>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75E0858A"/>
    <w:multiLevelType w:val="hybridMultilevel"/>
    <w:lvl w:ilvl="0">
      <w:lvlJc w:val="left"/>
      <w:lvlText w:val="*"/>
      <w:numFmt w:val="bullet"/>
      <w:start w:val="1"/>
    </w:lvl>
  </w:abstractNum>
  <w:abstractNum w:abstractNumId="1">
    <w:nsid w:val="57A61A29"/>
    <w:multiLevelType w:val="hybridMultilevel"/>
    <w:lvl w:ilvl="0">
      <w:lvlJc w:val="left"/>
      <w:lvlText w:val="%1."/>
      <w:numFmt w:val="upperLetter"/>
      <w:start w:val="1"/>
    </w:lvl>
  </w:abstractNum>
  <w:abstractNum w:abstractNumId="2">
    <w:nsid w:val="5399C654"/>
    <w:multiLevelType w:val="hybridMultilevel"/>
    <w:lvl w:ilvl="0">
      <w:lvlJc w:val="left"/>
      <w:lvlText w:val="a"/>
      <w:numFmt w:val="bullet"/>
      <w:start w:val="1"/>
    </w:lvl>
  </w:abstractNum>
  <w:abstractNum w:abstractNumId="3">
    <w:nsid w:val="20EE1348"/>
    <w:multiLevelType w:val="hybridMultilevel"/>
    <w:lvl w:ilvl="0">
      <w:lvlJc w:val="left"/>
      <w:lvlText w:val="(%1)"/>
      <w:numFmt w:val="decimal"/>
      <w:start w:val="1"/>
    </w:lvl>
  </w:abstractNum>
  <w:abstractNum w:abstractNumId="4">
    <w:nsid w:val="4427069A"/>
    <w:multiLevelType w:val="hybridMultilevel"/>
    <w:lvl w:ilvl="0">
      <w:lvlJc w:val="left"/>
      <w:lvlText w:val="%1."/>
      <w:numFmt w:val="decimal"/>
      <w:start w:val="1"/>
    </w:lvl>
  </w:abstractNum>
  <w:abstractNum w:abstractNumId="5">
    <w:nsid w:val="B37E80A"/>
    <w:multiLevelType w:val="hybridMultilevel"/>
    <w:lvl w:ilvl="0">
      <w:lvlJc w:val="left"/>
      <w:lvlText w:val="A"/>
      <w:numFmt w:val="bullet"/>
      <w:start w:val="1"/>
    </w:lvl>
  </w:abstractNum>
  <w:abstractNum w:abstractNumId="6">
    <w:nsid w:val="2157F6BC"/>
    <w:multiLevelType w:val="hybridMultilevel"/>
    <w:lvl w:ilvl="0">
      <w:lvlJc w:val="left"/>
      <w:lvlText w:val="A"/>
      <w:numFmt w:val="bullet"/>
      <w:start w:val="1"/>
    </w:lvl>
  </w:abstractNum>
  <w:abstractNum w:abstractNumId="7">
    <w:nsid w:val="704E1DD5"/>
    <w:multiLevelType w:val="hybridMultilevel"/>
    <w:lvl w:ilvl="0">
      <w:lvlJc w:val="left"/>
      <w:lvlText w:val="A"/>
      <w:numFmt w:val="bullet"/>
      <w:start w:val="1"/>
    </w:lvl>
  </w:abstractNum>
  <w:abstractNum w:abstractNumId="8">
    <w:nsid w:val="57D2F10E"/>
    <w:multiLevelType w:val="hybridMultilevel"/>
    <w:lvl w:ilvl="0">
      <w:lvlJc w:val="left"/>
      <w:lvlText w:val="A"/>
      <w:numFmt w:val="bullet"/>
      <w:start w:val="1"/>
    </w:lvl>
  </w:abstractNum>
  <w:abstractNum w:abstractNumId="9">
    <w:nsid w:val="BFFAE18"/>
    <w:multiLevelType w:val="hybridMultilevel"/>
    <w:lvl w:ilvl="0">
      <w:lvlJc w:val="left"/>
      <w:lvlText w:val="A"/>
      <w:numFmt w:val="bullet"/>
      <w:start w:val="1"/>
    </w:lvl>
  </w:abstractNum>
  <w:abstractNum w:abstractNumId="10">
    <w:nsid w:val="E3E47A8"/>
    <w:multiLevelType w:val="hybridMultilevel"/>
    <w:lvl w:ilvl="0">
      <w:lvlJc w:val="left"/>
      <w:lvlText w:val="A"/>
      <w:numFmt w:val="bullet"/>
      <w:start w:val="1"/>
    </w:lvl>
  </w:abstractNum>
  <w:abstractNum w:abstractNumId="11">
    <w:nsid w:val="2E48F044"/>
    <w:multiLevelType w:val="hybridMultilevel"/>
    <w:lvl w:ilvl="0">
      <w:lvlJc w:val="left"/>
      <w:lvlText w:val="A"/>
      <w:numFmt w:val="bullet"/>
      <w:start w:val="1"/>
    </w:lvl>
  </w:abstractNum>
  <w:abstractNum w:abstractNumId="12">
    <w:nsid w:val="49D0FEAC"/>
    <w:multiLevelType w:val="hybridMultilevel"/>
    <w:lvl w:ilvl="0">
      <w:lvlJc w:val="left"/>
      <w:lvlText w:val="%1."/>
      <w:numFmt w:val="lowerRoman"/>
      <w:start w:val="3"/>
    </w:lvl>
  </w:abstractNum>
  <w:abstractNum w:abstractNumId="13">
    <w:nsid w:val="4BEE5A5B"/>
    <w:multiLevelType w:val="hybridMultilevel"/>
    <w:lvl w:ilvl="0">
      <w:lvlJc w:val="left"/>
      <w:lvlText w:val="A"/>
      <w:numFmt w:val="bullet"/>
      <w:start w:val="1"/>
    </w:lvl>
  </w:abstractNum>
  <w:abstractNum w:abstractNumId="14">
    <w:nsid w:val="5551B9F3"/>
    <w:multiLevelType w:val="hybridMultilevel"/>
    <w:lvl w:ilvl="0">
      <w:lvlJc w:val="left"/>
      <w:lvlText w:val="A"/>
      <w:numFmt w:val="bullet"/>
      <w:start w:val="1"/>
    </w:lvl>
  </w:abstractNum>
  <w:abstractNum w:abstractNumId="15">
    <w:nsid w:val="24F6AB8E"/>
    <w:multiLevelType w:val="hybridMultilevel"/>
    <w:lvl w:ilvl="0">
      <w:lvlJc w:val="left"/>
      <w:lvlText w:val="A"/>
      <w:numFmt w:val="bullet"/>
      <w:start w:val="1"/>
    </w:lvl>
  </w:abstractNum>
  <w:abstractNum w:abstractNumId="16">
    <w:nsid w:val="634C574C"/>
    <w:multiLevelType w:val="hybridMultilevel"/>
    <w:lvl w:ilvl="0">
      <w:lvlJc w:val="left"/>
      <w:lvlText w:val="A"/>
      <w:numFmt w:val="bullet"/>
      <w:start w:val="1"/>
    </w:lvl>
  </w:abstractNum>
  <w:abstractNum w:abstractNumId="17">
    <w:nsid w:val="24E99DD7"/>
    <w:multiLevelType w:val="hybridMultilevel"/>
    <w:lvl w:ilvl="0">
      <w:lvlJc w:val="left"/>
      <w:lvlText w:val="A"/>
      <w:numFmt w:val="bullet"/>
      <w:start w:val="1"/>
    </w:lvl>
  </w:abstractNum>
  <w:abstractNum w:abstractNumId="18">
    <w:nsid w:val="2A31B62D"/>
    <w:multiLevelType w:val="hybridMultilevel"/>
    <w:lvl w:ilvl="0">
      <w:lvlJc w:val="left"/>
      <w:lvlText w:val="%1."/>
      <w:numFmt w:val="decimal"/>
    </w:lvl>
    <w:lvl w:ilvl="1">
      <w:lvlJc w:val="left"/>
      <w:lvlText w:val="A"/>
      <w:numFmt w:val="bullet"/>
      <w:start w:val="1"/>
    </w:lvl>
  </w:abstractNum>
  <w:abstractNum w:abstractNumId="19">
    <w:nsid w:val="1849C29B"/>
    <w:multiLevelType w:val="hybridMultilevel"/>
    <w:lvl w:ilvl="0">
      <w:lvlJc w:val="left"/>
      <w:lvlText w:val="•"/>
      <w:numFmt w:val="bullet"/>
      <w:start w:val="1"/>
    </w:lvl>
  </w:abstractNum>
  <w:abstractNum w:abstractNumId="20">
    <w:nsid w:val="7DFF9D09"/>
    <w:multiLevelType w:val="hybridMultilevel"/>
    <w:lvl w:ilvl="0">
      <w:lvlJc w:val="left"/>
      <w:lvlText w:val="%1."/>
      <w:numFmt w:val="decimal"/>
      <w:start w:val="2"/>
    </w:lvl>
  </w:abstractNum>
  <w:abstractNum w:abstractNumId="21">
    <w:nsid w:val="754342"/>
    <w:multiLevelType w:val="hybridMultilevel"/>
    <w:lvl w:ilvl="0">
      <w:lvlJc w:val="left"/>
      <w:lvlText w:val="(%1)"/>
      <w:numFmt w:val="decimal"/>
      <w:start w:val="1"/>
    </w:lvl>
  </w:abstractNum>
  <w:abstractNum w:abstractNumId="22">
    <w:nsid w:val="69E7F3E5"/>
    <w:multiLevelType w:val="hybridMultilevel"/>
    <w:lvl w:ilvl="0">
      <w:lvlJc w:val="left"/>
      <w:lvlText w:val="(%1)"/>
      <w:numFmt w:val="decimal"/>
      <w:start w:val="1"/>
    </w:lvl>
  </w:abstractNum>
  <w:abstractNum w:abstractNumId="23">
    <w:nsid w:val="2A6DE806"/>
    <w:multiLevelType w:val="hybridMultilevel"/>
    <w:lvl w:ilvl="0">
      <w:lvlJc w:val="left"/>
      <w:lvlText w:val="(%1)"/>
      <w:numFmt w:val="decimal"/>
      <w:start w:val="1"/>
    </w:lvl>
  </w:abstractNum>
  <w:abstractNum w:abstractNumId="24">
    <w:nsid w:val="1816F8C4"/>
    <w:multiLevelType w:val="hybridMultilevel"/>
    <w:lvl w:ilvl="0">
      <w:lvlJc w:val="left"/>
      <w:lvlText w:val="(%1)"/>
      <w:numFmt w:val="decimal"/>
      <w:start w:val="1"/>
    </w:lvl>
  </w:abstractNum>
  <w:abstractNum w:abstractNumId="25">
    <w:nsid w:val="37DF2233"/>
    <w:multiLevelType w:val="hybridMultilevel"/>
    <w:lvl w:ilvl="0">
      <w:lvlJc w:val="left"/>
      <w:lvlText w:val="(%1)"/>
      <w:numFmt w:val="decimal"/>
      <w:start w:val="1"/>
    </w:lvl>
  </w:abstractNum>
  <w:abstractNum w:abstractNumId="26">
    <w:nsid w:val="7AB49DAF"/>
    <w:multiLevelType w:val="hybridMultilevel"/>
    <w:lvl w:ilvl="0">
      <w:lvlJc w:val="left"/>
      <w:lvlText w:val="(%1)"/>
      <w:numFmt w:val="decimal"/>
      <w:start w:val="1"/>
    </w:lvl>
  </w:abstractNum>
  <w:abstractNum w:abstractNumId="27">
    <w:nsid w:val="759F82CD"/>
    <w:multiLevelType w:val="hybridMultilevel"/>
    <w:lvl w:ilvl="0">
      <w:lvlJc w:val="left"/>
      <w:lvlText w:val="(%1)"/>
      <w:numFmt w:val="decimal"/>
      <w:start w:val="5"/>
    </w:lvl>
  </w:abstractNum>
  <w:abstractNum w:abstractNumId="28">
    <w:nsid w:val="61E74EA3"/>
    <w:multiLevelType w:val="hybridMultilevel"/>
    <w:lvl w:ilvl="0">
      <w:lvlJc w:val="left"/>
      <w:lvlText w:val="(%1)"/>
      <w:numFmt w:val="decimal"/>
      <w:start w:val="9"/>
    </w:lvl>
  </w:abstractNum>
  <w:abstractNum w:abstractNumId="29">
    <w:nsid w:val="597B4D84"/>
    <w:multiLevelType w:val="hybridMultilevel"/>
    <w:lvl w:ilvl="0">
      <w:lvlJc w:val="left"/>
      <w:lvlText w:val="(%1)"/>
      <w:numFmt w:val="decimal"/>
      <w:start w:val="1"/>
    </w:lvl>
  </w:abstractNum>
  <w:abstractNum w:abstractNumId="30">
    <w:nsid w:val="F819E7F"/>
    <w:multiLevelType w:val="hybridMultilevel"/>
    <w:lvl w:ilvl="0">
      <w:lvlJc w:val="left"/>
      <w:lvlText w:val="(%1)"/>
      <w:numFmt w:val="decimal"/>
      <w:start w:val="3"/>
    </w:lvl>
  </w:abstractNum>
  <w:abstractNum w:abstractNumId="31">
    <w:nsid w:val="57C7D42D"/>
    <w:multiLevelType w:val="hybridMultilevel"/>
    <w:lvl w:ilvl="0">
      <w:lvlJc w:val="left"/>
      <w:lvlText w:val="(%1)"/>
      <w:numFmt w:val="decimal"/>
      <w:start w:val="8"/>
    </w:lvl>
  </w:abstractNum>
  <w:abstractNum w:abstractNumId="32">
    <w:nsid w:val="312167AD"/>
    <w:multiLevelType w:val="hybridMultilevel"/>
    <w:lvl w:ilvl="0">
      <w:lvlJc w:val="left"/>
      <w:lvlText w:val="(%1)"/>
      <w:numFmt w:val="decimal"/>
      <w:start w:val="1"/>
    </w:lvl>
  </w:abstractNum>
  <w:abstractNum w:abstractNumId="33">
    <w:nsid w:val="631B64D4"/>
    <w:multiLevelType w:val="hybridMultilevel"/>
    <w:lvl w:ilvl="0">
      <w:lvlJc w:val="left"/>
      <w:lvlText w:val="(%1)"/>
      <w:numFmt w:val="decimal"/>
      <w:start w:val="3"/>
    </w:lvl>
  </w:abstractNum>
  <w:abstractNum w:abstractNumId="34">
    <w:nsid w:val="78B5E776"/>
    <w:multiLevelType w:val="hybridMultilevel"/>
    <w:lvl w:ilvl="0">
      <w:lvlJc w:val="left"/>
      <w:lvlText w:val="%1."/>
      <w:numFmt w:val="upperLetter"/>
      <w:start w:val="5"/>
    </w:lvl>
  </w:abstractNum>
  <w:abstractNum w:abstractNumId="35">
    <w:nsid w:val="75486E47"/>
    <w:multiLevelType w:val="hybridMultilevel"/>
    <w:lvl w:ilvl="0">
      <w:lvlJc w:val="left"/>
      <w:lvlText w:val="A"/>
      <w:numFmt w:val="bullet"/>
      <w:start w:val="1"/>
    </w:lvl>
  </w:abstractNum>
  <w:abstractNum w:abstractNumId="36">
    <w:nsid w:val="6E534CDE"/>
    <w:multiLevelType w:val="hybridMultilevel"/>
    <w:lvl w:ilvl="0">
      <w:lvlJc w:val="left"/>
      <w:lvlText w:val="%1."/>
      <w:numFmt w:val="upperLetter"/>
      <w:start w:val="5"/>
    </w:lvl>
  </w:abstractNum>
  <w:abstractNum w:abstractNumId="37">
    <w:nsid w:val="1A0DDE32"/>
    <w:multiLevelType w:val="hybridMultilevel"/>
    <w:lvl w:ilvl="0">
      <w:lvlJc w:val="left"/>
      <w:lvlText w:val="%1."/>
      <w:numFmt w:val="decimal"/>
      <w:start w:val="4"/>
    </w:lvl>
  </w:abstractNum>
  <w:abstractNum w:abstractNumId="38">
    <w:nsid w:val="65968C1C"/>
    <w:multiLevelType w:val="hybridMultilevel"/>
    <w:lvl w:ilvl="0">
      <w:lvlJc w:val="left"/>
      <w:lvlText w:val="(%1)"/>
      <w:numFmt w:val="lowerRoman"/>
      <w:start w:val="1"/>
    </w:lvl>
  </w:abstractNum>
  <w:abstractNum w:abstractNumId="39">
    <w:nsid w:val="46263DEC"/>
    <w:multiLevelType w:val="hybridMultilevel"/>
    <w:lvl w:ilvl="0">
      <w:lvlJc w:val="left"/>
      <w:lvlText w:val="•"/>
      <w:numFmt w:val="bullet"/>
      <w:start w:val="1"/>
    </w:lvl>
  </w:abstractNum>
  <w:abstractNum w:abstractNumId="40">
    <w:nsid w:val="260D8C4A"/>
    <w:multiLevelType w:val="hybridMultilevel"/>
    <w:lvl w:ilvl="0">
      <w:lvlJc w:val="left"/>
      <w:lvlText w:val="•"/>
      <w:numFmt w:val="bullet"/>
      <w:start w:val="1"/>
    </w:lvl>
  </w:abstractNum>
  <w:abstractNum w:abstractNumId="41">
    <w:nsid w:val="73D4D3C4"/>
    <w:multiLevelType w:val="hybridMultilevel"/>
    <w:lvl w:ilvl="0">
      <w:lvlJc w:val="left"/>
      <w:lvlText w:val="•"/>
      <w:numFmt w:val="bullet"/>
      <w:start w:val="1"/>
    </w:lvl>
  </w:abstractNum>
  <w:abstractNum w:abstractNumId="42">
    <w:nsid w:val="746F2E30"/>
    <w:multiLevelType w:val="hybridMultilevel"/>
    <w:lvl w:ilvl="0">
      <w:lvlJc w:val="left"/>
      <w:lvlText w:val="%1"/>
      <w:numFmt w:val="decimal"/>
      <w:start w:val="97"/>
    </w:lvl>
  </w:abstractNum>
  <w:abstractNum w:abstractNumId="43">
    <w:nsid w:val="6FDE8AF6"/>
    <w:multiLevelType w:val="hybridMultilevel"/>
    <w:lvl w:ilvl="0">
      <w:lvlJc w:val="left"/>
      <w:lvlText w:val="*"/>
      <w:numFmt w:val="bullet"/>
      <w:start w:val="1"/>
    </w:lvl>
  </w:abstractNum>
  <w:abstractNum w:abstractNumId="44">
    <w:nsid w:val="3FC32E20"/>
    <w:multiLevelType w:val="hybridMultilevel"/>
    <w:lvl w:ilvl="0">
      <w:lvlJc w:val="left"/>
      <w:lvlText w:val="†"/>
      <w:numFmt w:val="bullet"/>
      <w:start w:val="1"/>
    </w:lvl>
  </w:abstractNum>
  <w:abstractNum w:abstractNumId="45">
    <w:nsid w:val="49C0E823"/>
    <w:multiLevelType w:val="hybridMultilevel"/>
    <w:lvl w:ilvl="0">
      <w:lvlJc w:val="left"/>
      <w:lvlText w:val="(%1)"/>
      <w:numFmt w:val="decimal"/>
      <w:start w:val="1"/>
    </w:lvl>
  </w:abstractNum>
  <w:abstractNum w:abstractNumId="46">
    <w:nsid w:val="14D53685"/>
    <w:multiLevelType w:val="hybridMultilevel"/>
    <w:lvl w:ilvl="0">
      <w:lvlJc w:val="left"/>
      <w:lvlText w:val="(%1)"/>
      <w:numFmt w:val="lowerRoman"/>
      <w:start w:val="2"/>
    </w:lvl>
  </w:abstractNum>
  <w:abstractNum w:abstractNumId="47">
    <w:nsid w:val="230F856C"/>
    <w:multiLevelType w:val="hybridMultilevel"/>
    <w:lvl w:ilvl="0">
      <w:lvlJc w:val="left"/>
      <w:lvlText w:val="(%1)"/>
      <w:numFmt w:val="lowerRoman"/>
      <w:start w:val="2"/>
    </w:lvl>
  </w:abstractNum>
  <w:abstractNum w:abstractNumId="48">
    <w:nsid w:val="6EAA85FB"/>
    <w:multiLevelType w:val="hybridMultilevel"/>
    <w:lvl w:ilvl="0">
      <w:lvlJc w:val="left"/>
      <w:lvlText w:val="(%1)"/>
      <w:numFmt w:val="decimal"/>
      <w:start w:val="1"/>
    </w:lvl>
  </w:abstractNum>
  <w:abstractNum w:abstractNumId="49">
    <w:nsid w:val="3F06ECB2"/>
    <w:multiLevelType w:val="hybridMultilevel"/>
    <w:lvl w:ilvl="0">
      <w:lvlJc w:val="left"/>
      <w:lvlText w:val="(%1)"/>
      <w:numFmt w:val="decimal"/>
      <w:start w:val="1"/>
    </w:lvl>
  </w:abstractNum>
  <w:abstractNum w:abstractNumId="50">
    <w:nsid w:val="3B594807"/>
    <w:multiLevelType w:val="hybridMultilevel"/>
    <w:lvl w:ilvl="0">
      <w:lvlJc w:val="left"/>
      <w:lvlText w:val="(%1)"/>
      <w:numFmt w:val="decimal"/>
      <w:start w:val="1"/>
    </w:lvl>
  </w:abstractNum>
  <w:abstractNum w:abstractNumId="51">
    <w:nsid w:val="6CAA2304"/>
    <w:multiLevelType w:val="hybridMultilevel"/>
    <w:lvl w:ilvl="0">
      <w:lvlJc w:val="left"/>
      <w:lvlText w:val="(%1)"/>
      <w:numFmt w:val="decimal"/>
      <w:start w:val="1"/>
    </w:lvl>
  </w:abstractNum>
  <w:abstractNum w:abstractNumId="52">
    <w:nsid w:val="3F7C2FF4"/>
    <w:multiLevelType w:val="hybridMultilevel"/>
    <w:lvl w:ilvl="0">
      <w:lvlJc w:val="left"/>
      <w:lvlText w:val="(%1)"/>
      <w:numFmt w:val="decimal"/>
      <w:start w:val="1"/>
    </w:lvl>
  </w:abstractNum>
  <w:abstractNum w:abstractNumId="53">
    <w:nsid w:val="25413BEC"/>
    <w:multiLevelType w:val="hybridMultilevel"/>
    <w:lvl w:ilvl="0">
      <w:lvlJc w:val="left"/>
      <w:lvlText w:val="(%1)"/>
      <w:numFmt w:val="decimal"/>
      <w:start w:val="1"/>
    </w:lvl>
  </w:abstractNum>
  <w:abstractNum w:abstractNumId="54">
    <w:nsid w:val="17180B0B"/>
    <w:multiLevelType w:val="hybridMultilevel"/>
    <w:lvl w:ilvl="0">
      <w:lvlJc w:val="left"/>
      <w:lvlText w:val="(%1)"/>
      <w:numFmt w:val="decimal"/>
      <w:start w:val="1"/>
    </w:lvl>
  </w:abstractNum>
  <w:abstractNum w:abstractNumId="55">
    <w:nsid w:val="579328B9"/>
    <w:multiLevelType w:val="hybridMultilevel"/>
    <w:lvl w:ilvl="0">
      <w:lvlJc w:val="left"/>
      <w:lvlText w:val="(%1)"/>
      <w:numFmt w:val="decimal"/>
      <w:start w:val="1"/>
    </w:lvl>
  </w:abstractNum>
  <w:abstractNum w:abstractNumId="56">
    <w:nsid w:val="5D205E20"/>
    <w:multiLevelType w:val="hybridMultilevel"/>
    <w:lvl w:ilvl="0">
      <w:lvlJc w:val="left"/>
      <w:lvlText w:val="(%1)"/>
      <w:numFmt w:val="decimal"/>
      <w:start w:val="1"/>
    </w:lvl>
  </w:abstractNum>
  <w:abstractNum w:abstractNumId="57">
    <w:nsid w:val="11CCA8BA"/>
    <w:multiLevelType w:val="hybridMultilevel"/>
    <w:lvl w:ilvl="0">
      <w:lvlJc w:val="left"/>
      <w:lvlText w:val="(%1)"/>
      <w:numFmt w:val="decimal"/>
      <w:start w:val="1"/>
    </w:lvl>
  </w:abstractNum>
  <w:abstractNum w:abstractNumId="58">
    <w:nsid w:val="4D32AB86"/>
    <w:multiLevelType w:val="hybridMultilevel"/>
    <w:lvl w:ilvl="0">
      <w:lvlJc w:val="left"/>
      <w:lvlText w:val="(%1)"/>
      <w:numFmt w:val="decimal"/>
      <w:start w:val="1"/>
    </w:lvl>
  </w:abstractNum>
  <w:abstractNum w:abstractNumId="59">
    <w:nsid w:val="3F07ACC3"/>
    <w:multiLevelType w:val="hybridMultilevel"/>
    <w:lvl w:ilvl="0">
      <w:lvlJc w:val="left"/>
      <w:lvlText w:val="(%1)"/>
      <w:numFmt w:val="lowerRoman"/>
      <w:start w:val="2"/>
    </w:lvl>
  </w:abstractNum>
  <w:abstractNum w:abstractNumId="60">
    <w:nsid w:val="6B47F63E"/>
    <w:multiLevelType w:val="hybridMultilevel"/>
    <w:lvl w:ilvl="0">
      <w:lvlJc w:val="left"/>
      <w:lvlText w:val="(%1)"/>
      <w:numFmt w:val="decimal"/>
      <w:start w:val="1"/>
    </w:lvl>
  </w:abstractNum>
  <w:abstractNum w:abstractNumId="61">
    <w:nsid w:val="5CB44A05"/>
    <w:multiLevelType w:val="hybridMultilevel"/>
    <w:lvl w:ilvl="0">
      <w:lvlJc w:val="left"/>
      <w:lvlText w:val="(%1)"/>
      <w:numFmt w:val="decimal"/>
      <w:start w:val="1"/>
    </w:lvl>
  </w:abstractNum>
  <w:abstractNum w:abstractNumId="62">
    <w:nsid w:val="16CF80F1"/>
    <w:multiLevelType w:val="hybridMultilevel"/>
    <w:lvl w:ilvl="0">
      <w:lvlJc w:val="left"/>
      <w:lvlText w:val="(%1)"/>
      <w:numFmt w:val="decimal"/>
      <w:start w:val="1"/>
    </w:lvl>
  </w:abstractNum>
  <w:abstractNum w:abstractNumId="63">
    <w:nsid w:val="1C695DEC"/>
    <w:multiLevelType w:val="hybridMultilevel"/>
    <w:lvl w:ilvl="0">
      <w:lvlJc w:val="left"/>
      <w:lvlText w:val="•"/>
      <w:numFmt w:val="bullet"/>
      <w:start w:val="1"/>
    </w:lvl>
  </w:abstractNum>
  <w:abstractNum w:abstractNumId="64">
    <w:nsid w:val="3FCFAED9"/>
    <w:multiLevelType w:val="hybridMultilevel"/>
    <w:lvl w:ilvl="0">
      <w:lvlJc w:val="left"/>
      <w:lvlText w:val="•"/>
      <w:numFmt w:val="bullet"/>
      <w:start w:val="1"/>
    </w:lvl>
  </w:abstractNum>
  <w:abstractNum w:abstractNumId="65">
    <w:nsid w:val="F856867"/>
    <w:multiLevelType w:val="hybridMultilevel"/>
    <w:lvl w:ilvl="0">
      <w:lvlJc w:val="left"/>
      <w:lvlText w:val="(%1)"/>
      <w:numFmt w:val="lowerRoman"/>
      <w:start w:val="2"/>
    </w:lvl>
  </w:abstractNum>
  <w:abstractNum w:abstractNumId="66">
    <w:nsid w:val="11B1CC33"/>
    <w:multiLevelType w:val="hybridMultilevel"/>
    <w:lvl w:ilvl="0">
      <w:lvlJc w:val="left"/>
      <w:lvlText w:val="•"/>
      <w:numFmt w:val="bullet"/>
      <w:start w:val="1"/>
    </w:lvl>
  </w:abstractNum>
  <w:abstractNum w:abstractNumId="67">
    <w:nsid w:val="2E22FBB7"/>
    <w:multiLevelType w:val="hybridMultilevel"/>
    <w:lvl w:ilvl="0">
      <w:lvlJc w:val="left"/>
      <w:lvlText w:val="•"/>
      <w:numFmt w:val="bullet"/>
      <w:start w:val="1"/>
    </w:lvl>
  </w:abstractNum>
  <w:abstractNum w:abstractNumId="68">
    <w:nsid w:val="29934699"/>
    <w:multiLevelType w:val="hybridMultilevel"/>
    <w:lvl w:ilvl="0">
      <w:lvlJc w:val="left"/>
      <w:lvlText w:val="•"/>
      <w:numFmt w:val="bullet"/>
      <w:start w:val="1"/>
    </w:lvl>
  </w:abstractNum>
  <w:abstractNum w:abstractNumId="69">
    <w:nsid w:val="77485850"/>
    <w:multiLevelType w:val="hybridMultilevel"/>
    <w:lvl w:ilvl="0">
      <w:lvlJc w:val="left"/>
      <w:lvlText w:val="•"/>
      <w:numFmt w:val="bullet"/>
      <w:start w:val="1"/>
    </w:lvl>
  </w:abstractNum>
  <w:abstractNum w:abstractNumId="70">
    <w:nsid w:val="744939A3"/>
    <w:multiLevelType w:val="hybridMultilevel"/>
    <w:lvl w:ilvl="0">
      <w:lvlJc w:val="left"/>
      <w:lvlText w:val="•"/>
      <w:numFmt w:val="bullet"/>
      <w:start w:val="1"/>
    </w:lvl>
  </w:abstractNum>
  <w:abstractNum w:abstractNumId="71">
    <w:nsid w:val="4FA0D2E3"/>
    <w:multiLevelType w:val="hybridMultilevel"/>
    <w:lvl w:ilvl="0">
      <w:lvlJc w:val="left"/>
      <w:lvlText w:val="•"/>
      <w:numFmt w:val="bullet"/>
      <w:start w:val="1"/>
    </w:lvl>
  </w:abstractNum>
  <w:abstractNum w:abstractNumId="72">
    <w:nsid w:val="6B1D2C14"/>
    <w:multiLevelType w:val="hybridMultilevel"/>
    <w:lvl w:ilvl="0">
      <w:lvlJc w:val="left"/>
      <w:lvlText w:val="•"/>
      <w:numFmt w:val="bullet"/>
      <w:start w:val="1"/>
    </w:lvl>
  </w:abstractNum>
  <w:abstractNum w:abstractNumId="73">
    <w:nsid w:val="68B867D3"/>
    <w:multiLevelType w:val="hybridMultilevel"/>
    <w:lvl w:ilvl="0">
      <w:lvlJc w:val="left"/>
      <w:lvlText w:val="•"/>
      <w:numFmt w:val="bullet"/>
      <w:start w:val="1"/>
    </w:lvl>
  </w:abstractNum>
  <w:abstractNum w:abstractNumId="74">
    <w:nsid w:val="3F7F5DD9"/>
    <w:multiLevelType w:val="hybridMultilevel"/>
    <w:lvl w:ilvl="0">
      <w:lvlJc w:val="left"/>
      <w:lvlText w:val="[***]"/>
      <w:numFmt w:val="bullet"/>
      <w:start w:val="1"/>
    </w:lvl>
  </w:abstractNum>
  <w:abstractNum w:abstractNumId="75">
    <w:nsid w:val="2AE05A34"/>
    <w:multiLevelType w:val="hybridMultilevel"/>
    <w:lvl w:ilvl="0">
      <w:lvlJc w:val="left"/>
      <w:lvlText w:val="%1."/>
      <w:numFmt w:val="decimal"/>
      <w:start w:val="1"/>
    </w:lvl>
  </w:abstractNum>
  <w:abstractNum w:abstractNumId="76">
    <w:nsid w:val="32794FF7"/>
    <w:multiLevelType w:val="hybridMultilevel"/>
    <w:lvl w:ilvl="0">
      <w:lvlJc w:val="left"/>
      <w:lvlText w:val="%1."/>
      <w:numFmt w:val="decimal"/>
      <w:start w:val="3"/>
    </w:lvl>
  </w:abstractNum>
  <w:abstractNum w:abstractNumId="77">
    <w:nsid w:val="5454945E"/>
    <w:multiLevelType w:val="hybridMultilevel"/>
    <w:lvl w:ilvl="0">
      <w:lvlJc w:val="left"/>
      <w:lvlText w:val="%1."/>
      <w:numFmt w:val="decimal"/>
      <w:start w:val="6"/>
    </w:lvl>
  </w:abstractNum>
  <w:abstractNum w:abstractNumId="78">
    <w:nsid w:val="4DEFDFA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9">
    <w:nsid w:val="2123D5F2"/>
    <w:multiLevelType w:val="hybridMultilevel"/>
    <w:lvl w:ilvl="0">
      <w:lvlJc w:val="left"/>
      <w:lvlText w:val="%1."/>
      <w:numFmt w:val="lowerLetter"/>
      <w:start w:val="2"/>
    </w:lvl>
  </w:abstractNum>
  <w:abstractNum w:abstractNumId="80">
    <w:nsid w:val="135B8110"/>
    <w:multiLevelType w:val="hybridMultilevel"/>
    <w:lvl w:ilvl="0">
      <w:lvlJc w:val="left"/>
      <w:lvlText w:val="%1."/>
      <w:numFmt w:val="decimal"/>
      <w:start w:val="9"/>
    </w:lvl>
    <w:lvl w:ilvl="1">
      <w:lvlJc w:val="left"/>
      <w:lvlText w:val="%2."/>
      <w:numFmt w:val="lowerLetter"/>
      <w:start w:val="1"/>
    </w:lvl>
  </w:abstractNum>
  <w:abstractNum w:abstractNumId="81">
    <w:nsid w:val="94927A8"/>
    <w:multiLevelType w:val="hybridMultilevel"/>
    <w:lvl w:ilvl="0">
      <w:lvlJc w:val="left"/>
      <w:lvlText w:val="%1"/>
      <w:numFmt w:val="decimal"/>
      <w:start w:val="1"/>
    </w:lvl>
    <w:lvl w:ilvl="1">
      <w:lvlJc w:val="left"/>
      <w:lvlText w:val="%2."/>
      <w:numFmt w:val="lowerLetter"/>
      <w:start w:val="2"/>
    </w:lvl>
  </w:abstractNum>
  <w:abstractNum w:abstractNumId="82">
    <w:nsid w:val="DCDF8F6"/>
    <w:multiLevelType w:val="hybridMultilevel"/>
    <w:lvl w:ilvl="0">
      <w:lvlJc w:val="left"/>
      <w:lvlText w:val="%1."/>
      <w:numFmt w:val="decimal"/>
      <w:start w:val="11"/>
    </w:lvl>
    <w:lvl w:ilvl="1">
      <w:lvlJc w:val="left"/>
      <w:lvlText w:val="%2"/>
      <w:numFmt w:val="lowerLetter"/>
      <w:start w:val="1"/>
    </w:lvl>
  </w:abstractNum>
  <w:abstractNum w:abstractNumId="83">
    <w:nsid w:val="52D7B105"/>
    <w:multiLevelType w:val="hybridMultilevel"/>
    <w:lvl w:ilvl="0">
      <w:lvlJc w:val="left"/>
      <w:lvlText w:val="%1."/>
      <w:numFmt w:val="decimal"/>
      <w:start w:val="15"/>
    </w:lvl>
  </w:abstractNum>
  <w:abstractNum w:abstractNumId="84">
    <w:nsid w:val="2E8A6394"/>
    <w:multiLevelType w:val="hybridMultilevel"/>
    <w:lvl w:ilvl="0">
      <w:lvlJc w:val="left"/>
      <w:lvlText w:val="%1."/>
      <w:numFmt w:val="decimal"/>
      <w:start w:val="17"/>
    </w:lvl>
  </w:abstractNum>
  <w:abstractNum w:abstractNumId="85">
    <w:nsid w:val="24E60401"/>
    <w:multiLevelType w:val="hybridMultilevel"/>
    <w:lvl w:ilvl="0">
      <w:lvlJc w:val="left"/>
      <w:lvlText w:val="%1."/>
      <w:numFmt w:val="decimal"/>
      <w:start w:val="21"/>
    </w:lvl>
    <w:lvl w:ilvl="1">
      <w:lvlJc w:val="left"/>
      <w:lvlText w:val="%2."/>
      <w:numFmt w:val="lowerLetter"/>
      <w:start w:val="1"/>
    </w:lvl>
  </w:abstractNum>
  <w:abstractNum w:abstractNumId="86">
    <w:nsid w:val="2A6AD9BE"/>
    <w:multiLevelType w:val="hybridMultilevel"/>
    <w:lvl w:ilvl="0">
      <w:lvlJc w:val="left"/>
      <w:lvlText w:val="%1."/>
      <w:numFmt w:val="decimal"/>
      <w:start w:val="23"/>
    </w:lvl>
    <w:lvl w:ilvl="1">
      <w:lvlJc w:val="left"/>
      <w:lvlText w:val="%2."/>
      <w:numFmt w:val="lowerLetter"/>
      <w:start w:val="1"/>
    </w:lvl>
  </w:abstractNum>
  <w:abstractNum w:abstractNumId="87">
    <w:nsid w:val="BAAC1B4"/>
    <w:multiLevelType w:val="hybridMultilevel"/>
    <w:lvl w:ilvl="0">
      <w:lvlJc w:val="left"/>
      <w:lvlText w:val="%1."/>
      <w:numFmt w:val="decimal"/>
      <w:start w:val="29"/>
    </w:lvl>
    <w:lvl w:ilvl="1">
      <w:lvlJc w:val="left"/>
      <w:lvlText w:val="%2."/>
      <w:numFmt w:val="lowerLetter"/>
      <w:start w:val="1"/>
    </w:lvl>
  </w:abstractNum>
  <w:abstractNum w:abstractNumId="88">
    <w:nsid w:val="36B2ACBC"/>
    <w:multiLevelType w:val="hybridMultilevel"/>
    <w:lvl w:ilvl="0">
      <w:lvlJc w:val="left"/>
      <w:lvlText w:val="%1"/>
      <w:numFmt w:val="decimal"/>
      <w:start w:val="1"/>
    </w:lvl>
    <w:lvl w:ilvl="1">
      <w:lvlJc w:val="left"/>
      <w:lvlText w:val="%2."/>
      <w:numFmt w:val="lowerLetter"/>
      <w:start w:val="1"/>
    </w:lvl>
  </w:abstractNum>
  <w:abstractNum w:abstractNumId="89">
    <w:nsid w:val="779D8544"/>
    <w:multiLevelType w:val="hybridMultilevel"/>
    <w:lvl w:ilvl="0">
      <w:lvlJc w:val="left"/>
      <w:lvlText w:val="%1."/>
      <w:numFmt w:val="decimal"/>
      <w:start w:val="33"/>
    </w:lvl>
    <w:lvl w:ilvl="1">
      <w:lvlJc w:val="left"/>
      <w:lvlText w:val="%2"/>
      <w:numFmt w:val="lowerLetter"/>
      <w:start w:val="1"/>
    </w:lvl>
  </w:abstractNum>
  <w:abstractNum w:abstractNumId="90">
    <w:nsid w:val="4AB26E78"/>
    <w:multiLevelType w:val="hybridMultilevel"/>
    <w:lvl w:ilvl="0">
      <w:lvlJc w:val="left"/>
      <w:lvlText w:val="%1."/>
      <w:numFmt w:val="decimal"/>
      <w:start w:val="37"/>
    </w:lvl>
    <w:lvl w:ilvl="1">
      <w:lvlJc w:val="left"/>
      <w:lvlText w:val="%2."/>
      <w:numFmt w:val="lowerLetter"/>
      <w:start w:val="1"/>
    </w:lvl>
  </w:abstractNum>
  <w:abstractNum w:abstractNumId="91">
    <w:nsid w:val="21FAA2FA"/>
    <w:multiLevelType w:val="hybridMultilevel"/>
    <w:lvl w:ilvl="0">
      <w:lvlJc w:val="left"/>
      <w:lvlText w:val="%1."/>
      <w:numFmt w:val="decimal"/>
      <w:start w:val="41"/>
    </w:lvl>
  </w:abstractNum>
  <w:abstractNum w:abstractNumId="92">
    <w:nsid w:val="5451CF49"/>
    <w:multiLevelType w:val="hybridMultilevel"/>
    <w:lvl w:ilvl="0">
      <w:lvlJc w:val="left"/>
      <w:lvlText w:val="%1."/>
      <w:numFmt w:val="decimal"/>
      <w:start w:val="43"/>
    </w:lvl>
  </w:abstractNum>
  <w:abstractNum w:abstractNumId="93">
    <w:nsid w:val="6181EF69"/>
    <w:multiLevelType w:val="hybridMultilevel"/>
    <w:lvl w:ilvl="0">
      <w:lvlJc w:val="left"/>
      <w:lvlText w:val="%1."/>
      <w:numFmt w:val="decimal"/>
      <w:start w:val="48"/>
    </w:lvl>
    <w:lvl w:ilvl="1">
      <w:lvlJc w:val="left"/>
      <w:lvlText w:val="%2."/>
      <w:numFmt w:val="lowerLetter"/>
      <w:start w:val="1"/>
    </w:lvl>
  </w:abstractNum>
  <w:abstractNum w:abstractNumId="94">
    <w:nsid w:val="3E6400E6"/>
    <w:multiLevelType w:val="hybridMultilevel"/>
    <w:lvl w:ilvl="0">
      <w:lvlJc w:val="left"/>
      <w:lvlText w:val="%1."/>
      <w:numFmt w:val="decimal"/>
      <w:start w:val="57"/>
    </w:lvl>
  </w:abstractNum>
  <w:abstractNum w:abstractNumId="95">
    <w:nsid w:val="14217E23"/>
    <w:multiLevelType w:val="hybridMultilevel"/>
    <w:lvl w:ilvl="0">
      <w:lvlJc w:val="left"/>
      <w:lvlText w:val="%1."/>
      <w:numFmt w:val="decimal"/>
      <w:start w:val="58"/>
    </w:lvl>
  </w:abstractNum>
  <w:abstractNum w:abstractNumId="96">
    <w:nsid w:val="710757D0"/>
    <w:multiLevelType w:val="hybridMultilevel"/>
    <w:lvl w:ilvl="0">
      <w:lvlJc w:val="left"/>
      <w:lvlText w:val="%1."/>
      <w:numFmt w:val="decimal"/>
      <w:start w:val="63"/>
    </w:lvl>
    <w:lvl w:ilvl="1">
      <w:lvlJc w:val="left"/>
      <w:lvlText w:val="%2."/>
      <w:numFmt w:val="lowerLetter"/>
      <w:start w:val="1"/>
    </w:lvl>
  </w:abstractNum>
  <w:abstractNum w:abstractNumId="97">
    <w:nsid w:val="5015CD1A"/>
    <w:multiLevelType w:val="hybridMultilevel"/>
    <w:lvl w:ilvl="0">
      <w:lvlJc w:val="left"/>
      <w:lvlText w:val="%1."/>
      <w:numFmt w:val="decimal"/>
      <w:start w:val="69"/>
    </w:lvl>
  </w:abstractNum>
  <w:abstractNum w:abstractNumId="98">
    <w:nsid w:val="424479DA"/>
    <w:multiLevelType w:val="hybridMultilevel"/>
    <w:lvl w:ilvl="0">
      <w:lvlJc w:val="left"/>
      <w:lvlText w:val="%1."/>
      <w:numFmt w:val="decimal"/>
      <w:start w:val="71"/>
    </w:lvl>
  </w:abstractNum>
  <w:abstractNum w:abstractNumId="99">
    <w:nsid w:val="1A9A9E69"/>
    <w:multiLevelType w:val="hybridMultilevel"/>
    <w:lvl w:ilvl="0">
      <w:lvlJc w:val="left"/>
      <w:lvlText w:val="%1."/>
      <w:numFmt w:val="decimal"/>
      <w:start w:val="76"/>
    </w:lvl>
  </w:abstractNum>
  <w:abstractNum w:abstractNumId="100">
    <w:nsid w:val="475E256A"/>
    <w:multiLevelType w:val="hybridMultilevel"/>
    <w:lvl w:ilvl="0">
      <w:lvlJc w:val="left"/>
      <w:lvlText w:val="%1."/>
      <w:numFmt w:val="decimal"/>
      <w:start w:val="77"/>
    </w:lvl>
  </w:abstractNum>
  <w:abstractNum w:abstractNumId="101">
    <w:nsid w:val="368DB37E"/>
    <w:multiLevelType w:val="hybridMultilevel"/>
    <w:lvl w:ilvl="0">
      <w:lvlJc w:val="left"/>
      <w:lvlText w:val="[***]"/>
      <w:numFmt w:val="bullet"/>
      <w:start w:val="1"/>
    </w:lvl>
  </w:abstractNum>
  <w:abstractNum w:abstractNumId="102">
    <w:nsid w:val="6A3B714C"/>
    <w:multiLevelType w:val="hybridMultilevel"/>
    <w:lvl w:ilvl="0">
      <w:lvlJc w:val="left"/>
      <w:lvlText w:val="%1."/>
      <w:numFmt w:val="upperLetter"/>
      <w:start w:val="1"/>
    </w:lvl>
  </w:abstractNum>
  <w:abstractNum w:abstractNumId="103">
    <w:nsid w:val="327B517E"/>
    <w:multiLevelType w:val="hybridMultilevel"/>
    <w:lvl w:ilvl="0">
      <w:lvlJc w:val="left"/>
      <w:lvlText w:val="%1."/>
      <w:numFmt w:val="upperLetter"/>
      <w:start w:val="5"/>
    </w:lvl>
  </w:abstractNum>
  <w:abstractNum w:abstractNumId="104">
    <w:nsid w:val="1F461B51"/>
    <w:multiLevelType w:val="hybridMultilevel"/>
    <w:lvl w:ilvl="0">
      <w:lvlJc w:val="left"/>
      <w:lvlText w:val="(%1)"/>
      <w:numFmt w:val="lowerLetter"/>
      <w:start w:val="3"/>
    </w:lvl>
  </w:abstractNum>
  <w:abstractNum w:abstractNumId="105">
    <w:nsid w:val="29BACF25"/>
    <w:multiLevelType w:val="hybridMultilevel"/>
    <w:lvl w:ilvl="0">
      <w:lvlJc w:val="left"/>
      <w:lvlText w:val="(%1)"/>
      <w:numFmt w:val="lowerLetter"/>
      <w:start w:val="4"/>
    </w:lvl>
  </w:abstractNum>
  <w:abstractNum w:abstractNumId="106">
    <w:nsid w:val="5D5BABB3"/>
    <w:multiLevelType w:val="hybridMultilevel"/>
    <w:lvl w:ilvl="0">
      <w:lvlJc w:val="left"/>
      <w:lvlText w:val="(%1)"/>
      <w:numFmt w:val="lowerLetter"/>
      <w:start w:val="7"/>
    </w:lvl>
  </w:abstractNum>
  <w:abstractNum w:abstractNumId="107">
    <w:nsid w:val="51BF6B48"/>
    <w:multiLevelType w:val="hybridMultilevel"/>
    <w:lvl w:ilvl="0">
      <w:lvlJc w:val="left"/>
      <w:lvlText w:val="(%1)"/>
      <w:numFmt w:val="lowerLetter"/>
      <w:start w:val="2"/>
    </w:lvl>
  </w:abstractNum>
  <w:abstractNum w:abstractNumId="108">
    <w:nsid w:val="7E0F6384"/>
    <w:multiLevelType w:val="hybridMultilevel"/>
    <w:lvl w:ilvl="0">
      <w:lvlJc w:val="left"/>
      <w:lvlText w:val="(%1)"/>
      <w:numFmt w:val="lowerLetter"/>
      <w:start w:val="1"/>
    </w:lvl>
  </w:abstractNum>
  <w:abstractNum w:abstractNumId="109">
    <w:nsid w:val="2B4B8B53"/>
    <w:multiLevelType w:val="hybridMultilevel"/>
    <w:lvl w:ilvl="0">
      <w:lvlJc w:val="left"/>
      <w:lvlText w:val="(%1)"/>
      <w:numFmt w:val="lowerLetter"/>
      <w:start w:val="1"/>
    </w:lvl>
  </w:abstractNum>
  <w:abstractNum w:abstractNumId="110">
    <w:nsid w:val="72E3413A"/>
    <w:multiLevelType w:val="hybridMultilevel"/>
    <w:lvl w:ilvl="0">
      <w:lvlJc w:val="left"/>
      <w:lvlText w:val="(%1)"/>
      <w:numFmt w:val="lowerLetter"/>
      <w:start w:val="2"/>
    </w:lvl>
  </w:abstractNum>
  <w:abstractNum w:abstractNumId="111">
    <w:nsid w:val="116AE494"/>
    <w:multiLevelType w:val="hybridMultilevel"/>
    <w:lvl w:ilvl="0">
      <w:lvlJc w:val="left"/>
      <w:lvlText w:val="(%1)"/>
      <w:numFmt w:val="lowerLetter"/>
      <w:start w:val="1"/>
    </w:lvl>
  </w:abstractNum>
  <w:abstractNum w:abstractNumId="112">
    <w:nsid w:val="3494B2FB"/>
    <w:multiLevelType w:val="hybridMultilevel"/>
    <w:lvl w:ilvl="0">
      <w:lvlJc w:val="left"/>
      <w:lvlText w:val="(%1)"/>
      <w:numFmt w:val="lowerRoman"/>
      <w:start w:val="1"/>
    </w:lvl>
  </w:abstractNum>
  <w:abstractNum w:abstractNumId="113">
    <w:nsid w:val="B13A31"/>
    <w:multiLevelType w:val="hybridMultilevel"/>
    <w:lvl w:ilvl="0">
      <w:lvlJc w:val="left"/>
      <w:lvlText w:val="(%1)"/>
      <w:numFmt w:val="lowerLetter"/>
      <w:start w:val="2"/>
    </w:lvl>
  </w:abstractNum>
  <w:abstractNum w:abstractNumId="114">
    <w:nsid w:val="64429599"/>
    <w:multiLevelType w:val="hybridMultilevel"/>
    <w:lvl w:ilvl="0">
      <w:lvlJc w:val="left"/>
      <w:lvlText w:val="(%1)"/>
      <w:numFmt w:val="lowerLetter"/>
      <w:start w:val="1"/>
    </w:lvl>
  </w:abstractNum>
  <w:abstractNum w:abstractNumId="115">
    <w:nsid w:val="631F1690"/>
    <w:multiLevelType w:val="hybridMultilevel"/>
    <w:lvl w:ilvl="0">
      <w:lvlJc w:val="left"/>
      <w:lvlText w:val="(%1)"/>
      <w:numFmt w:val="lowerLetter"/>
      <w:start w:val="2"/>
    </w:lvl>
  </w:abstractNum>
  <w:abstractNum w:abstractNumId="116">
    <w:nsid w:val="25973E32"/>
    <w:multiLevelType w:val="hybridMultilevel"/>
    <w:lvl w:ilvl="0">
      <w:lvlJc w:val="left"/>
      <w:lvlText w:val="(%1)"/>
      <w:numFmt w:val="lowerLetter"/>
      <w:start w:val="35"/>
    </w:lvl>
    <w:lvl w:ilvl="1">
      <w:lvlJc w:val="left"/>
      <w:lvlText w:val="(%2)"/>
      <w:numFmt w:val="lowerLetter"/>
      <w:start w:val="4"/>
    </w:lvl>
  </w:abstractNum>
  <w:abstractNum w:abstractNumId="117">
    <w:nsid w:val="EAD6F57"/>
    <w:multiLevelType w:val="hybridMultilevel"/>
    <w:lvl w:ilvl="0">
      <w:lvlJc w:val="left"/>
      <w:lvlText w:val="(%1)"/>
      <w:numFmt w:val="lowerLetter"/>
      <w:start w:val="7"/>
    </w:lvl>
  </w:abstractNum>
  <w:abstractNum w:abstractNumId="118">
    <w:nsid w:val="6EC9D844"/>
    <w:multiLevelType w:val="hybridMultilevel"/>
    <w:lvl w:ilvl="0">
      <w:lvlJc w:val="left"/>
      <w:lvlText w:val="(%1)"/>
      <w:numFmt w:val="lowerLetter"/>
      <w:start w:val="1"/>
    </w:lvl>
  </w:abstractNum>
  <w:abstractNum w:abstractNumId="119">
    <w:nsid w:val="5C49EAEE"/>
    <w:multiLevelType w:val="hybridMultilevel"/>
    <w:lvl w:ilvl="0">
      <w:lvlJc w:val="left"/>
      <w:lvlText w:val="(%1)"/>
      <w:numFmt w:val="lowerLetter"/>
      <w:start w:val="4"/>
    </w:lvl>
  </w:abstractNum>
  <w:abstractNum w:abstractNumId="120">
    <w:nsid w:val="64AF49B"/>
    <w:multiLevelType w:val="hybridMultilevel"/>
    <w:lvl w:ilvl="0">
      <w:lvlJc w:val="left"/>
      <w:lvlText w:val="[***]"/>
      <w:numFmt w:val="bullet"/>
      <w:start w:val="1"/>
    </w:lvl>
    <w:lvl w:ilvl="1">
      <w:lvlJc w:val="left"/>
      <w:lvlText w:val="(%2)"/>
      <w:numFmt w:val="lowerLetter"/>
      <w:start w:val="5"/>
    </w:lvl>
  </w:abstractNum>
  <w:abstractNum w:abstractNumId="121">
    <w:nsid w:val="397C46BC"/>
    <w:multiLevelType w:val="hybridMultilevel"/>
    <w:lvl w:ilvl="0">
      <w:lvlJc w:val="left"/>
      <w:lvlText w:val="(%1)"/>
      <w:numFmt w:val="lowerLetter"/>
      <w:start w:val="6"/>
    </w:lvl>
  </w:abstractNum>
  <w:abstractNum w:abstractNumId="122">
    <w:nsid w:val="7E448DE9"/>
    <w:multiLevelType w:val="hybridMultilevel"/>
    <w:lvl w:ilvl="0">
      <w:lvlJc w:val="left"/>
      <w:lvlText w:val="(%1)"/>
      <w:numFmt w:val="lowerLetter"/>
      <w:start w:val="7"/>
    </w:lvl>
  </w:abstractNum>
  <w:abstractNum w:abstractNumId="123">
    <w:nsid w:val="5A9CC3E5"/>
    <w:multiLevelType w:val="hybridMultilevel"/>
    <w:lvl w:ilvl="0">
      <w:lvlJc w:val="left"/>
      <w:lvlText w:val="(%1)"/>
      <w:numFmt w:val="lowerLetter"/>
      <w:start w:val="1"/>
    </w:lvl>
  </w:abstractNum>
  <w:abstractNum w:abstractNumId="124">
    <w:nsid w:val="1AFE3625"/>
    <w:multiLevelType w:val="hybridMultilevel"/>
    <w:lvl w:ilvl="0">
      <w:lvlJc w:val="left"/>
      <w:lvlText w:val="[***]"/>
      <w:numFmt w:val="bullet"/>
      <w:start w:val="1"/>
    </w:lvl>
    <w:lvl w:ilvl="1">
      <w:lvlJc w:val="left"/>
      <w:lvlText w:val="(%2)"/>
      <w:numFmt w:val="lowerLetter"/>
      <w:start w:val="1"/>
    </w:lvl>
  </w:abstractNum>
  <w:abstractNum w:abstractNumId="125">
    <w:nsid w:val="3CA88ECF"/>
    <w:multiLevelType w:val="hybridMultilevel"/>
    <w:lvl w:ilvl="0">
      <w:lvlJc w:val="left"/>
      <w:lvlText w:val="%1"/>
      <w:numFmt w:val="lowerLetter"/>
      <w:start w:val="1"/>
    </w:lvl>
    <w:lvl w:ilvl="1">
      <w:lvlJc w:val="left"/>
      <w:lvlText w:val="(%2)"/>
      <w:numFmt w:val="lowerLetter"/>
      <w:start w:val="1"/>
    </w:lvl>
  </w:abstractNum>
  <w:abstractNum w:abstractNumId="126">
    <w:nsid w:val="6EBE4208"/>
    <w:multiLevelType w:val="hybridMultilevel"/>
    <w:lvl w:ilvl="0">
      <w:lvlJc w:val="left"/>
      <w:lvlText w:val="(%1)"/>
      <w:numFmt w:val="lowerLetter"/>
      <w:start w:val="35"/>
    </w:lvl>
    <w:lvl w:ilvl="1">
      <w:lvlJc w:val="left"/>
      <w:lvlText w:val="%2"/>
      <w:numFmt w:val="lowerLetter"/>
      <w:start w:val="1"/>
    </w:lvl>
  </w:abstractNum>
  <w:abstractNum w:abstractNumId="127">
    <w:nsid w:val="C058DF5"/>
    <w:multiLevelType w:val="hybridMultilevel"/>
    <w:lvl w:ilvl="0">
      <w:lvlJc w:val="left"/>
      <w:lvlText w:val="(%1)"/>
      <w:numFmt w:val="lowerLetter"/>
      <w:start w:val="2"/>
    </w:lvl>
  </w:abstractNum>
  <w:abstractNum w:abstractNumId="128">
    <w:nsid w:val="CBE5BE9"/>
    <w:multiLevelType w:val="hybridMultilevel"/>
    <w:lvl w:ilvl="0">
      <w:lvlJc w:val="left"/>
      <w:lvlText w:val="[***]"/>
      <w:numFmt w:val="bullet"/>
      <w:start w:val="1"/>
    </w:lvl>
    <w:lvl w:ilvl="1">
      <w:lvlJc w:val="left"/>
      <w:lvlText w:val="(%2)"/>
      <w:numFmt w:val="lowerLetter"/>
      <w:start w:val="3"/>
    </w:lvl>
  </w:abstractNum>
  <w:abstractNum w:abstractNumId="129">
    <w:nsid w:val="3102BBE2"/>
    <w:multiLevelType w:val="hybridMultilevel"/>
    <w:lvl w:ilvl="0">
      <w:lvlJc w:val="left"/>
      <w:lvlText w:val="[***]"/>
      <w:numFmt w:val="bullet"/>
      <w:start w:val="1"/>
    </w:lvl>
    <w:lvl w:ilvl="1">
      <w:lvlJc w:val="left"/>
      <w:lvlText w:val="(%2)"/>
      <w:numFmt w:val="lowerLetter"/>
      <w:start w:val="4"/>
    </w:lvl>
  </w:abstractNum>
  <w:abstractNum w:abstractNumId="130">
    <w:nsid w:val="26A02C5E"/>
    <w:multiLevelType w:val="hybridMultilevel"/>
    <w:lvl w:ilvl="0">
      <w:lvlJc w:val="left"/>
      <w:lvlText w:val="(%1)"/>
      <w:numFmt w:val="lowerLetter"/>
      <w:start w:val="8"/>
    </w:lvl>
  </w:abstractNum>
  <w:abstractNum w:abstractNumId="131">
    <w:nsid w:val="541C8153"/>
    <w:multiLevelType w:val="hybridMultilevel"/>
    <w:lvl w:ilvl="0">
      <w:lvlJc w:val="left"/>
      <w:lvlText w:val="(%1)"/>
      <w:numFmt w:val="lowerLetter"/>
      <w:start w:val="1"/>
    </w:lvl>
  </w:abstractNum>
  <w:abstractNum w:abstractNumId="132">
    <w:nsid w:val="67906F60"/>
    <w:multiLevelType w:val="hybridMultilevel"/>
    <w:lvl w:ilvl="0">
      <w:lvlJc w:val="left"/>
      <w:lvlText w:val="(%1)"/>
      <w:numFmt w:val="lowerLetter"/>
      <w:start w:val="4"/>
    </w:lvl>
  </w:abstractNum>
  <w:abstractNum w:abstractNumId="133">
    <w:nsid w:val="10DB9DAA"/>
    <w:multiLevelType w:val="hybridMultilevel"/>
    <w:lvl w:ilvl="0">
      <w:lvlJc w:val="left"/>
      <w:lvlText w:val="(%1)"/>
      <w:numFmt w:val="lowerLetter"/>
      <w:start w:val="1"/>
    </w:lvl>
  </w:abstractNum>
  <w:abstractNum w:abstractNumId="134">
    <w:nsid w:val="697D2D2"/>
    <w:multiLevelType w:val="hybridMultilevel"/>
    <w:lvl w:ilvl="0">
      <w:lvlJc w:val="left"/>
      <w:lvlText w:val="(%1)"/>
      <w:numFmt w:val="lowerLetter"/>
      <w:start w:val="2"/>
    </w:lvl>
  </w:abstractNum>
  <w:abstractNum w:abstractNumId="135">
    <w:nsid w:val="6D68AB2"/>
    <w:multiLevelType w:val="hybridMultilevel"/>
    <w:lvl w:ilvl="0">
      <w:lvlJc w:val="left"/>
      <w:lvlText w:val="(%1)"/>
      <w:numFmt w:val="lowerLetter"/>
      <w:start w:val="1"/>
    </w:lvl>
    <w:lvl w:ilvl="1">
      <w:lvlJc w:val="left"/>
      <w:lvlText w:val="(%2)"/>
      <w:numFmt w:val="lowerRoman"/>
      <w:start w:val="1"/>
    </w:lvl>
  </w:abstractNum>
  <w:abstractNum w:abstractNumId="136">
    <w:nsid w:val="3A966CD0"/>
    <w:multiLevelType w:val="hybridMultilevel"/>
    <w:lvl w:ilvl="0">
      <w:lvlJc w:val="left"/>
      <w:lvlText w:val="(%1)"/>
      <w:numFmt w:val="lowerRoman"/>
      <w:start w:val="3"/>
    </w:lvl>
  </w:abstractNum>
  <w:abstractNum w:abstractNumId="137">
    <w:nsid w:val="63F37E85"/>
    <w:multiLevelType w:val="hybridMultilevel"/>
    <w:lvl w:ilvl="0">
      <w:lvlJc w:val="left"/>
      <w:lvlText w:val="[***]"/>
      <w:numFmt w:val="bullet"/>
      <w:start w:val="1"/>
    </w:lvl>
    <w:lvl w:ilvl="1">
      <w:lvlJc w:val="left"/>
      <w:lvlText w:val="(%2)"/>
      <w:numFmt w:val="lowerLetter"/>
      <w:start w:val="1"/>
    </w:lvl>
  </w:abstractNum>
  <w:abstractNum w:abstractNumId="138">
    <w:nsid w:val="5895F5FA"/>
    <w:multiLevelType w:val="hybridMultilevel"/>
    <w:lvl w:ilvl="0">
      <w:lvlJc w:val="left"/>
      <w:lvlText w:val="[***]"/>
      <w:numFmt w:val="bullet"/>
      <w:start w:val="1"/>
    </w:lvl>
    <w:lvl w:ilvl="1">
      <w:lvlJc w:val="left"/>
      <w:lvlText w:val="(%2)"/>
      <w:numFmt w:val="lowerLetter"/>
      <w:start w:val="2"/>
    </w:lvl>
  </w:abstractNum>
  <w:abstractNum w:abstractNumId="139">
    <w:nsid w:val="38A5D054"/>
    <w:multiLevelType w:val="hybridMultilevel"/>
    <w:lvl w:ilvl="0">
      <w:lvlJc w:val="left"/>
      <w:lvlText w:val="(%1)"/>
      <w:numFmt w:val="lowerLetter"/>
      <w:start w:val="1"/>
    </w:lvl>
  </w:abstractNum>
  <w:abstractNum w:abstractNumId="140">
    <w:nsid w:val="F3F09D8"/>
    <w:multiLevelType w:val="hybridMultilevel"/>
    <w:lvl w:ilvl="0">
      <w:lvlJc w:val="left"/>
      <w:lvlText w:val="(%1)"/>
      <w:numFmt w:val="lowerLetter"/>
      <w:start w:val="1"/>
    </w:lvl>
  </w:abstractNum>
  <w:abstractNum w:abstractNumId="141">
    <w:nsid w:val="4B793735"/>
    <w:multiLevelType w:val="hybridMultilevel"/>
    <w:lvl w:ilvl="0">
      <w:lvlJc w:val="left"/>
      <w:lvlText w:val="(%1)"/>
      <w:numFmt w:val="lowerLetter"/>
      <w:start w:val="1"/>
    </w:lvl>
  </w:abstractNum>
  <w:abstractNum w:abstractNumId="142">
    <w:nsid w:val="4A10B4E8"/>
    <w:multiLevelType w:val="hybridMultilevel"/>
    <w:lvl w:ilvl="0">
      <w:lvlJc w:val="left"/>
      <w:lvlText w:val="[***]"/>
      <w:numFmt w:val="bullet"/>
      <w:start w:val="1"/>
    </w:lvl>
    <w:lvl w:ilvl="1">
      <w:lvlJc w:val="left"/>
      <w:lvlText w:val="(%2)"/>
      <w:numFmt w:val="lowerLetter"/>
      <w:start w:val="3"/>
    </w:lvl>
  </w:abstractNum>
  <w:abstractNum w:abstractNumId="143">
    <w:nsid w:val="43D3BCD4"/>
    <w:multiLevelType w:val="hybridMultilevel"/>
    <w:lvl w:ilvl="0">
      <w:lvlJc w:val="left"/>
      <w:lvlText w:val="(%1)"/>
      <w:numFmt w:val="lowerLetter"/>
      <w:start w:val="1"/>
    </w:lvl>
  </w:abstractNum>
  <w:abstractNum w:abstractNumId="144">
    <w:nsid w:val="4C2A7166"/>
    <w:multiLevelType w:val="hybridMultilevel"/>
    <w:lvl w:ilvl="0">
      <w:lvlJc w:val="left"/>
      <w:lvlText w:val="(%1)"/>
      <w:numFmt w:val="lowerLetter"/>
      <w:start w:val="6"/>
    </w:lvl>
  </w:abstractNum>
  <w:abstractNum w:abstractNumId="145">
    <w:nsid w:val="2E534A82"/>
    <w:multiLevelType w:val="hybridMultilevel"/>
    <w:lvl w:ilvl="0">
      <w:lvlJc w:val="left"/>
      <w:lvlText w:val="(%1)"/>
      <w:numFmt w:val="lowerLetter"/>
      <w:start w:val="9"/>
    </w:lvl>
  </w:abstractNum>
  <w:abstractNum w:abstractNumId="146">
    <w:nsid w:val="26F2D364"/>
    <w:multiLevelType w:val="hybridMultilevel"/>
    <w:lvl w:ilvl="0">
      <w:lvlJc w:val="left"/>
      <w:lvlText w:val="(%1)"/>
      <w:numFmt w:val="lowerLetter"/>
      <w:start w:val="1"/>
    </w:lvl>
  </w:abstractNum>
  <w:abstractNum w:abstractNumId="147">
    <w:nsid w:val="71C1AF98"/>
    <w:multiLevelType w:val="hybridMultilevel"/>
    <w:lvl w:ilvl="0">
      <w:lvlJc w:val="left"/>
      <w:lvlText w:val="(%1)"/>
      <w:numFmt w:val="lowerLetter"/>
      <w:start w:val="2"/>
    </w:lvl>
  </w:abstractNum>
  <w:abstractNum w:abstractNumId="148">
    <w:nsid w:val="3D00B9D9"/>
    <w:multiLevelType w:val="hybridMultilevel"/>
    <w:lvl w:ilvl="0">
      <w:lvlJc w:val="left"/>
      <w:lvlText w:val="(%1)"/>
      <w:numFmt w:val="lowerLetter"/>
      <w:start w:val="1"/>
    </w:lvl>
  </w:abstractNum>
  <w:abstractNum w:abstractNumId="149">
    <w:nsid w:val="15BCABA8"/>
    <w:multiLevelType w:val="hybridMultilevel"/>
    <w:lvl w:ilvl="0">
      <w:lvlJc w:val="left"/>
      <w:lvlText w:val="(%1)"/>
      <w:numFmt w:val="lowerLetter"/>
      <w:start w:val="3"/>
    </w:lvl>
  </w:abstractNum>
  <w:abstractNum w:abstractNumId="150">
    <w:nsid w:val="4E0B9A87"/>
    <w:multiLevelType w:val="hybridMultilevel"/>
    <w:lvl w:ilvl="0">
      <w:lvlJc w:val="left"/>
      <w:lvlText w:val="(%1)"/>
      <w:numFmt w:val="lowerLetter"/>
      <w:start w:val="7"/>
    </w:lvl>
  </w:abstractNum>
  <w:abstractNum w:abstractNumId="151">
    <w:nsid w:val="434BAE75"/>
    <w:multiLevelType w:val="hybridMultilevel"/>
    <w:lvl w:ilvl="0">
      <w:lvlJc w:val="left"/>
      <w:lvlText w:val="(%1)"/>
      <w:numFmt w:val="lowerLetter"/>
      <w:start w:val="1"/>
    </w:lvl>
  </w:abstractNum>
  <w:abstractNum w:abstractNumId="152">
    <w:nsid w:val="4F38F265"/>
    <w:multiLevelType w:val="hybridMultilevel"/>
    <w:lvl w:ilvl="0">
      <w:lvlJc w:val="left"/>
      <w:lvlText w:val="(%1)"/>
      <w:numFmt w:val="lowerLetter"/>
      <w:start w:val="3"/>
    </w:lvl>
  </w:abstractNum>
  <w:abstractNum w:abstractNumId="153">
    <w:nsid w:val="4C502870"/>
    <w:multiLevelType w:val="hybridMultilevel"/>
    <w:lvl w:ilvl="0">
      <w:lvlJc w:val="left"/>
      <w:lvlText w:val="[***]"/>
      <w:numFmt w:val="bullet"/>
      <w:start w:val="1"/>
    </w:lvl>
    <w:lvl w:ilvl="1">
      <w:lvlJc w:val="left"/>
      <w:lvlText w:val="(%2)"/>
      <w:numFmt w:val="lowerLetter"/>
      <w:start w:val="1"/>
    </w:lvl>
  </w:abstractNum>
  <w:abstractNum w:abstractNumId="154">
    <w:nsid w:val="1DE8725A"/>
    <w:multiLevelType w:val="hybridMultilevel"/>
    <w:lvl w:ilvl="0">
      <w:lvlJc w:val="left"/>
      <w:lvlText w:val="[***]"/>
      <w:numFmt w:val="bullet"/>
      <w:start w:val="1"/>
    </w:lvl>
    <w:lvl w:ilvl="1">
      <w:lvlJc w:val="left"/>
      <w:lvlText w:val="(%2)"/>
      <w:numFmt w:val="lowerLetter"/>
      <w:start w:val="4"/>
    </w:lvl>
  </w:abstractNum>
  <w:abstractNum w:abstractNumId="155">
    <w:nsid w:val="6A37288A"/>
    <w:multiLevelType w:val="hybridMultilevel"/>
    <w:lvl w:ilvl="0">
      <w:lvlJc w:val="left"/>
      <w:lvlText w:val="(%1)"/>
      <w:numFmt w:val="lowerLetter"/>
      <w:start w:val="5"/>
    </w:lvl>
  </w:abstractNum>
  <w:abstractNum w:abstractNumId="156">
    <w:nsid w:val="8F8B73F"/>
    <w:multiLevelType w:val="hybridMultilevel"/>
    <w:lvl w:ilvl="0">
      <w:lvlJc w:val="left"/>
      <w:lvlText w:val="(%1)"/>
      <w:numFmt w:val="lowerLetter"/>
      <w:start w:val="10"/>
    </w:lvl>
  </w:abstractNum>
  <w:abstractNum w:abstractNumId="157">
    <w:nsid w:val="CA6B462"/>
    <w:multiLevelType w:val="hybridMultilevel"/>
    <w:lvl w:ilvl="0">
      <w:lvlJc w:val="left"/>
      <w:lvlText w:val="(%1)"/>
      <w:numFmt w:val="lowerLetter"/>
      <w:start w:val="1"/>
    </w:lvl>
  </w:abstractNum>
  <w:abstractNum w:abstractNumId="158">
    <w:nsid w:val="763CB680"/>
    <w:multiLevelType w:val="hybridMultilevel"/>
    <w:lvl w:ilvl="0">
      <w:lvlJc w:val="left"/>
      <w:lvlText w:val="%1"/>
      <w:numFmt w:val="lowerLetter"/>
      <w:start w:val="1"/>
    </w:lvl>
    <w:lvl w:ilvl="1">
      <w:lvlJc w:val="left"/>
      <w:lvlText w:val="(%2)"/>
      <w:numFmt w:val="lowerLetter"/>
      <w:start w:val="2"/>
    </w:lvl>
  </w:abstractNum>
  <w:abstractNum w:abstractNumId="159">
    <w:nsid w:val="15B71329"/>
    <w:multiLevelType w:val="hybridMultilevel"/>
    <w:lvl w:ilvl="0">
      <w:lvlJc w:val="left"/>
      <w:lvlText w:val="(%1)"/>
      <w:numFmt w:val="lowerLetter"/>
      <w:start w:val="35"/>
    </w:lvl>
    <w:lvl w:ilvl="1">
      <w:lvlJc w:val="left"/>
      <w:lvlText w:val="%2"/>
      <w:numFmt w:val="lowerLetter"/>
      <w:start w:val="1"/>
    </w:lvl>
  </w:abstractNum>
  <w:abstractNum w:abstractNumId="160">
    <w:nsid w:val="3DA97044"/>
    <w:multiLevelType w:val="hybridMultilevel"/>
    <w:lvl w:ilvl="0">
      <w:lvlJc w:val="left"/>
      <w:lvlText w:val="(%1)"/>
      <w:numFmt w:val="lowerLetter"/>
      <w:start w:val="1"/>
    </w:lvl>
    <w:lvl w:ilvl="1">
      <w:lvlJc w:val="left"/>
      <w:lvlText w:val="(%2)"/>
      <w:numFmt w:val="lowerRoman"/>
      <w:start w:val="1"/>
    </w:lvl>
  </w:abstractNum>
  <w:abstractNum w:abstractNumId="161">
    <w:nsid w:val="1CDCE2DE"/>
    <w:multiLevelType w:val="hybridMultilevel"/>
    <w:lvl w:ilvl="0">
      <w:lvlJc w:val="left"/>
      <w:lvlText w:val="(%1)"/>
      <w:numFmt w:val="lowerLetter"/>
      <w:start w:val="1"/>
    </w:lvl>
    <w:lvl w:ilvl="1">
      <w:lvlJc w:val="left"/>
      <w:lvlText w:val="(%2)"/>
      <w:numFmt w:val="lowerRoman"/>
      <w:start w:val="1"/>
    </w:lvl>
  </w:abstractNum>
  <w:abstractNum w:abstractNumId="162">
    <w:nsid w:val="69D3947C"/>
    <w:multiLevelType w:val="hybridMultilevel"/>
    <w:lvl w:ilvl="0">
      <w:lvlJc w:val="left"/>
      <w:lvlText w:val="(%1)"/>
      <w:numFmt w:val="lowerRoman"/>
      <w:start w:val="10"/>
    </w:lvl>
  </w:abstractNum>
  <w:abstractNum w:abstractNumId="163">
    <w:nsid w:val="2539DFA5"/>
    <w:multiLevelType w:val="hybridMultilevel"/>
    <w:lvl w:ilvl="0">
      <w:lvlJc w:val="left"/>
      <w:lvlText w:val="(%1)"/>
      <w:numFmt w:val="lowerLetter"/>
      <w:start w:val="2"/>
    </w:lvl>
  </w:abstractNum>
  <w:abstractNum w:abstractNumId="164">
    <w:nsid w:val="2DB88089"/>
    <w:multiLevelType w:val="hybridMultilevel"/>
    <w:lvl w:ilvl="0">
      <w:lvlJc w:val="left"/>
      <w:lvlText w:val="(%1)"/>
      <w:numFmt w:val="lowerLetter"/>
      <w:start w:val="1"/>
    </w:lvl>
    <w:lvl w:ilvl="1">
      <w:lvlJc w:val="left"/>
      <w:lvlText w:val="(%2)"/>
      <w:numFmt w:val="lowerRoman"/>
      <w:start w:val="1"/>
    </w:lvl>
  </w:abstractNum>
  <w:abstractNum w:abstractNumId="165">
    <w:nsid w:val="706B674E"/>
    <w:multiLevelType w:val="hybridMultilevel"/>
    <w:lvl w:ilvl="0">
      <w:lvlJc w:val="left"/>
      <w:lvlText w:val="(%1)"/>
      <w:numFmt w:val="lowerLetter"/>
      <w:start w:val="2"/>
    </w:lvl>
  </w:abstractNum>
  <w:abstractNum w:abstractNumId="166">
    <w:nsid w:val="2C106A57"/>
    <w:multiLevelType w:val="hybridMultilevel"/>
    <w:lvl w:ilvl="0">
      <w:lvlJc w:val="left"/>
      <w:lvlText w:val="(%1)"/>
      <w:numFmt w:val="lowerLetter"/>
      <w:start w:val="1"/>
    </w:lvl>
  </w:abstractNum>
  <w:abstractNum w:abstractNumId="167">
    <w:nsid w:val="684EED59"/>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68">
    <w:nsid w:val="545EE5D3"/>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69">
    <w:nsid w:val="4A66051"/>
    <w:multiLevelType w:val="hybridMultilevel"/>
    <w:lvl w:ilvl="0">
      <w:lvlJc w:val="left"/>
      <w:lvlText w:val="(%1)"/>
      <w:numFmt w:val="lowerRoman"/>
      <w:start w:val="9"/>
    </w:lvl>
  </w:abstractNum>
  <w:abstractNum w:abstractNumId="170">
    <w:nsid w:val="20F4BDAD"/>
    <w:multiLevelType w:val="hybridMultilevel"/>
    <w:lvl w:ilvl="0">
      <w:lvlJc w:val="left"/>
      <w:lvlText w:val="%1"/>
      <w:numFmt w:val="decimal"/>
      <w:start w:val="1"/>
    </w:lvl>
    <w:lvl w:ilvl="1">
      <w:lvlJc w:val="left"/>
      <w:lvlText w:val="(%2)"/>
      <w:numFmt w:val="lowerRoman"/>
      <w:start w:val="16"/>
    </w:lvl>
  </w:abstractNum>
  <w:abstractNum w:abstractNumId="171">
    <w:nsid w:val="639DEFAC"/>
    <w:multiLevelType w:val="hybridMultilevel"/>
    <w:lvl w:ilvl="0">
      <w:lvlJc w:val="left"/>
      <w:lvlText w:val="(%1)"/>
      <w:numFmt w:val="decimal"/>
      <w:start w:val="2"/>
    </w:lvl>
    <w:lvl w:ilvl="1">
      <w:lvlJc w:val="left"/>
      <w:lvlText w:val="(%2)"/>
      <w:numFmt w:val="lowerRoman"/>
      <w:start w:val="18"/>
    </w:lvl>
  </w:abstractNum>
  <w:abstractNum w:abstractNumId="172">
    <w:nsid w:val="501F9786"/>
    <w:multiLevelType w:val="hybridMultilevel"/>
    <w:lvl w:ilvl="0">
      <w:lvlJc w:val="left"/>
      <w:lvlText w:val="(%1)"/>
      <w:numFmt w:val="lowerLetter"/>
      <w:start w:val="3"/>
    </w:lvl>
  </w:abstractNum>
  <w:abstractNum w:abstractNumId="173">
    <w:nsid w:val="6B057295"/>
    <w:multiLevelType w:val="hybridMultilevel"/>
    <w:lvl w:ilvl="0">
      <w:lvlJc w:val="left"/>
      <w:lvlText w:val="(%1)"/>
      <w:numFmt w:val="lowerLetter"/>
      <w:start w:val="1"/>
    </w:lvl>
  </w:abstractNum>
  <w:abstractNum w:abstractNumId="174">
    <w:nsid w:val="2771AC80"/>
    <w:multiLevelType w:val="hybridMultilevel"/>
    <w:lvl w:ilvl="0">
      <w:lvlJc w:val="left"/>
      <w:lvlText w:val="(%1)"/>
      <w:numFmt w:val="lowerLetter"/>
      <w:start w:val="3"/>
    </w:lvl>
  </w:abstractNum>
  <w:abstractNum w:abstractNumId="175">
    <w:nsid w:val="1C4A08EC"/>
    <w:multiLevelType w:val="hybridMultilevel"/>
    <w:lvl w:ilvl="0">
      <w:lvlJc w:val="left"/>
      <w:lvlText w:val="(%1)"/>
      <w:numFmt w:val="lowerLetter"/>
      <w:start w:val="1"/>
    </w:lvl>
  </w:abstractNum>
  <w:abstractNum w:abstractNumId="176">
    <w:nsid w:val="1958BD17"/>
    <w:multiLevelType w:val="hybridMultilevel"/>
    <w:lvl w:ilvl="0">
      <w:lvlJc w:val="left"/>
      <w:lvlText w:val="(%1)"/>
      <w:numFmt w:val="lowerLetter"/>
      <w:start w:val="3"/>
    </w:lvl>
  </w:abstractNum>
  <w:abstractNum w:abstractNumId="177">
    <w:nsid w:val="4E647FE4"/>
    <w:multiLevelType w:val="hybridMultilevel"/>
    <w:lvl w:ilvl="0">
      <w:lvlJc w:val="left"/>
      <w:lvlText w:val="(%1)"/>
      <w:numFmt w:val="lowerLetter"/>
      <w:start w:val="5"/>
    </w:lvl>
  </w:abstractNum>
  <w:abstractNum w:abstractNumId="178">
    <w:nsid w:val="E0BB885"/>
    <w:multiLevelType w:val="hybridMultilevel"/>
    <w:lvl w:ilvl="0">
      <w:lvlJc w:val="left"/>
      <w:lvlText w:val="(%1)"/>
      <w:numFmt w:val="lowerLetter"/>
      <w:start w:val="1"/>
    </w:lvl>
  </w:abstractNum>
  <w:abstractNum w:abstractNumId="179">
    <w:nsid w:val="565976F1"/>
    <w:multiLevelType w:val="hybridMultilevel"/>
    <w:lvl w:ilvl="0">
      <w:lvlJc w:val="left"/>
      <w:lvlText w:val="(%1)"/>
      <w:numFmt w:val="lowerLetter"/>
      <w:start w:val="1"/>
    </w:lvl>
  </w:abstractNum>
  <w:abstractNum w:abstractNumId="180">
    <w:nsid w:val="64212B8C"/>
    <w:multiLevelType w:val="hybridMultilevel"/>
    <w:lvl w:ilvl="0">
      <w:lvlJc w:val="left"/>
      <w:lvlText w:val="(%1)"/>
      <w:numFmt w:val="lowerLetter"/>
      <w:start w:val="2"/>
    </w:lvl>
  </w:abstractNum>
  <w:abstractNum w:abstractNumId="181">
    <w:nsid w:val="5C17530C"/>
    <w:multiLevelType w:val="hybridMultilevel"/>
    <w:lvl w:ilvl="0">
      <w:lvlJc w:val="left"/>
      <w:lvlText w:val="[***]"/>
      <w:numFmt w:val="bullet"/>
      <w:start w:val="1"/>
    </w:lvl>
  </w:abstractNum>
  <w:abstractNum w:abstractNumId="182">
    <w:nsid w:val="19A52566"/>
    <w:multiLevelType w:val="hybridMultilevel"/>
    <w:lvl w:ilvl="0">
      <w:lvlJc w:val="left"/>
      <w:lvlText w:val="(%1)"/>
      <w:numFmt w:val="lowerLetter"/>
      <w:start w:val="1"/>
    </w:lvl>
  </w:abstractNum>
  <w:abstractNum w:abstractNumId="183">
    <w:nsid w:val="335A1DF1"/>
    <w:multiLevelType w:val="hybridMultilevel"/>
    <w:lvl w:ilvl="0">
      <w:lvlJc w:val="left"/>
      <w:lvlText w:val="(%1)"/>
      <w:numFmt w:val="lowerLetter"/>
      <w:start w:val="1"/>
    </w:lvl>
    <w:lvl w:ilvl="1">
      <w:lvlJc w:val="left"/>
      <w:lvlText w:val="(%2)"/>
      <w:numFmt w:val="lowerRoman"/>
      <w:start w:val="1"/>
    </w:lvl>
  </w:abstractNum>
  <w:abstractNum w:abstractNumId="184">
    <w:nsid w:val="28677B7C"/>
    <w:multiLevelType w:val="hybridMultilevel"/>
    <w:lvl w:ilvl="0">
      <w:lvlJc w:val="left"/>
      <w:lvlText w:val="(%1)"/>
      <w:numFmt w:val="lowerLetter"/>
      <w:start w:val="1"/>
    </w:lvl>
  </w:abstractNum>
  <w:abstractNum w:abstractNumId="185">
    <w:nsid w:val="378D97C0"/>
    <w:multiLevelType w:val="hybridMultilevel"/>
    <w:lvl w:ilvl="0">
      <w:lvlJc w:val="left"/>
      <w:lvlText w:val="(%1)"/>
      <w:numFmt w:val="lowerLetter"/>
      <w:start w:val="1"/>
    </w:lvl>
    <w:lvl w:ilvl="1">
      <w:lvlJc w:val="left"/>
      <w:lvlText w:val="(%2)"/>
      <w:numFmt w:val="lowerRoman"/>
      <w:start w:val="1"/>
    </w:lvl>
  </w:abstractNum>
  <w:abstractNum w:abstractNumId="186">
    <w:nsid w:val="1D91467C"/>
    <w:multiLevelType w:val="hybridMultilevel"/>
    <w:lvl w:ilvl="0">
      <w:lvlJc w:val="left"/>
      <w:lvlText w:val="%1"/>
      <w:numFmt w:val="lowerLetter"/>
      <w:start w:val="1"/>
    </w:lvl>
    <w:lvl w:ilvl="1">
      <w:lvlJc w:val="left"/>
      <w:lvlText w:val="(%2)"/>
      <w:numFmt w:val="lowerLetter"/>
      <w:start w:val="61"/>
    </w:lvl>
  </w:abstractNum>
  <w:abstractNum w:abstractNumId="187">
    <w:nsid w:val="316032BB"/>
    <w:multiLevelType w:val="hybridMultilevel"/>
    <w:lvl w:ilvl="0">
      <w:lvlJc w:val="left"/>
      <w:lvlText w:val="(%1)"/>
      <w:numFmt w:val="lowerLetter"/>
      <w:start w:val="5"/>
    </w:lvl>
    <w:lvl w:ilvl="1">
      <w:lvlJc w:val="left"/>
      <w:lvlText w:val="%2"/>
      <w:numFmt w:val="lowerLetter"/>
      <w:start w:val="1"/>
    </w:lvl>
  </w:abstractNum>
  <w:abstractNum w:abstractNumId="188">
    <w:nsid w:val="44344C22"/>
    <w:multiLevelType w:val="hybridMultilevel"/>
    <w:lvl w:ilvl="0">
      <w:lvlJc w:val="left"/>
      <w:lvlText w:val="(%1)"/>
      <w:numFmt w:val="lowerLetter"/>
      <w:start w:val="1"/>
    </w:lvl>
  </w:abstractNum>
  <w:abstractNum w:abstractNumId="189">
    <w:nsid w:val="13CDFCFC"/>
    <w:multiLevelType w:val="hybridMultilevel"/>
    <w:lvl w:ilvl="0">
      <w:lvlJc w:val="left"/>
      <w:lvlText w:val="(%1)"/>
      <w:numFmt w:val="lowerLetter"/>
      <w:start w:val="3"/>
    </w:lvl>
  </w:abstractNum>
  <w:abstractNum w:abstractNumId="190">
    <w:nsid w:val="471745E4"/>
    <w:multiLevelType w:val="hybridMultilevel"/>
    <w:lvl w:ilvl="0">
      <w:lvlJc w:val="left"/>
      <w:lvlText w:val="(%1)"/>
      <w:numFmt w:val="lowerLetter"/>
      <w:start w:val="1"/>
    </w:lvl>
  </w:abstractNum>
  <w:abstractNum w:abstractNumId="191">
    <w:nsid w:val="1DDBC66"/>
    <w:multiLevelType w:val="hybridMultilevel"/>
    <w:lvl w:ilvl="0">
      <w:lvlJc w:val="left"/>
      <w:lvlText w:val="(%1)"/>
      <w:numFmt w:val="lowerLetter"/>
      <w:start w:val="2"/>
    </w:lvl>
  </w:abstractNum>
  <w:abstractNum w:abstractNumId="192">
    <w:nsid w:val="30AADFDA"/>
    <w:multiLevelType w:val="hybridMultilevel"/>
    <w:lvl w:ilvl="0">
      <w:lvlJc w:val="left"/>
      <w:lvlText w:val="(%1)"/>
      <w:numFmt w:val="lowerLetter"/>
      <w:start w:val="1"/>
    </w:lvl>
  </w:abstractNum>
  <w:abstractNum w:abstractNumId="193">
    <w:nsid w:val="30EADA61"/>
    <w:multiLevelType w:val="hybridMultilevel"/>
    <w:lvl w:ilvl="0">
      <w:lvlJc w:val="left"/>
      <w:lvlText w:val="(%1)"/>
      <w:numFmt w:val="lowerLetter"/>
      <w:start w:val="1"/>
    </w:lvl>
  </w:abstractNum>
  <w:abstractNum w:abstractNumId="194">
    <w:nsid w:val="27179C0B"/>
    <w:multiLevelType w:val="hybridMultilevel"/>
    <w:lvl w:ilvl="0">
      <w:lvlJc w:val="left"/>
      <w:lvlText w:val="(%1)"/>
      <w:numFmt w:val="lowerLetter"/>
      <w:start w:val="1"/>
    </w:lvl>
  </w:abstractNum>
  <w:abstractNum w:abstractNumId="195">
    <w:nsid w:val="5E636063"/>
    <w:multiLevelType w:val="hybridMultilevel"/>
    <w:lvl w:ilvl="0">
      <w:lvlJc w:val="left"/>
      <w:lvlText w:val="(%1)"/>
      <w:numFmt w:val="lowerLetter"/>
      <w:start w:val="1"/>
    </w:lvl>
  </w:abstractNum>
  <w:abstractNum w:abstractNumId="196">
    <w:nsid w:val="215641AF"/>
    <w:multiLevelType w:val="hybridMultilevel"/>
    <w:lvl w:ilvl="0">
      <w:lvlJc w:val="left"/>
      <w:lvlText w:val="[***]"/>
      <w:numFmt w:val="bullet"/>
      <w:start w:val="1"/>
    </w:lvl>
  </w:abstractNum>
  <w:abstractNum w:abstractNumId="197">
    <w:nsid w:val="53280662"/>
    <w:multiLevelType w:val="hybridMultilevel"/>
    <w:lvl w:ilvl="0">
      <w:lvlJc w:val="left"/>
      <w:lvlText w:val="(%1)"/>
      <w:numFmt w:val="lowerLetter"/>
      <w:start w:val="1"/>
    </w:lvl>
  </w:abstractNum>
  <w:abstractNum w:abstractNumId="198">
    <w:nsid w:val="46B24DBC"/>
    <w:multiLevelType w:val="hybridMultilevel"/>
    <w:lvl w:ilvl="0">
      <w:lvlJc w:val="left"/>
      <w:lvlText w:val="%1"/>
      <w:numFmt w:val="upperLetter"/>
      <w:start w:val="1"/>
    </w:lvl>
    <w:lvl w:ilvl="1">
      <w:lvlJc w:val="left"/>
      <w:lvlText w:val="(%2)"/>
      <w:numFmt w:val="lowerRoman"/>
      <w:start w:val="1"/>
    </w:lvl>
  </w:abstractNum>
  <w:abstractNum w:abstractNumId="199">
    <w:nsid w:val="75B52783"/>
    <w:multiLevelType w:val="hybridMultilevel"/>
    <w:lvl w:ilvl="0">
      <w:lvlJc w:val="left"/>
      <w:lvlText w:val="(%1)"/>
      <w:numFmt w:val="upperLetter"/>
      <w:start w:val="3"/>
    </w:lvl>
    <w:lvl w:ilvl="1">
      <w:lvlJc w:val="left"/>
      <w:lvlText w:val="(%2)"/>
      <w:numFmt w:val="lowerRoman"/>
      <w:start w:val="3"/>
    </w:lvl>
  </w:abstractNum>
  <w:abstractNum w:abstractNumId="200">
    <w:nsid w:val="57CE66B4"/>
    <w:multiLevelType w:val="hybridMultilevel"/>
    <w:lvl w:ilvl="0">
      <w:lvlJc w:val="left"/>
      <w:lvlText w:val="%1"/>
      <w:numFmt w:val="lowerLetter"/>
      <w:start w:val="1"/>
    </w:lvl>
    <w:lvl w:ilvl="1">
      <w:lvlJc w:val="left"/>
      <w:lvlText w:val="(%2)"/>
      <w:numFmt w:val="lowerRoman"/>
      <w:start w:val="4"/>
    </w:lvl>
  </w:abstractNum>
  <w:abstractNum w:abstractNumId="201">
    <w:nsid w:val="67A70B69"/>
    <w:multiLevelType w:val="hybridMultilevel"/>
    <w:lvl w:ilvl="0">
      <w:lvlJc w:val="left"/>
      <w:lvlText w:val="(%1)"/>
      <w:numFmt w:val="lowerLetter"/>
      <w:start w:val="4"/>
    </w:lvl>
    <w:lvl w:ilvl="1">
      <w:lvlJc w:val="left"/>
      <w:lvlText w:val="%2"/>
      <w:numFmt w:val="lowerRoman"/>
      <w:start w:val="1"/>
    </w:lvl>
  </w:abstractNum>
  <w:abstractNum w:abstractNumId="202">
    <w:nsid w:val="5953172F"/>
    <w:multiLevelType w:val="hybridMultilevel"/>
    <w:lvl w:ilvl="0">
      <w:lvlJc w:val="left"/>
      <w:lvlText w:val="(%1)"/>
      <w:numFmt w:val="lowerLetter"/>
      <w:start w:val="6"/>
    </w:lvl>
  </w:abstractNum>
  <w:abstractNum w:abstractNumId="203">
    <w:nsid w:val="27EDFE3A"/>
    <w:multiLevelType w:val="hybridMultilevel"/>
    <w:lvl w:ilvl="0">
      <w:lvlJc w:val="left"/>
      <w:lvlText w:val="(%1)"/>
      <w:numFmt w:val="lowerRoman"/>
      <w:start w:val="1"/>
    </w:lvl>
  </w:abstractNum>
  <w:abstractNum w:abstractNumId="204">
    <w:nsid w:val="52AC7DFF"/>
    <w:multiLevelType w:val="hybridMultilevel"/>
    <w:lvl w:ilvl="0">
      <w:lvlJc w:val="left"/>
      <w:lvlText w:val="(%1)"/>
      <w:numFmt w:val="lowerRoman"/>
      <w:start w:val="2"/>
    </w:lvl>
  </w:abstractNum>
  <w:abstractNum w:abstractNumId="205">
    <w:nsid w:val="C4C3AF"/>
    <w:multiLevelType w:val="hybridMultilevel"/>
    <w:lvl w:ilvl="0">
      <w:lvlJc w:val="left"/>
      <w:lvlText w:val="(%1)"/>
      <w:numFmt w:val="lowerRoman"/>
      <w:start w:val="3"/>
    </w:lvl>
  </w:abstractNum>
  <w:abstractNum w:abstractNumId="206">
    <w:nsid w:val="44380727"/>
    <w:multiLevelType w:val="hybridMultilevel"/>
    <w:lvl w:ilvl="0">
      <w:lvlJc w:val="left"/>
      <w:lvlText w:val="%1"/>
      <w:numFmt w:val="decimal"/>
      <w:start w:val="950"/>
    </w:lvl>
  </w:abstractNum>
  <w:abstractNum w:abstractNumId="207">
    <w:nsid w:val="6C053B16"/>
    <w:multiLevelType w:val="hybridMultilevel"/>
    <w:lvl w:ilvl="0">
      <w:lvlJc w:val="left"/>
      <w:lvlText w:val="(%1)"/>
      <w:numFmt w:val="upperLetter"/>
      <w:start w:val="1"/>
    </w:lvl>
  </w:abstractNum>
  <w:abstractNum w:abstractNumId="208">
    <w:nsid w:val="4F294393"/>
    <w:multiLevelType w:val="hybridMultilevel"/>
    <w:lvl w:ilvl="0">
      <w:lvlJc w:val="left"/>
      <w:lvlText w:val="[***]"/>
      <w:numFmt w:val="bullet"/>
      <w:start w:val="1"/>
    </w:lvl>
  </w:abstractNum>
  <w:abstractNum w:abstractNumId="209">
    <w:nsid w:val="5243BFAC"/>
    <w:multiLevelType w:val="hybridMultilevel"/>
    <w:lvl w:ilvl="0">
      <w:lvlJc w:val="left"/>
      <w:lvlText w:val="%1."/>
      <w:numFmt w:val="decimal"/>
      <w:start w:val="1"/>
    </w:lvl>
  </w:abstractNum>
  <w:abstractNum w:abstractNumId="210">
    <w:nsid w:val="425EB207"/>
    <w:multiLevelType w:val="hybridMultilevel"/>
    <w:lvl w:ilvl="0">
      <w:lvlJc w:val="left"/>
      <w:lvlText w:val="%1."/>
      <w:numFmt w:val="decimal"/>
      <w:start w:val="2"/>
    </w:lvl>
  </w:abstractNum>
  <w:abstractNum w:abstractNumId="211">
    <w:nsid w:val="334A6F1F"/>
    <w:multiLevelType w:val="hybridMultilevel"/>
    <w:lvl w:ilvl="0">
      <w:lvlJc w:val="left"/>
      <w:lvlText w:val="(%1)"/>
      <w:numFmt w:val="lowerLetter"/>
      <w:start w:val="1"/>
    </w:lvl>
    <w:lvl w:ilvl="1">
      <w:lvlJc w:val="left"/>
      <w:lvlText w:val="(%2)"/>
      <w:numFmt w:val="lowerRoman"/>
      <w:start w:val="1"/>
    </w:lvl>
  </w:abstractNum>
  <w:abstractNum w:abstractNumId="212">
    <w:nsid w:val="2E5B12B8"/>
    <w:multiLevelType w:val="hybridMultilevel"/>
    <w:lvl w:ilvl="0">
      <w:lvlJc w:val="left"/>
      <w:lvlText w:val="%1"/>
      <w:numFmt w:val="lowerLetter"/>
      <w:start w:val="1"/>
    </w:lvl>
    <w:lvl w:ilvl="1">
      <w:lvlJc w:val="left"/>
      <w:lvlText w:val="(%2)"/>
      <w:numFmt w:val="lowerLetter"/>
      <w:start w:val="22"/>
    </w:lvl>
  </w:abstractNum>
  <w:abstractNum w:abstractNumId="213">
    <w:nsid w:val="5C03D76D"/>
    <w:multiLevelType w:val="hybridMultilevel"/>
    <w:lvl w:ilvl="0">
      <w:lvlJc w:val="left"/>
      <w:lvlText w:val="(%1)"/>
      <w:numFmt w:val="lowerLetter"/>
      <w:start w:val="3"/>
    </w:lvl>
    <w:lvl w:ilvl="1">
      <w:lvlJc w:val="left"/>
      <w:lvlText w:val="%2"/>
      <w:numFmt w:val="lowerLetter"/>
      <w:start w:val="1"/>
    </w:lvl>
  </w:abstractNum>
  <w:abstractNum w:abstractNumId="214">
    <w:nsid w:val="66A48D11"/>
    <w:multiLevelType w:val="hybridMultilevel"/>
    <w:lvl w:ilvl="0">
      <w:lvlJc w:val="left"/>
      <w:lvlText w:val="(%1)"/>
      <w:numFmt w:val="lowerLetter"/>
      <w:start w:val="1"/>
    </w:lvl>
  </w:abstractNum>
  <w:abstractNum w:abstractNumId="215">
    <w:nsid w:val="56C28E34"/>
    <w:multiLevelType w:val="hybridMultilevel"/>
    <w:lvl w:ilvl="0">
      <w:lvlJc w:val="left"/>
      <w:lvlText w:val="%1."/>
      <w:numFmt w:val="decimal"/>
      <w:start w:val="3"/>
    </w:lvl>
  </w:abstractNum>
  <w:abstractNum w:abstractNumId="216">
    <w:nsid w:val="13916F2D"/>
    <w:multiLevelType w:val="hybridMultilevel"/>
    <w:lvl w:ilvl="0">
      <w:lvlJc w:val="left"/>
      <w:lvlText w:val="%1."/>
      <w:numFmt w:val="decimal"/>
      <w:start w:val="4"/>
    </w:lvl>
  </w:abstractNum>
  <w:abstractNum w:abstractNumId="217">
    <w:nsid w:val="435D38D"/>
    <w:multiLevelType w:val="hybridMultilevel"/>
    <w:lvl w:ilvl="0">
      <w:lvlJc w:val="left"/>
      <w:lvlText w:val="%1."/>
      <w:numFmt w:val="decimal"/>
      <w:start w:val="5"/>
    </w:lvl>
    <w:lvl w:ilvl="1">
      <w:lvlJc w:val="left"/>
      <w:lvlText w:val="(%2)"/>
      <w:numFmt w:val="lowerLetter"/>
      <w:start w:val="1"/>
    </w:lvl>
  </w:abstractNum>
  <w:abstractNum w:abstractNumId="218">
    <w:nsid w:val="822C0EF"/>
    <w:multiLevelType w:val="hybridMultilevel"/>
    <w:lvl w:ilvl="0">
      <w:lvlJc w:val="left"/>
      <w:lvlText w:val="(%1)"/>
      <w:numFmt w:val="lowerLetter"/>
      <w:start w:val="1"/>
    </w:lvl>
  </w:abstractNum>
  <w:abstractNum w:abstractNumId="219">
    <w:nsid w:val="57C5BB4F"/>
    <w:multiLevelType w:val="hybridMultilevel"/>
    <w:lvl w:ilvl="0">
      <w:lvlJc w:val="left"/>
      <w:lvlText w:val="%1."/>
      <w:numFmt w:val="decimal"/>
      <w:start w:val="7"/>
    </w:lvl>
  </w:abstractNum>
  <w:abstractNum w:abstractNumId="220">
    <w:nsid w:val="1803D089"/>
    <w:multiLevelType w:val="hybridMultilevel"/>
    <w:lvl w:ilvl="0">
      <w:lvlJc w:val="left"/>
      <w:lvlText w:val="%1."/>
      <w:numFmt w:val="decimal"/>
      <w:start w:val="9"/>
    </w:lvl>
  </w:abstractNum>
  <w:abstractNum w:abstractNumId="221">
    <w:nsid w:val="4F3A06D4"/>
    <w:multiLevelType w:val="hybridMultilevel"/>
    <w:lvl w:ilvl="0">
      <w:lvlJc w:val="left"/>
      <w:lvlText w:val="%1."/>
      <w:numFmt w:val="decimal"/>
      <w:start w:val="10"/>
    </w:lvl>
  </w:abstractNum>
  <w:abstractNum w:abstractNumId="222">
    <w:nsid w:val="59A377B6"/>
    <w:multiLevelType w:val="hybridMultilevel"/>
    <w:lvl w:ilvl="0">
      <w:lvlJc w:val="left"/>
      <w:lvlText w:val="(%1)"/>
      <w:numFmt w:val="lowerLetter"/>
      <w:start w:val="1"/>
    </w:lvl>
  </w:abstractNum>
  <w:abstractNum w:abstractNumId="223">
    <w:nsid w:val="48AEB063"/>
    <w:multiLevelType w:val="hybridMultilevel"/>
    <w:lvl w:ilvl="0">
      <w:lvlJc w:val="left"/>
      <w:lvlText w:val="%1."/>
      <w:numFmt w:val="decimal"/>
      <w:start w:val="13"/>
    </w:lvl>
    <w:lvl w:ilvl="1">
      <w:lvlJc w:val="left"/>
      <w:lvlText w:val="(%2)"/>
      <w:numFmt w:val="lowerLetter"/>
      <w:start w:val="1"/>
    </w:lvl>
  </w:abstractNum>
  <w:abstractNum w:abstractNumId="224">
    <w:nsid w:val="24E135"/>
    <w:multiLevelType w:val="hybridMultilevel"/>
    <w:lvl w:ilvl="0">
      <w:lvlJc w:val="left"/>
      <w:lvlText w:val="(%1)"/>
      <w:numFmt w:val="lowerLetter"/>
      <w:start w:val="5"/>
    </w:lvl>
  </w:abstractNum>
  <w:abstractNum w:abstractNumId="225">
    <w:nsid w:val="BB13C1"/>
    <w:multiLevelType w:val="hybridMultilevel"/>
    <w:lvl w:ilvl="0">
      <w:lvlJc w:val="left"/>
      <w:lvlText w:val="%1."/>
      <w:numFmt w:val="decimal"/>
      <w:start w:val="14"/>
    </w:lvl>
  </w:abstractNum>
  <w:abstractNum w:abstractNumId="226">
    <w:nsid w:val="271210C7"/>
    <w:multiLevelType w:val="hybridMultilevel"/>
    <w:lvl w:ilvl="0">
      <w:lvlJc w:val="left"/>
      <w:lvlText w:val="%1."/>
      <w:numFmt w:val="upperLetter"/>
      <w:start w:val="9"/>
    </w:lvl>
  </w:abstractNum>
  <w:abstractNum w:abstractNumId="227">
    <w:nsid w:val="217B22E4"/>
    <w:multiLevelType w:val="hybridMultilevel"/>
    <w:lvl w:ilvl="0">
      <w:lvlJc w:val="left"/>
      <w:lvlText w:val="%1."/>
      <w:numFmt w:val="upperLetter"/>
      <w:start w:val="35"/>
    </w:lvl>
  </w:abstractNum>
  <w:abstractNum w:abstractNumId="228">
    <w:nsid w:val="53E31A24"/>
    <w:multiLevelType w:val="hybridMultilevel"/>
    <w:lvl w:ilvl="0">
      <w:lvlJc w:val="left"/>
      <w:lvlText w:val="%1."/>
      <w:numFmt w:val="upperLetter"/>
      <w:start w:val="61"/>
    </w:lvl>
  </w:abstractNum>
  <w:abstractNum w:abstractNumId="229">
    <w:nsid w:val="6DC45E83"/>
    <w:multiLevelType w:val="hybridMultilevel"/>
    <w:lvl w:ilvl="0">
      <w:lvlJc w:val="left"/>
      <w:lvlText w:val="%1."/>
      <w:numFmt w:val="upperLetter"/>
      <w:start w:val="9"/>
    </w:lvl>
  </w:abstractNum>
  <w:abstractNum w:abstractNumId="230">
    <w:nsid w:val="17304A67"/>
    <w:multiLevelType w:val="hybridMultilevel"/>
    <w:lvl w:ilvl="0">
      <w:lvlJc w:val="left"/>
      <w:lvlText w:val="%1."/>
      <w:numFmt w:val="upperLetter"/>
      <w:start w:val="35"/>
    </w:lvl>
  </w:abstractNum>
  <w:abstractNum w:abstractNumId="231">
    <w:nsid w:val="2BB180D8"/>
    <w:multiLevelType w:val="hybridMultilevel"/>
    <w:lvl w:ilvl="0">
      <w:lvlJc w:val="left"/>
      <w:lvlText w:val="%1."/>
      <w:numFmt w:val="upperLetter"/>
      <w:start w:val="6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232">
    <w:nsid w:val="556B69E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33">
    <w:nsid w:val="70836196"/>
    <w:multiLevelType w:val="hybridMultilevel"/>
    <w:lvl w:ilvl="0">
      <w:lvlJc w:val="left"/>
      <w:lvlText w:val="(%1)"/>
      <w:numFmt w:val="decimal"/>
      <w:start w:val="3"/>
    </w:lvl>
  </w:abstractNum>
  <w:abstractNum w:abstractNumId="234">
    <w:nsid w:val="539F7F12"/>
    <w:multiLevelType w:val="hybridMultilevel"/>
    <w:lvl w:ilvl="0">
      <w:lvlJc w:val="left"/>
      <w:lvlText w:val="%1."/>
      <w:numFmt w:val="upperLetter"/>
      <w:start w:val="22"/>
    </w:lvl>
  </w:abstractNum>
  <w:abstractNum w:abstractNumId="235">
    <w:nsid w:val="2817E7EC"/>
    <w:multiLevelType w:val="hybridMultilevel"/>
    <w:lvl w:ilvl="0">
      <w:lvlJc w:val="left"/>
      <w:lvlText w:val="[***]"/>
      <w:numFmt w:val="bullet"/>
      <w:start w:val="1"/>
    </w:lvl>
  </w:abstractNum>
  <w:abstractNum w:abstractNumId="236">
    <w:nsid w:val="71482545"/>
    <w:multiLevelType w:val="hybridMultilevel"/>
    <w:lvl w:ilvl="0">
      <w:lvlJc w:val="left"/>
      <w:lvlText w:val="%1."/>
      <w:numFmt w:val="decimal"/>
      <w:start w:val="1"/>
    </w:lvl>
  </w:abstractNum>
  <w:abstractNum w:abstractNumId="237">
    <w:nsid w:val="17D78639"/>
    <w:multiLevelType w:val="hybridMultilevel"/>
    <w:lvl w:ilvl="0">
      <w:lvlJc w:val="left"/>
      <w:lvlText w:val="%1."/>
      <w:numFmt w:val="decimal"/>
      <w:start w:val="2"/>
    </w:lvl>
  </w:abstractNum>
  <w:abstractNum w:abstractNumId="238">
    <w:nsid w:val="141D2302"/>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239">
    <w:nsid w:val="407168D8"/>
    <w:multiLevelType w:val="hybridMultilevel"/>
    <w:lvl w:ilvl="0">
      <w:lvlJc w:val="left"/>
      <w:lvlText w:val="%1)"/>
      <w:numFmt w:val="lowerLetter"/>
      <w:start w:val="2"/>
    </w:lvl>
    <w:lvl w:ilvl="1">
      <w:lvlJc w:val="left"/>
      <w:lvlText w:val="•"/>
      <w:numFmt w:val="bullet"/>
      <w:start w:val="1"/>
    </w:lvl>
  </w:abstractNum>
  <w:abstractNum w:abstractNumId="240">
    <w:nsid w:val="6A1B45E5"/>
    <w:multiLevelType w:val="hybridMultilevel"/>
    <w:lvl w:ilvl="0">
      <w:lvlJc w:val="left"/>
      <w:lvlText w:val="%1)"/>
      <w:numFmt w:val="lowerLetter"/>
      <w:start w:val="2"/>
    </w:lvl>
    <w:lvl w:ilvl="1">
      <w:lvlJc w:val="left"/>
      <w:lvlText w:val="•"/>
      <w:numFmt w:val="bullet"/>
      <w:start w:val="1"/>
    </w:lvl>
  </w:abstractNum>
  <w:abstractNum w:abstractNumId="241">
    <w:nsid w:val="567BD50A"/>
    <w:multiLevelType w:val="hybridMultilevel"/>
    <w:lvl w:ilvl="0">
      <w:lvlJc w:val="left"/>
      <w:lvlText w:val="%1"/>
      <w:numFmt w:val="decimal"/>
      <w:start w:val="1"/>
    </w:lvl>
    <w:lvl w:ilvl="1">
      <w:lvlJc w:val="left"/>
      <w:lvlText w:val="%2)"/>
      <w:numFmt w:val="lowerLetter"/>
      <w:start w:val="4"/>
    </w:lvl>
  </w:abstractNum>
  <w:abstractNum w:abstractNumId="242">
    <w:nsid w:val="73BBD7F8"/>
    <w:multiLevelType w:val="hybridMultilevel"/>
    <w:lvl w:ilvl="0">
      <w:lvlJc w:val="left"/>
      <w:lvlText w:val="%1."/>
      <w:numFmt w:val="decimal"/>
      <w:start w:val="5"/>
    </w:lvl>
    <w:lvl w:ilvl="1">
      <w:lvlJc w:val="left"/>
      <w:lvlText w:val="%2)"/>
      <w:numFmt w:val="lowerLetter"/>
      <w:start w:val="1"/>
    </w:lvl>
  </w:abstractNum>
  <w:abstractNum w:abstractNumId="243">
    <w:nsid w:val="1876589D"/>
    <w:multiLevelType w:val="hybridMultilevel"/>
    <w:lvl w:ilvl="0">
      <w:lvlJc w:val="left"/>
      <w:lvlText w:val="•"/>
      <w:numFmt w:val="bullet"/>
      <w:start w:val="1"/>
    </w:lvl>
  </w:abstractNum>
  <w:abstractNum w:abstractNumId="244">
    <w:nsid w:val="327FAC77"/>
    <w:multiLevelType w:val="hybridMultilevel"/>
    <w:lvl w:ilvl="0">
      <w:lvlJc w:val="left"/>
      <w:lvlText w:val="%1)"/>
      <w:numFmt w:val="lowerLetter"/>
      <w:start w:val="1"/>
    </w:lvl>
    <w:lvl w:ilvl="1">
      <w:lvlJc w:val="left"/>
      <w:lvlText w:val="•"/>
      <w:numFmt w:val="bullet"/>
      <w:start w:val="1"/>
    </w:lvl>
    <w:lvl w:ilvl="2">
      <w:lvlJc w:val="left"/>
      <w:lvlText w:val="(%3)"/>
      <w:numFmt w:val="lowerRoman"/>
      <w:start w:val="1"/>
    </w:lvl>
  </w:abstractNum>
  <w:abstractNum w:abstractNumId="245">
    <w:nsid w:val="5A606509"/>
    <w:multiLevelType w:val="hybridMultilevel"/>
    <w:lvl w:ilvl="0">
      <w:lvlJc w:val="left"/>
      <w:lvlText w:val="%1"/>
      <w:numFmt w:val="lowerLetter"/>
      <w:start w:val="1"/>
    </w:lvl>
    <w:lvl w:ilvl="1">
      <w:lvlJc w:val="left"/>
      <w:lvlText w:val="(%2)"/>
      <w:numFmt w:val="lowerRoman"/>
      <w:start w:val="9"/>
    </w:lvl>
  </w:abstractNum>
  <w:abstractNum w:abstractNumId="246">
    <w:nsid w:val="6F38E6D1"/>
    <w:multiLevelType w:val="hybridMultilevel"/>
    <w:lvl w:ilvl="0">
      <w:lvlJc w:val="left"/>
      <w:lvlText w:val="%1)"/>
      <w:numFmt w:val="lowerLetter"/>
      <w:start w:val="3"/>
    </w:lvl>
    <w:lvl w:ilvl="1">
      <w:lvlJc w:val="left"/>
      <w:lvlText w:val="(%2)"/>
      <w:numFmt w:val="lowerRoman"/>
      <w:start w:val="1"/>
    </w:lvl>
  </w:abstractNum>
  <w:abstractNum w:abstractNumId="247">
    <w:nsid w:val="46111BA5"/>
    <w:multiLevelType w:val="hybridMultilevel"/>
    <w:lvl w:ilvl="0">
      <w:lvlJc w:val="left"/>
      <w:lvlText w:val="%1)"/>
      <w:numFmt w:val="lowerLetter"/>
      <w:start w:val="4"/>
    </w:lvl>
    <w:lvl w:ilvl="1">
      <w:lvlJc w:val="left"/>
      <w:lvlText w:val="(%2)"/>
      <w:numFmt w:val="decimal"/>
      <w:start w:val="1"/>
    </w:lvl>
  </w:abstractNum>
  <w:abstractNum w:abstractNumId="248">
    <w:nsid w:val="5E963896"/>
    <w:multiLevelType w:val="hybridMultilevel"/>
    <w:lvl w:ilvl="0">
      <w:lvlJc w:val="left"/>
      <w:lvlText w:val="%1."/>
      <w:numFmt w:val="decimal"/>
      <w:start w:val="6"/>
    </w:lvl>
    <w:lvl w:ilvl="1">
      <w:lvlJc w:val="left"/>
      <w:lvlText w:val="%2)"/>
      <w:numFmt w:val="lowerLetter"/>
    </w:lvl>
    <w:lvl w:ilvl="2">
      <w:lvlJc w:val="left"/>
      <w:lvlText w:val="•"/>
      <w:numFmt w:val="bullet"/>
      <w:start w:val="1"/>
    </w:lvl>
  </w:abstractNum>
  <w:abstractNum w:abstractNumId="249">
    <w:nsid w:val="775BA7C1"/>
    <w:multiLevelType w:val="hybridMultilevel"/>
    <w:lvl w:ilvl="0">
      <w:lvlJc w:val="left"/>
      <w:lvlText w:val="•"/>
      <w:numFmt w:val="bullet"/>
      <w:start w:val="1"/>
    </w:lvl>
  </w:abstractNum>
  <w:abstractNum w:abstractNumId="250">
    <w:nsid w:val="1DD6D6F4"/>
    <w:multiLevelType w:val="hybridMultilevel"/>
    <w:lvl w:ilvl="0">
      <w:lvlJc w:val="left"/>
      <w:lvlText w:val="%1)"/>
      <w:numFmt w:val="lowerLetter"/>
      <w:start w:val="2"/>
    </w:lvl>
    <w:lvl w:ilvl="1">
      <w:lvlJc w:val="left"/>
      <w:lvlText w:val="•"/>
      <w:numFmt w:val="bullet"/>
      <w:start w:val="1"/>
    </w:lvl>
  </w:abstractNum>
  <w:abstractNum w:abstractNumId="251">
    <w:nsid w:val="769A091F"/>
    <w:multiLevelType w:val="hybridMultilevel"/>
    <w:lvl w:ilvl="0">
      <w:lvlJc w:val="left"/>
      <w:lvlText w:val="%1."/>
      <w:numFmt w:val="decimal"/>
      <w:start w:val="7"/>
    </w:lvl>
  </w:abstractNum>
  <w:abstractNum w:abstractNumId="252">
    <w:nsid w:val="4695AE95"/>
    <w:multiLevelType w:val="hybridMultilevel"/>
    <w:lvl w:ilvl="0">
      <w:lvlJc w:val="left"/>
      <w:lvlText w:val="%1."/>
      <w:numFmt w:val="decimal"/>
      <w:start w:val="8"/>
    </w:lvl>
  </w:abstractNum>
  <w:abstractNum w:abstractNumId="253">
    <w:nsid w:val="777A4EAA"/>
    <w:multiLevelType w:val="hybridMultilevel"/>
    <w:lvl w:ilvl="0">
      <w:lvlJc w:val="left"/>
      <w:lvlText w:val="•"/>
      <w:numFmt w:val="bullet"/>
      <w:start w:val="1"/>
    </w:lvl>
  </w:abstractNum>
  <w:abstractNum w:abstractNumId="254">
    <w:nsid w:val="3F48B982"/>
    <w:multiLevelType w:val="hybridMultilevel"/>
    <w:lvl w:ilvl="0">
      <w:lvlJc w:val="left"/>
      <w:lvlText w:val="%1."/>
      <w:numFmt w:val="decimal"/>
      <w:start w:val="9"/>
    </w:lvl>
  </w:abstractNum>
  <w:abstractNum w:abstractNumId="255">
    <w:nsid w:val="46BA8FCA"/>
    <w:multiLevelType w:val="hybridMultilevel"/>
    <w:lvl w:ilvl="0">
      <w:lvlJc w:val="left"/>
      <w:lvlText w:val="%1."/>
      <w:numFmt w:val="decimal"/>
      <w:start w:val="1"/>
    </w:lvl>
    <w:lvl w:ilvl="1">
      <w:lvlJc w:val="left"/>
      <w:lvlText w:val="(%2)"/>
      <w:numFmt w:val="lowerLetter"/>
      <w:start w:val="1"/>
    </w:lvl>
  </w:abstractNum>
  <w:abstractNum w:abstractNumId="256">
    <w:nsid w:val="7835626C"/>
    <w:multiLevelType w:val="hybridMultilevel"/>
    <w:lvl w:ilvl="0">
      <w:lvlJc w:val="left"/>
      <w:lvlText w:val="%1."/>
      <w:numFmt w:val="decimal"/>
      <w:start w:val="1"/>
    </w:lvl>
    <w:lvl w:ilvl="1">
      <w:lvlJc w:val="left"/>
      <w:lvlText w:val="(%2)"/>
      <w:numFmt w:val="lowerLetter"/>
      <w:start w:val="1"/>
    </w:lvl>
  </w:abstractNum>
  <w:abstractNum w:abstractNumId="257">
    <w:nsid w:val="665ACA49"/>
    <w:multiLevelType w:val="hybridMultilevel"/>
    <w:lvl w:ilvl="0">
      <w:lvlJc w:val="left"/>
      <w:lvlText w:val="%1."/>
      <w:numFmt w:val="decimal"/>
      <w:start w:val="1"/>
    </w:lvl>
  </w:abstractNum>
  <w:abstractNum w:abstractNumId="258">
    <w:nsid w:val="6835B2AE"/>
    <w:multiLevelType w:val="hybridMultilevel"/>
    <w:lvl w:ilvl="0">
      <w:lvlJc w:val="left"/>
      <w:lvlText w:val="%1."/>
      <w:numFmt w:val="decimal"/>
      <w:start w:val="1"/>
    </w:lvl>
  </w:abstractNum>
  <w:abstractNum w:abstractNumId="259">
    <w:nsid w:val="4C187C9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40" Type="http://schemas.openxmlformats.org/officeDocument/2006/relationships/image" Target="media/image318.png"/><Relationship Id="rId357" Type="http://schemas.openxmlformats.org/officeDocument/2006/relationships/image" Target="media/image319.png"/><Relationship Id="rId377" Type="http://schemas.openxmlformats.org/officeDocument/2006/relationships/image" Target="media/image320.png"/><Relationship Id="rId378" Type="http://schemas.openxmlformats.org/officeDocument/2006/relationships/image" Target="media/image321.png"/><Relationship Id="rId379" Type="http://schemas.openxmlformats.org/officeDocument/2006/relationships/image" Target="media/image322.png"/><Relationship Id="rId380" Type="http://schemas.openxmlformats.org/officeDocument/2006/relationships/image" Target="media/image323.png"/><Relationship Id="rId381" Type="http://schemas.openxmlformats.org/officeDocument/2006/relationships/image" Target="media/image324.png"/><Relationship Id="rId382" Type="http://schemas.openxmlformats.org/officeDocument/2006/relationships/image" Target="media/image325.png"/><Relationship Id="rId383" Type="http://schemas.openxmlformats.org/officeDocument/2006/relationships/image" Target="media/image326.png"/><Relationship Id="rId384" Type="http://schemas.openxmlformats.org/officeDocument/2006/relationships/image" Target="media/image327.png"/><Relationship Id="rId385" Type="http://schemas.openxmlformats.org/officeDocument/2006/relationships/image" Target="media/image328.png"/><Relationship Id="rId386" Type="http://schemas.openxmlformats.org/officeDocument/2006/relationships/image" Target="media/image329.png"/><Relationship Id="rId387" Type="http://schemas.openxmlformats.org/officeDocument/2006/relationships/image" Target="media/image330.png"/><Relationship Id="rId388" Type="http://schemas.openxmlformats.org/officeDocument/2006/relationships/image" Target="media/image331.png"/><Relationship Id="rId389" Type="http://schemas.openxmlformats.org/officeDocument/2006/relationships/image" Target="media/image332.png"/><Relationship Id="rId390" Type="http://schemas.openxmlformats.org/officeDocument/2006/relationships/image" Target="media/image333.png"/><Relationship Id="rId391" Type="http://schemas.openxmlformats.org/officeDocument/2006/relationships/image" Target="media/image334.png"/><Relationship Id="rId392" Type="http://schemas.openxmlformats.org/officeDocument/2006/relationships/image" Target="media/image335.png"/><Relationship Id="rId393" Type="http://schemas.openxmlformats.org/officeDocument/2006/relationships/image" Target="media/image336.png"/><Relationship Id="rId394" Type="http://schemas.openxmlformats.org/officeDocument/2006/relationships/image" Target="media/image337.png"/><Relationship Id="rId395" Type="http://schemas.openxmlformats.org/officeDocument/2006/relationships/image" Target="media/image338.png"/><Relationship Id="rId396" Type="http://schemas.openxmlformats.org/officeDocument/2006/relationships/image" Target="media/image339.png"/><Relationship Id="rId397" Type="http://schemas.openxmlformats.org/officeDocument/2006/relationships/image" Target="media/image340.png"/><Relationship Id="rId398" Type="http://schemas.openxmlformats.org/officeDocument/2006/relationships/image" Target="media/image341.png"/><Relationship Id="rId399" Type="http://schemas.openxmlformats.org/officeDocument/2006/relationships/image" Target="media/image342.png"/><Relationship Id="rId400" Type="http://schemas.openxmlformats.org/officeDocument/2006/relationships/image" Target="media/image343.png"/><Relationship Id="rId401" Type="http://schemas.openxmlformats.org/officeDocument/2006/relationships/image" Target="media/image344.png"/><Relationship Id="rId402" Type="http://schemas.openxmlformats.org/officeDocument/2006/relationships/image" Target="media/image345.png"/><Relationship Id="rId403" Type="http://schemas.openxmlformats.org/officeDocument/2006/relationships/image" Target="media/image346.png"/><Relationship Id="rId404" Type="http://schemas.openxmlformats.org/officeDocument/2006/relationships/image" Target="media/image347.png"/><Relationship Id="rId405" Type="http://schemas.openxmlformats.org/officeDocument/2006/relationships/image" Target="media/image348.png"/><Relationship Id="rId406" Type="http://schemas.openxmlformats.org/officeDocument/2006/relationships/image" Target="media/image349.png"/><Relationship Id="rId407" Type="http://schemas.openxmlformats.org/officeDocument/2006/relationships/image" Target="media/image350.png"/><Relationship Id="rId408" Type="http://schemas.openxmlformats.org/officeDocument/2006/relationships/image" Target="media/image351.png"/><Relationship Id="rId409" Type="http://schemas.openxmlformats.org/officeDocument/2006/relationships/image" Target="media/image352.png"/><Relationship Id="rId410" Type="http://schemas.openxmlformats.org/officeDocument/2006/relationships/image" Target="media/image353.png"/><Relationship Id="rId411" Type="http://schemas.openxmlformats.org/officeDocument/2006/relationships/image" Target="media/image354.png"/><Relationship Id="rId412" Type="http://schemas.openxmlformats.org/officeDocument/2006/relationships/image" Target="media/image355.png"/><Relationship Id="rId413" Type="http://schemas.openxmlformats.org/officeDocument/2006/relationships/image" Target="media/image356.png"/><Relationship Id="rId414" Type="http://schemas.openxmlformats.org/officeDocument/2006/relationships/image" Target="media/image357.png"/><Relationship Id="rId415" Type="http://schemas.openxmlformats.org/officeDocument/2006/relationships/image" Target="media/image358.png"/><Relationship Id="rId416" Type="http://schemas.openxmlformats.org/officeDocument/2006/relationships/image" Target="media/image359.png"/><Relationship Id="rId417" Type="http://schemas.openxmlformats.org/officeDocument/2006/relationships/image" Target="media/image360.png"/><Relationship Id="rId418" Type="http://schemas.openxmlformats.org/officeDocument/2006/relationships/image" Target="media/image361.png"/><Relationship Id="rId419" Type="http://schemas.openxmlformats.org/officeDocument/2006/relationships/image" Target="media/image362.png"/><Relationship Id="rId420" Type="http://schemas.openxmlformats.org/officeDocument/2006/relationships/image" Target="media/image363.png"/><Relationship Id="rId421" Type="http://schemas.openxmlformats.org/officeDocument/2006/relationships/image" Target="media/image364.png"/><Relationship Id="rId422" Type="http://schemas.openxmlformats.org/officeDocument/2006/relationships/image" Target="media/image365.png"/><Relationship Id="rId423" Type="http://schemas.openxmlformats.org/officeDocument/2006/relationships/image" Target="media/image366.png"/><Relationship Id="rId424" Type="http://schemas.openxmlformats.org/officeDocument/2006/relationships/image" Target="media/image367.png"/><Relationship Id="rId425" Type="http://schemas.openxmlformats.org/officeDocument/2006/relationships/image" Target="media/image368.png"/><Relationship Id="rId426" Type="http://schemas.openxmlformats.org/officeDocument/2006/relationships/image" Target="media/image369.png"/><Relationship Id="rId427" Type="http://schemas.openxmlformats.org/officeDocument/2006/relationships/image" Target="media/image370.png"/><Relationship Id="rId428" Type="http://schemas.openxmlformats.org/officeDocument/2006/relationships/image" Target="media/image371.png"/><Relationship Id="rId429" Type="http://schemas.openxmlformats.org/officeDocument/2006/relationships/image" Target="media/image372.png"/><Relationship Id="rId430" Type="http://schemas.openxmlformats.org/officeDocument/2006/relationships/image" Target="media/image373.png"/><Relationship Id="rId431" Type="http://schemas.openxmlformats.org/officeDocument/2006/relationships/image" Target="media/image374.png"/><Relationship Id="rId432" Type="http://schemas.openxmlformats.org/officeDocument/2006/relationships/image" Target="media/image375.png"/><Relationship Id="rId433" Type="http://schemas.openxmlformats.org/officeDocument/2006/relationships/image" Target="media/image376.png"/><Relationship Id="rId434" Type="http://schemas.openxmlformats.org/officeDocument/2006/relationships/image" Target="media/image377.png"/><Relationship Id="rId435" Type="http://schemas.openxmlformats.org/officeDocument/2006/relationships/image" Target="media/image378.png"/><Relationship Id="rId436" Type="http://schemas.openxmlformats.org/officeDocument/2006/relationships/image" Target="media/image379.png"/><Relationship Id="rId437" Type="http://schemas.openxmlformats.org/officeDocument/2006/relationships/image" Target="media/image380.png"/><Relationship Id="rId438" Type="http://schemas.openxmlformats.org/officeDocument/2006/relationships/image" Target="media/image381.png"/><Relationship Id="rId439" Type="http://schemas.openxmlformats.org/officeDocument/2006/relationships/image" Target="media/image382.png"/><Relationship Id="rId440" Type="http://schemas.openxmlformats.org/officeDocument/2006/relationships/image" Target="media/image383.png"/><Relationship Id="rId441" Type="http://schemas.openxmlformats.org/officeDocument/2006/relationships/image" Target="media/image384.png"/><Relationship Id="rId442" Type="http://schemas.openxmlformats.org/officeDocument/2006/relationships/image" Target="media/image385.png"/><Relationship Id="rId443" Type="http://schemas.openxmlformats.org/officeDocument/2006/relationships/image" Target="media/image386.png"/><Relationship Id="rId444" Type="http://schemas.openxmlformats.org/officeDocument/2006/relationships/image" Target="media/image387.png"/><Relationship Id="rId445" Type="http://schemas.openxmlformats.org/officeDocument/2006/relationships/image" Target="media/image388.png"/><Relationship Id="rId446" Type="http://schemas.openxmlformats.org/officeDocument/2006/relationships/image" Target="media/image389.png"/><Relationship Id="rId447" Type="http://schemas.openxmlformats.org/officeDocument/2006/relationships/image" Target="media/image390.png"/><Relationship Id="rId448" Type="http://schemas.openxmlformats.org/officeDocument/2006/relationships/image" Target="media/image391.png"/><Relationship Id="rId449" Type="http://schemas.openxmlformats.org/officeDocument/2006/relationships/image" Target="media/image392.png"/><Relationship Id="rId450" Type="http://schemas.openxmlformats.org/officeDocument/2006/relationships/image" Target="media/image393.png"/><Relationship Id="rId451" Type="http://schemas.openxmlformats.org/officeDocument/2006/relationships/image" Target="media/image394.png"/><Relationship Id="rId452" Type="http://schemas.openxmlformats.org/officeDocument/2006/relationships/image" Target="media/image395.png"/><Relationship Id="rId453" Type="http://schemas.openxmlformats.org/officeDocument/2006/relationships/image" Target="media/image396.png"/><Relationship Id="rId454" Type="http://schemas.openxmlformats.org/officeDocument/2006/relationships/image" Target="media/image397.png"/><Relationship Id="rId455" Type="http://schemas.openxmlformats.org/officeDocument/2006/relationships/image" Target="media/image398.png"/><Relationship Id="rId456" Type="http://schemas.openxmlformats.org/officeDocument/2006/relationships/image" Target="media/image399.png"/><Relationship Id="rId457" Type="http://schemas.openxmlformats.org/officeDocument/2006/relationships/image" Target="media/image400.png"/><Relationship Id="rId458" Type="http://schemas.openxmlformats.org/officeDocument/2006/relationships/image" Target="media/image401.png"/><Relationship Id="rId459" Type="http://schemas.openxmlformats.org/officeDocument/2006/relationships/image" Target="media/image402.png"/><Relationship Id="rId460" Type="http://schemas.openxmlformats.org/officeDocument/2006/relationships/image" Target="media/image403.png"/><Relationship Id="rId461" Type="http://schemas.openxmlformats.org/officeDocument/2006/relationships/image" Target="media/image404.png"/><Relationship Id="rId462" Type="http://schemas.openxmlformats.org/officeDocument/2006/relationships/image" Target="media/image405.png"/><Relationship Id="rId463" Type="http://schemas.openxmlformats.org/officeDocument/2006/relationships/image" Target="media/image406.png"/><Relationship Id="rId464" Type="http://schemas.openxmlformats.org/officeDocument/2006/relationships/image" Target="media/image407.png"/><Relationship Id="rId465" Type="http://schemas.openxmlformats.org/officeDocument/2006/relationships/image" Target="media/image408.png"/><Relationship Id="rId466" Type="http://schemas.openxmlformats.org/officeDocument/2006/relationships/image" Target="media/image409.png"/><Relationship Id="rId467" Type="http://schemas.openxmlformats.org/officeDocument/2006/relationships/image" Target="media/image410.png"/><Relationship Id="rId468" Type="http://schemas.openxmlformats.org/officeDocument/2006/relationships/image" Target="media/image411.png"/><Relationship Id="rId469" Type="http://schemas.openxmlformats.org/officeDocument/2006/relationships/image" Target="media/image412.png"/><Relationship Id="rId470" Type="http://schemas.openxmlformats.org/officeDocument/2006/relationships/image" Target="media/image413.png"/><Relationship Id="rId471" Type="http://schemas.openxmlformats.org/officeDocument/2006/relationships/image" Target="media/image414.png"/><Relationship Id="rId472" Type="http://schemas.openxmlformats.org/officeDocument/2006/relationships/image" Target="media/image415.png"/><Relationship Id="rId473" Type="http://schemas.openxmlformats.org/officeDocument/2006/relationships/image" Target="media/image416.png"/><Relationship Id="rId474" Type="http://schemas.openxmlformats.org/officeDocument/2006/relationships/image" Target="media/image417.png"/><Relationship Id="rId475" Type="http://schemas.openxmlformats.org/officeDocument/2006/relationships/image" Target="media/image418.png"/><Relationship Id="rId476" Type="http://schemas.openxmlformats.org/officeDocument/2006/relationships/image" Target="media/image419.png"/><Relationship Id="rId477" Type="http://schemas.openxmlformats.org/officeDocument/2006/relationships/image" Target="media/image420.png"/><Relationship Id="rId478" Type="http://schemas.openxmlformats.org/officeDocument/2006/relationships/image" Target="media/image421.png"/><Relationship Id="rId479" Type="http://schemas.openxmlformats.org/officeDocument/2006/relationships/image" Target="media/image422.png"/><Relationship Id="rId480" Type="http://schemas.openxmlformats.org/officeDocument/2006/relationships/image" Target="media/image423.png"/><Relationship Id="rId481" Type="http://schemas.openxmlformats.org/officeDocument/2006/relationships/image" Target="media/image424.png"/><Relationship Id="rId482" Type="http://schemas.openxmlformats.org/officeDocument/2006/relationships/image" Target="media/image425.png"/><Relationship Id="rId483" Type="http://schemas.openxmlformats.org/officeDocument/2006/relationships/image" Target="media/image426.png"/><Relationship Id="rId484" Type="http://schemas.openxmlformats.org/officeDocument/2006/relationships/image" Target="media/image427.png"/><Relationship Id="rId485" Type="http://schemas.openxmlformats.org/officeDocument/2006/relationships/image" Target="media/image428.png"/><Relationship Id="rId486" Type="http://schemas.openxmlformats.org/officeDocument/2006/relationships/image" Target="media/image429.png"/><Relationship Id="rId487" Type="http://schemas.openxmlformats.org/officeDocument/2006/relationships/image" Target="media/image430.png"/><Relationship Id="rId488" Type="http://schemas.openxmlformats.org/officeDocument/2006/relationships/image" Target="media/image431.png"/><Relationship Id="rId489" Type="http://schemas.openxmlformats.org/officeDocument/2006/relationships/image" Target="media/image432.png"/><Relationship Id="rId490" Type="http://schemas.openxmlformats.org/officeDocument/2006/relationships/image" Target="media/image433.png"/><Relationship Id="rId491" Type="http://schemas.openxmlformats.org/officeDocument/2006/relationships/image" Target="media/image434.png"/><Relationship Id="rId492" Type="http://schemas.openxmlformats.org/officeDocument/2006/relationships/image" Target="media/image435.png"/><Relationship Id="rId493" Type="http://schemas.openxmlformats.org/officeDocument/2006/relationships/image" Target="media/image436.png"/><Relationship Id="rId494" Type="http://schemas.openxmlformats.org/officeDocument/2006/relationships/image" Target="media/image437.png"/><Relationship Id="rId495" Type="http://schemas.openxmlformats.org/officeDocument/2006/relationships/image" Target="media/image438.png"/><Relationship Id="rId496" Type="http://schemas.openxmlformats.org/officeDocument/2006/relationships/image" Target="media/image439.png"/><Relationship Id="rId497" Type="http://schemas.openxmlformats.org/officeDocument/2006/relationships/image" Target="media/image440.png"/><Relationship Id="rId498" Type="http://schemas.openxmlformats.org/officeDocument/2006/relationships/image" Target="media/image441.png"/><Relationship Id="rId499" Type="http://schemas.openxmlformats.org/officeDocument/2006/relationships/image" Target="media/image442.png"/><Relationship Id="rId500" Type="http://schemas.openxmlformats.org/officeDocument/2006/relationships/image" Target="media/image443.png"/><Relationship Id="rId501" Type="http://schemas.openxmlformats.org/officeDocument/2006/relationships/image" Target="media/image444.png"/><Relationship Id="rId502" Type="http://schemas.openxmlformats.org/officeDocument/2006/relationships/image" Target="media/image445.png"/><Relationship Id="rId503" Type="http://schemas.openxmlformats.org/officeDocument/2006/relationships/image" Target="media/image446.png"/><Relationship Id="rId504" Type="http://schemas.openxmlformats.org/officeDocument/2006/relationships/image" Target="media/image447.png"/><Relationship Id="rId505" Type="http://schemas.openxmlformats.org/officeDocument/2006/relationships/image" Target="media/image448.png"/><Relationship Id="rId506" Type="http://schemas.openxmlformats.org/officeDocument/2006/relationships/image" Target="media/image449.png"/><Relationship Id="rId507" Type="http://schemas.openxmlformats.org/officeDocument/2006/relationships/image" Target="media/image450.png"/><Relationship Id="rId508" Type="http://schemas.openxmlformats.org/officeDocument/2006/relationships/image" Target="media/image451.png"/><Relationship Id="rId509" Type="http://schemas.openxmlformats.org/officeDocument/2006/relationships/image" Target="media/image452.png"/><Relationship Id="rId510" Type="http://schemas.openxmlformats.org/officeDocument/2006/relationships/image" Target="media/image453.png"/><Relationship Id="rId511" Type="http://schemas.openxmlformats.org/officeDocument/2006/relationships/image" Target="media/image454.png"/><Relationship Id="rId512" Type="http://schemas.openxmlformats.org/officeDocument/2006/relationships/image" Target="media/image455.png"/><Relationship Id="rId513" Type="http://schemas.openxmlformats.org/officeDocument/2006/relationships/image" Target="media/image456.png"/><Relationship Id="rId514" Type="http://schemas.openxmlformats.org/officeDocument/2006/relationships/image" Target="media/image457.png"/><Relationship Id="rId515" Type="http://schemas.openxmlformats.org/officeDocument/2006/relationships/image" Target="media/image458.png"/><Relationship Id="rId516" Type="http://schemas.openxmlformats.org/officeDocument/2006/relationships/image" Target="media/image459.png"/><Relationship Id="rId517" Type="http://schemas.openxmlformats.org/officeDocument/2006/relationships/image" Target="media/image460.png"/><Relationship Id="rId518" Type="http://schemas.openxmlformats.org/officeDocument/2006/relationships/image" Target="media/image461.png"/><Relationship Id="rId519" Type="http://schemas.openxmlformats.org/officeDocument/2006/relationships/image" Target="media/image462.png"/><Relationship Id="rId520" Type="http://schemas.openxmlformats.org/officeDocument/2006/relationships/image" Target="media/image463.png"/><Relationship Id="rId521" Type="http://schemas.openxmlformats.org/officeDocument/2006/relationships/image" Target="media/image464.png"/><Relationship Id="rId522" Type="http://schemas.openxmlformats.org/officeDocument/2006/relationships/image" Target="media/image465.png"/><Relationship Id="rId523" Type="http://schemas.openxmlformats.org/officeDocument/2006/relationships/image" Target="media/image466.png"/><Relationship Id="rId524" Type="http://schemas.openxmlformats.org/officeDocument/2006/relationships/image" Target="media/image467.png"/><Relationship Id="rId525" Type="http://schemas.openxmlformats.org/officeDocument/2006/relationships/image" Target="media/image468.png"/><Relationship Id="rId526" Type="http://schemas.openxmlformats.org/officeDocument/2006/relationships/image" Target="media/image469.png"/><Relationship Id="rId527" Type="http://schemas.openxmlformats.org/officeDocument/2006/relationships/image" Target="media/image470.png"/><Relationship Id="rId528" Type="http://schemas.openxmlformats.org/officeDocument/2006/relationships/image" Target="media/image471.png"/><Relationship Id="rId529" Type="http://schemas.openxmlformats.org/officeDocument/2006/relationships/image" Target="media/image472.png"/><Relationship Id="rId530" Type="http://schemas.openxmlformats.org/officeDocument/2006/relationships/image" Target="media/image473.png"/><Relationship Id="rId531" Type="http://schemas.openxmlformats.org/officeDocument/2006/relationships/image" Target="media/image474.png"/><Relationship Id="rId532" Type="http://schemas.openxmlformats.org/officeDocument/2006/relationships/image" Target="media/image475.png"/><Relationship Id="rId533" Type="http://schemas.openxmlformats.org/officeDocument/2006/relationships/image" Target="media/image476.png"/><Relationship Id="rId534" Type="http://schemas.openxmlformats.org/officeDocument/2006/relationships/image" Target="media/image477.png"/><Relationship Id="rId535" Type="http://schemas.openxmlformats.org/officeDocument/2006/relationships/image" Target="media/image478.png"/><Relationship Id="rId536" Type="http://schemas.openxmlformats.org/officeDocument/2006/relationships/image" Target="media/image479.png"/><Relationship Id="rId537" Type="http://schemas.openxmlformats.org/officeDocument/2006/relationships/image" Target="media/image480.png"/><Relationship Id="rId538" Type="http://schemas.openxmlformats.org/officeDocument/2006/relationships/image" Target="media/image481.png"/><Relationship Id="rId539" Type="http://schemas.openxmlformats.org/officeDocument/2006/relationships/image" Target="media/image482.png"/><Relationship Id="rId540" Type="http://schemas.openxmlformats.org/officeDocument/2006/relationships/image" Target="media/image483.png"/><Relationship Id="rId541" Type="http://schemas.openxmlformats.org/officeDocument/2006/relationships/image" Target="media/image484.png"/><Relationship Id="rId542" Type="http://schemas.openxmlformats.org/officeDocument/2006/relationships/image" Target="media/image485.png"/><Relationship Id="rId543" Type="http://schemas.openxmlformats.org/officeDocument/2006/relationships/image" Target="media/image486.png"/><Relationship Id="rId544" Type="http://schemas.openxmlformats.org/officeDocument/2006/relationships/image" Target="media/image487.png"/><Relationship Id="rId545" Type="http://schemas.openxmlformats.org/officeDocument/2006/relationships/image" Target="media/image488.png"/><Relationship Id="rId546" Type="http://schemas.openxmlformats.org/officeDocument/2006/relationships/image" Target="media/image489.png"/><Relationship Id="rId547" Type="http://schemas.openxmlformats.org/officeDocument/2006/relationships/image" Target="media/image490.png"/><Relationship Id="rId548" Type="http://schemas.openxmlformats.org/officeDocument/2006/relationships/image" Target="media/image491.png"/><Relationship Id="rId549" Type="http://schemas.openxmlformats.org/officeDocument/2006/relationships/image" Target="media/image492.png"/><Relationship Id="rId550" Type="http://schemas.openxmlformats.org/officeDocument/2006/relationships/image" Target="media/image493.png"/><Relationship Id="rId551" Type="http://schemas.openxmlformats.org/officeDocument/2006/relationships/image" Target="media/image494.png"/><Relationship Id="rId552" Type="http://schemas.openxmlformats.org/officeDocument/2006/relationships/image" Target="media/image495.png"/><Relationship Id="rId553" Type="http://schemas.openxmlformats.org/officeDocument/2006/relationships/image" Target="media/image496.png"/><Relationship Id="rId554" Type="http://schemas.openxmlformats.org/officeDocument/2006/relationships/image" Target="media/image497.png"/><Relationship Id="rId555" Type="http://schemas.openxmlformats.org/officeDocument/2006/relationships/image" Target="media/image498.png"/><Relationship Id="rId556" Type="http://schemas.openxmlformats.org/officeDocument/2006/relationships/image" Target="media/image499.png"/><Relationship Id="rId557" Type="http://schemas.openxmlformats.org/officeDocument/2006/relationships/image" Target="media/image500.png"/><Relationship Id="rId558" Type="http://schemas.openxmlformats.org/officeDocument/2006/relationships/image" Target="media/image501.png"/><Relationship Id="rId559" Type="http://schemas.openxmlformats.org/officeDocument/2006/relationships/image" Target="media/image502.png"/><Relationship Id="rId560" Type="http://schemas.openxmlformats.org/officeDocument/2006/relationships/image" Target="media/image503.png"/><Relationship Id="rId561" Type="http://schemas.openxmlformats.org/officeDocument/2006/relationships/image" Target="media/image504.png"/><Relationship Id="rId562" Type="http://schemas.openxmlformats.org/officeDocument/2006/relationships/image" Target="media/image505.png"/><Relationship Id="rId563" Type="http://schemas.openxmlformats.org/officeDocument/2006/relationships/image" Target="media/image506.png"/><Relationship Id="rId564" Type="http://schemas.openxmlformats.org/officeDocument/2006/relationships/image" Target="media/image507.png"/><Relationship Id="rId565" Type="http://schemas.openxmlformats.org/officeDocument/2006/relationships/image" Target="media/image508.png"/><Relationship Id="rId566" Type="http://schemas.openxmlformats.org/officeDocument/2006/relationships/image" Target="media/image509.png"/><Relationship Id="rId567" Type="http://schemas.openxmlformats.org/officeDocument/2006/relationships/image" Target="media/image510.png"/><Relationship Id="rId568" Type="http://schemas.openxmlformats.org/officeDocument/2006/relationships/image" Target="media/image511.png"/><Relationship Id="rId569" Type="http://schemas.openxmlformats.org/officeDocument/2006/relationships/image" Target="media/image512.png"/><Relationship Id="rId570" Type="http://schemas.openxmlformats.org/officeDocument/2006/relationships/image" Target="media/image513.png"/><Relationship Id="rId571" Type="http://schemas.openxmlformats.org/officeDocument/2006/relationships/image" Target="media/image514.png"/><Relationship Id="rId572" Type="http://schemas.openxmlformats.org/officeDocument/2006/relationships/image" Target="media/image515.png"/><Relationship Id="rId573" Type="http://schemas.openxmlformats.org/officeDocument/2006/relationships/image" Target="media/image516.png"/><Relationship Id="rId574" Type="http://schemas.openxmlformats.org/officeDocument/2006/relationships/image" Target="media/image517.png"/><Relationship Id="rId575" Type="http://schemas.openxmlformats.org/officeDocument/2006/relationships/image" Target="media/image518.png"/><Relationship Id="rId576" Type="http://schemas.openxmlformats.org/officeDocument/2006/relationships/image" Target="media/image519.png"/><Relationship Id="rId577" Type="http://schemas.openxmlformats.org/officeDocument/2006/relationships/image" Target="media/image520.png"/><Relationship Id="rId578" Type="http://schemas.openxmlformats.org/officeDocument/2006/relationships/image" Target="media/image521.png"/><Relationship Id="rId579" Type="http://schemas.openxmlformats.org/officeDocument/2006/relationships/image" Target="media/image522.png"/><Relationship Id="rId580" Type="http://schemas.openxmlformats.org/officeDocument/2006/relationships/image" Target="media/image523.png"/><Relationship Id="rId581" Type="http://schemas.openxmlformats.org/officeDocument/2006/relationships/image" Target="media/image524.png"/><Relationship Id="rId582" Type="http://schemas.openxmlformats.org/officeDocument/2006/relationships/image" Target="media/image525.png"/><Relationship Id="rId583" Type="http://schemas.openxmlformats.org/officeDocument/2006/relationships/image" Target="media/image526.png"/><Relationship Id="rId584" Type="http://schemas.openxmlformats.org/officeDocument/2006/relationships/image" Target="media/image527.png"/><Relationship Id="rId585" Type="http://schemas.openxmlformats.org/officeDocument/2006/relationships/image" Target="media/image528.png"/><Relationship Id="rId586" Type="http://schemas.openxmlformats.org/officeDocument/2006/relationships/image" Target="media/image529.png"/><Relationship Id="rId587" Type="http://schemas.openxmlformats.org/officeDocument/2006/relationships/image" Target="media/image530.png"/><Relationship Id="rId588" Type="http://schemas.openxmlformats.org/officeDocument/2006/relationships/image" Target="media/image531.png"/><Relationship Id="rId589" Type="http://schemas.openxmlformats.org/officeDocument/2006/relationships/image" Target="media/image532.png"/><Relationship Id="rId590" Type="http://schemas.openxmlformats.org/officeDocument/2006/relationships/image" Target="media/image533.png"/><Relationship Id="rId591" Type="http://schemas.openxmlformats.org/officeDocument/2006/relationships/image" Target="media/image534.png"/><Relationship Id="rId592" Type="http://schemas.openxmlformats.org/officeDocument/2006/relationships/image" Target="media/image535.png"/><Relationship Id="rId593" Type="http://schemas.openxmlformats.org/officeDocument/2006/relationships/image" Target="media/image536.png"/><Relationship Id="rId594" Type="http://schemas.openxmlformats.org/officeDocument/2006/relationships/image" Target="media/image537.png"/><Relationship Id="rId595" Type="http://schemas.openxmlformats.org/officeDocument/2006/relationships/image" Target="media/image538.png"/><Relationship Id="rId596" Type="http://schemas.openxmlformats.org/officeDocument/2006/relationships/image" Target="media/image539.png"/><Relationship Id="rId597" Type="http://schemas.openxmlformats.org/officeDocument/2006/relationships/image" Target="media/image540.png"/><Relationship Id="rId598" Type="http://schemas.openxmlformats.org/officeDocument/2006/relationships/image" Target="media/image541.png"/><Relationship Id="rId599" Type="http://schemas.openxmlformats.org/officeDocument/2006/relationships/image" Target="media/image542.png"/><Relationship Id="rId600" Type="http://schemas.openxmlformats.org/officeDocument/2006/relationships/image" Target="media/image543.png"/><Relationship Id="rId601" Type="http://schemas.openxmlformats.org/officeDocument/2006/relationships/image" Target="media/image544.png"/><Relationship Id="rId602" Type="http://schemas.openxmlformats.org/officeDocument/2006/relationships/image" Target="media/image545.png"/><Relationship Id="rId603" Type="http://schemas.openxmlformats.org/officeDocument/2006/relationships/image" Target="media/image546.png"/><Relationship Id="rId604" Type="http://schemas.openxmlformats.org/officeDocument/2006/relationships/image" Target="media/image547.png"/><Relationship Id="rId605" Type="http://schemas.openxmlformats.org/officeDocument/2006/relationships/image" Target="media/image548.png"/><Relationship Id="rId606" Type="http://schemas.openxmlformats.org/officeDocument/2006/relationships/image" Target="media/image549.png"/><Relationship Id="rId607" Type="http://schemas.openxmlformats.org/officeDocument/2006/relationships/image" Target="media/image550.png"/><Relationship Id="rId608" Type="http://schemas.openxmlformats.org/officeDocument/2006/relationships/image" Target="media/image551.png"/><Relationship Id="rId609" Type="http://schemas.openxmlformats.org/officeDocument/2006/relationships/image" Target="media/image552.png"/><Relationship Id="rId610" Type="http://schemas.openxmlformats.org/officeDocument/2006/relationships/image" Target="media/image553.png"/><Relationship Id="rId611" Type="http://schemas.openxmlformats.org/officeDocument/2006/relationships/image" Target="media/image554.png"/><Relationship Id="rId612" Type="http://schemas.openxmlformats.org/officeDocument/2006/relationships/image" Target="media/image555.png"/><Relationship Id="rId613" Type="http://schemas.openxmlformats.org/officeDocument/2006/relationships/image" Target="media/image556.png"/><Relationship Id="rId614" Type="http://schemas.openxmlformats.org/officeDocument/2006/relationships/image" Target="media/image557.png"/><Relationship Id="rId615" Type="http://schemas.openxmlformats.org/officeDocument/2006/relationships/image" Target="media/image558.png"/><Relationship Id="rId616" Type="http://schemas.openxmlformats.org/officeDocument/2006/relationships/image" Target="media/image559.png"/><Relationship Id="rId617" Type="http://schemas.openxmlformats.org/officeDocument/2006/relationships/image" Target="media/image560.png"/><Relationship Id="rId618" Type="http://schemas.openxmlformats.org/officeDocument/2006/relationships/image" Target="media/image561.png"/><Relationship Id="rId619" Type="http://schemas.openxmlformats.org/officeDocument/2006/relationships/image" Target="media/image562.png"/><Relationship Id="rId620" Type="http://schemas.openxmlformats.org/officeDocument/2006/relationships/image" Target="media/image563.png"/><Relationship Id="rId621" Type="http://schemas.openxmlformats.org/officeDocument/2006/relationships/image" Target="media/image564.jpeg"/><Relationship Id="rId622" Type="http://schemas.openxmlformats.org/officeDocument/2006/relationships/image" Target="media/image565.png"/><Relationship Id="rId623" Type="http://schemas.openxmlformats.org/officeDocument/2006/relationships/image" Target="media/image566.png"/><Relationship Id="rId624" Type="http://schemas.openxmlformats.org/officeDocument/2006/relationships/image" Target="media/image567.png"/><Relationship Id="rId625" Type="http://schemas.openxmlformats.org/officeDocument/2006/relationships/image" Target="media/image568.png"/><Relationship Id="rId626" Type="http://schemas.openxmlformats.org/officeDocument/2006/relationships/image" Target="media/image569.png"/><Relationship Id="rId627" Type="http://schemas.openxmlformats.org/officeDocument/2006/relationships/image" Target="media/image570.png"/><Relationship Id="rId628" Type="http://schemas.openxmlformats.org/officeDocument/2006/relationships/image" Target="media/image571.png"/><Relationship Id="rId629" Type="http://schemas.openxmlformats.org/officeDocument/2006/relationships/image" Target="media/image572.png"/><Relationship Id="rId630" Type="http://schemas.openxmlformats.org/officeDocument/2006/relationships/image" Target="media/image573.png"/><Relationship Id="rId631" Type="http://schemas.openxmlformats.org/officeDocument/2006/relationships/image" Target="media/image574.png"/><Relationship Id="rId632" Type="http://schemas.openxmlformats.org/officeDocument/2006/relationships/image" Target="media/image575.png"/><Relationship Id="rId633" Type="http://schemas.openxmlformats.org/officeDocument/2006/relationships/image" Target="media/image576.png"/><Relationship Id="rId634" Type="http://schemas.openxmlformats.org/officeDocument/2006/relationships/image" Target="media/image577.png"/><Relationship Id="rId635" Type="http://schemas.openxmlformats.org/officeDocument/2006/relationships/image" Target="media/image578.png"/><Relationship Id="rId636" Type="http://schemas.openxmlformats.org/officeDocument/2006/relationships/image" Target="media/image579.png"/><Relationship Id="rId637" Type="http://schemas.openxmlformats.org/officeDocument/2006/relationships/image" Target="media/image580.png"/><Relationship Id="rId638" Type="http://schemas.openxmlformats.org/officeDocument/2006/relationships/image" Target="media/image581.png"/><Relationship Id="rId639" Type="http://schemas.openxmlformats.org/officeDocument/2006/relationships/image" Target="media/image582.png"/><Relationship Id="rId640" Type="http://schemas.openxmlformats.org/officeDocument/2006/relationships/image" Target="media/image583.png"/><Relationship Id="rId641" Type="http://schemas.openxmlformats.org/officeDocument/2006/relationships/image" Target="media/image584.jpeg"/><Relationship Id="rId642" Type="http://schemas.openxmlformats.org/officeDocument/2006/relationships/image" Target="media/image585.jpeg"/><Relationship Id="rId643" Type="http://schemas.openxmlformats.org/officeDocument/2006/relationships/image" Target="media/image586.jpeg"/><Relationship Id="rId644" Type="http://schemas.openxmlformats.org/officeDocument/2006/relationships/image" Target="media/image587.jpeg"/><Relationship Id="rId645" Type="http://schemas.openxmlformats.org/officeDocument/2006/relationships/image" Target="media/image588.jpeg"/><Relationship Id="rId646" Type="http://schemas.openxmlformats.org/officeDocument/2006/relationships/image" Target="media/image589.jpeg"/><Relationship Id="rId647" Type="http://schemas.openxmlformats.org/officeDocument/2006/relationships/image" Target="media/image590.jpeg"/><Relationship Id="rId648" Type="http://schemas.openxmlformats.org/officeDocument/2006/relationships/image" Target="media/image591.jpeg"/><Relationship Id="rId649" Type="http://schemas.openxmlformats.org/officeDocument/2006/relationships/image" Target="media/image592.jpeg"/><Relationship Id="rId650" Type="http://schemas.openxmlformats.org/officeDocument/2006/relationships/image" Target="media/image593.jpeg"/><Relationship Id="rId651" Type="http://schemas.openxmlformats.org/officeDocument/2006/relationships/image" Target="media/image594.jpeg"/><Relationship Id="rId652" Type="http://schemas.openxmlformats.org/officeDocument/2006/relationships/image" Target="media/image595.jpeg"/><Relationship Id="rId653" Type="http://schemas.openxmlformats.org/officeDocument/2006/relationships/image" Target="media/image596.png"/><Relationship Id="rId654" Type="http://schemas.openxmlformats.org/officeDocument/2006/relationships/image" Target="media/image597.png"/><Relationship Id="rId655" Type="http://schemas.openxmlformats.org/officeDocument/2006/relationships/image" Target="media/image598.png"/><Relationship Id="rId656" Type="http://schemas.openxmlformats.org/officeDocument/2006/relationships/image" Target="media/image599.jpeg"/><Relationship Id="rId325" Type="http://schemas.openxmlformats.org/officeDocument/2006/relationships/hyperlink" Target="https://www.sec.gov/Archives/edgar/data/1776985/000177698524000091/a992biontechsearticlesofas.htm" TargetMode="External"/><Relationship Id="rId326" Type="http://schemas.openxmlformats.org/officeDocument/2006/relationships/hyperlink" Target="https://www.sec.gov/Archives/edgar/data/1201935/000101915519000234/biontechdep.htm" TargetMode="External"/><Relationship Id="rId327" Type="http://schemas.openxmlformats.org/officeDocument/2006/relationships/hyperlink" Target="https://www.sec.gov/Archives/edgar/data/0001776985/000119312519241112/d635330dex42.htm" TargetMode="External"/><Relationship Id="rId328" Type="http://schemas.openxmlformats.org/officeDocument/2006/relationships/hyperlink" Target="https://www.sec.gov/Archives/edgar/data/0001776985/000119312519241112/d635330dex101.htm" TargetMode="External"/><Relationship Id="rId329" Type="http://schemas.openxmlformats.org/officeDocument/2006/relationships/hyperlink" Target="https://www.sec.gov/Archives/edgar/data/0001776985/000119312519241112/d635330dex102.htm" TargetMode="External"/><Relationship Id="rId330" Type="http://schemas.openxmlformats.org/officeDocument/2006/relationships/hyperlink" Target="https://www.sec.gov/Archives/edgar/data/0001776985/000119312519241112/d635330dex103.htm" TargetMode="External"/><Relationship Id="rId331" Type="http://schemas.openxmlformats.org/officeDocument/2006/relationships/hyperlink" Target="https://www.sec.gov/Archives/edgar/data/0001776985/000119312519241112/d635330dex104.htm" TargetMode="External"/><Relationship Id="rId332" Type="http://schemas.openxmlformats.org/officeDocument/2006/relationships/hyperlink" Target="https://www.sec.gov/Archives/edgar/data/0001776985/000119312519241112/d635330dex105.htm" TargetMode="External"/><Relationship Id="rId333" Type="http://schemas.openxmlformats.org/officeDocument/2006/relationships/hyperlink" Target="https://www.sec.gov/Archives/edgar/data/0001776985/000119312519241112/d635330dex106.htm" TargetMode="External"/><Relationship Id="rId334" Type="http://schemas.openxmlformats.org/officeDocument/2006/relationships/hyperlink" Target="https://www.sec.gov/Archives/edgar/data/0001776985/000119312519241112/d635330dex1014.htm" TargetMode="External"/><Relationship Id="rId335" Type="http://schemas.openxmlformats.org/officeDocument/2006/relationships/hyperlink" Target="https://www.sec.gov/Archives/edgar/data/1776985/000156459020014536/bntx-ex415_128.htm" TargetMode="External"/><Relationship Id="rId336" Type="http://schemas.openxmlformats.org/officeDocument/2006/relationships/hyperlink" Target="https://www.sec.gov/Archives/edgar/data/1776985/000156459020014536/bntx-ex416_126.htm" TargetMode="External"/><Relationship Id="rId337" Type="http://schemas.openxmlformats.org/officeDocument/2006/relationships/hyperlink" Target="https://www.sec.gov/Archives/edgar/data/0001776985/000156459021016723/bntx-ex417_789.htm" TargetMode="External"/><Relationship Id="rId338" Type="http://schemas.openxmlformats.org/officeDocument/2006/relationships/hyperlink" Target="https://www.sec.gov/Archives/edgar/data/0001776985/000156459021016723/bntx-ex418_411.htm" TargetMode="External"/><Relationship Id="rId339" Type="http://schemas.openxmlformats.org/officeDocument/2006/relationships/hyperlink" Target="https://www.sec.gov/Archives/edgar/data/1776985/000119312519241112/d635330dex1015.htm" TargetMode="External"/><Relationship Id="rId341" Type="http://schemas.openxmlformats.org/officeDocument/2006/relationships/hyperlink" Target="https://www.sec.gov/Archives/edgar/data/0001776985/000156459021016723/bntx-ex420_412.htm" TargetMode="External"/><Relationship Id="rId342" Type="http://schemas.openxmlformats.org/officeDocument/2006/relationships/hyperlink" Target="https://www.sec.gov/Archives/edgar/data/1776985/000119312519241112/d635330dex1016.htm" TargetMode="External"/><Relationship Id="rId343" Type="http://schemas.openxmlformats.org/officeDocument/2006/relationships/hyperlink" Target="https://www.sec.gov/Archives/edgar/data/1776985/000156459021016723/bntx-ex422_413.htm" TargetMode="External"/><Relationship Id="rId344" Type="http://schemas.openxmlformats.org/officeDocument/2006/relationships/hyperlink" Target="https://www.sec.gov/Archives/edgar/data/1776985/000119312519241112/d635330dex1018.htm" TargetMode="External"/><Relationship Id="rId345" Type="http://schemas.openxmlformats.org/officeDocument/2006/relationships/hyperlink" Target="https://www.sec.gov/Archives/edgar/data/1776985/000119312519241112/d635330dex1019.htm" TargetMode="External"/><Relationship Id="rId346" Type="http://schemas.openxmlformats.org/officeDocument/2006/relationships/hyperlink" Target="https://www.sec.gov/Archives/edgar/data/1776985/000119312519241112/d635330dex1025.htm" TargetMode="External"/><Relationship Id="rId347" Type="http://schemas.openxmlformats.org/officeDocument/2006/relationships/hyperlink" Target="https://www.sec.gov/Archives/edgar/data/1776985/000119312519241112/d635330dex1026.htm" TargetMode="External"/><Relationship Id="rId348" Type="http://schemas.openxmlformats.org/officeDocument/2006/relationships/hyperlink" Target="https://www.sec.gov/Archives/edgar/data/1776985/000119312519241112/d635330dex1027.htm" TargetMode="External"/><Relationship Id="rId349" Type="http://schemas.openxmlformats.org/officeDocument/2006/relationships/hyperlink" Target="https://www.sec.gov/Archives/edgar/data/1776985/000119312519241112/d635330dex1028.htm" TargetMode="External"/><Relationship Id="rId350" Type="http://schemas.openxmlformats.org/officeDocument/2006/relationships/hyperlink" Target="https://www.sec.gov/Archives/edgar/data/1776985/000119312519241112/d635330dex1029.htm" TargetMode="External"/><Relationship Id="rId351" Type="http://schemas.openxmlformats.org/officeDocument/2006/relationships/hyperlink" Target="https://www.sec.gov/Archives/edgar/data/1776985/000119312519241112/d635330dex1030.htm" TargetMode="External"/><Relationship Id="rId352" Type="http://schemas.openxmlformats.org/officeDocument/2006/relationships/hyperlink" Target="https://www.sec.gov/Archives/edgar/data/1776985/000119312519241112/d635330dex1031.htm" TargetMode="External"/><Relationship Id="rId353" Type="http://schemas.openxmlformats.org/officeDocument/2006/relationships/hyperlink" Target="https://www.sec.gov/Archives/edgar/data/1776985/000119312519241112/d635330dex1032.htm" TargetMode="External"/><Relationship Id="rId354" Type="http://schemas.openxmlformats.org/officeDocument/2006/relationships/hyperlink" Target="https://www.sec.gov/Archives/edgar/data/1776985/000119312519241112/d635330dex1033.htm" TargetMode="External"/><Relationship Id="rId355" Type="http://schemas.openxmlformats.org/officeDocument/2006/relationships/hyperlink" Target="https://www.sec.gov/Archives/edgar/data/0001776985/000156459020014536/bntx-ex435_184.htm" TargetMode="External"/><Relationship Id="rId356" Type="http://schemas.openxmlformats.org/officeDocument/2006/relationships/hyperlink" Target="https://www.sec.gov/Archives/edgar/data/0001776985/000119312520195911/d939702dex1038.htm" TargetMode="External"/><Relationship Id="rId358" Type="http://schemas.openxmlformats.org/officeDocument/2006/relationships/hyperlink" Target="https://www.sec.gov/Archives/edgar/data/0001776985/000156459021016723/bntx-ex451_414.htm" TargetMode="External"/><Relationship Id="rId359" Type="http://schemas.openxmlformats.org/officeDocument/2006/relationships/hyperlink" Target="https://www.sec.gov/Archives/edgar/data/0001776985/000156459021016723/bntx-ex452_415.htm" TargetMode="External"/><Relationship Id="rId360" Type="http://schemas.openxmlformats.org/officeDocument/2006/relationships/hyperlink" Target="https://www.sec.gov/Archives/edgar/data/0001776985/000156459021016723/bntx-ex453_417.htm" TargetMode="External"/><Relationship Id="rId361" Type="http://schemas.openxmlformats.org/officeDocument/2006/relationships/hyperlink" Target="https://www.sec.gov/Archives/edgar/data/1776985/000119312523079791/d377167dex434.htm" TargetMode="External"/><Relationship Id="rId362" Type="http://schemas.openxmlformats.org/officeDocument/2006/relationships/hyperlink" Target="https://www.sec.gov/Archives/edgar/data/1776985/000119312523079791/d377167dex435.htm" TargetMode="External"/><Relationship Id="rId363" Type="http://schemas.openxmlformats.org/officeDocument/2006/relationships/hyperlink" Target="https://www.sec.gov/Archives/edgar/data/1776985/000119312523079791/d377167dex436.htm" TargetMode="External"/><Relationship Id="rId364" Type="http://schemas.openxmlformats.org/officeDocument/2006/relationships/hyperlink" Target="https://www.sec.gov/Archives/edgar/data/1776985/000177698524000027/exhibit447instadeepamendme.htm" TargetMode="External"/><Relationship Id="rId365" Type="http://schemas.openxmlformats.org/officeDocument/2006/relationships/hyperlink" Target="https://www.sec.gov/Archives/edgar/data/1776985/000177698524000027/exhibit448oncoc4agreementr.htm" TargetMode="External"/><Relationship Id="rId366" Type="http://schemas.openxmlformats.org/officeDocument/2006/relationships/hyperlink" Target="https://www.sec.gov/Archives/edgar/data/1776985/000177698524000027/exhibit449oncoc4amendmentr.htm" TargetMode="External"/><Relationship Id="rId367" Type="http://schemas.openxmlformats.org/officeDocument/2006/relationships/hyperlink" Target="https://www.sec.gov/Archives/edgar/data/1776985/000177698524000027/exhibit450dualityher2agree.htm" TargetMode="External"/><Relationship Id="rId368" Type="http://schemas.openxmlformats.org/officeDocument/2006/relationships/hyperlink" Target="https://www.sec.gov/Archives/edgar/data/1776985/000177698524000027/exhibit451dualityb7h3agree.htm" TargetMode="External"/><Relationship Id="rId369" Type="http://schemas.openxmlformats.org/officeDocument/2006/relationships/hyperlink" Target="https://www.sec.gov/Archives/edgar/data/1776985/000177698524000027/exhibit452dualitytrop2agre.htm" TargetMode="External"/><Relationship Id="rId370" Type="http://schemas.openxmlformats.org/officeDocument/2006/relationships/hyperlink" Target="https://www.sec.gov/Archives/edgar/data/1776985/000177698524000027/exhibit454autoluslicensean.htm" TargetMode="External"/><Relationship Id="rId371" Type="http://schemas.openxmlformats.org/officeDocument/2006/relationships/hyperlink" Target="https://www.sec.gov/Archives/edgar/data/1776985/000119312523079791/d377167dex443.htm" TargetMode="External"/><Relationship Id="rId372" Type="http://schemas.openxmlformats.org/officeDocument/2006/relationships/hyperlink" Target="https://www.sec.gov/Archives/edgar/data/1776985/000119312523079791/d377167dex444.htm" TargetMode="External"/><Relationship Id="rId373" Type="http://schemas.openxmlformats.org/officeDocument/2006/relationships/hyperlink" Target="https://www.sec.gov/Archives/edgar/data/1776985/000119312523079791/d377167dex445.htm" TargetMode="External"/><Relationship Id="rId374" Type="http://schemas.openxmlformats.org/officeDocument/2006/relationships/hyperlink" Target="https://www.sec.gov/Archives/edgar/data/1776985/000119312523079791/d377167dex446.htm" TargetMode="External"/><Relationship Id="rId375" Type="http://schemas.openxmlformats.org/officeDocument/2006/relationships/hyperlink" Target="https://www.sec.gov/Archives/edgar/data/1776985/000119312523079791/d377167dex447.htm" TargetMode="External"/><Relationship Id="rId376" Type="http://schemas.openxmlformats.org/officeDocument/2006/relationships/hyperlink" Target="https://www.sec.gov/Archives/edgar/data/1776985/000177698524000027/exhibit97biontechcompens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2025-03-10T06:11:12Z</dcterms:created>
  <dcterms:modified xsi:type="dcterms:W3CDTF">2025-03-10T06:11:12Z</dcterms:modified>
</cp:coreProperties>
</file>